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341.xml" ContentType="application/vnd.openxmlformats-officedocument.wordprocessingml.footer+xml"/>
  <Override PartName="/word/footer342.xml" ContentType="application/vnd.openxmlformats-officedocument.wordprocessingml.footer+xml"/>
  <Override PartName="/word/footer343.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05.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40.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41.xml" ContentType="application/vnd.openxmlformats-officedocument.wordprocessingml.footer+xml"/>
  <Override PartName="/word/theme/theme1.xml" ContentType="application/vnd.openxmlformats-officedocument.theme+xml"/>
  <Override PartName="/word/footer479.xml" ContentType="application/vnd.openxmlformats-officedocument.wordprocessingml.footer+xml"/>
  <Override PartName="/word/footer286.xml" ContentType="application/vnd.openxmlformats-officedocument.wordprocessingml.footer+xml"/>
  <Override PartName="/word/footer442.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73.xml" ContentType="application/vnd.openxmlformats-officedocument.wordprocessingml.footer+xml"/>
  <Override PartName="/word/footer295.xml" ContentType="application/vnd.openxmlformats-officedocument.wordprocessingml.footer+xml"/>
  <Override PartName="/word/footer488.xml" ContentType="application/vnd.openxmlformats-officedocument.wordprocessingml.footer+xml"/>
  <Override PartName="/word/footer494.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492.xml" ContentType="application/vnd.openxmlformats-officedocument.wordprocessingml.footer+xml"/>
  <Override PartName="/word/footer353.xml" ContentType="application/vnd.openxmlformats-officedocument.wordprocessingml.footer+xml"/>
  <Override PartName="/word/footer444.xml" ContentType="application/vnd.openxmlformats-officedocument.wordprocessingml.footer+xml"/>
  <Override PartName="/word/footer298.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297.xml" ContentType="application/vnd.openxmlformats-officedocument.wordprocessingml.footer+xml"/>
  <Override PartName="/word/footer496.xml" ContentType="application/vnd.openxmlformats-officedocument.wordprocessingml.footer+xml"/>
  <Override PartName="/word/footer296.xml" ContentType="application/vnd.openxmlformats-officedocument.wordprocessingml.footer+xml"/>
  <Override PartName="/word/footer489.xml" ContentType="application/vnd.openxmlformats-officedocument.wordprocessingml.footer+xml"/>
  <Override PartName="/word/footer495.xml" ContentType="application/vnd.openxmlformats-officedocument.wordprocessingml.footer+xml"/>
  <Override PartName="/word/footer294.xml" ContentType="application/vnd.openxmlformats-officedocument.wordprocessingml.footer+xml"/>
  <Override PartName="/word/footer487.xml" ContentType="application/vnd.openxmlformats-officedocument.wordprocessingml.footer+xml"/>
  <Override PartName="/word/footer493.xml" ContentType="application/vnd.openxmlformats-officedocument.wordprocessingml.footer+xml"/>
  <Override PartName="/word/footer491.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69.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445.xml" ContentType="application/vnd.openxmlformats-officedocument.wordprocessingml.footer+xml"/>
  <Override PartName="/word/footer443.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427.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389.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العروة الوثقی والتعلیقات علیها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36378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36380_2322387425">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636382_2322387425">
            <w:r>
              <w:rPr>
                <w:webHidden/>
                <w:rStyle w:val="IndexLink"/>
                <w:rtl w:val="true"/>
              </w:rPr>
              <w:t>مقدّمة المؤسّسة</w:t>
            </w:r>
            <w:r>
              <w:rPr>
                <w:rStyle w:val="IndexLink"/>
                <w:rtl w:val="true"/>
              </w:rPr>
              <w:tab/>
            </w:r>
            <w:r>
              <w:rPr>
                <w:rStyle w:val="IndexLink"/>
              </w:rPr>
              <w:t>11</w:t>
            </w:r>
          </w:hyperlink>
        </w:p>
        <w:p>
          <w:pPr>
            <w:pStyle w:val="Contents3"/>
            <w:tabs>
              <w:tab w:val="clear" w:pos="8459"/>
              <w:tab w:val="right" w:pos="9026" w:leader="dot"/>
            </w:tabs>
            <w:rPr/>
          </w:pPr>
          <w:hyperlink w:anchor="__RefHeading___Toc1636384_2322387425">
            <w:r>
              <w:rPr>
                <w:webHidden/>
                <w:rStyle w:val="IndexLink"/>
                <w:rtl w:val="true"/>
              </w:rPr>
              <w:t>اشارة</w:t>
            </w:r>
            <w:r>
              <w:rPr>
                <w:rStyle w:val="IndexLink"/>
                <w:rtl w:val="true"/>
              </w:rPr>
              <w:tab/>
            </w:r>
            <w:r>
              <w:rPr>
                <w:rStyle w:val="IndexLink"/>
              </w:rPr>
              <w:t>11</w:t>
            </w:r>
          </w:hyperlink>
        </w:p>
        <w:p>
          <w:pPr>
            <w:pStyle w:val="Contents3"/>
            <w:tabs>
              <w:tab w:val="clear" w:pos="8459"/>
              <w:tab w:val="right" w:pos="9026" w:leader="dot"/>
            </w:tabs>
            <w:rPr/>
          </w:pPr>
          <w:hyperlink w:anchor="__RefHeading___Toc1636386_2322387425">
            <w:r>
              <w:rPr>
                <w:webHidden/>
                <w:rStyle w:val="IndexLink"/>
                <w:rtl w:val="true"/>
              </w:rPr>
              <w:t>سیرته الشخصیّة قدس‌سره</w:t>
            </w:r>
            <w:r>
              <w:rPr>
                <w:rStyle w:val="IndexLink"/>
                <w:rtl w:val="true"/>
              </w:rPr>
              <w:tab/>
            </w:r>
            <w:r>
              <w:rPr>
                <w:rStyle w:val="IndexLink"/>
              </w:rPr>
              <w:t>13</w:t>
            </w:r>
          </w:hyperlink>
        </w:p>
        <w:p>
          <w:pPr>
            <w:pStyle w:val="Contents3"/>
            <w:tabs>
              <w:tab w:val="clear" w:pos="8459"/>
              <w:tab w:val="right" w:pos="9026" w:leader="dot"/>
            </w:tabs>
            <w:rPr/>
          </w:pPr>
          <w:hyperlink w:anchor="__RefHeading___Toc1636388_2322387425">
            <w:r>
              <w:rPr>
                <w:webHidden/>
                <w:rStyle w:val="IndexLink"/>
                <w:rtl w:val="true"/>
              </w:rPr>
              <w:t>مواقفه فی مواجهة أعداء الإسلام</w:t>
            </w:r>
            <w:r>
              <w:rPr>
                <w:rStyle w:val="IndexLink"/>
                <w:rtl w:val="true"/>
              </w:rPr>
              <w:tab/>
            </w:r>
            <w:r>
              <w:rPr>
                <w:rStyle w:val="IndexLink"/>
              </w:rPr>
              <w:t>49</w:t>
            </w:r>
          </w:hyperlink>
        </w:p>
        <w:p>
          <w:pPr>
            <w:pStyle w:val="Contents3"/>
            <w:tabs>
              <w:tab w:val="clear" w:pos="8459"/>
              <w:tab w:val="right" w:pos="9026" w:leader="dot"/>
            </w:tabs>
            <w:rPr/>
          </w:pPr>
          <w:hyperlink w:anchor="__RefHeading___Toc1636390_2322387425">
            <w:r>
              <w:rPr>
                <w:webHidden/>
                <w:rStyle w:val="IndexLink"/>
                <w:rtl w:val="true"/>
              </w:rPr>
              <w:t>أصحاب التعلیقات</w:t>
            </w:r>
            <w:r>
              <w:rPr>
                <w:rStyle w:val="IndexLink"/>
                <w:rtl w:val="true"/>
              </w:rPr>
              <w:tab/>
            </w:r>
            <w:r>
              <w:rPr>
                <w:rStyle w:val="IndexLink"/>
              </w:rPr>
              <w:t>87</w:t>
            </w:r>
          </w:hyperlink>
        </w:p>
        <w:p>
          <w:pPr>
            <w:pStyle w:val="Contents2"/>
            <w:tabs>
              <w:tab w:val="clear" w:pos="8743"/>
              <w:tab w:val="right" w:pos="9026" w:leader="dot"/>
            </w:tabs>
            <w:rPr/>
          </w:pPr>
          <w:hyperlink w:anchor="__RefHeading___Toc1636392_2322387425">
            <w:r>
              <w:rPr>
                <w:webHidden/>
                <w:rStyle w:val="IndexLink"/>
                <w:rtl w:val="true"/>
              </w:rPr>
              <w:t>تقدیم بقلم الاُستاذ الدکتور محمود البستانی</w:t>
            </w:r>
            <w:r>
              <w:rPr>
                <w:rStyle w:val="IndexLink"/>
                <w:rtl w:val="true"/>
              </w:rPr>
              <w:tab/>
            </w:r>
            <w:r>
              <w:rPr>
                <w:rStyle w:val="IndexLink"/>
              </w:rPr>
              <w:t>181</w:t>
            </w:r>
          </w:hyperlink>
        </w:p>
        <w:p>
          <w:pPr>
            <w:pStyle w:val="Contents2"/>
            <w:tabs>
              <w:tab w:val="clear" w:pos="8743"/>
              <w:tab w:val="right" w:pos="9026" w:leader="dot"/>
            </w:tabs>
            <w:rPr/>
          </w:pPr>
          <w:hyperlink w:anchor="__RefHeading___Toc1636394_2322387425">
            <w:r>
              <w:rPr>
                <w:webHidden/>
                <w:rStyle w:val="IndexLink"/>
                <w:rtl w:val="true"/>
              </w:rPr>
              <w:t>کتاب الاجتهاد والتقلید</w:t>
            </w:r>
            <w:r>
              <w:rPr>
                <w:rStyle w:val="IndexLink"/>
                <w:rtl w:val="true"/>
              </w:rPr>
              <w:tab/>
            </w:r>
            <w:r>
              <w:rPr>
                <w:rStyle w:val="IndexLink"/>
              </w:rPr>
              <w:t>227</w:t>
            </w:r>
          </w:hyperlink>
        </w:p>
        <w:p>
          <w:pPr>
            <w:pStyle w:val="Contents3"/>
            <w:tabs>
              <w:tab w:val="clear" w:pos="8459"/>
              <w:tab w:val="right" w:pos="9026" w:leader="dot"/>
            </w:tabs>
            <w:rPr/>
          </w:pPr>
          <w:hyperlink w:anchor="__RefHeading___Toc1636396_2322387425">
            <w:r>
              <w:rPr>
                <w:webHidden/>
                <w:rStyle w:val="IndexLink"/>
                <w:rtl w:val="true"/>
              </w:rPr>
              <w:t>اشارة</w:t>
            </w:r>
            <w:r>
              <w:rPr>
                <w:rStyle w:val="IndexLink"/>
                <w:rtl w:val="true"/>
              </w:rPr>
              <w:tab/>
            </w:r>
            <w:r>
              <w:rPr>
                <w:rStyle w:val="IndexLink"/>
              </w:rPr>
              <w:t>227</w:t>
            </w:r>
          </w:hyperlink>
        </w:p>
        <w:p>
          <w:pPr>
            <w:pStyle w:val="Contents3"/>
            <w:tabs>
              <w:tab w:val="clear" w:pos="8459"/>
              <w:tab w:val="right" w:pos="9026" w:leader="dot"/>
            </w:tabs>
            <w:rPr/>
          </w:pPr>
          <w:hyperlink w:anchor="__RefHeading___Toc1636398_2322387425">
            <w:r>
              <w:rPr>
                <w:webHidden/>
                <w:rStyle w:val="IndexLink"/>
                <w:rtl w:val="true"/>
              </w:rPr>
              <w:t>یجب التقلید أو الاحتیاط علی غیر المجتهد</w:t>
            </w:r>
            <w:r>
              <w:rPr>
                <w:rStyle w:val="IndexLink"/>
                <w:rtl w:val="true"/>
              </w:rPr>
              <w:tab/>
            </w:r>
            <w:r>
              <w:rPr>
                <w:rStyle w:val="IndexLink"/>
              </w:rPr>
              <w:t>229</w:t>
            </w:r>
          </w:hyperlink>
        </w:p>
        <w:p>
          <w:pPr>
            <w:pStyle w:val="Contents3"/>
            <w:tabs>
              <w:tab w:val="clear" w:pos="8459"/>
              <w:tab w:val="right" w:pos="9026" w:leader="dot"/>
            </w:tabs>
            <w:rPr/>
          </w:pPr>
          <w:hyperlink w:anchor="__RefHeading___Toc1636400_2322387425">
            <w:r>
              <w:rPr>
                <w:webHidden/>
                <w:rStyle w:val="IndexLink"/>
                <w:rtl w:val="true"/>
              </w:rPr>
              <w:t>جواز العمل بالاحتیاط</w:t>
            </w:r>
            <w:r>
              <w:rPr>
                <w:rStyle w:val="IndexLink"/>
                <w:rtl w:val="true"/>
              </w:rPr>
              <w:tab/>
            </w:r>
            <w:r>
              <w:rPr>
                <w:rStyle w:val="IndexLink"/>
              </w:rPr>
              <w:t>231</w:t>
            </w:r>
          </w:hyperlink>
        </w:p>
        <w:p>
          <w:pPr>
            <w:pStyle w:val="Contents3"/>
            <w:tabs>
              <w:tab w:val="clear" w:pos="8459"/>
              <w:tab w:val="right" w:pos="9026" w:leader="dot"/>
            </w:tabs>
            <w:rPr/>
          </w:pPr>
          <w:hyperlink w:anchor="__RefHeading___Toc1636402_2322387425">
            <w:r>
              <w:rPr>
                <w:webHidden/>
                <w:rStyle w:val="IndexLink"/>
                <w:rtl w:val="true"/>
              </w:rPr>
              <w:t>الاحتیاط فی الفعل أو فی الترک</w:t>
            </w:r>
            <w:r>
              <w:rPr>
                <w:rStyle w:val="IndexLink"/>
                <w:rtl w:val="true"/>
              </w:rPr>
              <w:tab/>
            </w:r>
            <w:r>
              <w:rPr>
                <w:rStyle w:val="IndexLink"/>
              </w:rPr>
              <w:t>232</w:t>
            </w:r>
          </w:hyperlink>
        </w:p>
        <w:p>
          <w:pPr>
            <w:pStyle w:val="Contents3"/>
            <w:tabs>
              <w:tab w:val="clear" w:pos="8459"/>
              <w:tab w:val="right" w:pos="9026" w:leader="dot"/>
            </w:tabs>
            <w:rPr/>
          </w:pPr>
          <w:hyperlink w:anchor="__RefHeading___Toc1636404_2322387425">
            <w:r>
              <w:rPr>
                <w:webHidden/>
                <w:rStyle w:val="IndexLink"/>
                <w:rtl w:val="true"/>
              </w:rPr>
              <w:t>جواز الاحتیاط ولو استلزم التکرار</w:t>
            </w:r>
            <w:r>
              <w:rPr>
                <w:rStyle w:val="IndexLink"/>
                <w:rtl w:val="true"/>
              </w:rPr>
              <w:tab/>
            </w:r>
            <w:r>
              <w:rPr>
                <w:rStyle w:val="IndexLink"/>
              </w:rPr>
              <w:t>232</w:t>
            </w:r>
          </w:hyperlink>
        </w:p>
        <w:p>
          <w:pPr>
            <w:pStyle w:val="Contents3"/>
            <w:tabs>
              <w:tab w:val="clear" w:pos="8459"/>
              <w:tab w:val="right" w:pos="9026" w:leader="dot"/>
            </w:tabs>
            <w:rPr/>
          </w:pPr>
          <w:hyperlink w:anchor="__RefHeading___Toc1636406_2322387425">
            <w:r>
              <w:rPr>
                <w:webHidden/>
                <w:rStyle w:val="IndexLink"/>
                <w:rtl w:val="true"/>
              </w:rPr>
              <w:t>لا حاجة إلی التقلید فی الضروریات و الیقینیات</w:t>
            </w:r>
            <w:r>
              <w:rPr>
                <w:rStyle w:val="IndexLink"/>
                <w:rtl w:val="true"/>
              </w:rPr>
              <w:tab/>
            </w:r>
            <w:r>
              <w:rPr>
                <w:rStyle w:val="IndexLink"/>
              </w:rPr>
              <w:t>234</w:t>
            </w:r>
          </w:hyperlink>
        </w:p>
        <w:p>
          <w:pPr>
            <w:pStyle w:val="Contents3"/>
            <w:tabs>
              <w:tab w:val="clear" w:pos="8459"/>
              <w:tab w:val="right" w:pos="9026" w:leader="dot"/>
            </w:tabs>
            <w:rPr/>
          </w:pPr>
          <w:hyperlink w:anchor="__RefHeading___Toc1636408_2322387425">
            <w:r>
              <w:rPr>
                <w:webHidden/>
                <w:rStyle w:val="IndexLink"/>
                <w:rtl w:val="true"/>
              </w:rPr>
              <w:t>عمل العامی بلا تقلید ولا احتیاط باطل</w:t>
            </w:r>
            <w:r>
              <w:rPr>
                <w:rStyle w:val="IndexLink"/>
                <w:rtl w:val="true"/>
              </w:rPr>
              <w:tab/>
            </w:r>
            <w:r>
              <w:rPr>
                <w:rStyle w:val="IndexLink"/>
              </w:rPr>
              <w:t>234</w:t>
            </w:r>
          </w:hyperlink>
        </w:p>
        <w:p>
          <w:pPr>
            <w:pStyle w:val="Contents3"/>
            <w:tabs>
              <w:tab w:val="clear" w:pos="8459"/>
              <w:tab w:val="right" w:pos="9026" w:leader="dot"/>
            </w:tabs>
            <w:rPr/>
          </w:pPr>
          <w:hyperlink w:anchor="__RefHeading___Toc1636410_2322387425">
            <w:r>
              <w:rPr>
                <w:webHidden/>
                <w:rStyle w:val="IndexLink"/>
                <w:rtl w:val="true"/>
              </w:rPr>
              <w:t>تعریف التقلید</w:t>
            </w:r>
            <w:r>
              <w:rPr>
                <w:rStyle w:val="IndexLink"/>
                <w:rtl w:val="true"/>
              </w:rPr>
              <w:tab/>
            </w:r>
            <w:r>
              <w:rPr>
                <w:rStyle w:val="IndexLink"/>
              </w:rPr>
              <w:t>240</w:t>
            </w:r>
          </w:hyperlink>
        </w:p>
        <w:p>
          <w:pPr>
            <w:pStyle w:val="Contents3"/>
            <w:tabs>
              <w:tab w:val="clear" w:pos="8459"/>
              <w:tab w:val="right" w:pos="9026" w:leader="dot"/>
            </w:tabs>
            <w:rPr/>
          </w:pPr>
          <w:hyperlink w:anchor="__RefHeading___Toc1636412_2322387425">
            <w:r>
              <w:rPr>
                <w:webHidden/>
                <w:rStyle w:val="IndexLink"/>
                <w:rtl w:val="true"/>
              </w:rPr>
              <w:t>حکم البقاء علی تقلید المیت</w:t>
            </w:r>
            <w:r>
              <w:rPr>
                <w:rStyle w:val="IndexLink"/>
                <w:rtl w:val="true"/>
              </w:rPr>
              <w:tab/>
            </w:r>
            <w:r>
              <w:rPr>
                <w:rStyle w:val="IndexLink"/>
              </w:rPr>
              <w:t>247</w:t>
            </w:r>
          </w:hyperlink>
        </w:p>
        <w:p>
          <w:pPr>
            <w:pStyle w:val="Contents3"/>
            <w:tabs>
              <w:tab w:val="clear" w:pos="8459"/>
              <w:tab w:val="right" w:pos="9026" w:leader="dot"/>
            </w:tabs>
            <w:rPr/>
          </w:pPr>
          <w:hyperlink w:anchor="__RefHeading___Toc1636414_2322387425">
            <w:r>
              <w:rPr>
                <w:webHidden/>
                <w:rStyle w:val="IndexLink"/>
                <w:rtl w:val="true"/>
              </w:rPr>
              <w:t>وجوب تقلید الأعلم مع الإمکان</w:t>
            </w:r>
            <w:r>
              <w:rPr>
                <w:rStyle w:val="IndexLink"/>
                <w:rtl w:val="true"/>
              </w:rPr>
              <w:tab/>
            </w:r>
            <w:r>
              <w:rPr>
                <w:rStyle w:val="IndexLink"/>
              </w:rPr>
              <w:t>253</w:t>
            </w:r>
          </w:hyperlink>
        </w:p>
        <w:p>
          <w:pPr>
            <w:pStyle w:val="Contents3"/>
            <w:tabs>
              <w:tab w:val="clear" w:pos="8459"/>
              <w:tab w:val="right" w:pos="9026" w:leader="dot"/>
            </w:tabs>
            <w:rPr/>
          </w:pPr>
          <w:hyperlink w:anchor="__RefHeading___Toc1636416_2322387425">
            <w:r>
              <w:rPr>
                <w:webHidden/>
                <w:rStyle w:val="IndexLink"/>
                <w:rtl w:val="true"/>
              </w:rPr>
              <w:t>عمل الجاهل المقصر الملتفت باطل</w:t>
            </w:r>
            <w:r>
              <w:rPr>
                <w:rStyle w:val="IndexLink"/>
                <w:rtl w:val="true"/>
              </w:rPr>
              <w:tab/>
            </w:r>
            <w:r>
              <w:rPr>
                <w:rStyle w:val="IndexLink"/>
              </w:rPr>
              <w:t>261</w:t>
            </w:r>
          </w:hyperlink>
        </w:p>
        <w:p>
          <w:pPr>
            <w:pStyle w:val="Contents3"/>
            <w:tabs>
              <w:tab w:val="clear" w:pos="8459"/>
              <w:tab w:val="right" w:pos="9026" w:leader="dot"/>
            </w:tabs>
            <w:rPr/>
          </w:pPr>
          <w:hyperlink w:anchor="__RefHeading___Toc1636418_2322387425">
            <w:r>
              <w:rPr>
                <w:webHidden/>
                <w:rStyle w:val="IndexLink"/>
                <w:rtl w:val="true"/>
              </w:rPr>
              <w:t>تعریف الأعلم</w:t>
            </w:r>
            <w:r>
              <w:rPr>
                <w:rStyle w:val="IndexLink"/>
                <w:rtl w:val="true"/>
              </w:rPr>
              <w:tab/>
            </w:r>
            <w:r>
              <w:rPr>
                <w:rStyle w:val="IndexLink"/>
              </w:rPr>
              <w:t>266</w:t>
            </w:r>
          </w:hyperlink>
        </w:p>
        <w:p>
          <w:pPr>
            <w:pStyle w:val="Contents3"/>
            <w:tabs>
              <w:tab w:val="clear" w:pos="8459"/>
              <w:tab w:val="right" w:pos="9026" w:leader="dot"/>
            </w:tabs>
            <w:rPr/>
          </w:pPr>
          <w:hyperlink w:anchor="__RefHeading___Toc1636420_2322387425">
            <w:r>
              <w:rPr>
                <w:webHidden/>
                <w:rStyle w:val="IndexLink"/>
                <w:rtl w:val="true"/>
              </w:rPr>
              <w:t>ما یعرف به اجتهاد المجتهد</w:t>
            </w:r>
            <w:r>
              <w:rPr>
                <w:rStyle w:val="IndexLink"/>
                <w:rtl w:val="true"/>
              </w:rPr>
              <w:tab/>
            </w:r>
            <w:r>
              <w:rPr>
                <w:rStyle w:val="IndexLink"/>
              </w:rPr>
              <w:t>271</w:t>
            </w:r>
          </w:hyperlink>
        </w:p>
        <w:p>
          <w:pPr>
            <w:pStyle w:val="Contents3"/>
            <w:tabs>
              <w:tab w:val="clear" w:pos="8459"/>
              <w:tab w:val="right" w:pos="9026" w:leader="dot"/>
            </w:tabs>
            <w:rPr/>
          </w:pPr>
          <w:hyperlink w:anchor="__RefHeading___Toc1636422_2322387425">
            <w:r>
              <w:rPr>
                <w:webHidden/>
                <w:rStyle w:val="IndexLink"/>
                <w:rtl w:val="true"/>
              </w:rPr>
              <w:t>یشترط فی المجتهد أمور</w:t>
            </w:r>
            <w:r>
              <w:rPr>
                <w:rStyle w:val="IndexLink"/>
                <w:rtl w:val="true"/>
              </w:rPr>
              <w:tab/>
            </w:r>
            <w:r>
              <w:rPr>
                <w:rStyle w:val="IndexLink"/>
              </w:rPr>
              <w:t>275</w:t>
            </w:r>
          </w:hyperlink>
        </w:p>
        <w:p>
          <w:pPr>
            <w:pStyle w:val="Contents3"/>
            <w:tabs>
              <w:tab w:val="clear" w:pos="8459"/>
              <w:tab w:val="right" w:pos="9026" w:leader="dot"/>
            </w:tabs>
            <w:rPr/>
          </w:pPr>
          <w:hyperlink w:anchor="__RefHeading___Toc1636424_2322387425">
            <w:r>
              <w:rPr>
                <w:webHidden/>
                <w:rStyle w:val="IndexLink"/>
                <w:rtl w:val="true"/>
              </w:rPr>
              <w:t>تعریف العدالة</w:t>
            </w:r>
            <w:r>
              <w:rPr>
                <w:rStyle w:val="IndexLink"/>
                <w:rtl w:val="true"/>
              </w:rPr>
              <w:tab/>
            </w:r>
            <w:r>
              <w:rPr>
                <w:rStyle w:val="IndexLink"/>
              </w:rPr>
              <w:t>283</w:t>
            </w:r>
          </w:hyperlink>
        </w:p>
        <w:p>
          <w:pPr>
            <w:pStyle w:val="Contents3"/>
            <w:tabs>
              <w:tab w:val="clear" w:pos="8459"/>
              <w:tab w:val="right" w:pos="9026" w:leader="dot"/>
            </w:tabs>
            <w:rPr/>
          </w:pPr>
          <w:hyperlink w:anchor="__RefHeading___Toc1636426_2322387425">
            <w:r>
              <w:rPr>
                <w:webHidden/>
                <w:rStyle w:val="IndexLink"/>
                <w:rtl w:val="true"/>
              </w:rPr>
              <w:t>وجوب العلم بأجزاء العبادات و شرائطها و موانعها و مقدماتها</w:t>
            </w:r>
            <w:r>
              <w:rPr>
                <w:rStyle w:val="IndexLink"/>
                <w:rtl w:val="true"/>
              </w:rPr>
              <w:tab/>
            </w:r>
            <w:r>
              <w:rPr>
                <w:rStyle w:val="IndexLink"/>
              </w:rPr>
              <w:t>289</w:t>
            </w:r>
          </w:hyperlink>
        </w:p>
        <w:p>
          <w:pPr>
            <w:pStyle w:val="Contents3"/>
            <w:tabs>
              <w:tab w:val="clear" w:pos="8459"/>
              <w:tab w:val="right" w:pos="9026" w:leader="dot"/>
            </w:tabs>
            <w:rPr/>
          </w:pPr>
          <w:hyperlink w:anchor="__RefHeading___Toc1636428_2322387425">
            <w:r>
              <w:rPr>
                <w:webHidden/>
                <w:rStyle w:val="IndexLink"/>
                <w:rtl w:val="true"/>
              </w:rPr>
              <w:t>وجوب تعلم مسائل الشک و السهو</w:t>
            </w:r>
            <w:r>
              <w:rPr>
                <w:rStyle w:val="IndexLink"/>
                <w:rtl w:val="true"/>
              </w:rPr>
              <w:tab/>
            </w:r>
            <w:r>
              <w:rPr>
                <w:rStyle w:val="IndexLink"/>
              </w:rPr>
              <w:t>290</w:t>
            </w:r>
          </w:hyperlink>
        </w:p>
        <w:p>
          <w:pPr>
            <w:pStyle w:val="Contents3"/>
            <w:tabs>
              <w:tab w:val="clear" w:pos="8459"/>
              <w:tab w:val="right" w:pos="9026" w:leader="dot"/>
            </w:tabs>
            <w:rPr/>
          </w:pPr>
          <w:hyperlink w:anchor="__RefHeading___Toc1636430_2322387425">
            <w:r>
              <w:rPr>
                <w:webHidden/>
                <w:rStyle w:val="IndexLink"/>
                <w:rtl w:val="true"/>
              </w:rPr>
              <w:t>وجول التقلید فی المستحبات</w:t>
            </w:r>
            <w:r>
              <w:rPr>
                <w:rStyle w:val="IndexLink"/>
                <w:rtl w:val="true"/>
              </w:rPr>
              <w:tab/>
            </w:r>
            <w:r>
              <w:rPr>
                <w:rStyle w:val="IndexLink"/>
              </w:rPr>
              <w:t>292</w:t>
            </w:r>
          </w:hyperlink>
        </w:p>
        <w:p>
          <w:pPr>
            <w:pStyle w:val="Contents3"/>
            <w:tabs>
              <w:tab w:val="clear" w:pos="8459"/>
              <w:tab w:val="right" w:pos="9026" w:leader="dot"/>
            </w:tabs>
            <w:rPr/>
          </w:pPr>
          <w:hyperlink w:anchor="__RefHeading___Toc1636432_2322387425">
            <w:r>
              <w:rPr>
                <w:webHidden/>
                <w:rStyle w:val="IndexLink"/>
                <w:rtl w:val="true"/>
              </w:rPr>
              <w:t>إذا تبدل رأی المجتهد</w:t>
            </w:r>
            <w:r>
              <w:rPr>
                <w:rStyle w:val="IndexLink"/>
                <w:rtl w:val="true"/>
              </w:rPr>
              <w:tab/>
            </w:r>
            <w:r>
              <w:rPr>
                <w:rStyle w:val="IndexLink"/>
              </w:rPr>
              <w:t>295</w:t>
            </w:r>
          </w:hyperlink>
        </w:p>
        <w:p>
          <w:pPr>
            <w:pStyle w:val="Contents3"/>
            <w:tabs>
              <w:tab w:val="clear" w:pos="8459"/>
              <w:tab w:val="right" w:pos="9026" w:leader="dot"/>
            </w:tabs>
            <w:rPr/>
          </w:pPr>
          <w:hyperlink w:anchor="__RefHeading___Toc1636434_2322387425">
            <w:r>
              <w:rPr>
                <w:webHidden/>
                <w:rStyle w:val="IndexLink"/>
                <w:rtl w:val="true"/>
              </w:rPr>
              <w:t>یجوز التبعیض فی المسائل</w:t>
            </w:r>
            <w:r>
              <w:rPr>
                <w:rStyle w:val="IndexLink"/>
                <w:rtl w:val="true"/>
              </w:rPr>
              <w:tab/>
            </w:r>
            <w:r>
              <w:rPr>
                <w:rStyle w:val="IndexLink"/>
              </w:rPr>
              <w:t>295</w:t>
            </w:r>
          </w:hyperlink>
        </w:p>
        <w:p>
          <w:pPr>
            <w:pStyle w:val="Contents3"/>
            <w:tabs>
              <w:tab w:val="clear" w:pos="8459"/>
              <w:tab w:val="right" w:pos="9026" w:leader="dot"/>
            </w:tabs>
            <w:rPr/>
          </w:pPr>
          <w:hyperlink w:anchor="__RefHeading___Toc1636436_2322387425">
            <w:r>
              <w:rPr>
                <w:webHidden/>
                <w:rStyle w:val="IndexLink"/>
                <w:rtl w:val="true"/>
              </w:rPr>
              <w:t>ما یعلم به فتوی المجتهد</w:t>
            </w:r>
            <w:r>
              <w:rPr>
                <w:rStyle w:val="IndexLink"/>
                <w:rtl w:val="true"/>
              </w:rPr>
              <w:tab/>
            </w:r>
            <w:r>
              <w:rPr>
                <w:rStyle w:val="IndexLink"/>
              </w:rPr>
              <w:t>302</w:t>
            </w:r>
          </w:hyperlink>
        </w:p>
        <w:p>
          <w:pPr>
            <w:pStyle w:val="Contents3"/>
            <w:tabs>
              <w:tab w:val="clear" w:pos="8459"/>
              <w:tab w:val="right" w:pos="9026" w:leader="dot"/>
            </w:tabs>
            <w:rPr/>
          </w:pPr>
          <w:hyperlink w:anchor="__RefHeading___Toc1636438_2322387425">
            <w:r>
              <w:rPr>
                <w:webHidden/>
                <w:rStyle w:val="IndexLink"/>
                <w:rtl w:val="true"/>
              </w:rPr>
              <w:t>من قلد غیر الأعلم أو من لیس أهلاً للفتوی</w:t>
            </w:r>
            <w:r>
              <w:rPr>
                <w:rStyle w:val="IndexLink"/>
                <w:rtl w:val="true"/>
              </w:rPr>
              <w:tab/>
            </w:r>
            <w:r>
              <w:rPr>
                <w:rStyle w:val="IndexLink"/>
              </w:rPr>
              <w:t>304</w:t>
            </w:r>
          </w:hyperlink>
        </w:p>
        <w:p>
          <w:pPr>
            <w:pStyle w:val="Contents3"/>
            <w:tabs>
              <w:tab w:val="clear" w:pos="8459"/>
              <w:tab w:val="right" w:pos="9026" w:leader="dot"/>
            </w:tabs>
            <w:rPr/>
          </w:pPr>
          <w:hyperlink w:anchor="__RefHeading___Toc1636440_2322387425">
            <w:r>
              <w:rPr>
                <w:webHidden/>
                <w:rStyle w:val="IndexLink"/>
                <w:rtl w:val="true"/>
              </w:rPr>
              <w:t>إذا شک فی موت المجتهد أو فی تبدل رأیه</w:t>
            </w:r>
            <w:r>
              <w:rPr>
                <w:rStyle w:val="IndexLink"/>
                <w:rtl w:val="true"/>
              </w:rPr>
              <w:tab/>
            </w:r>
            <w:r>
              <w:rPr>
                <w:rStyle w:val="IndexLink"/>
              </w:rPr>
              <w:t>308</w:t>
            </w:r>
          </w:hyperlink>
        </w:p>
        <w:p>
          <w:pPr>
            <w:pStyle w:val="Contents3"/>
            <w:tabs>
              <w:tab w:val="clear" w:pos="8459"/>
              <w:tab w:val="right" w:pos="9026" w:leader="dot"/>
            </w:tabs>
            <w:rPr/>
          </w:pPr>
          <w:hyperlink w:anchor="__RefHeading___Toc1636442_2322387425">
            <w:r>
              <w:rPr>
                <w:webHidden/>
                <w:rStyle w:val="IndexLink"/>
                <w:rtl w:val="true"/>
              </w:rPr>
              <w:t>إذا عمل بلا تقلید مدة من الزمن</w:t>
            </w:r>
            <w:r>
              <w:rPr>
                <w:rStyle w:val="IndexLink"/>
                <w:rtl w:val="true"/>
              </w:rPr>
              <w:tab/>
            </w:r>
            <w:r>
              <w:rPr>
                <w:rStyle w:val="IndexLink"/>
              </w:rPr>
              <w:t>308</w:t>
            </w:r>
          </w:hyperlink>
        </w:p>
        <w:p>
          <w:pPr>
            <w:pStyle w:val="Contents3"/>
            <w:tabs>
              <w:tab w:val="clear" w:pos="8459"/>
              <w:tab w:val="right" w:pos="9026" w:leader="dot"/>
            </w:tabs>
            <w:rPr/>
          </w:pPr>
          <w:hyperlink w:anchor="__RefHeading___Toc1636444_2322387425">
            <w:r>
              <w:rPr>
                <w:webHidden/>
                <w:rStyle w:val="IndexLink"/>
                <w:rtl w:val="true"/>
              </w:rPr>
              <w:t>إذا قلد مجتهداً ثم شک فی أنه جامع للشرائط أم لا</w:t>
            </w:r>
            <w:r>
              <w:rPr>
                <w:rStyle w:val="IndexLink"/>
                <w:rtl w:val="true"/>
              </w:rPr>
              <w:tab/>
            </w:r>
            <w:r>
              <w:rPr>
                <w:rStyle w:val="IndexLink"/>
              </w:rPr>
              <w:t>314</w:t>
            </w:r>
          </w:hyperlink>
        </w:p>
        <w:p>
          <w:pPr>
            <w:pStyle w:val="Contents3"/>
            <w:tabs>
              <w:tab w:val="clear" w:pos="8459"/>
              <w:tab w:val="right" w:pos="9026" w:leader="dot"/>
            </w:tabs>
            <w:rPr/>
          </w:pPr>
          <w:hyperlink w:anchor="__RefHeading___Toc1636446_2322387425">
            <w:r>
              <w:rPr>
                <w:webHidden/>
                <w:rStyle w:val="IndexLink"/>
                <w:rtl w:val="true"/>
              </w:rPr>
              <w:t>یحرم الافتاء والقضاء علی من لیس أهلاً لهما</w:t>
            </w:r>
            <w:r>
              <w:rPr>
                <w:rStyle w:val="IndexLink"/>
                <w:rtl w:val="true"/>
              </w:rPr>
              <w:tab/>
            </w:r>
            <w:r>
              <w:rPr>
                <w:rStyle w:val="IndexLink"/>
              </w:rPr>
              <w:t>317</w:t>
            </w:r>
          </w:hyperlink>
        </w:p>
        <w:p>
          <w:pPr>
            <w:pStyle w:val="Contents3"/>
            <w:tabs>
              <w:tab w:val="clear" w:pos="8459"/>
              <w:tab w:val="right" w:pos="9026" w:leader="dot"/>
            </w:tabs>
            <w:rPr/>
          </w:pPr>
          <w:hyperlink w:anchor="__RefHeading___Toc1636448_2322387425">
            <w:r>
              <w:rPr>
                <w:webHidden/>
                <w:rStyle w:val="IndexLink"/>
                <w:rtl w:val="true"/>
              </w:rPr>
              <w:t>تثبت عدالة المفتی و القاضی بأمور</w:t>
            </w:r>
            <w:r>
              <w:rPr>
                <w:rStyle w:val="IndexLink"/>
                <w:rtl w:val="true"/>
              </w:rPr>
              <w:tab/>
            </w:r>
            <w:r>
              <w:rPr>
                <w:rStyle w:val="IndexLink"/>
              </w:rPr>
              <w:t>321</w:t>
            </w:r>
          </w:hyperlink>
        </w:p>
        <w:p>
          <w:pPr>
            <w:pStyle w:val="Contents3"/>
            <w:tabs>
              <w:tab w:val="clear" w:pos="8459"/>
              <w:tab w:val="right" w:pos="9026" w:leader="dot"/>
            </w:tabs>
            <w:rPr/>
          </w:pPr>
          <w:hyperlink w:anchor="__RefHeading___Toc1636450_2322387425">
            <w:r>
              <w:rPr>
                <w:webHidden/>
                <w:rStyle w:val="IndexLink"/>
                <w:rtl w:val="true"/>
              </w:rPr>
              <w:t>وجوب العمل بالاحتیاط فی زمان الفحص عن المجتهد</w:t>
            </w:r>
            <w:r>
              <w:rPr>
                <w:rStyle w:val="IndexLink"/>
                <w:rtl w:val="true"/>
              </w:rPr>
              <w:tab/>
            </w:r>
            <w:r>
              <w:rPr>
                <w:rStyle w:val="IndexLink"/>
              </w:rPr>
              <w:t>328</w:t>
            </w:r>
          </w:hyperlink>
        </w:p>
        <w:p>
          <w:pPr>
            <w:pStyle w:val="Contents3"/>
            <w:tabs>
              <w:tab w:val="clear" w:pos="8459"/>
              <w:tab w:val="right" w:pos="9026" w:leader="dot"/>
            </w:tabs>
            <w:rPr/>
          </w:pPr>
          <w:hyperlink w:anchor="__RefHeading___Toc1636452_2322387425">
            <w:r>
              <w:rPr>
                <w:webHidden/>
                <w:rStyle w:val="IndexLink"/>
                <w:rtl w:val="true"/>
              </w:rPr>
              <w:t>المأذون و الوکیل عن المجتهد ینعزل بموت المجتهد</w:t>
            </w:r>
            <w:r>
              <w:rPr>
                <w:rStyle w:val="IndexLink"/>
                <w:rtl w:val="true"/>
              </w:rPr>
              <w:tab/>
            </w:r>
            <w:r>
              <w:rPr>
                <w:rStyle w:val="IndexLink"/>
              </w:rPr>
              <w:t>332</w:t>
            </w:r>
          </w:hyperlink>
        </w:p>
        <w:p>
          <w:pPr>
            <w:pStyle w:val="Contents3"/>
            <w:tabs>
              <w:tab w:val="clear" w:pos="8459"/>
              <w:tab w:val="right" w:pos="9026" w:leader="dot"/>
            </w:tabs>
            <w:rPr/>
          </w:pPr>
          <w:hyperlink w:anchor="__RefHeading___Toc1636454_2322387425">
            <w:r>
              <w:rPr>
                <w:webHidden/>
                <w:rStyle w:val="IndexLink"/>
                <w:rtl w:val="true"/>
              </w:rPr>
              <w:t>فی من بقی علی تقلید المیت، دون أن یقلد الحی</w:t>
            </w:r>
            <w:r>
              <w:rPr>
                <w:rStyle w:val="IndexLink"/>
                <w:rtl w:val="true"/>
              </w:rPr>
              <w:tab/>
            </w:r>
            <w:r>
              <w:rPr>
                <w:rStyle w:val="IndexLink"/>
              </w:rPr>
              <w:t>333</w:t>
            </w:r>
          </w:hyperlink>
        </w:p>
        <w:p>
          <w:pPr>
            <w:pStyle w:val="Contents3"/>
            <w:tabs>
              <w:tab w:val="clear" w:pos="8459"/>
              <w:tab w:val="right" w:pos="9026" w:leader="dot"/>
            </w:tabs>
            <w:rPr/>
          </w:pPr>
          <w:hyperlink w:anchor="__RefHeading___Toc1636456_2322387425">
            <w:r>
              <w:rPr>
                <w:webHidden/>
                <w:rStyle w:val="IndexLink"/>
                <w:rtl w:val="true"/>
              </w:rPr>
              <w:t>فی من قلد من یفتی بخلاف مجتهده الأول</w:t>
            </w:r>
            <w:r>
              <w:rPr>
                <w:rStyle w:val="IndexLink"/>
                <w:rtl w:val="true"/>
              </w:rPr>
              <w:tab/>
            </w:r>
            <w:r>
              <w:rPr>
                <w:rStyle w:val="IndexLink"/>
              </w:rPr>
              <w:t>334</w:t>
            </w:r>
          </w:hyperlink>
        </w:p>
        <w:p>
          <w:pPr>
            <w:pStyle w:val="Contents3"/>
            <w:tabs>
              <w:tab w:val="clear" w:pos="8459"/>
              <w:tab w:val="right" w:pos="9026" w:leader="dot"/>
            </w:tabs>
            <w:rPr/>
          </w:pPr>
          <w:hyperlink w:anchor="__RefHeading___Toc1636458_2322387425">
            <w:r>
              <w:rPr>
                <w:webHidden/>
                <w:rStyle w:val="IndexLink"/>
                <w:rtl w:val="true"/>
              </w:rPr>
              <w:t>الوکیل والوصی یعملان بمقتضی تقلید الموکل والموصی</w:t>
            </w:r>
            <w:r>
              <w:rPr>
                <w:rStyle w:val="IndexLink"/>
                <w:rtl w:val="true"/>
              </w:rPr>
              <w:tab/>
            </w:r>
            <w:r>
              <w:rPr>
                <w:rStyle w:val="IndexLink"/>
              </w:rPr>
              <w:t>339</w:t>
            </w:r>
          </w:hyperlink>
        </w:p>
        <w:p>
          <w:pPr>
            <w:pStyle w:val="Contents3"/>
            <w:tabs>
              <w:tab w:val="clear" w:pos="8459"/>
              <w:tab w:val="right" w:pos="9026" w:leader="dot"/>
            </w:tabs>
            <w:rPr/>
          </w:pPr>
          <w:hyperlink w:anchor="__RefHeading___Toc1636460_2322387425">
            <w:r>
              <w:rPr>
                <w:webHidden/>
                <w:rStyle w:val="IndexLink"/>
                <w:rtl w:val="true"/>
              </w:rPr>
              <w:t>اختلاف المتعاملین فی التقلید</w:t>
            </w:r>
            <w:r>
              <w:rPr>
                <w:rStyle w:val="IndexLink"/>
                <w:rtl w:val="true"/>
              </w:rPr>
              <w:tab/>
            </w:r>
            <w:r>
              <w:rPr>
                <w:rStyle w:val="IndexLink"/>
              </w:rPr>
              <w:t>345</w:t>
            </w:r>
          </w:hyperlink>
        </w:p>
        <w:p>
          <w:pPr>
            <w:pStyle w:val="Contents3"/>
            <w:tabs>
              <w:tab w:val="clear" w:pos="8459"/>
              <w:tab w:val="right" w:pos="9026" w:leader="dot"/>
            </w:tabs>
            <w:rPr/>
          </w:pPr>
          <w:hyperlink w:anchor="__RefHeading___Toc1636462_2322387425">
            <w:r>
              <w:rPr>
                <w:webHidden/>
                <w:rStyle w:val="IndexLink"/>
                <w:rtl w:val="true"/>
              </w:rPr>
              <w:t>فی المرافعات اختیار الحکم بید المدعی</w:t>
            </w:r>
            <w:r>
              <w:rPr>
                <w:rStyle w:val="IndexLink"/>
                <w:rtl w:val="true"/>
              </w:rPr>
              <w:tab/>
            </w:r>
            <w:r>
              <w:rPr>
                <w:rStyle w:val="IndexLink"/>
              </w:rPr>
              <w:t>348</w:t>
            </w:r>
          </w:hyperlink>
        </w:p>
        <w:p>
          <w:pPr>
            <w:pStyle w:val="Contents3"/>
            <w:tabs>
              <w:tab w:val="clear" w:pos="8459"/>
              <w:tab w:val="right" w:pos="9026" w:leader="dot"/>
            </w:tabs>
            <w:rPr/>
          </w:pPr>
          <w:hyperlink w:anchor="__RefHeading___Toc1636464_2322387425">
            <w:r>
              <w:rPr>
                <w:webHidden/>
                <w:rStyle w:val="IndexLink"/>
                <w:rtl w:val="true"/>
              </w:rPr>
              <w:t>لا یجوز نقض حکم الحاکم الجامع للشرائط</w:t>
            </w:r>
            <w:r>
              <w:rPr>
                <w:rStyle w:val="IndexLink"/>
                <w:rtl w:val="true"/>
              </w:rPr>
              <w:tab/>
            </w:r>
            <w:r>
              <w:rPr>
                <w:rStyle w:val="IndexLink"/>
              </w:rPr>
              <w:t>350</w:t>
            </w:r>
          </w:hyperlink>
        </w:p>
        <w:p>
          <w:pPr>
            <w:pStyle w:val="Contents3"/>
            <w:tabs>
              <w:tab w:val="clear" w:pos="8459"/>
              <w:tab w:val="right" w:pos="9026" w:leader="dot"/>
            </w:tabs>
            <w:rPr/>
          </w:pPr>
          <w:hyperlink w:anchor="__RefHeading___Toc1636466_2322387425">
            <w:r>
              <w:rPr>
                <w:webHidden/>
                <w:rStyle w:val="IndexLink"/>
                <w:rtl w:val="true"/>
              </w:rPr>
              <w:t>فی من نقل فتوی المجتهد، ثم تبدل رأیه، أو نقلها خطأً</w:t>
            </w:r>
            <w:r>
              <w:rPr>
                <w:rStyle w:val="IndexLink"/>
                <w:rtl w:val="true"/>
              </w:rPr>
              <w:tab/>
            </w:r>
            <w:r>
              <w:rPr>
                <w:rStyle w:val="IndexLink"/>
              </w:rPr>
              <w:t>351</w:t>
            </w:r>
          </w:hyperlink>
        </w:p>
        <w:p>
          <w:pPr>
            <w:pStyle w:val="Contents3"/>
            <w:tabs>
              <w:tab w:val="clear" w:pos="8459"/>
              <w:tab w:val="right" w:pos="9026" w:leader="dot"/>
            </w:tabs>
            <w:rPr/>
          </w:pPr>
          <w:hyperlink w:anchor="__RefHeading___Toc1636468_2322387425">
            <w:r>
              <w:rPr>
                <w:webHidden/>
                <w:rStyle w:val="IndexLink"/>
                <w:rtl w:val="true"/>
              </w:rPr>
              <w:t>إذا تعارض الناقلان فی نقل الفتوی</w:t>
            </w:r>
            <w:r>
              <w:rPr>
                <w:rStyle w:val="IndexLink"/>
                <w:rtl w:val="true"/>
              </w:rPr>
              <w:tab/>
            </w:r>
            <w:r>
              <w:rPr>
                <w:rStyle w:val="IndexLink"/>
              </w:rPr>
              <w:t>352</w:t>
            </w:r>
          </w:hyperlink>
        </w:p>
        <w:p>
          <w:pPr>
            <w:pStyle w:val="Contents3"/>
            <w:tabs>
              <w:tab w:val="clear" w:pos="8459"/>
              <w:tab w:val="right" w:pos="9026" w:leader="dot"/>
            </w:tabs>
            <w:rPr/>
          </w:pPr>
          <w:hyperlink w:anchor="__RefHeading___Toc1636470_2322387425">
            <w:r>
              <w:rPr>
                <w:webHidden/>
                <w:rStyle w:val="IndexLink"/>
                <w:rtl w:val="true"/>
              </w:rPr>
              <w:t>إذا عرضت مسألة لا یعلم حکمها و لم یکن الأعلم حاضراً</w:t>
            </w:r>
            <w:r>
              <w:rPr>
                <w:rStyle w:val="IndexLink"/>
                <w:rtl w:val="true"/>
              </w:rPr>
              <w:tab/>
            </w:r>
            <w:r>
              <w:rPr>
                <w:rStyle w:val="IndexLink"/>
              </w:rPr>
              <w:t>355</w:t>
            </w:r>
          </w:hyperlink>
        </w:p>
        <w:p>
          <w:pPr>
            <w:pStyle w:val="Contents3"/>
            <w:tabs>
              <w:tab w:val="clear" w:pos="8459"/>
              <w:tab w:val="right" w:pos="9026" w:leader="dot"/>
            </w:tabs>
            <w:rPr/>
          </w:pPr>
          <w:hyperlink w:anchor="__RefHeading___Toc1636472_2322387425">
            <w:r>
              <w:rPr>
                <w:webHidden/>
                <w:rStyle w:val="IndexLink"/>
                <w:rtl w:val="true"/>
              </w:rPr>
              <w:t>فی من عدل إلی الحی بعد موت مقلدیه الأول و الثانی</w:t>
            </w:r>
            <w:r>
              <w:rPr>
                <w:rStyle w:val="IndexLink"/>
                <w:rtl w:val="true"/>
              </w:rPr>
              <w:tab/>
            </w:r>
            <w:r>
              <w:rPr>
                <w:rStyle w:val="IndexLink"/>
              </w:rPr>
              <w:t>360</w:t>
            </w:r>
          </w:hyperlink>
        </w:p>
        <w:p>
          <w:pPr>
            <w:pStyle w:val="Contents3"/>
            <w:tabs>
              <w:tab w:val="clear" w:pos="8459"/>
              <w:tab w:val="right" w:pos="9026" w:leader="dot"/>
            </w:tabs>
            <w:rPr/>
          </w:pPr>
          <w:hyperlink w:anchor="__RefHeading___Toc1636474_2322387425">
            <w:r>
              <w:rPr>
                <w:webHidden/>
                <w:rStyle w:val="IndexLink"/>
                <w:rtl w:val="true"/>
              </w:rPr>
              <w:t>ما یکفی فی تحقق التقلید</w:t>
            </w:r>
            <w:r>
              <w:rPr>
                <w:rStyle w:val="IndexLink"/>
                <w:rtl w:val="true"/>
              </w:rPr>
              <w:tab/>
            </w:r>
            <w:r>
              <w:rPr>
                <w:rStyle w:val="IndexLink"/>
              </w:rPr>
              <w:t>364</w:t>
            </w:r>
          </w:hyperlink>
        </w:p>
        <w:p>
          <w:pPr>
            <w:pStyle w:val="Contents3"/>
            <w:tabs>
              <w:tab w:val="clear" w:pos="8459"/>
              <w:tab w:val="right" w:pos="9026" w:leader="dot"/>
            </w:tabs>
            <w:rPr/>
          </w:pPr>
          <w:hyperlink w:anchor="__RefHeading___Toc1636476_2322387425">
            <w:r>
              <w:rPr>
                <w:webHidden/>
                <w:rStyle w:val="IndexLink"/>
                <w:rtl w:val="true"/>
              </w:rPr>
              <w:t>احتیاطات الأعلم</w:t>
            </w:r>
            <w:r>
              <w:rPr>
                <w:rStyle w:val="IndexLink"/>
                <w:rtl w:val="true"/>
              </w:rPr>
              <w:tab/>
            </w:r>
            <w:r>
              <w:rPr>
                <w:rStyle w:val="IndexLink"/>
              </w:rPr>
              <w:t>367</w:t>
            </w:r>
          </w:hyperlink>
        </w:p>
        <w:p>
          <w:pPr>
            <w:pStyle w:val="Contents3"/>
            <w:tabs>
              <w:tab w:val="clear" w:pos="8459"/>
              <w:tab w:val="right" w:pos="9026" w:leader="dot"/>
            </w:tabs>
            <w:rPr/>
          </w:pPr>
          <w:hyperlink w:anchor="__RefHeading___Toc1636478_2322387425">
            <w:r>
              <w:rPr>
                <w:webHidden/>
                <w:rStyle w:val="IndexLink"/>
                <w:rtl w:val="true"/>
              </w:rPr>
              <w:t>فی أقسام الاحتیاط</w:t>
            </w:r>
            <w:r>
              <w:rPr>
                <w:rStyle w:val="IndexLink"/>
                <w:rtl w:val="true"/>
              </w:rPr>
              <w:tab/>
            </w:r>
            <w:r>
              <w:rPr>
                <w:rStyle w:val="IndexLink"/>
              </w:rPr>
              <w:t>368</w:t>
            </w:r>
          </w:hyperlink>
        </w:p>
        <w:p>
          <w:pPr>
            <w:pStyle w:val="Contents3"/>
            <w:tabs>
              <w:tab w:val="clear" w:pos="8459"/>
              <w:tab w:val="right" w:pos="9026" w:leader="dot"/>
            </w:tabs>
            <w:rPr/>
          </w:pPr>
          <w:hyperlink w:anchor="__RefHeading___Toc1636480_2322387425">
            <w:r>
              <w:rPr>
                <w:webHidden/>
                <w:rStyle w:val="IndexLink"/>
                <w:rtl w:val="true"/>
              </w:rPr>
              <w:t>التخییر فی صورة تساوی المجتهدین</w:t>
            </w:r>
            <w:r>
              <w:rPr>
                <w:rStyle w:val="IndexLink"/>
                <w:rtl w:val="true"/>
              </w:rPr>
              <w:tab/>
            </w:r>
            <w:r>
              <w:rPr>
                <w:rStyle w:val="IndexLink"/>
              </w:rPr>
              <w:t>369</w:t>
            </w:r>
          </w:hyperlink>
        </w:p>
        <w:p>
          <w:pPr>
            <w:pStyle w:val="Contents3"/>
            <w:tabs>
              <w:tab w:val="clear" w:pos="8459"/>
              <w:tab w:val="right" w:pos="9026" w:leader="dot"/>
            </w:tabs>
            <w:rPr/>
          </w:pPr>
          <w:hyperlink w:anchor="__RefHeading___Toc1636482_2322387425">
            <w:r>
              <w:rPr>
                <w:webHidden/>
                <w:rStyle w:val="IndexLink"/>
                <w:rtl w:val="true"/>
              </w:rPr>
              <w:t>فی تشخیص موارد الاحتیاط</w:t>
            </w:r>
            <w:r>
              <w:rPr>
                <w:rStyle w:val="IndexLink"/>
                <w:rtl w:val="true"/>
              </w:rPr>
              <w:tab/>
            </w:r>
            <w:r>
              <w:rPr>
                <w:rStyle w:val="IndexLink"/>
              </w:rPr>
              <w:t>372</w:t>
            </w:r>
          </w:hyperlink>
        </w:p>
        <w:p>
          <w:pPr>
            <w:pStyle w:val="Contents3"/>
            <w:tabs>
              <w:tab w:val="clear" w:pos="8459"/>
              <w:tab w:val="right" w:pos="9026" w:leader="dot"/>
            </w:tabs>
            <w:rPr/>
          </w:pPr>
          <w:hyperlink w:anchor="__RefHeading___Toc1636484_2322387425">
            <w:r>
              <w:rPr>
                <w:webHidden/>
                <w:rStyle w:val="IndexLink"/>
                <w:rtl w:val="true"/>
              </w:rPr>
              <w:t>محل التقلید و مورده</w:t>
            </w:r>
            <w:r>
              <w:rPr>
                <w:rStyle w:val="IndexLink"/>
                <w:rtl w:val="true"/>
              </w:rPr>
              <w:tab/>
            </w:r>
            <w:r>
              <w:rPr>
                <w:rStyle w:val="IndexLink"/>
              </w:rPr>
              <w:t>373</w:t>
            </w:r>
          </w:hyperlink>
        </w:p>
        <w:p>
          <w:pPr>
            <w:pStyle w:val="Contents3"/>
            <w:tabs>
              <w:tab w:val="clear" w:pos="8459"/>
              <w:tab w:val="right" w:pos="9026" w:leader="dot"/>
            </w:tabs>
            <w:rPr/>
          </w:pPr>
          <w:hyperlink w:anchor="__RefHeading___Toc1636486_2322387425">
            <w:r>
              <w:rPr>
                <w:webHidden/>
                <w:rStyle w:val="IndexLink"/>
                <w:rtl w:val="true"/>
              </w:rPr>
              <w:t>لا تعتبر الأعلمیة فی امور</w:t>
            </w:r>
            <w:r>
              <w:rPr>
                <w:rStyle w:val="IndexLink"/>
                <w:rtl w:val="true"/>
              </w:rPr>
              <w:tab/>
            </w:r>
            <w:r>
              <w:rPr>
                <w:rStyle w:val="IndexLink"/>
              </w:rPr>
              <w:t>379</w:t>
            </w:r>
          </w:hyperlink>
        </w:p>
        <w:p>
          <w:pPr>
            <w:pStyle w:val="Contents3"/>
            <w:tabs>
              <w:tab w:val="clear" w:pos="8459"/>
              <w:tab w:val="right" w:pos="9026" w:leader="dot"/>
            </w:tabs>
            <w:rPr/>
          </w:pPr>
          <w:hyperlink w:anchor="__RefHeading___Toc1636488_2322387425">
            <w:r>
              <w:rPr>
                <w:webHidden/>
                <w:rStyle w:val="IndexLink"/>
                <w:rtl w:val="true"/>
              </w:rPr>
              <w:t>إذا تبدل رأی المجتهد هل یجب علیه إعلام المقلدین؟</w:t>
            </w:r>
            <w:r>
              <w:rPr>
                <w:rStyle w:val="IndexLink"/>
                <w:rtl w:val="true"/>
              </w:rPr>
              <w:tab/>
            </w:r>
            <w:r>
              <w:rPr>
                <w:rStyle w:val="IndexLink"/>
              </w:rPr>
              <w:t>381</w:t>
            </w:r>
          </w:hyperlink>
        </w:p>
        <w:p>
          <w:pPr>
            <w:pStyle w:val="Contents3"/>
            <w:tabs>
              <w:tab w:val="clear" w:pos="8459"/>
              <w:tab w:val="right" w:pos="9026" w:leader="dot"/>
            </w:tabs>
            <w:rPr/>
          </w:pPr>
          <w:hyperlink w:anchor="__RefHeading___Toc1636490_2322387425">
            <w:r>
              <w:rPr>
                <w:webHidden/>
                <w:rStyle w:val="IndexLink"/>
                <w:rtl w:val="true"/>
              </w:rPr>
              <w:t>لا یجوز للمقلد إجزاء أصالة البراءة أو الطهارة أو الاستصحاب فی الشبهات الحکمیة</w:t>
            </w:r>
            <w:r>
              <w:rPr>
                <w:rStyle w:val="IndexLink"/>
                <w:rtl w:val="true"/>
              </w:rPr>
              <w:tab/>
            </w:r>
            <w:r>
              <w:rPr>
                <w:rStyle w:val="IndexLink"/>
              </w:rPr>
              <w:t>382</w:t>
            </w:r>
          </w:hyperlink>
        </w:p>
        <w:p>
          <w:pPr>
            <w:pStyle w:val="Contents3"/>
            <w:tabs>
              <w:tab w:val="clear" w:pos="8459"/>
              <w:tab w:val="right" w:pos="9026" w:leader="dot"/>
            </w:tabs>
            <w:rPr/>
          </w:pPr>
          <w:hyperlink w:anchor="__RefHeading___Toc1636492_2322387425">
            <w:r>
              <w:rPr>
                <w:webHidden/>
                <w:rStyle w:val="IndexLink"/>
                <w:rtl w:val="true"/>
              </w:rPr>
              <w:t>لا یجوز تقلید المجتهد غیر العادل أو مجهول الحال</w:t>
            </w:r>
            <w:r>
              <w:rPr>
                <w:rStyle w:val="IndexLink"/>
                <w:rtl w:val="true"/>
              </w:rPr>
              <w:tab/>
            </w:r>
            <w:r>
              <w:rPr>
                <w:rStyle w:val="IndexLink"/>
              </w:rPr>
              <w:t>383</w:t>
            </w:r>
          </w:hyperlink>
        </w:p>
        <w:p>
          <w:pPr>
            <w:pStyle w:val="Contents3"/>
            <w:tabs>
              <w:tab w:val="clear" w:pos="8459"/>
              <w:tab w:val="right" w:pos="9026" w:leader="dot"/>
            </w:tabs>
            <w:rPr/>
          </w:pPr>
          <w:hyperlink w:anchor="__RefHeading___Toc1636494_2322387425">
            <w:r>
              <w:rPr>
                <w:webHidden/>
                <w:rStyle w:val="IndexLink"/>
                <w:rtl w:val="true"/>
              </w:rPr>
              <w:t>الظن بفتوی المجتهد لا یکفی فی جواز العمل</w:t>
            </w:r>
            <w:r>
              <w:rPr>
                <w:rStyle w:val="IndexLink"/>
                <w:rtl w:val="true"/>
              </w:rPr>
              <w:tab/>
            </w:r>
            <w:r>
              <w:rPr>
                <w:rStyle w:val="IndexLink"/>
              </w:rPr>
              <w:t>383</w:t>
            </w:r>
          </w:hyperlink>
        </w:p>
        <w:p>
          <w:pPr>
            <w:pStyle w:val="Contents2"/>
            <w:tabs>
              <w:tab w:val="clear" w:pos="8743"/>
              <w:tab w:val="right" w:pos="9026" w:leader="dot"/>
            </w:tabs>
            <w:rPr/>
          </w:pPr>
          <w:hyperlink w:anchor="__RefHeading___Toc1636496_2322387425">
            <w:r>
              <w:rPr>
                <w:webHidden/>
                <w:rStyle w:val="IndexLink"/>
                <w:rtl w:val="true"/>
              </w:rPr>
              <w:t>کتاب الطهارة</w:t>
            </w:r>
            <w:r>
              <w:rPr>
                <w:rStyle w:val="IndexLink"/>
                <w:rtl w:val="true"/>
              </w:rPr>
              <w:tab/>
            </w:r>
            <w:r>
              <w:rPr>
                <w:rStyle w:val="IndexLink"/>
              </w:rPr>
              <w:t>384</w:t>
            </w:r>
          </w:hyperlink>
        </w:p>
        <w:p>
          <w:pPr>
            <w:pStyle w:val="Contents3"/>
            <w:tabs>
              <w:tab w:val="clear" w:pos="8459"/>
              <w:tab w:val="right" w:pos="9026" w:leader="dot"/>
            </w:tabs>
            <w:rPr/>
          </w:pPr>
          <w:hyperlink w:anchor="__RefHeading___Toc1636498_2322387425">
            <w:r>
              <w:rPr>
                <w:webHidden/>
                <w:rStyle w:val="IndexLink"/>
                <w:rtl w:val="true"/>
              </w:rPr>
              <w:t>اشارة</w:t>
            </w:r>
            <w:r>
              <w:rPr>
                <w:rStyle w:val="IndexLink"/>
                <w:rtl w:val="true"/>
              </w:rPr>
              <w:tab/>
            </w:r>
            <w:r>
              <w:rPr>
                <w:rStyle w:val="IndexLink"/>
              </w:rPr>
              <w:t>384</w:t>
            </w:r>
          </w:hyperlink>
        </w:p>
        <w:p>
          <w:pPr>
            <w:pStyle w:val="Contents3"/>
            <w:tabs>
              <w:tab w:val="clear" w:pos="8459"/>
              <w:tab w:val="right" w:pos="9026" w:leader="dot"/>
            </w:tabs>
            <w:rPr/>
          </w:pPr>
          <w:hyperlink w:anchor="__RefHeading___Toc1636500_2322387425">
            <w:r>
              <w:rPr>
                <w:webHidden/>
                <w:rStyle w:val="IndexLink"/>
                <w:rtl w:val="true"/>
              </w:rPr>
              <w:t>فصل فی المیاه</w:t>
            </w:r>
            <w:r>
              <w:rPr>
                <w:rStyle w:val="IndexLink"/>
                <w:rtl w:val="true"/>
              </w:rPr>
              <w:tab/>
            </w:r>
            <w:r>
              <w:rPr>
                <w:rStyle w:val="IndexLink"/>
              </w:rPr>
              <w:t>386</w:t>
            </w:r>
          </w:hyperlink>
        </w:p>
        <w:p>
          <w:pPr>
            <w:pStyle w:val="Contents3"/>
            <w:tabs>
              <w:tab w:val="clear" w:pos="8459"/>
              <w:tab w:val="right" w:pos="9026" w:leader="dot"/>
            </w:tabs>
            <w:rPr/>
          </w:pPr>
          <w:hyperlink w:anchor="__RefHeading___Toc1636502_2322387425">
            <w:r>
              <w:rPr>
                <w:webHidden/>
                <w:rStyle w:val="IndexLink"/>
                <w:rtl w:val="true"/>
              </w:rPr>
              <w:t>فصل فی الماء الجاری</w:t>
            </w:r>
            <w:r>
              <w:rPr>
                <w:rStyle w:val="IndexLink"/>
                <w:rtl w:val="true"/>
              </w:rPr>
              <w:tab/>
            </w:r>
            <w:r>
              <w:rPr>
                <w:rStyle w:val="IndexLink"/>
              </w:rPr>
              <w:t>421</w:t>
            </w:r>
          </w:hyperlink>
        </w:p>
        <w:p>
          <w:pPr>
            <w:pStyle w:val="Contents3"/>
            <w:tabs>
              <w:tab w:val="clear" w:pos="8459"/>
              <w:tab w:val="right" w:pos="9026" w:leader="dot"/>
            </w:tabs>
            <w:rPr/>
          </w:pPr>
          <w:hyperlink w:anchor="__RefHeading___Toc1636504_2322387425">
            <w:r>
              <w:rPr>
                <w:webHidden/>
                <w:rStyle w:val="IndexLink"/>
                <w:rtl w:val="true"/>
              </w:rPr>
              <w:t>فصل فی الماء الراکد</w:t>
            </w:r>
            <w:r>
              <w:rPr>
                <w:rStyle w:val="IndexLink"/>
                <w:rtl w:val="true"/>
              </w:rPr>
              <w:t xml:space="preserve">: </w:t>
            </w:r>
            <w:r>
              <w:rPr>
                <w:rStyle w:val="IndexLink"/>
                <w:rtl w:val="true"/>
              </w:rPr>
              <w:t>الکرّ والقلیل</w:t>
            </w:r>
            <w:r>
              <w:rPr>
                <w:rStyle w:val="IndexLink"/>
                <w:rtl w:val="true"/>
              </w:rPr>
              <w:tab/>
            </w:r>
            <w:r>
              <w:rPr>
                <w:rStyle w:val="IndexLink"/>
              </w:rPr>
              <w:t>435</w:t>
            </w:r>
          </w:hyperlink>
        </w:p>
        <w:p>
          <w:pPr>
            <w:pStyle w:val="Contents4"/>
            <w:tabs>
              <w:tab w:val="clear" w:pos="8176"/>
              <w:tab w:val="right" w:pos="9026" w:leader="dot"/>
            </w:tabs>
            <w:rPr/>
          </w:pPr>
          <w:hyperlink w:anchor="__RefHeading___Toc1636506_2322387425">
            <w:r>
              <w:rPr>
                <w:webHidden/>
                <w:rStyle w:val="IndexLink"/>
                <w:rtl w:val="true"/>
              </w:rPr>
              <w:t>اشارة</w:t>
            </w:r>
            <w:r>
              <w:rPr>
                <w:rStyle w:val="IndexLink"/>
                <w:rtl w:val="true"/>
              </w:rPr>
              <w:tab/>
            </w:r>
            <w:r>
              <w:rPr>
                <w:rStyle w:val="IndexLink"/>
              </w:rPr>
              <w:t>435</w:t>
            </w:r>
          </w:hyperlink>
        </w:p>
        <w:p>
          <w:pPr>
            <w:pStyle w:val="Contents4"/>
            <w:tabs>
              <w:tab w:val="clear" w:pos="8176"/>
              <w:tab w:val="right" w:pos="9026" w:leader="dot"/>
            </w:tabs>
            <w:rPr/>
          </w:pPr>
          <w:hyperlink w:anchor="__RefHeading___Toc1636508_2322387425">
            <w:r>
              <w:rPr>
                <w:webHidden/>
                <w:rStyle w:val="IndexLink"/>
                <w:rtl w:val="true"/>
              </w:rPr>
              <w:t>تحدید مقدار الکر وزناً و مساحة</w:t>
            </w:r>
            <w:r>
              <w:rPr>
                <w:rStyle w:val="IndexLink"/>
                <w:rtl w:val="true"/>
              </w:rPr>
              <w:tab/>
            </w:r>
            <w:r>
              <w:rPr>
                <w:rStyle w:val="IndexLink"/>
              </w:rPr>
              <w:t>439</w:t>
            </w:r>
          </w:hyperlink>
        </w:p>
        <w:p>
          <w:pPr>
            <w:pStyle w:val="Contents3"/>
            <w:tabs>
              <w:tab w:val="clear" w:pos="8459"/>
              <w:tab w:val="right" w:pos="9026" w:leader="dot"/>
            </w:tabs>
            <w:rPr/>
          </w:pPr>
          <w:hyperlink w:anchor="__RefHeading___Toc1636510_2322387425">
            <w:r>
              <w:rPr>
                <w:webHidden/>
                <w:rStyle w:val="IndexLink"/>
                <w:rtl w:val="true"/>
              </w:rPr>
              <w:t>فصل فی ماء المطر</w:t>
            </w:r>
            <w:r>
              <w:rPr>
                <w:rStyle w:val="IndexLink"/>
                <w:rtl w:val="true"/>
              </w:rPr>
              <w:tab/>
            </w:r>
            <w:r>
              <w:rPr>
                <w:rStyle w:val="IndexLink"/>
              </w:rPr>
              <w:t>461</w:t>
            </w:r>
          </w:hyperlink>
        </w:p>
        <w:p>
          <w:pPr>
            <w:pStyle w:val="Contents3"/>
            <w:tabs>
              <w:tab w:val="clear" w:pos="8459"/>
              <w:tab w:val="right" w:pos="9026" w:leader="dot"/>
            </w:tabs>
            <w:rPr/>
          </w:pPr>
          <w:hyperlink w:anchor="__RefHeading___Toc1636512_2322387425">
            <w:r>
              <w:rPr>
                <w:webHidden/>
                <w:rStyle w:val="IndexLink"/>
                <w:rtl w:val="true"/>
              </w:rPr>
              <w:t>فصل فی ماء الحمّام</w:t>
            </w:r>
            <w:r>
              <w:rPr>
                <w:rStyle w:val="IndexLink"/>
                <w:rtl w:val="true"/>
              </w:rPr>
              <w:tab/>
            </w:r>
            <w:r>
              <w:rPr>
                <w:rStyle w:val="IndexLink"/>
              </w:rPr>
              <w:t>476</w:t>
            </w:r>
          </w:hyperlink>
        </w:p>
        <w:p>
          <w:pPr>
            <w:pStyle w:val="Contents3"/>
            <w:tabs>
              <w:tab w:val="clear" w:pos="8459"/>
              <w:tab w:val="right" w:pos="9026" w:leader="dot"/>
            </w:tabs>
            <w:rPr/>
          </w:pPr>
          <w:hyperlink w:anchor="__RefHeading___Toc1636514_2322387425">
            <w:r>
              <w:rPr>
                <w:webHidden/>
                <w:rStyle w:val="IndexLink"/>
                <w:rtl w:val="true"/>
              </w:rPr>
              <w:t>فصل فی ماء البئر</w:t>
            </w:r>
            <w:r>
              <w:rPr>
                <w:rStyle w:val="IndexLink"/>
                <w:rtl w:val="true"/>
              </w:rPr>
              <w:tab/>
            </w:r>
            <w:r>
              <w:rPr>
                <w:rStyle w:val="IndexLink"/>
              </w:rPr>
              <w:t>481</w:t>
            </w:r>
          </w:hyperlink>
        </w:p>
        <w:p>
          <w:pPr>
            <w:pStyle w:val="Contents3"/>
            <w:tabs>
              <w:tab w:val="clear" w:pos="8459"/>
              <w:tab w:val="right" w:pos="9026" w:leader="dot"/>
            </w:tabs>
            <w:rPr/>
          </w:pPr>
          <w:hyperlink w:anchor="__RefHeading___Toc1636516_2322387425">
            <w:r>
              <w:rPr>
                <w:webHidden/>
                <w:rStyle w:val="IndexLink"/>
                <w:rtl w:val="true"/>
              </w:rPr>
              <w:t>فصل فی الماء المستعمل</w:t>
            </w:r>
            <w:r>
              <w:rPr>
                <w:rStyle w:val="IndexLink"/>
                <w:rtl w:val="true"/>
              </w:rPr>
              <w:tab/>
            </w:r>
            <w:r>
              <w:rPr>
                <w:rStyle w:val="IndexLink"/>
              </w:rPr>
              <w:t>507</w:t>
            </w:r>
          </w:hyperlink>
        </w:p>
        <w:p>
          <w:pPr>
            <w:pStyle w:val="Contents2"/>
            <w:tabs>
              <w:tab w:val="clear" w:pos="8743"/>
              <w:tab w:val="right" w:pos="9026" w:leader="dot"/>
            </w:tabs>
            <w:rPr/>
          </w:pPr>
          <w:hyperlink w:anchor="__RefHeading___Toc1636518_2322387425">
            <w:r>
              <w:rPr>
                <w:webHidden/>
                <w:rStyle w:val="IndexLink"/>
                <w:rtl w:val="true"/>
              </w:rPr>
              <w:t>فهرس محتویات کتاب</w:t>
            </w:r>
            <w:r>
              <w:rPr>
                <w:rStyle w:val="IndexLink"/>
                <w:rtl w:val="true"/>
              </w:rPr>
              <w:tab/>
            </w:r>
            <w:r>
              <w:rPr>
                <w:rStyle w:val="IndexLink"/>
              </w:rPr>
              <w:t>526</w:t>
            </w:r>
          </w:hyperlink>
        </w:p>
        <w:p>
          <w:pPr>
            <w:pStyle w:val="Contents2"/>
            <w:tabs>
              <w:tab w:val="clear" w:pos="8743"/>
              <w:tab w:val="right" w:pos="9026" w:leader="dot"/>
            </w:tabs>
            <w:rPr/>
          </w:pPr>
          <w:hyperlink w:anchor="__RefHeading___Toc1636520_2322387425">
            <w:r>
              <w:rPr>
                <w:webHidden/>
                <w:rStyle w:val="IndexLink"/>
                <w:rtl w:val="true"/>
              </w:rPr>
              <w:t>الاصدارات العلمیة لمؤسسة السبطین علیهماالسلام العالمیة</w:t>
            </w:r>
            <w:r>
              <w:rPr>
                <w:rStyle w:val="IndexLink"/>
                <w:rtl w:val="true"/>
              </w:rPr>
              <w:tab/>
            </w:r>
            <w:r>
              <w:rPr>
                <w:rStyle w:val="IndexLink"/>
              </w:rPr>
              <w:t>531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272_142520"/>
      <w:bookmarkStart w:id="1" w:name="pg13272_142520"/>
      <w:bookmarkEnd w:id="1"/>
    </w:p>
    <w:p>
      <w:pPr>
        <w:pStyle w:val="Heading2"/>
        <w:numPr>
          <w:ilvl w:val="1"/>
          <w:numId w:val="1"/>
        </w:numPr>
        <w:rPr/>
      </w:pPr>
      <w:bookmarkStart w:id="2" w:name="pg13272_142520"/>
      <w:bookmarkStart w:id="3" w:name="__RefHeading___Toc1636378_2322387425"/>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العروه‌الوثقی تالیف آیه‌الله‌العظمی‌السیدمحمدکاظم الطباطبائی‌الیزدی قدس‌سره والتعلیقات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اعداد موسسه‌السبطین علیهما‌السلام‌العالمیه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موسسه‌السبطین علیهماالسلام‌العالمیه،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54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۸۰۰۰۰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8716</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07</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۲۶۰۰۰۰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7070</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۱۴۳۰</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۱۳۹۴</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۱۴۳۷</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الاجتهاد والتقلید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نهایه‌الماءالمستعمل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الماءالمشکوک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طرق ثبوت‌التطهیر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حکم‌الاوانی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دائم‌الحدث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فضل‌الصلوات‌الیومیه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قبول‌الصلاة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واجبات الصلاة و ارکانها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مبطلات‌الصلاة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الصوم والاعتکاف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الزکاه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الخمس و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فضله و ثوابه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شرائط وجوب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 الواجب بالنذر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کیفیه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الاجاره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ارکانها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یکفی فی صحه الاجاره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عروه‌الوثقی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فقه جعفری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یزدی، محمد کاظم بن عبدالعظیم، </w:t>
      </w:r>
      <w:r>
        <w:rPr>
          <w:rFonts w:ascii="IRNazanin" w:hAnsi="IRNazanin" w:eastAsia="IRNazanin"/>
          <w:color w:val="111111"/>
          <w:sz w:val="28"/>
          <w:sz w:val="28"/>
          <w:szCs w:val="28"/>
          <w:lang w:bidi="fa-IR"/>
        </w:rPr>
        <w:t>۱۲۴۷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۱۳۳۸</w:t>
      </w:r>
      <w:r>
        <w:rPr>
          <w:rFonts w:ascii="IRNazanin" w:hAnsi="IRNazanin" w:eastAsia="IRNazanin"/>
          <w:color w:val="111111"/>
          <w:sz w:val="28"/>
          <w:sz w:val="28"/>
          <w:szCs w:val="28"/>
          <w:rtl w:val="true"/>
          <w:lang w:bidi="fa-IR"/>
        </w:rPr>
        <w:t xml:space="preserve">؟ 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عروه‌الوثقی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جهانی سبطین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۱۸۳</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۴۰۳۸۳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۳۴۲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۱۱۶۱۴۵۹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36380_2322387425"/>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3272_142526"/>
      <w:bookmarkStart w:id="8" w:name="pg13272_142526"/>
      <w:bookmarkEnd w:id="8"/>
    </w:p>
    <w:p>
      <w:pPr>
        <w:pStyle w:val="Heading2"/>
        <w:numPr>
          <w:ilvl w:val="1"/>
          <w:numId w:val="1"/>
        </w:numPr>
        <w:rPr/>
      </w:pPr>
      <w:bookmarkStart w:id="9" w:name="pg13272_142526"/>
      <w:bookmarkStart w:id="10" w:name="__RefHeading___Toc1636382_2322387425"/>
      <w:bookmarkStart w:id="11" w:name="_Toc3"/>
      <w:bookmarkEnd w:id="9"/>
      <w:bookmarkEnd w:id="10"/>
      <w:r>
        <w:rPr>
          <w:rtl w:val="true"/>
        </w:rPr>
        <w:t>مقدّمة المؤسّسة</w:t>
      </w:r>
      <w:bookmarkEnd w:id="11"/>
    </w:p>
    <w:p>
      <w:pPr>
        <w:pStyle w:val="Heading3"/>
        <w:numPr>
          <w:ilvl w:val="2"/>
          <w:numId w:val="1"/>
        </w:numPr>
        <w:rPr/>
      </w:pPr>
      <w:bookmarkStart w:id="12" w:name="__RefHeading___Toc1636384_2322387425"/>
      <w:bookmarkStart w:id="13" w:name="_Toc4"/>
      <w:bookmarkEnd w:id="12"/>
      <w:r>
        <w:rPr>
          <w:rtl w:val="true"/>
        </w:rPr>
        <w:t>اشارة</w:t>
      </w:r>
      <w:bookmarkEnd w:id="13"/>
    </w:p>
    <w:p>
      <w:pPr>
        <w:pStyle w:val="BookText"/>
        <w:rPr/>
      </w:pPr>
      <w:r>
        <w:rPr>
          <w:rFonts w:ascii="IRNazanin" w:hAnsi="IRNazanin" w:eastAsia="IRNazanin"/>
          <w:color w:val="111111"/>
          <w:sz w:val="28"/>
          <w:sz w:val="28"/>
          <w:szCs w:val="28"/>
          <w:rtl w:val="true"/>
          <w:lang w:bidi="fa-IR"/>
        </w:rPr>
        <w:t>بناءً علی تأکید وتوصیات سماحة آیة اللّه السیّد مرتضی الموسوی الإصفهانی ـ حفظه اللّه ـ بضرورة جمع وتنظیم أغلب حواشی وتعلیقات کتاب العروة الوثقی، تبنّت المؤسّسة هذه المهمّة بعد أن قامت مستعینة بجهود محقّقیها الأفاضل بانتقاء النسخ الأصلیة والموثّقة من أصحاب التعلیقات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واجه العمل فی مراحله العدیدة الکثیر من القضایا والاُمور العلمیّة والفنیّة بسبب العدد الهائل من التعلیقات، والّذی بلغ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تعلیقة، حیث الحاجة إلی تنظیمها وترتیبها ومقابلتها وتنقیحها ومتابعة کلّ تعلیقة، والّتی شمل العمل فیها کلّ سطر وکلّ کلمة وکلّ حرف، باتت من أساسیّات تنفیذها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أحد أرکان العمل تحدید مظانّ الأرقام علی الکلمات فی المتن حیث کان من القضایا الصعبة أیضاً، لأنّ بعض العلماء وضعها فی نهایة العبارة والبعض وضعها علی الکلمة المطلوبة، والبعض وضعها فی مکان یرتأیه مناسباً حسب رأیه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لوحظ فی بعض عبارات التعلیقات بعض الخلل من الناحیة البلاغیة والنحویة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وبناءً علی حرص المؤسسة البالغ فی نقل نصوص التعلیقات بکل دقة وأمانة، کانت مضطرة إلی إضافة کلمة لاستقامة المعنی، حیث رسمتها بین معقوفین، وأحیاناً تم تبدیل کلمة مکان اُخری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مانع عن الرجوع إلی الحیّ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مانع من الرجوع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عن قوة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تخلو من قوة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یکن له طریق علی الواقع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یکن له طریق إلی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وأمثالها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وأحیاناً قد حصل تصحیح لعبارة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بالأخذ بأحد الفتوائین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فأصبحت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بالأخذ بإحدی الفتویَین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صعید تنضید الحروف فقد تم بدقة وتنسیق متناهیین بسبب درج التعلیقة تحت مفردة المحشی حیث کانت تبلغ أحیاناً ما یقارب الثلاثین تعلیقة لمفردة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تمّت مقابلة متن کتاب العروة الوثقی مع النسخة الخطیّة للمصنّف قدس‌سره الّتی استلمتها المؤسّسة من أحفاده ـ جزاهم اللّه خیراً ـ فی مدینة قم المقدّسة، والمحفوظة لدیهم ضمن وثائقه العلمیّة قدس‌سره ومطابقتها أیضاً مع کل متن وارد لدی أصحاب التعلیقات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وحیث إنّ اسم الفقیه الأعظم السیّد محمّد کاظم الیزدی تقارن مع اسم کتابه العروة الوثقی کان لابدّ من التطرق إلی حیاته وسیرته قدس‌سره فی مختلف الجوانب، بدءاً بولادته ودراسته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وفاته قدس‌سره ، ثمّ دوره قدس‌سره فی مواجهة العواصف الّتی حلّت بالاُمّة الإسلامیة ومنها الاحتلال، وأخیراً التعریف بأصحاب التعلیقات الّتی وردت فی هذه الموسوعة بصورة موجزة خشیة التطویل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وأدرجت المؤسسة مشکورة مقدمة رائعة بقلم الاُستاذ الدکتور محمود البستانی بعد مقدمتها، محاوراً ومستقرئاً فیها التنظیر العلمی والتعامل الفقهی، للفقیه الأعظم السیّد الطباطبائی الیزدی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ختاماً، نسأله تعالی أن یوفقنا إلی متابعة هذه الفعالیات العلمیة، إنّه ولیّ التوفیق</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ونبدأ أولاً بسیرة السیّد قدس‌سره تحت عنوان</w:t>
      </w:r>
      <w:r>
        <w:rPr>
          <w:rFonts w:eastAsia="IRNazanin" w:cs="IRNazanin"/>
          <w:color w:val="111111"/>
          <w:sz w:val="28"/>
          <w:szCs w:val="28"/>
          <w:rtl w:val="true"/>
          <w:lang w:bidi="fa-IR"/>
        </w:rPr>
        <w:t xml:space="preserve">: </w:t>
      </w:r>
      <w:bookmarkStart w:id="14" w:name="pg13272_142528"/>
    </w:p>
    <w:p>
      <w:pPr>
        <w:pStyle w:val="Heading3"/>
        <w:numPr>
          <w:ilvl w:val="2"/>
          <w:numId w:val="1"/>
        </w:numPr>
        <w:rPr/>
      </w:pPr>
      <w:bookmarkStart w:id="15" w:name="__RefHeading___Toc1636386_2322387425"/>
      <w:bookmarkStart w:id="16" w:name="_Toc5"/>
      <w:bookmarkEnd w:id="14"/>
      <w:bookmarkEnd w:id="15"/>
      <w:r>
        <w:rPr>
          <w:rtl w:val="true"/>
        </w:rPr>
        <w:t>سیرته الشخصیّة قدس‌سره</w:t>
      </w:r>
      <w:bookmarkEnd w:id="16"/>
    </w:p>
    <w:p>
      <w:pPr>
        <w:pStyle w:val="BookText"/>
        <w:rPr/>
      </w:pPr>
      <w:r>
        <w:rPr>
          <w:rFonts w:ascii="Amiri" w:hAnsi="Amiri" w:eastAsia="Amiri" w:cs="Amiri"/>
          <w:color w:val="111111"/>
          <w:sz w:val="28"/>
          <w:sz w:val="28"/>
          <w:szCs w:val="28"/>
          <w:rtl w:val="true"/>
          <w:lang w:bidi="ar-SA"/>
        </w:rPr>
        <w:t>الولادة</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قدس‌سره سنة </w:t>
      </w:r>
      <w:r>
        <w:rPr>
          <w:rFonts w:eastAsia="IRNazanin" w:cs="IRNazanin"/>
          <w:color w:val="111111"/>
          <w:sz w:val="28"/>
          <w:szCs w:val="28"/>
          <w:lang w:bidi="fa-IR"/>
        </w:rPr>
        <w:t>1247</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 وفی قول آخر سنة </w:t>
      </w:r>
      <w:r>
        <w:rPr>
          <w:rFonts w:eastAsia="IRNazanin" w:cs="IRNazanin"/>
          <w:color w:val="111111"/>
          <w:sz w:val="28"/>
          <w:szCs w:val="28"/>
          <w:lang w:bidi="fa-IR"/>
        </w:rPr>
        <w:t>1256</w:t>
      </w:r>
      <w:r>
        <w:rPr>
          <w:rFonts w:ascii="IRNazanin" w:hAnsi="IRNazanin" w:eastAsia="IRNazanin"/>
          <w:color w:val="111111"/>
          <w:sz w:val="28"/>
          <w:sz w:val="28"/>
          <w:szCs w:val="28"/>
          <w:rtl w:val="true"/>
          <w:lang w:bidi="fa-IR"/>
        </w:rPr>
        <w:t>هـ ، ق</w:t>
      </w:r>
      <w:r>
        <w:rPr>
          <w:rStyle w:val="FootnoteAnchor"/>
          <w:rtl w:val="true"/>
        </w:rPr>
        <w:footnoteReference w:id="2"/>
      </w:r>
      <w:r>
        <w:rPr>
          <w:rFonts w:ascii="IRNazanin" w:hAnsi="IRNazanin" w:eastAsia="IRNazanin"/>
          <w:color w:val="111111"/>
          <w:sz w:val="28"/>
          <w:sz w:val="28"/>
          <w:szCs w:val="28"/>
          <w:rtl w:val="true"/>
          <w:lang w:bidi="fa-IR"/>
        </w:rPr>
        <w:t>فی بیت السیّد عبدالعظیم الطباطبائی</w:t>
      </w:r>
      <w:r>
        <w:rPr>
          <w:rStyle w:val="FootnoteAnchor"/>
          <w:rtl w:val="true"/>
        </w:rPr>
        <w:footnoteReference w:id="3"/>
      </w:r>
      <w:r>
        <w:rPr>
          <w:rFonts w:ascii="IRNazanin" w:hAnsi="IRNazanin" w:eastAsia="IRNazanin"/>
          <w:color w:val="111111"/>
          <w:sz w:val="28"/>
          <w:sz w:val="28"/>
          <w:szCs w:val="28"/>
          <w:rtl w:val="true"/>
          <w:lang w:bidi="fa-IR"/>
        </w:rPr>
        <w:t>، من السادة الطباطبائیة فی یزد</w:t>
      </w:r>
      <w:r>
        <w:rPr>
          <w:rStyle w:val="FootnoteAnchor"/>
          <w:rtl w:val="true"/>
        </w:rPr>
        <w:footnoteReference w:id="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رجلاً معروفاً بتقواه وبساطة حیاته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أسمی ولده باسم السیّد محمّد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اُسرته تقطن قریة کسنویه</w:t>
      </w:r>
      <w:r>
        <w:rPr>
          <w:rStyle w:val="FootnoteAnchor"/>
          <w:rtl w:val="true"/>
        </w:rPr>
        <w:footnoteReference w:id="5"/>
      </w:r>
      <w:r>
        <w:rPr>
          <w:rFonts w:ascii="IRNazanin" w:hAnsi="IRNazanin" w:eastAsia="IRNazanin"/>
          <w:color w:val="111111"/>
          <w:sz w:val="28"/>
          <w:sz w:val="28"/>
          <w:szCs w:val="28"/>
          <w:rtl w:val="true"/>
          <w:lang w:bidi="fa-IR"/>
        </w:rPr>
        <w:t xml:space="preserve">فی یزد، حیث أرسلت السیّد کاظم إلی مدرسة دومنار یزد </w:t>
      </w:r>
    </w:p>
    <w:p>
      <w:pPr>
        <w:pStyle w:val="BookText"/>
        <w:rPr/>
      </w:pPr>
      <w:r>
        <w:rPr>
          <w:rFonts w:ascii="Amiri" w:hAnsi="Amiri" w:eastAsia="Amiri" w:cs="Amiri"/>
          <w:color w:val="111111"/>
          <w:sz w:val="28"/>
          <w:sz w:val="28"/>
          <w:szCs w:val="28"/>
          <w:rtl w:val="true"/>
          <w:lang w:bidi="ar-SA"/>
        </w:rPr>
        <w:t>العلمیّة</w:t>
      </w:r>
      <w:r>
        <w:rPr>
          <w:rStyle w:val="FootnoteAnchor"/>
          <w:rtl w:val="true"/>
        </w:rPr>
        <w:footnoteReference w:id="6"/>
      </w:r>
      <w:r>
        <w:rPr>
          <w:rFonts w:ascii="IRNazanin" w:hAnsi="IRNazanin" w:eastAsia="IRNazanin"/>
          <w:color w:val="111111"/>
          <w:sz w:val="28"/>
          <w:sz w:val="28"/>
          <w:szCs w:val="28"/>
          <w:rtl w:val="true"/>
          <w:lang w:bidi="fa-IR"/>
        </w:rPr>
        <w:t>لیتلقّی الدروس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الوقت الّذی کان السیّد کاظم الیزدی مشغولاً بالدراسة کان یعمل فی الزراعة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مسیرته الدراسیّة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المقدّمات والّتی تشمل مبادئ اللغة العربیة وسطوح الفقه والاُصول فی مدرسة دومنار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الملاّ محمّد إبراهیم الأردکانی والآخوند زین العابدین العقدائی، وکانا من أساتذة الدرس اللغوی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ودرس السطوح العالیة عند الآخوند الملاّ 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وسافر إلی مدینة مشهد لغرض دراسة العلوم الدینیة المتقدّمة، ودرس فیها علم النجوم والریاضیات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ثمّ سافر إلی إصفهان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کانت آنذاک مرکز إیران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درس فی مدرسة الصدر عند آیة اللّه الشیخ محمّد باقر النجفی</w:t>
      </w:r>
      <w:r>
        <w:rPr>
          <w:rStyle w:val="FootnoteAnchor"/>
          <w:rtl w:val="true"/>
        </w:rPr>
        <w:footnoteReference w:id="7"/>
      </w:r>
      <w:r>
        <w:rPr>
          <w:rFonts w:ascii="IRNazanin" w:hAnsi="IRNazanin" w:eastAsia="IRNazanin"/>
          <w:color w:val="111111"/>
          <w:sz w:val="28"/>
          <w:sz w:val="28"/>
          <w:szCs w:val="28"/>
          <w:rtl w:val="true"/>
          <w:lang w:bidi="fa-IR"/>
        </w:rPr>
        <w:t xml:space="preserve">، وآیة اللّه السیّد محمّد باقر الموسوی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روضات الجنّات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وآیة اللّه المیرزا محمّد هاشم چهار سوقی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مؤلف کتاب مبانی الاُصول ومن الشیوخ الذین أجازوا السیّد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وآیة اللّه الملاّ محمّد جعفر الآبادَئی وعند بعض کبار أساتذة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وتجلّت هناک قدراته العجیبة وحدّة ذکائه حیث سبق سائر الطلاب؛ ولهذا اُسند إلیه الإشراف علی المکتبة الکبیرة، ومهمة جمع وتدوین وکتابة المواد الدراسیة والّتی کانت من ضمن البرامج العملیة للشیخ </w:t>
      </w:r>
    </w:p>
    <w:p>
      <w:pPr>
        <w:pStyle w:val="BookText"/>
        <w:rPr/>
      </w:pPr>
      <w:r>
        <w:rPr>
          <w:rFonts w:ascii="IRNazanin" w:hAnsi="IRNazanin" w:eastAsia="IRNazanin"/>
          <w:color w:val="111111"/>
          <w:sz w:val="28"/>
          <w:sz w:val="28"/>
          <w:szCs w:val="28"/>
          <w:rtl w:val="true"/>
          <w:lang w:bidi="fa-IR"/>
        </w:rPr>
        <w:t>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وإثر سعیه وجهوده المتواصلة وقدراته الذاتیة وبحثه فی مختلف العلوم الدینیة وخصوصاً الفقهیة منها حصل علی إجازة الاجتهاد من علماء مدینة إصفهان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هجرته إلی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لقد دفعته تطلّعاته العلمیة وتوصیات علماء إصفهان للسفر إلی أکبر مرکز لدراسة العلوم الدینیة فی ذلک الوقت ، أی دار العلم مدینة النجـف الأشرف سنة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بإذن وإجازة اُستاذه محمّد باقر النجفی الّذی حمّله رسالة یوثّقه فیها للمیرزا الشیرازی، وبمعیة نجل شیخه محمّد تقی النجفی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نجفی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محمّد حسین والشیخ محمّد علی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وتزامن سفره هذا مع وفاة العلاّمة الکبیر الشیخ مرتضی الأنصاری رحمه‌الله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مدرسة الصدر فی النجف حضر 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آیة اللّه المیرزا محمّد حسن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المجدّد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وآیة اللّه الشیخ مهدی الجعفری، وآیة اللّه الشیخ راضی النجفی فقیه العرب الکبیر وآیة اللّه الشیخ مهدی ابن الشیخ علی آل کاشف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زواجه</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وخلال هذه الفترة نال توفیقاً آخر وذلک بزواجه من اُسرة الحاج الملاّ حسن ابن محمّد إبراهیم بن عبدالغفور الیزدی المقیم بالنجف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وتزوّج السیّد للمّرة الثانیة من اُسرة الحاج الشیخ الملاّ کاظم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وأثمر کلا زواجیه عن أبناء صالحین سیأتی فیما بعد الحدیث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التجّار الإیرانیین المقیمین فی النجف قد اشتروا له بیتاً لسکناه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أولاده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أنجب هذا العالم التقی أولاداً ارتقوا مدارج العلم فأصبحوا علماء بارزین، ثلاثة منهم توفّوا فی حیاة أبیهم،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والسیّد أحمد والسیّد محمود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وللسیّد الیزدی ولدان آخران، أحدهما المرحوم السیّد أسد اللّه الّذی ودّع الدنیا سنة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والابن الآخر هو السیّد علی الّذی وافاه الأجل سنة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کان للسیّد ستّة أولاد،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والسیّد حسن والسیّد أحمد والسیّد محمود الّذین تُوفّوا کلّهم فی حیاة والدهم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نجلان آخران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واُمّه کریمة الحاج حسن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أسد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واُمّه کریمة الحاج الشیخ ملاّ کاظم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أحفاده السیّد عبدالعزیز الطباطبائی</w:t>
      </w:r>
      <w:r>
        <w:rPr>
          <w:rStyle w:val="FootnoteAnchor"/>
          <w:rtl w:val="true"/>
        </w:rPr>
        <w:footnoteReference w:id="9"/>
      </w:r>
      <w:r>
        <w:rPr>
          <w:rFonts w:ascii="IRNazanin" w:hAnsi="IRNazanin" w:eastAsia="IRNazanin"/>
          <w:color w:val="111111"/>
          <w:sz w:val="28"/>
          <w:sz w:val="28"/>
          <w:szCs w:val="28"/>
          <w:rtl w:val="true"/>
          <w:lang w:bidi="fa-IR"/>
        </w:rPr>
        <w:t xml:space="preserve">ـ الّذی سکن مدینة قم 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فکلا أبویه حفیدا السیّد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خبیراً بارزاً فی معرفة الکتب والنسخ، وساعد الشیخ آقا بزرک الطهرانی فی تدوین کتاب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قد باشر بکتابة السیرة الذاتیّة للسیّد الیزدی ولکن لم یسعفه عمره فتوفّی سنة </w:t>
      </w:r>
      <w:r>
        <w:rPr>
          <w:rFonts w:eastAsia="IRNazanin" w:cs="IRNazanin"/>
          <w:color w:val="111111"/>
          <w:sz w:val="28"/>
          <w:szCs w:val="28"/>
          <w:rtl w:val="true"/>
          <w:lang w:bidi="fa-IR"/>
        </w:rPr>
        <w:t>(</w:t>
      </w:r>
      <w:r>
        <w:rPr>
          <w:rFonts w:eastAsia="IRNazanin" w:cs="IRNazanin"/>
          <w:color w:val="111111"/>
          <w:sz w:val="28"/>
          <w:szCs w:val="28"/>
          <w:lang w:bidi="fa-IR"/>
        </w:rPr>
        <w:t>1374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تدریسه</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سفر آیة اللّه الشیرازی إلی سامراء سنة </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انصبّ جلّ اهتمام السیّد فی تدریسه لعلمی الفقه والاُصول والعلوم الدینیّة الاُخری فی النجف </w:t>
      </w:r>
    </w:p>
    <w:p>
      <w:pPr>
        <w:pStyle w:val="BookText"/>
        <w:rPr/>
      </w:pPr>
      <w:r>
        <w:rPr>
          <w:rFonts w:ascii="IRNazanin" w:hAnsi="IRNazanin" w:eastAsia="IRNazanin"/>
          <w:color w:val="111111"/>
          <w:sz w:val="28"/>
          <w:sz w:val="28"/>
          <w:szCs w:val="28"/>
          <w:rtl w:val="true"/>
          <w:lang w:bidi="fa-IR"/>
        </w:rPr>
        <w:t>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وفاة المرحوم الشیرازی اُوکِلَ إلیه تعلیم وتدریس الطلبة بشکل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مدّة قصیرة بسبب قدراته العلمیّة الکبیرة وزهده وتقواه أصبح اُستاذاً مقتدراً فی العلوم الدینیّة ، وذاع صیت حوزته الدراسیّة فی النجف فی جمیع أرجاء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یحضر درسه جمع غفیر من الطلبة الواردین من جمیع أنحاء العالم، وبالخصوص من إیران وترکیا والیمن والحجاز والهند وأفغانستان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وقال مؤلّف أعیان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عدد تلامذته المائتین</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هذا المجال قال مؤلّف کتاب أحسن الودیعة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الحوزة الدراسیّة للسیّد فی هذه الفترة الأخیرة کانت أجمع وأوسع وأتقن وأنفع من حوزات سائر العلماء الأفاضل فی ذلک الزمان</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مجال تبحّره بالمسائل الفقهیّة جاء فی کتاب أحد المؤرخین لسیرته رحمه‌الله 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کان السیّد ذا مهارة قصوی وتمکّن عجیب إلی درجة لم یکن یفکّر فیه کثیراً وکان یستدلّ علی مسألة واحدة بأدلّة فقهیّة کثیرة</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ونقل أ نّه عندما کان للسیّد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التبصرة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للعلاّمة الحلّی وعدد کبیر من أجوبة الاستفتاءات قال له شخص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إنّکم تفتون فی کلّ مسألة بسرعة؟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أجابه السیّد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 فتوی فاُفتی</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وفیما یخصّ اشتیاق السیّد للتعلّم جاء 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 تعلّم السیّد علم النجوم والریاضیات فی النجف عند السیّد یحیی الموسوی الیزدی والّذی درس عنده </w:t>
      </w:r>
    </w:p>
    <w:p>
      <w:pPr>
        <w:pStyle w:val="BookText"/>
        <w:rPr/>
      </w:pPr>
      <w:r>
        <w:rPr>
          <w:rFonts w:ascii="IRNazanin" w:hAnsi="IRNazanin" w:eastAsia="IRNazanin"/>
          <w:color w:val="111111"/>
          <w:sz w:val="28"/>
          <w:sz w:val="28"/>
          <w:szCs w:val="28"/>
          <w:rtl w:val="true"/>
          <w:lang w:bidi="fa-IR"/>
        </w:rPr>
        <w:t>الفقه</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وقیل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طالع وتمعّن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محمّد حسن النجفی سبع مرّات من البدایة إلی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السیّد واجه مصاعب کثیرة خلال فترة دراسته العلوم، ولکنّه تجاوزها کلّها بمعنویاته العالیة وصبره الجمیل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الخصوص شاعت قصص وخواطر بشأنه بین أهل العلم</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النجوم المسرّدة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تخصّصه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السیّد متمکّناً من الفروع الفقهیة إلی درجة یحلّ من خلالها معضلات الفقه والاُصول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وأضاف فی هذا الخصوص نقلاً عن آیة اللّه السیّد علی الیثربی الکاشانی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 آیة اللّه الشیخ ضیاء الدین العراقی النجفی ـ المدرّس المعروف فی حوزة النجف العلمیّة ـ حضر عند السیّد مرّة فسأله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سماحتکم ماذا تُدرِّسون؟ أجاب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 فقال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مبحث؟ فأجاب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الإجماع، فقال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هی نتیجة البحث؟ قال الشیخ 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نستطع إثبات حجّیة الإجماع</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شیخ ضیاء أمعک سبحة؟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فاحسب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فعدّا خمساً وعشرین مسألة ثبتت کلّها بدلیل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وأضاف قدس‌سره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یاشیخ ضیاء، إذا لم یکن الإجماع فی الفقه حجّة فما هو دلیل هذه المسائل؟ ظلّ الشیخ ضیاء ساکتاً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وعندها تذکّر علی الفور مسألة من أبواب الفقه فأبداها وطلب من السیّد رأیه فیها، فشرح السیّد من فوره أقوال المسألة وأدلّتها، ومن ثمّ بیّن رأیه بالدلیل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وأردف نقلاً عن السیّد علی الیثربی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والشیخ ضیاء ساکتین نصغی إلیه ولم </w:t>
      </w:r>
    </w:p>
    <w:p>
      <w:pPr>
        <w:pStyle w:val="BookText"/>
        <w:rPr/>
      </w:pPr>
      <w:r>
        <w:rPr>
          <w:rFonts w:ascii="IRNazanin" w:hAnsi="IRNazanin" w:eastAsia="IRNazanin"/>
          <w:color w:val="111111"/>
          <w:sz w:val="28"/>
          <w:sz w:val="28"/>
          <w:szCs w:val="28"/>
          <w:rtl w:val="true"/>
          <w:lang w:bidi="fa-IR"/>
        </w:rPr>
        <w:t>یتکلّم الشیخ ضیاء بکلمة واحدة، واستأذنّا من السیّد وخرجنا وکلانا متعجّبان من قوّة حفظه وذکائه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الشیخ 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بیّن السیّد مواضیع حول هذه المسألة لم تخطر علی بالی</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ومنذ ذلک الحین أخذ السیّد بکتابة وطبع کتبه، ووفِّق لطبع أکمل وأشمل کتبه فی مجال الفروع الفقهیّة، والّذی أصبح فیما بعد رسالة عملیّة وعلمیّة للشیعة المسمّی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وفاة الشیخ محمّد طه نجف سنة </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صار السیّد زعیماً لغالبیة العالم الشیعی، وبعد وفاة زعیم الشیعة فی العالم المعروف الآخوند بالملاّ محمّد کاظم الخراسانی مؤلِّف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 ق تصدی زعامة الشیعة فی العالم، وبسبب تتبّعه ومعرفته وقدرته صار من أکبر فقهاء عصره، کما أسموه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 المطلق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وهذا فیما یتصل بسیرته العلمیة، أمّا ما یتصل بسیرته الاخلاقیة وهی فی الواقع ثمرة العلم، لأنّ الأخلاق هی التطبیق العملی للنظریات العلمیة فی الحوزات وسواها، وإلیک الآن الحدیث عن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أخلاقه قدس‌سره</w:t>
      </w:r>
    </w:p>
    <w:p>
      <w:pPr>
        <w:pStyle w:val="BookText"/>
        <w:rPr/>
      </w:pPr>
      <w:r>
        <w:rPr>
          <w:rFonts w:ascii="IRNazanin" w:hAnsi="IRNazanin" w:eastAsia="IRNazanin"/>
          <w:color w:val="111111"/>
          <w:sz w:val="28"/>
          <w:sz w:val="28"/>
          <w:szCs w:val="28"/>
          <w:rtl w:val="true"/>
          <w:lang w:bidi="fa-IR"/>
        </w:rPr>
        <w:t>تناقلت أخبار کثیرة حول الأخلاق الحسنة الّتی کان یتحلّی بها السیّد وتعامله الطیب تتناقلها الأفواه والکتب، ومن أهم الخصال والسمات المحمودة الّتی کان یتّصف بها ذلک العالم الجلیل 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کثیر السعی فی بیان المطالب داخل حلقات دروسه العلمیّة والفقهیّة بلغة بسیطة وبلیغة یفهمها الجمیع</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بلغت منزلته فی الزهد والتقوی والعدالة عند سکان العرب وعشائر البادیة </w:t>
      </w:r>
    </w:p>
    <w:p>
      <w:pPr>
        <w:pStyle w:val="BookText"/>
        <w:rPr/>
      </w:pPr>
      <w:r>
        <w:rPr>
          <w:rFonts w:ascii="IRNazanin" w:hAnsi="IRNazanin" w:eastAsia="IRNazanin"/>
          <w:color w:val="111111"/>
          <w:sz w:val="28"/>
          <w:sz w:val="28"/>
          <w:szCs w:val="28"/>
          <w:rtl w:val="true"/>
          <w:lang w:bidi="fa-IR"/>
        </w:rPr>
        <w:t>بدرجة أنهم ملؤوا کیساً من تراب قدمیه وأخذوه معهم إلی البادیة، وکانوا یقسمون به ویقولون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بحقّ تراب قدم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دلّ هذا الأمر علی شیء فإنّه یدلُّ علی سموّ منزلته والحبّ العمیق لدی العرب</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أهل النجف یخاطبونه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دائماً یقول عن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ولقد کبرت عن المدح والذم</w:t>
      </w:r>
      <w:r>
        <w:rPr>
          <w:rFonts w:eastAsia="IRNazanin" w:cs="IRNazanin"/>
          <w:color w:val="111111"/>
          <w:sz w:val="28"/>
          <w:szCs w:val="28"/>
          <w:rtl w:val="true"/>
          <w:lang w:bidi="fa-IR"/>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عاش حیاة بسیطة جدّاً وبدون تکلّف زاهداً فی الدنیا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أ نّه کانت تصل لحوزته العلمیّة وجوهات شرعیّة کثیرة، لکنّه کان یمتلک بیتاً بسیطاً جدّاً وأثاثاً قلیلة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کتب أحد الدبلوماسیین المعتمدین فی بغداد فی مذکراته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دخلنا بیته البسیط کان السیّد جالساً علی حصیرة، وقد سحرنا بشخصیّته الروحانیّة إلی درجة رکعنا أمامه لا إرادیّاً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ذکر حسن إعظام قدسی فی مذکراته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أنظر إلی سیّدٍ قصیر القامة کان نحیفاً جالساً عند باب القبلة وعلیه عمامة صغیرة غیر مرتبّة، متّکئاً علی جدار، مطرقاً برأسه، منشغلاً بالذکر، وکان أفراد العشائر والطبقات الاُخری من الناس قبل دخولهم الحضرة الحیدریّة یقبّلون الأرض عنده قدس‌سره دون أن یتقرّبوا إلیه، وکانت الحالة هذه تتکرّر عند خروجهم من تلک الباب ـ أی باب القبلة ـ وکانوا یرجعون القهقری لمسافة دون استدارة ظهورهم نحوه، وحینما واجهت هذا المشهد من الإجلال والتکریم أیقنت بأنّ هذا الشخص لم یکن إلاّ آیة اللّه الیزدی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لقد کان السیّد متشدّداً جدّاً فیما یخصّ المیزات العلمیة للطلبة، فلم یُعطِ إجازة الاجتهاد لأیّ طالب، ولدی تقویمه واختیاره للطلاب إضافة لمستواهم العلمی فإنّه کان یهتم بشکل دقیق بتقواهم وعدالتهم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السیّد أوّل مرجع عیّن للطلاب حصّة یومیّة من الخبز</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نُقل أنّ ابنه أراد أن یسافر إلی مدینة مشهد لغرض الزیارة ، فواجهه السیّد بصراحة قائلاً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 تذهب إلی مشهد لتتنعّم بفواکهها اللذیذة ، تعالَ واعطِ ثمنها لفلانة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إمرأة فقیرة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واصعد إلی سطح الدار وتوجّه صوب الإمام الرضا علیه‌السلام واقرأ الزیارة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یقول أحد مؤرخیه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سماحة آیة اللّه المرعشی النجفی فی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خالی من العلماء ومن خواص المرحوم السیّد الیزدی، وکان مأذوناً له بالدخول إلی غرفته الخاصّة، فطلبت من خالی یوماً ما أن یصطحبنی معه إلی غرفة السیّد، فذهبت ونظرت إلی زوایا الغرفة، فرأیت قِدْراً فأشرت إلی خالی أن یسأل السیّد ما هذا القدْر؟ فسأله، فقال السیّد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قِدْر کنت أستخدمه عندما کنت طالباً، وضعته علی الرفّ أمام عینی لکیلا أنسی نفسی</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وسُئل السیّد یوماً عن أحد أئمة الجماعة؟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یدّعِ الاجتهاد فهو عادل، وإلاّ فلا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لقد کان السیّد مثالاً للصبر والتحمّل، بإزاء الأعمال العدائیّة لمخالفیه السیاسیین والضغوط الّتی کانت موجودة فی ذلک الزمان</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الشیخ أسد اللّه إیزدگشسب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أدرس عنده المباحث الاُصولیة والفقهیة، وعندما بلغ مبحث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الأمر بالشیء هل یقتضی النهی عن ضدّه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ووجود ترک الضدّ مقدّمة لفعل الضدّ، بادر بالمناسبة لقراءة هذا الشعر من منظومة المرحوم 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کـذاک فی الأعـدام لا علیـه وإن بها فاهُوا فتقریبیه</w:t>
      </w:r>
    </w:p>
    <w:p>
      <w:pPr>
        <w:pStyle w:val="BookText"/>
        <w:rPr/>
      </w:pPr>
      <w:r>
        <w:rPr>
          <w:rFonts w:ascii="IRNazanin" w:hAnsi="IRNazanin" w:eastAsia="IRNazanin"/>
          <w:color w:val="111111"/>
          <w:sz w:val="28"/>
          <w:sz w:val="28"/>
          <w:szCs w:val="28"/>
          <w:rtl w:val="true"/>
          <w:lang w:bidi="fa-IR"/>
        </w:rPr>
        <w:t>وتوجّه إلی تلامذته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حبّذا لو تقرؤون علم المعقول قلیلاً أیضاً</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لقد کان السیّد یحبّ الناس حبّاً جمّاً بقلبه، وأحبّه الناس کثیراً جدّاً</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وعندما أراد السیّد أن یعیّن وصیّاً لیودعه سهم الإمام وتحویله إلی المرجع التالی، قال له أحد أحفاده وهو الحاج السیّد رضا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لدیکم أحفاد یتامی تکفّلت بهم فیستحسن أن تعیّن لهم شیئاً ما، فقال المرحوم السیّد بصوت ضعیف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أحفادی متدیّنین فإنّ اللّه سیرزقهم، وإلاّ فکیف اُعطیهم من مالٍ لیس لی؟</w:t>
      </w:r>
      <w:r>
        <w:rPr>
          <w:rFonts w:eastAsia="IRNazanin" w:cs="IRNazanin"/>
          <w:color w:val="111111"/>
          <w:sz w:val="28"/>
          <w:szCs w:val="28"/>
          <w:rtl w:val="true"/>
          <w:lang w:bidi="fa-IR"/>
        </w:rPr>
        <w:t>!</w:t>
      </w:r>
      <w:r>
        <w:rPr>
          <w:rStyle w:val="FootnoteAnchor"/>
          <w:rtl w:val="true"/>
        </w:rPr>
        <w:footnoteReference w:id="22"/>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أوائل الحرکة الدستوریة فی إیران هاجم وکیل أحد مراجع العراق المرحوم آیة اللّه السیّد محمّد کاظم الیزدی قدس‌سره بشدّة، وعندما توفّی ذلک المرجع وانتقلت الزعامة إلی المرحوم آیة اللّه الیزدی، جاء ذلک الوکیل إلی النجف والتقی ببعض المقرّبین من السیّد وطلب منهم أن یفعلوا شیئاً لیلتقی بآیة اللّه الیزدی لیعتذر منه،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 إلی الصحن بعد صلاتی المغرب والعشاء، وبعد أن أدّی المرحوم السیّد صلاته جاء الوسیط بمعیّة ذلک الشخص إلی السیّد، قال الوسیط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سیّدنا، إنّ هذا الرجل کان ممّن یتهجّم علیکم وقد جاء الیوم لتعفو عنه ممّا عمل، ویطلب منکم أن تعطوه وکالة لیظلّ فی منصبه، فقال السیّد بلطف ورأفة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مانع، دعه یأتی </w:t>
      </w:r>
    </w:p>
    <w:p>
      <w:pPr>
        <w:pStyle w:val="BookText"/>
        <w:rPr/>
      </w:pPr>
      <w:r>
        <w:rPr>
          <w:rFonts w:ascii="IRNazanin" w:hAnsi="IRNazanin" w:eastAsia="IRNazanin"/>
          <w:color w:val="111111"/>
          <w:sz w:val="28"/>
          <w:sz w:val="28"/>
          <w:szCs w:val="28"/>
          <w:rtl w:val="true"/>
          <w:lang w:bidi="fa-IR"/>
        </w:rPr>
        <w:t>لأکتب له وکالة</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تناول أحد الخطباء من علی المنبر المرحوم السیّد محمّد کاظم الطباطبائی الیزدی بکلمات مسیئة للأدب، وفی أحد المجالس اتّفق حضور السیّد فیه، فاعتلی ذلک الخطیب المنبر ولم یکن یعرف بأنّ السیّد حاضر فی المجلس، وأثناء کلامه وقع نظره علی السیّد الیزدی، فاضطرب إلی درجة اهتزّ بها جسده، وصدفة شرح مسألة بصورة خاطئة، فانتبه الحاضرون فی المجلس إلی خطئه هذا وانتظروا أن یذکّره السیّد الیزدی، ولکنّ السیّد علی خلاف ما کانوا یتوقّعون ظلّ ساکتاً إلی أن نزل الخطیب من المنبر، فاستدعاه السیّد إلیه وأجلسه إلی جنبه وهمس فی اُذنه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ذهبت فی الیوم التالی إلی ذلک المجلس ثانیة، فاعتلی الخطیب نفسه المنبر مرّة ثانیة وأخذ یقرأ آیة التوبة،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أعتذر لسماحة السیّد عن إساءتی الأدب له،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السیّد نائب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بالحقّ، ثمّ خاطب الحاضرین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رأیتم یوم أمس أنّنی شرحت المسألة بصورة مخطئة، وکان للسیّد الحقّ الشرعی والعرفی أن یوبّخنی وینبّهنی، ولکنّه لم یظهر ردّ فعل، فقد استدعانی إلیه وأطلعنی علی خطئی بصورة خفیّة</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والآن، وقد انتهینا من إشارتنا السریعة إلی نشأته الدراسیة والسلوکیة، نتقدم إلی أساتذته الذین أفاد منهم، حیث نعرض سریعاً لکل منهم، تحت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أساتذته </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عایش وتعرّف الفقیه الکبیر العلاّمة السیّد محمّد کاظم الیزدی أثناء </w:t>
      </w:r>
    </w:p>
    <w:p>
      <w:pPr>
        <w:pStyle w:val="BookText"/>
        <w:rPr/>
      </w:pPr>
      <w:r>
        <w:rPr>
          <w:rFonts w:ascii="IRNazanin" w:hAnsi="IRNazanin" w:eastAsia="IRNazanin"/>
          <w:color w:val="111111"/>
          <w:sz w:val="28"/>
          <w:sz w:val="28"/>
          <w:szCs w:val="28"/>
          <w:rtl w:val="true"/>
          <w:lang w:bidi="fa-IR"/>
        </w:rPr>
        <w:t>دراسته فی مراحلها المختلفة علی أساتذة مشهورین، وشهد جمیعهم بفطنته وذکائه، ونقل أ نّه کان من أکبر وأبرز تلامذة آیة اللّه المجدّد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نذکر أساتذته الّذین تعرّف علیهم فی مدن یزد وإصفهان والنجف وفقاً لما کُتب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شکّ أنّ أسماء الکثیر من هؤلاء الأساتذة وخصوصاً علماء الحوزة العلمیة فی إصفهان لم یرد ذکرها هنا بسبب عدم توفّر الوثائق عند متابعة أحواله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الحاج محمّد جعفر الآبادَئی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أحد علماء وفقهاء إصفهان المشهورین، ومن تلامذة السیّد محمّد باقر حجّة الإسلام الشَفتی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ووُری جثمانه فی تخت فولاذ بإصفهان</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الشیخ مهدی 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نجل الشیخ علی ابن الشیخ جعفر، من کبار اُسرة آل کاشف الغطاء، ومن مراجع الشیعة المشهورین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الشیخ راضی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ابن الشیخ محمّد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العراق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کبار فقهاء ومدرّسی الشیعة ومن أعاظم علماء عصره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الشیخ محمّد باقر الإصفهانی</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نجل الشیخ محمّد تقی الإصفهانی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هدایة المسترشدین أو </w:t>
      </w:r>
    </w:p>
    <w:p>
      <w:pPr>
        <w:pStyle w:val="BookText"/>
        <w:rPr/>
      </w:pPr>
      <w:r>
        <w:rPr>
          <w:rFonts w:ascii="IRNazanin" w:hAnsi="IRNazanin" w:eastAsia="IRNazanin"/>
          <w:color w:val="111111"/>
          <w:sz w:val="28"/>
          <w:sz w:val="28"/>
          <w:szCs w:val="28"/>
          <w:rtl w:val="true"/>
          <w:lang w:bidi="fa-IR"/>
        </w:rPr>
        <w:t>حاشیة معالم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وحفید الشیخ جعفر کاشف الغطاء من 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کبار علماء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فی مدینة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الآخوند المُلاّ محمّد هادی الیزدی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هو ابن المُلاّ مصطفی، وأحد العلماء والمجتهدین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إمام جماعة مسجد فرط بمدینة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منشغلاً بالقضاء والتدریس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 عنده السیّد کاظم الیزدی السطوح العالیة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المیرزا محمّد حسن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أحد العلماء الأعلام فی عالم التشیّع فی القرن الأخیر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ابن المیرزا محمود بن محمّد إسماعیل الحسینی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بمدینة شیراز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السیّد الیزدی علیه الفقه والاُصول فی مدرسة الصدر بالنجف الأشرف، وبعد هجرة المیرزا الشیرازی إلی سامراء أخذ علی عاتقه التدریس فی النجف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النجف الأشرف</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المیرزا محمّد باقر الموسوی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نجل میر زین‌العابدین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 کبار علماء الإمامیّة فی القرن الرابع عشر الهجری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الزعامة الدینیّة والعلمیّة فی إصفهان بدءاً وانتهاءً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فی مقبرة تخت فولاذ بإصفهان</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المُلاّ حسن بن محمّد إبراهیم الأردکانی</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قرأ السیّد کاظم الیزدی علیه اللغة والآداب فی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السیّد </w:t>
      </w:r>
    </w:p>
    <w:p>
      <w:pPr>
        <w:pStyle w:val="BookText"/>
        <w:rPr/>
      </w:pPr>
      <w:r>
        <w:rPr>
          <w:rFonts w:ascii="IRNazanin" w:hAnsi="IRNazanin" w:eastAsia="IRNazanin"/>
          <w:color w:val="111111"/>
          <w:sz w:val="28"/>
          <w:sz w:val="28"/>
          <w:szCs w:val="28"/>
          <w:rtl w:val="true"/>
          <w:lang w:bidi="fa-IR"/>
        </w:rPr>
        <w:t>المدرسی مذیّلاً فی هامش ترجمة حیاة السیّد الیزدی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ورد فی أعیان الشیعـة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المولی حسن بن محمّد إبراهیم بن محتشم الأردکانی کان اُستاذ السیّد کاظم الیزدی، وله کتاب شرح القصیدة العینیّة، وکانت وفاته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السیّد یحیی الموسوی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أحد أولاد السیّد داود الجندق وبیابانک من أحفاد الأئمة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فی بقعة السیّد جعفر فی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أخذ السیّد الیزدی أخذ عنه علم الهیئة والریاضیات فی النجف الأشرف، والاُستاذ السیّد یحیی أخذ عن السیّد الیزدی علم الفقه</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المیرزا محمّد هاشم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أخو صاحب روضات الجنّات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1235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من کبار علماء الشیعة فی القرن الرابع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وافاه الأجل فی شهر رمضان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فی مقبرة وادی السلام بالنجف الأشرف</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الشیخ مهدی الجعفری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اُستاذ السیّد الیزدی فی درس الفقه بالنجف الأشرف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الآخوند زین العابدین العقدائی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عمل فی القضاء والتدریس فی مدرسة دومنار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محسنیّة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 </w:t>
      </w:r>
    </w:p>
    <w:p>
      <w:pPr>
        <w:pStyle w:val="BookText"/>
        <w:rPr/>
      </w:pPr>
      <w:r>
        <w:rPr>
          <w:rFonts w:ascii="IRNazanin" w:hAnsi="IRNazanin" w:eastAsia="IRNazanin"/>
          <w:color w:val="111111"/>
          <w:sz w:val="28"/>
          <w:sz w:val="28"/>
          <w:szCs w:val="28"/>
          <w:rtl w:val="true"/>
          <w:lang w:bidi="fa-IR"/>
        </w:rPr>
        <w:t>عنده الکثیر من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ومنهم المرجع السیّد کاظم الّذی درس عنده علوم اللغة العربیة</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والآن بعد أن عرضنا لأساتذته، إلیک جملة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یخصّ تدریسه فإنّ السیّد کان له ما یقرب من مائتی تلمیذ بارز</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وخیر دلیل علی علمیته ومکانة حوزته الدراسیّة هو ما سطّره محمّد مهدی الکشمیری فی سنة </w:t>
      </w:r>
      <w:r>
        <w:rPr>
          <w:rFonts w:eastAsia="IRNazanin" w:cs="IRNazanin"/>
          <w:color w:val="111111"/>
          <w:sz w:val="28"/>
          <w:szCs w:val="28"/>
          <w:rtl w:val="true"/>
          <w:lang w:bidi="fa-IR"/>
        </w:rPr>
        <w:t>(</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یُعدّ من أعاظم العلماء العاملین وأکابر الفضلاء الکاملین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ذاع صیت اجتهاده وفقاهته فی البقاع والأصقاع، ولا یشکّ أحد فی أعلمیّته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قلّده أکثر العرب وغیر العرب، وکانوا یعتقدون بأنّ أعمالهم تُقبل بتقلیده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یحضر درسه جماعة من العلماء الکاملین فی الصحن المطهَّر لمرقد أسد اللّه الغالب علی بن أبی طالب علیه‌السلام ویکتسبون نصیبهم الوافر من معینه</w:t>
      </w:r>
      <w:r>
        <w:rPr>
          <w:rFonts w:eastAsia="IRNazanin" w:cs="IRNazanin"/>
          <w:color w:val="111111"/>
          <w:sz w:val="28"/>
          <w:szCs w:val="28"/>
          <w:rtl w:val="true"/>
          <w:lang w:bidi="fa-IR"/>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وخلال المدّة الطویلة الّتی درَّسَ فیها السیّد الیزدی العلوم الدینیة فی حوزة النجف الأشرف العلمیّة، درس عنده تلامذة کثیرون تعلّموا منه العلم والأدب، وتزوّدوا من معینه، ونالوا منه إجازة 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توجد أسماء الکثیرین من هؤلاء العلماء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الأبرار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محمّد علی الروضاتی وفی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المسلسلات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هذا المجال کتب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 عنه الروایة </w:t>
      </w:r>
    </w:p>
    <w:p>
      <w:pPr>
        <w:pStyle w:val="BookText"/>
        <w:rPr/>
      </w:pPr>
      <w:r>
        <w:rPr>
          <w:rFonts w:ascii="IRNazanin" w:hAnsi="IRNazanin" w:eastAsia="IRNazanin"/>
          <w:color w:val="111111"/>
          <w:sz w:val="28"/>
          <w:sz w:val="28"/>
          <w:szCs w:val="28"/>
          <w:rtl w:val="true"/>
          <w:lang w:bidi="fa-IR"/>
        </w:rPr>
        <w:t>الکثیر من العلماء والأفاضل،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محمود بن شرف الدین علی التبریزی المرعشی ومحمّد بن علی حرز الدین والشیخ موسی بن الشیخ عبداللّه الإحسائی الهجری</w:t>
      </w:r>
      <w:r>
        <w:rPr>
          <w:rFonts w:eastAsia="IRNazanin" w:cs="IRNazanin"/>
          <w:color w:val="111111"/>
          <w:sz w:val="28"/>
          <w:szCs w:val="28"/>
          <w:rtl w:val="true"/>
          <w:lang w:bidi="fa-IR"/>
        </w:rPr>
        <w:t>»</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أورد المعلّم حبیب آبادی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الآثار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عَدَّ العلماء الکبار دروسه غنیمة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واستحدثت حوزة ملیئة بالمحقّقین لتدریس فقهه</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وفیما یلی أسماء أشهر تلامذة السیّد کاظم الیزدی، مع تاریخ ولادتهم ووفیاتهم</w:t>
      </w:r>
      <w:r>
        <w:rPr>
          <w:rStyle w:val="FootnoteAnchor"/>
          <w:rtl w:val="true"/>
        </w:rPr>
        <w:footnoteReference w:id="40"/>
      </w:r>
      <w:r>
        <w:rPr>
          <w:rFonts w:ascii="IRNazanin" w:hAnsi="IRNazanin" w:eastAsia="IRNazanin"/>
          <w:color w:val="111111"/>
          <w:sz w:val="28"/>
          <w:sz w:val="28"/>
          <w:szCs w:val="28"/>
          <w:rtl w:val="true"/>
          <w:lang w:bidi="fa-IR"/>
        </w:rPr>
        <w:t xml:space="preserve">،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أبو القاسم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فقهاء قم </w:t>
      </w:r>
      <w:r>
        <w:rPr>
          <w:rFonts w:eastAsia="IRNazanin" w:cs="IRNazanin"/>
          <w:color w:val="111111"/>
          <w:sz w:val="28"/>
          <w:szCs w:val="28"/>
          <w:rtl w:val="true"/>
          <w:lang w:bidi="fa-IR"/>
        </w:rPr>
        <w:t>(</w:t>
      </w:r>
      <w:r>
        <w:rPr>
          <w:rFonts w:eastAsia="IRNazanin" w:cs="IRNazanin"/>
          <w:color w:val="111111"/>
          <w:sz w:val="28"/>
          <w:szCs w:val="28"/>
          <w:lang w:bidi="fa-IR"/>
        </w:rPr>
        <w:t>1281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جواد الإیروانی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الفضلاء وأهل العلم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آیـة اللّه السیّد علی أکبر البیشوائی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الفضلاء فی الحوزة العلمیّة فی قم، </w:t>
      </w:r>
      <w:r>
        <w:rPr>
          <w:rFonts w:eastAsia="IRNazanin" w:cs="IRNazanin"/>
          <w:color w:val="111111"/>
          <w:sz w:val="28"/>
          <w:szCs w:val="28"/>
          <w:rtl w:val="true"/>
          <w:lang w:bidi="fa-IR"/>
        </w:rPr>
        <w:t>(</w:t>
      </w:r>
      <w:r>
        <w:rPr>
          <w:rFonts w:eastAsia="IRNazanin" w:cs="IRNazanin"/>
          <w:color w:val="111111"/>
          <w:sz w:val="28"/>
          <w:szCs w:val="28"/>
          <w:lang w:bidi="fa-IR"/>
        </w:rPr>
        <w:t>1288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رضی مجتهد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قم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التنکابنی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مؤلف قصص العلماء </w:t>
      </w:r>
      <w:r>
        <w:rPr>
          <w:rFonts w:eastAsia="IRNazanin" w:cs="IRNazanin"/>
          <w:color w:val="111111"/>
          <w:sz w:val="28"/>
          <w:szCs w:val="28"/>
          <w:rtl w:val="true"/>
          <w:lang w:bidi="fa-IR"/>
        </w:rPr>
        <w:t>(</w:t>
      </w:r>
      <w:r>
        <w:rPr>
          <w:rFonts w:eastAsia="IRNazanin" w:cs="IRNazanin"/>
          <w:color w:val="111111"/>
          <w:sz w:val="28"/>
          <w:szCs w:val="28"/>
          <w:lang w:bidi="fa-IR"/>
        </w:rPr>
        <w:t>1230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1302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السیّد علی البهبهانی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المجتهدین والمراجع لعالم التشیّع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أبو القاسم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فضلاء حوزة قم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تقی الخونساری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 کبار علماء حوزة قم العلمیّة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فخر الدین الپارسای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 الصحافة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الحاج السیّد أحمد ابن السیّد یوسف الخونساری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العلماء المعاصرین وأکابر الفقهاء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حجّت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مراجع الشیعة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السیّد یحیی الموسوی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زعیم الحوزة العلمیّة فی یزد بعد عام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إبراهیم الفیروزآبادی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مدرّسی الحوزة العلمیّة فی النجف الأشرف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الأبرقوئی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فی علم الرجال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قاسم حمّود آل 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رأس السلسلة العلمیّة لهذا البیت ومن العلماء البارعین فی الفقه والحدیث والرجال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العلماء المتخصّصین فی علم الأنساب </w:t>
      </w:r>
      <w:r>
        <w:rPr>
          <w:rFonts w:eastAsia="IRNazanin" w:cs="IRNazanin"/>
          <w:color w:val="111111"/>
          <w:sz w:val="28"/>
          <w:szCs w:val="28"/>
          <w:rtl w:val="true"/>
          <w:lang w:bidi="fa-IR"/>
        </w:rPr>
        <w:t>(</w:t>
      </w:r>
      <w:r>
        <w:rPr>
          <w:rFonts w:eastAsia="IRNazanin" w:cs="IRNazanin"/>
          <w:color w:val="111111"/>
          <w:sz w:val="28"/>
          <w:szCs w:val="28"/>
          <w:lang w:bidi="fa-IR"/>
        </w:rPr>
        <w:t>1260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میرزا هادی النجفی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أفاضل الاُصولیین والفقهاء </w:t>
      </w:r>
      <w:r>
        <w:rPr>
          <w:rFonts w:eastAsia="IRNazanin" w:cs="IRNazanin"/>
          <w:color w:val="111111"/>
          <w:sz w:val="28"/>
          <w:szCs w:val="28"/>
          <w:rtl w:val="true"/>
          <w:lang w:bidi="fa-IR"/>
        </w:rPr>
        <w:t>(</w:t>
      </w:r>
      <w:r>
        <w:rPr>
          <w:rFonts w:eastAsia="IRNazanin" w:cs="IRNazanin"/>
          <w:color w:val="111111"/>
          <w:sz w:val="28"/>
          <w:szCs w:val="28"/>
          <w:lang w:bidi="fa-IR"/>
        </w:rPr>
        <w:t>1296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الشیخ أحمد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کبار مراجع التقلید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جعفر السودانی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ورع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عبدالرسول الساباطی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زهّاد العلماء وأساتذة یزد،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السیّد محمّد الفیروزآبادی الیزدی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مراجع التقلید خصوصاً لدی أهالی تبریز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الحاج السیّد عبدالحیّ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یزد الکبار، والّذی کان یعیش فی منطقة پونه بالهند إلی مدّة طویلة وعاد إلی یزد سنة </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ق بأمرٍ من السیّد الیزدی</w:t>
      </w:r>
      <w:r>
        <w:rPr>
          <w:rFonts w:eastAsia="IRNazanin" w:cs="IRNazanin"/>
          <w:color w:val="111111"/>
          <w:sz w:val="28"/>
          <w:szCs w:val="28"/>
          <w:rtl w:val="true"/>
          <w:lang w:bidi="fa-IR"/>
        </w:rPr>
        <w:t>. (</w:t>
      </w:r>
      <w:r>
        <w:rPr>
          <w:rFonts w:eastAsia="IRNazanin" w:cs="IRNazanin"/>
          <w:color w:val="111111"/>
          <w:sz w:val="28"/>
          <w:szCs w:val="28"/>
          <w:lang w:bidi="fa-IR"/>
        </w:rPr>
        <w:t>1348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حسین الحسینی الأشکوَری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فقیه وفاضل جلیل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محسن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بزرگ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مصنّف وصاحب الذریعة </w:t>
      </w:r>
      <w:r>
        <w:rPr>
          <w:rFonts w:eastAsia="IRNazanin" w:cs="IRNazanin"/>
          <w:color w:val="111111"/>
          <w:sz w:val="28"/>
          <w:szCs w:val="28"/>
          <w:rtl w:val="true"/>
          <w:lang w:bidi="fa-IR"/>
        </w:rPr>
        <w:t>(</w:t>
      </w:r>
      <w:r>
        <w:rPr>
          <w:rFonts w:eastAsia="IRNazanin" w:cs="IRNazanin"/>
          <w:color w:val="111111"/>
          <w:sz w:val="28"/>
          <w:szCs w:val="28"/>
          <w:lang w:bidi="fa-IR"/>
        </w:rPr>
        <w:t>1255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مرتضی آل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أجلاّء علماء الإمامیّة وعظماء فقهاء الشیعة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باقر البیرجندی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المجتهدین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علی المازندرانی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کتب کثیراً من تقریرات اُستاذه </w:t>
      </w:r>
      <w:r>
        <w:rPr>
          <w:rFonts w:eastAsia="IRNazanin" w:cs="IRNazanin"/>
          <w:color w:val="111111"/>
          <w:sz w:val="28"/>
          <w:szCs w:val="28"/>
          <w:rtl w:val="true"/>
          <w:lang w:bidi="fa-IR"/>
        </w:rPr>
        <w:t>(</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السیّد حسن الصدر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الإمامیة الکبار، </w:t>
      </w:r>
      <w:r>
        <w:rPr>
          <w:rFonts w:eastAsia="IRNazanin" w:cs="IRNazanin"/>
          <w:color w:val="111111"/>
          <w:sz w:val="28"/>
          <w:szCs w:val="28"/>
          <w:rtl w:val="true"/>
          <w:lang w:bidi="fa-IR"/>
        </w:rPr>
        <w:t>(</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عبدالحسین العاملی الدزفولی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العلماء والفقهاء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الشیخ عبدالکریم الحائری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المراجع الکبار ومؤسس الحوزة العلمیّة فی قم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الحاج السیّد أسد اللّه الآقا میری الدزفولی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أجلاّء الفضلاء الموسومین فی خوزستان </w:t>
      </w:r>
      <w:r>
        <w:rPr>
          <w:rFonts w:eastAsia="IRNazanin" w:cs="IRNazanin"/>
          <w:color w:val="111111"/>
          <w:sz w:val="28"/>
          <w:szCs w:val="28"/>
          <w:rtl w:val="true"/>
          <w:lang w:bidi="fa-IR"/>
        </w:rPr>
        <w:t>(</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السیّد حسن المدرّس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مجاهد شهید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محمّد حسن ابن حاج مولا علی علیاری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ربّانی فقیه، </w:t>
      </w:r>
      <w:r>
        <w:rPr>
          <w:rFonts w:eastAsia="IRNazanin" w:cs="IRNazanin"/>
          <w:color w:val="111111"/>
          <w:sz w:val="28"/>
          <w:szCs w:val="28"/>
          <w:rtl w:val="true"/>
          <w:lang w:bidi="fa-IR"/>
        </w:rPr>
        <w:t>(</w:t>
      </w:r>
      <w:r>
        <w:rPr>
          <w:rFonts w:eastAsia="IRNazanin" w:cs="IRNazanin"/>
          <w:color w:val="111111"/>
          <w:sz w:val="28"/>
          <w:szCs w:val="28"/>
          <w:lang w:bidi="fa-IR"/>
        </w:rPr>
        <w:t>1266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أبو الحسن المشکینی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العلماء والفقهاء </w:t>
      </w:r>
      <w:r>
        <w:rPr>
          <w:rFonts w:eastAsia="IRNazanin" w:cs="IRNazanin"/>
          <w:color w:val="111111"/>
          <w:sz w:val="28"/>
          <w:szCs w:val="28"/>
          <w:rtl w:val="true"/>
          <w:lang w:bidi="fa-IR"/>
        </w:rPr>
        <w:t>(</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أحمد الخونساری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المجتهدین الکبار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علی أکبر الخونساری</w:t>
      </w:r>
      <w:r>
        <w:rPr>
          <w:rFonts w:eastAsia="IRNazanin" w:cs="IRNazanin"/>
          <w:color w:val="111111"/>
          <w:sz w:val="28"/>
          <w:szCs w:val="28"/>
          <w:rtl w:val="true"/>
          <w:lang w:bidi="fa-IR"/>
        </w:rPr>
        <w:t>: (</w:t>
      </w:r>
      <w:r>
        <w:rPr>
          <w:rFonts w:eastAsia="IRNazanin" w:cs="IRNazanin"/>
          <w:color w:val="111111"/>
          <w:sz w:val="28"/>
          <w:szCs w:val="28"/>
          <w:lang w:bidi="fa-IR"/>
        </w:rPr>
        <w:t>1359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علی پایین شهری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قم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ضیاء الدین الأراکی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کبار مراجع التقلید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المجاهد الشهید الشیخ محمّد تقی البافقی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رجال الدین المجاهدین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الآقا میر السیّد علی النجف آبادی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أعاظم العلماء وأجلاّء الفقهاء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حسین الدزفولی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العلماء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رضا مسجد شاهی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مجتهدی إصفهان </w:t>
      </w:r>
      <w:r>
        <w:rPr>
          <w:rFonts w:eastAsia="IRNazanin" w:cs="IRNazanin"/>
          <w:color w:val="111111"/>
          <w:sz w:val="28"/>
          <w:szCs w:val="28"/>
          <w:rtl w:val="true"/>
          <w:lang w:bidi="fa-IR"/>
        </w:rPr>
        <w:t>(</w:t>
      </w:r>
      <w:r>
        <w:rPr>
          <w:rFonts w:eastAsia="IRNazanin" w:cs="IRNazanin"/>
          <w:color w:val="111111"/>
          <w:sz w:val="28"/>
          <w:szCs w:val="28"/>
          <w:lang w:bidi="fa-IR"/>
        </w:rPr>
        <w:t>1287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فخر الدین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شیوخ العلماء فی قم، </w:t>
      </w:r>
      <w:r>
        <w:rPr>
          <w:rFonts w:eastAsia="IRNazanin" w:cs="IRNazanin"/>
          <w:color w:val="111111"/>
          <w:sz w:val="28"/>
          <w:szCs w:val="28"/>
          <w:rtl w:val="true"/>
          <w:lang w:bidi="fa-IR"/>
        </w:rPr>
        <w:t>(</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سیّد علی المدرِّس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العلماء المشهورین فی یزد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السیّد محمّد الأسترآبادی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المجتهدین المقیمین فی طهران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الحاج حسین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قم ومشهد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میرزا محمّد باقر القاضی الطباطبائی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القدر، </w:t>
      </w:r>
      <w:r>
        <w:rPr>
          <w:rFonts w:eastAsia="IRNazanin" w:cs="IRNazanin"/>
          <w:color w:val="111111"/>
          <w:sz w:val="28"/>
          <w:szCs w:val="28"/>
          <w:rtl w:val="true"/>
          <w:lang w:bidi="fa-IR"/>
        </w:rPr>
        <w:t>(</w:t>
      </w:r>
      <w:r>
        <w:rPr>
          <w:rFonts w:eastAsia="IRNazanin" w:cs="IRNazanin"/>
          <w:color w:val="111111"/>
          <w:sz w:val="28"/>
          <w:szCs w:val="28"/>
          <w:lang w:bidi="fa-IR"/>
        </w:rPr>
        <w:t>1285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فضل علی القزوینی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قزوین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عبدالنبی الأراکی النجفی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آیة اللّه 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فقهاء أراک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ابن الحسن شمس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العلماء الفضلاء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السیّد عزیز اللّه الحسینی الدرکه‌ای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زعماء رجال الدین فی طهران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حسن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فقهاء ومدرّسی قم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محمّد فیض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وأساتذة قم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العلاّمة الشیخ محمّد رضا الطهرانی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الشتات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مهدی الآشتیانی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العلماء المعاصرین ومدرّسی الحوزة العلمیّة فی قم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العلاّمة الشیخ محمّد حسین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هو وأخوه وکلاء السیّد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محمود الحسینی الموسوی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إمام جمعة زنجان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p>
    <w:p>
      <w:pPr>
        <w:pStyle w:val="BookText"/>
        <w:rPr/>
      </w:pPr>
      <w:r>
        <w:rPr>
          <w:rFonts w:eastAsia="IRNazanin" w:cs="IRNazanin"/>
          <w:color w:val="111111"/>
          <w:sz w:val="28"/>
          <w:szCs w:val="28"/>
          <w:lang w:bidi="fa-IR"/>
        </w:rPr>
        <w:t>1375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العلاّمة الشیخ عبدالحسین شرف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متکلّمی الشیعة الإمامیة </w:t>
      </w:r>
      <w:r>
        <w:rPr>
          <w:rFonts w:eastAsia="IRNazanin" w:cs="IRNazanin"/>
          <w:color w:val="111111"/>
          <w:sz w:val="28"/>
          <w:szCs w:val="28"/>
          <w:rtl w:val="true"/>
          <w:lang w:bidi="fa-IR"/>
        </w:rPr>
        <w:t>(</w:t>
      </w:r>
      <w:r>
        <w:rPr>
          <w:rFonts w:eastAsia="IRNazanin" w:cs="IRNazanin"/>
          <w:color w:val="111111"/>
          <w:sz w:val="28"/>
          <w:szCs w:val="28"/>
          <w:lang w:bidi="fa-IR"/>
        </w:rPr>
        <w:t>1290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حسین الموسوی الحمّامی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مراجع الشیعة البارزین فی القرن الرابع عشر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السیّد حسین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المراجع الکبار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عبدالرسول بن شریف بن عبدالحسین بن محمّد حسن الجواهری</w:t>
      </w:r>
      <w:r>
        <w:rPr>
          <w:rFonts w:eastAsia="IRNazanin" w:cs="IRNazanin"/>
          <w:color w:val="111111"/>
          <w:sz w:val="28"/>
          <w:szCs w:val="28"/>
          <w:rtl w:val="true"/>
          <w:lang w:bidi="fa-IR"/>
        </w:rPr>
        <w:t>: (</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محمّد حسین الخیابانی السبحانی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مجتهدی تبریز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المیرزا آقا ابن المجتهد الکبیر الآقا محمّد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الزهّاد ونوادر العلماء فی یزد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السیّد أبو الحسن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المراجع المشهورین فی إصفهان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أسد اللّه ایزدگشسب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شمس التواریخ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السیّد حسین المدرِّس الباغگندمی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المجتهدین الکبار ومن زهّاد یزد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الملاّ عبداللّه القمّی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علماء 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علی ابن السیّد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علماء کرمان وحلّ فیها بإجازة من السیّد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آیه اللّه السیّد محمّد حجّت الکوه‌کَمَرئی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کبار علماء الحوزة </w:t>
      </w:r>
    </w:p>
    <w:p>
      <w:pPr>
        <w:pStyle w:val="BookText"/>
        <w:rPr/>
      </w:pPr>
      <w:r>
        <w:rPr>
          <w:rFonts w:ascii="IRNazanin" w:hAnsi="IRNazanin" w:eastAsia="IRNazanin"/>
          <w:color w:val="111111"/>
          <w:sz w:val="28"/>
          <w:sz w:val="28"/>
          <w:szCs w:val="28"/>
          <w:rtl w:val="true"/>
          <w:lang w:bidi="fa-IR"/>
        </w:rPr>
        <w:t xml:space="preserve">العلمیّة فی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الشیخ محمّد حسین الإصفهانی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مراجع التقلید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مرتضی الفقیه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علماء قم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مهدی الموسوی الإصفهانی الکاظمی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أحسن الودیعة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أصحاب الإجازة والروایة عن السیّد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مهدی الغُرَیفی البحرانی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جواد الشاه عبدالعظیمی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الحسن النقوی اللکهنوی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السیّد المیر محمّد النجف آبادی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نجم الدین اللکهنوی </w:t>
      </w:r>
      <w:r>
        <w:rPr>
          <w:rFonts w:eastAsia="IRNazanin" w:cs="IRNazanin"/>
          <w:color w:val="111111"/>
          <w:sz w:val="28"/>
          <w:szCs w:val="28"/>
          <w:rtl w:val="true"/>
          <w:lang w:bidi="fa-IR"/>
        </w:rPr>
        <w:t>(</w:t>
      </w:r>
      <w:r>
        <w:rPr>
          <w:rFonts w:eastAsia="IRNazanin" w:cs="IRNazanin"/>
          <w:color w:val="111111"/>
          <w:sz w:val="28"/>
          <w:szCs w:val="28"/>
          <w:lang w:bidi="fa-IR"/>
        </w:rPr>
        <w:t>1279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محمّد الجولانی </w:t>
      </w:r>
      <w:r>
        <w:rPr>
          <w:rFonts w:eastAsia="IRNazanin" w:cs="IRNazanin"/>
          <w:color w:val="111111"/>
          <w:sz w:val="28"/>
          <w:szCs w:val="28"/>
          <w:rtl w:val="true"/>
          <w:lang w:bidi="fa-IR"/>
        </w:rPr>
        <w:t>(</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حسن العمروآبادی </w:t>
      </w:r>
      <w:r>
        <w:rPr>
          <w:rFonts w:eastAsia="IRNazanin" w:cs="IRNazanin"/>
          <w:color w:val="111111"/>
          <w:sz w:val="28"/>
          <w:szCs w:val="28"/>
          <w:rtl w:val="true"/>
          <w:lang w:bidi="fa-IR"/>
        </w:rPr>
        <w:t>(</w:t>
      </w:r>
      <w:r>
        <w:rPr>
          <w:rFonts w:eastAsia="IRNazanin" w:cs="IRNazanin"/>
          <w:color w:val="111111"/>
          <w:sz w:val="28"/>
          <w:szCs w:val="28"/>
          <w:lang w:bidi="fa-IR"/>
        </w:rPr>
        <w:t>1273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محمّد حرز الدین النجفی </w:t>
      </w:r>
      <w:r>
        <w:rPr>
          <w:rFonts w:eastAsia="IRNazanin" w:cs="IRNazanin"/>
          <w:color w:val="111111"/>
          <w:sz w:val="28"/>
          <w:szCs w:val="28"/>
          <w:rtl w:val="true"/>
          <w:lang w:bidi="fa-IR"/>
        </w:rPr>
        <w:t>(</w:t>
      </w:r>
      <w:r>
        <w:rPr>
          <w:rFonts w:eastAsia="IRNazanin" w:cs="IRNazanin"/>
          <w:color w:val="111111"/>
          <w:sz w:val="28"/>
          <w:szCs w:val="28"/>
          <w:lang w:bidi="fa-IR"/>
        </w:rPr>
        <w:t>1272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حسین کاشف الغطاء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راحة حسین الرضوی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جعفر بحر العلوم </w:t>
      </w:r>
      <w:r>
        <w:rPr>
          <w:rFonts w:eastAsia="IRNazanin" w:cs="IRNazanin"/>
          <w:color w:val="111111"/>
          <w:sz w:val="28"/>
          <w:szCs w:val="28"/>
          <w:rtl w:val="true"/>
          <w:lang w:bidi="fa-IR"/>
        </w:rPr>
        <w:t>(</w:t>
      </w:r>
      <w:r>
        <w:rPr>
          <w:rFonts w:eastAsia="IRNazanin" w:cs="IRNazanin"/>
          <w:color w:val="111111"/>
          <w:sz w:val="28"/>
          <w:szCs w:val="28"/>
          <w:lang w:bidi="fa-IR"/>
        </w:rPr>
        <w:t>1289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خطیب الحائری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عبداللّه ثقة الإسلام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الآقا بزرک الطهرانی </w:t>
      </w:r>
      <w:r>
        <w:rPr>
          <w:rFonts w:eastAsia="IRNazanin" w:cs="IRNazanin"/>
          <w:color w:val="111111"/>
          <w:sz w:val="28"/>
          <w:szCs w:val="28"/>
          <w:rtl w:val="true"/>
          <w:lang w:bidi="fa-IR"/>
        </w:rPr>
        <w:t>(</w:t>
      </w:r>
      <w:r>
        <w:rPr>
          <w:rFonts w:eastAsia="IRNazanin" w:cs="IRNazanin"/>
          <w:color w:val="111111"/>
          <w:sz w:val="28"/>
          <w:szCs w:val="28"/>
          <w:lang w:bidi="fa-IR"/>
        </w:rPr>
        <w:t>1293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حسین الرضوی الکاشانی </w:t>
      </w:r>
      <w:r>
        <w:rPr>
          <w:rFonts w:eastAsia="IRNazanin" w:cs="IRNazanin"/>
          <w:color w:val="111111"/>
          <w:sz w:val="28"/>
          <w:szCs w:val="28"/>
          <w:rtl w:val="true"/>
          <w:lang w:bidi="fa-IR"/>
        </w:rPr>
        <w:t>(</w:t>
      </w:r>
      <w:r>
        <w:rPr>
          <w:rFonts w:eastAsia="IRNazanin" w:cs="IRNazanin"/>
          <w:color w:val="111111"/>
          <w:sz w:val="28"/>
          <w:szCs w:val="28"/>
          <w:lang w:bidi="fa-IR"/>
        </w:rPr>
        <w:t>1291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المیر أحمد علیّ المفتی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مهدی مسجد شاهی </w:t>
      </w:r>
      <w:r>
        <w:rPr>
          <w:rFonts w:eastAsia="IRNazanin" w:cs="IRNazanin"/>
          <w:color w:val="111111"/>
          <w:sz w:val="28"/>
          <w:szCs w:val="28"/>
          <w:rtl w:val="true"/>
          <w:lang w:bidi="fa-IR"/>
        </w:rPr>
        <w:t>(</w:t>
      </w:r>
      <w:r>
        <w:rPr>
          <w:rFonts w:eastAsia="IRNazanin" w:cs="IRNazanin"/>
          <w:color w:val="111111"/>
          <w:sz w:val="28"/>
          <w:szCs w:val="28"/>
          <w:lang w:bidi="fa-IR"/>
        </w:rPr>
        <w:t>1298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منصور الأنصاری الدزفولی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محمّد رضا الکرمانی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روایة</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مؤلّفاته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أدناه فهرس مؤلّفات السیّد الیزدی الّتی أتحف بها المکتبة الفقهیّة، مرتّبة وفق الحروف الأبجدیة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ماعدا النسخ الخطّیة، وبقیة التواریخ المذکورة متعلّقة بأول طبعة، وأکثرها قد تکرّرت طبعاتها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الاستصحاب أو رسالة فی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خطّیة عند الشیخ علی أکبر الخونساری</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بستان نیاز وگلستان 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مناجاة باللغة الفارسیة، طبع مع الصحیفة الکاظمیة سنة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بعد ذلک طبع مستقلاًّ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باللغة العربیة، نسخته الخطّیة فی مکتبة ملک فی طهران برقم </w:t>
      </w:r>
      <w:r>
        <w:rPr>
          <w:rFonts w:eastAsia="IRNazanin" w:cs="IRNazanin"/>
          <w:color w:val="111111"/>
          <w:sz w:val="28"/>
          <w:szCs w:val="28"/>
          <w:rtl w:val="true"/>
          <w:lang w:bidi="fa-IR"/>
        </w:rPr>
        <w:t>(</w:t>
      </w:r>
      <w:r>
        <w:rPr>
          <w:rFonts w:eastAsia="IRNazanin" w:cs="IRNazanin"/>
          <w:color w:val="111111"/>
          <w:sz w:val="28"/>
          <w:szCs w:val="28"/>
          <w:lang w:bidi="fa-IR"/>
        </w:rPr>
        <w:t>2904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آداب التجارة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أکبر البهبهانی، طبع باللغة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الخیارات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باللغة العربیة مع حاشیة المکاسب، طهران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المکاسب المحرّمة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مرتضی الأنصاری، طبع باللغة </w:t>
      </w:r>
    </w:p>
    <w:p>
      <w:pPr>
        <w:pStyle w:val="BookText"/>
        <w:rPr/>
      </w:pPr>
      <w:r>
        <w:rPr>
          <w:rFonts w:ascii="IRNazanin" w:hAnsi="IRNazanin" w:eastAsia="IRNazanin"/>
          <w:color w:val="111111"/>
          <w:sz w:val="28"/>
          <w:sz w:val="28"/>
          <w:szCs w:val="28"/>
          <w:rtl w:val="true"/>
          <w:lang w:bidi="fa-IR"/>
        </w:rPr>
        <w:t xml:space="preserve">العربیة فی طهران عام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والنسخة الخطّیة فی مکتبة مدرسة نوّاب بمشهد تحت تسلسل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وفهرس مکتبتین للنسخ الخطّیة بمشهد</w:t>
      </w:r>
      <w:r>
        <w:rPr>
          <w:rFonts w:eastAsia="IRNazanin" w:cs="IRNazanin"/>
          <w:color w:val="111111"/>
          <w:sz w:val="28"/>
          <w:szCs w:val="28"/>
          <w:rtl w:val="true"/>
          <w:lang w:bidi="fa-IR"/>
        </w:rPr>
        <w:t xml:space="preserve">: </w:t>
      </w:r>
      <w:r>
        <w:rPr>
          <w:rFonts w:eastAsia="IRNazanin" w:cs="IRNazanin"/>
          <w:color w:val="111111"/>
          <w:sz w:val="28"/>
          <w:szCs w:val="28"/>
          <w:lang w:bidi="fa-IR"/>
        </w:rPr>
        <w:t>456</w:t>
      </w:r>
      <w:r>
        <w:rPr>
          <w:rFonts w:ascii="IRNazanin" w:hAnsi="IRNazanin" w:eastAsia="IRNazanin"/>
          <w:color w:val="111111"/>
          <w:sz w:val="28"/>
          <w:sz w:val="28"/>
          <w:szCs w:val="28"/>
          <w:rtl w:val="true"/>
          <w:lang w:bidi="fa-IR"/>
        </w:rPr>
        <w:t>، والنسخة الخطّیة لمکتبة وزیری بیزد بتسلسل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أنیس التجّار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للملاّ مهدی النراقی، طبع باللغة الفارسیة مع کتاب أنیس التجّار فی طهران سنة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تبصرة المتعلّمین فی أحکام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الحلّی، طبع باللغة العربیة فی طهران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جامع العباسی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البهائی، طبع باللغة العربیة فی طهران سنة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ذخیرة العباد لیوم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للملاّ فاضل الشرابیانی، طبع بالفارسیة فی مشهد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ذخیرة المعاد، المعروف بـ سؤال وجواب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زین الدین المازندرانی الحائری، طبع بالفارسیة فی مشهد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مرتضی الأنصاری، نسخته الخطّیة عند الشیخ علی أکبر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الذریعة </w:t>
      </w:r>
      <w:r>
        <w:rPr>
          <w:rFonts w:eastAsia="IRNazanin" w:cs="IRNazanin"/>
          <w:color w:val="111111"/>
          <w:sz w:val="28"/>
          <w:szCs w:val="28"/>
          <w:lang w:bidi="fa-IR"/>
        </w:rPr>
        <w:t>6/160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مجمع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المیرزا محمّد حسن الشیرازی، طبع بالفارسیة فی بومبی سنة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مرتضی الأنصاری، طبع بالفارسیة فی طهران سنة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وطبع أیضاً فی قم مع حواشی الفقهاء الأعاظم بمطبعة إسماعیلیان سنة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منتخب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أبو القاسم الموسوی </w:t>
      </w:r>
    </w:p>
    <w:p>
      <w:pPr>
        <w:pStyle w:val="BookText"/>
        <w:rPr/>
      </w:pPr>
      <w:r>
        <w:rPr>
          <w:rFonts w:ascii="IRNazanin" w:hAnsi="IRNazanin" w:eastAsia="IRNazanin"/>
          <w:color w:val="111111"/>
          <w:sz w:val="28"/>
          <w:sz w:val="28"/>
          <w:szCs w:val="28"/>
          <w:rtl w:val="true"/>
          <w:lang w:bidi="fa-IR"/>
        </w:rPr>
        <w:t xml:space="preserve">الخونساری، طبع بالفارسیة فی بغداد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منهج الرشاد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جعفر الشوشتری، طبع بالفارسیة فی تبریز سنة </w:t>
      </w:r>
      <w:r>
        <w:rPr>
          <w:rFonts w:eastAsia="IRNazanin" w:cs="IRNazanin"/>
          <w:color w:val="111111"/>
          <w:sz w:val="28"/>
          <w:szCs w:val="28"/>
          <w:rtl w:val="true"/>
          <w:lang w:bidi="fa-IR"/>
        </w:rPr>
        <w:t>(</w:t>
      </w:r>
      <w:r>
        <w:rPr>
          <w:rFonts w:eastAsia="IRNazanin" w:cs="IRNazanin"/>
          <w:color w:val="111111"/>
          <w:sz w:val="28"/>
          <w:szCs w:val="28"/>
          <w:lang w:bidi="fa-IR"/>
        </w:rPr>
        <w:t>1323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نجاة العباد فی یوم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محمّد حسن النجفی صاحب الجواهر، طبع باللغة العربیة فی بومبی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النُخبة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محمّد إبراهیم الکلباسی الإصفهانی، طبع بالفارسیة فی بومبی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حجّیة الظنّ فی عدد الرکعات وکیفیة صلاة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باللغة العربیة فی طهران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ذخیرة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حواشی السیّد محمّد الحسینی الفیروزآبادی، طبع باللغة العربیة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إرث الزوجة من الثمن أو العقار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الذریعة</w:t>
      </w:r>
      <w:r>
        <w:rPr>
          <w:rFonts w:eastAsia="IRNazanin" w:cs="IRNazanin"/>
          <w:color w:val="111111"/>
          <w:sz w:val="28"/>
          <w:szCs w:val="28"/>
          <w:rtl w:val="true"/>
          <w:lang w:bidi="fa-IR"/>
        </w:rPr>
        <w:t xml:space="preserve">: </w:t>
      </w:r>
      <w:r>
        <w:rPr>
          <w:rFonts w:eastAsia="IRNazanin" w:cs="IRNazanin"/>
          <w:color w:val="111111"/>
          <w:sz w:val="28"/>
          <w:szCs w:val="28"/>
          <w:lang w:bidi="fa-IR"/>
        </w:rPr>
        <w:t>11/56</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التعادل والتراجیح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باللغة العربیة فی طهران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النسخ الخطّیة لمکتبة وزیری فی یزد، بتسلسل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جواز اجتماع الأمر والنهی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باللغة العربیة فی طهران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النسخة الخطّیة لمکتبة ملک فی طهران بتسلسل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 النسخة الخطّیة لمکتبة وزیری بتسلسل </w:t>
      </w:r>
      <w:r>
        <w:rPr>
          <w:rFonts w:eastAsia="IRNazanin" w:cs="IRNazanin"/>
          <w:color w:val="111111"/>
          <w:sz w:val="28"/>
          <w:szCs w:val="28"/>
          <w:rtl w:val="true"/>
          <w:lang w:bidi="fa-IR"/>
        </w:rPr>
        <w:t xml:space="preserve">: </w:t>
      </w:r>
      <w:r>
        <w:rPr>
          <w:rFonts w:eastAsia="IRNazanin" w:cs="IRNazanin"/>
          <w:color w:val="111111"/>
          <w:sz w:val="28"/>
          <w:szCs w:val="28"/>
          <w:lang w:bidi="fa-IR"/>
        </w:rPr>
        <w:t>2373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منجِّزات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باللغة العربیة مع حاشیة المتاجر فی طهران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السؤال والجواب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الجزء الأوّل منه باللغة العربیة فی النجف سنة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الصحیفة الکاظمیة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مناجاة طبعت باللغة العربیة فی بغداد سنة </w:t>
      </w:r>
      <w:r>
        <w:rPr>
          <w:rFonts w:eastAsia="IRNazanin" w:cs="IRNazanin"/>
          <w:color w:val="111111"/>
          <w:sz w:val="28"/>
          <w:szCs w:val="28"/>
          <w:rtl w:val="true"/>
          <w:lang w:bidi="fa-IR"/>
        </w:rPr>
        <w:t>(</w:t>
      </w:r>
      <w:r>
        <w:rPr>
          <w:rFonts w:eastAsia="IRNazanin" w:cs="IRNazanin"/>
          <w:color w:val="111111"/>
          <w:sz w:val="28"/>
          <w:szCs w:val="28"/>
          <w:lang w:bidi="fa-IR"/>
        </w:rPr>
        <w:t>1327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طریق النجاة</w:t>
      </w:r>
      <w:r>
        <w:rPr>
          <w:rStyle w:val="FootnoteAnchor"/>
          <w:rtl w:val="true"/>
        </w:rPr>
        <w:footnoteReference w:id="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باللغة الفارسیة فی بومبی الهندیّة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العُروة الوثقی فی ما تعمّ به البلوی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الجزء الأوّل والثانی باللغة العربیة فی بغداد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نسخته الخطّیة فی مکتبة وزیری بیزد بتسلسل</w:t>
      </w:r>
      <w:r>
        <w:rPr>
          <w:rFonts w:eastAsia="IRNazanin" w:cs="IRNazanin"/>
          <w:color w:val="111111"/>
          <w:sz w:val="28"/>
          <w:szCs w:val="28"/>
          <w:rtl w:val="true"/>
          <w:lang w:bidi="fa-IR"/>
        </w:rPr>
        <w:t xml:space="preserve">: </w:t>
      </w:r>
      <w:r>
        <w:rPr>
          <w:rFonts w:eastAsia="IRNazanin" w:cs="IRNazanin"/>
          <w:color w:val="111111"/>
          <w:sz w:val="28"/>
          <w:szCs w:val="28"/>
          <w:lang w:bidi="fa-IR"/>
        </w:rPr>
        <w:t>2950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الغُرر الغَرویة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نظم الشیخ مرتضی آل کاشف الغطاء، طبع فی بغداد مع العروة الوثقی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الکلم الجامعة والحکم النافعة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قصار طبع باللغة العربیة فی صیدا بلبنان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الرسائل ـ مجمع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بالفارسیة فی بومبی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pStyle w:val="BookText"/>
        <w:rPr/>
      </w:pP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مُنتَخب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بالفارسیة فی طهران سنة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منتخب 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رسالة منتخب الأحکام، طبع بالفارسیة فی طهران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طبع هذا الکتاب عشرات المرات للآن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محمّد کاظم الطباطبائی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بالفارسیة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یقول السیّد المدرّسی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یطرق فی ذهنی أنّ أحداً کتب حواشی بکثرةٍ بقدر ما کتب وحشّی علی کتب الفتاوی کالسیّد الیزدی</w:t>
      </w:r>
      <w:r>
        <w:rPr>
          <w:rFonts w:eastAsia="IRNazanin" w:cs="IRNazanin"/>
          <w:color w:val="111111"/>
          <w:sz w:val="28"/>
          <w:szCs w:val="28"/>
          <w:rtl w:val="true"/>
          <w:lang w:bidi="fa-IR"/>
        </w:rPr>
        <w:t>»</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وتوجد نماذج من کتاباته ومؤلّفاته قدس‌سره فی کتب تاریخ الحرکة الدستوریّة، ورسائل ولوائح الشیخ فضل اللّه النوری، ونهضت روحانیون إیران، ونموذج من خطّه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فقهای نامدار شیعه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وتقریظ منه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التقوی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للسیّد جمال الواعظ اُلّف سنة </w:t>
      </w:r>
      <w:r>
        <w:rPr>
          <w:rFonts w:eastAsia="IRNazanin" w:cs="IRNazanin"/>
          <w:color w:val="111111"/>
          <w:sz w:val="28"/>
          <w:szCs w:val="28"/>
          <w:rtl w:val="true"/>
          <w:lang w:bidi="fa-IR"/>
        </w:rPr>
        <w:t>(</w:t>
      </w:r>
      <w:r>
        <w:rPr>
          <w:rFonts w:eastAsia="IRNazanin" w:cs="IRNazanin"/>
          <w:color w:val="111111"/>
          <w:sz w:val="28"/>
          <w:szCs w:val="28"/>
          <w:lang w:bidi="fa-IR"/>
        </w:rPr>
        <w:t>1318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xml:space="preserve">، وأنوار الرشاد فی شرح نجاة العباد للسیّد جعفر بحر العلوم الطباطبائی اُلّف سنة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 وهنالک وثائق للسیّد الیزدی محفوظة عند عائلة السیّد عبدالعزیز الطباطبائی الیزدی فی قم، وکذلک لدی السیّد علی محمّد إمام جمعة 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أهمّ آثاره المار ذکرها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حصیلة العمر المثمر لذلک العالم الفرید هو ما لاحظناه من تألیفه أکثر من أربعین کتاباً ورسالة وحاشیة، وطبع بعضها عشرات المرات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وأهمّ مؤلّفاته هو العروة الوثقی </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ثمة کتابان ، أحدهما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الحاشیة علی المکاسب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وهو حاشیته علی مکاسب الشیخ الأعظم مرتضی الأنصاری، وهو من أهمّ النصوص الفقهیة التحقیقیة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اتّخذه العدید من الفقهاء ملاکاً لتدریس خارج الفقه سابقاً وحالیاً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إنـّه یمکن معرفة مهارات السیّد الفقهیّة من خلال حاشیته علی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کُتبت حواشی عدیدة علی کتاب المکاسب، وجمیع الفقهاء الکبار </w:t>
      </w:r>
    </w:p>
    <w:p>
      <w:pPr>
        <w:pStyle w:val="BookText"/>
        <w:rPr/>
      </w:pPr>
      <w:r>
        <w:rPr>
          <w:rFonts w:ascii="IRNazanin" w:hAnsi="IRNazanin" w:eastAsia="IRNazanin"/>
          <w:color w:val="111111"/>
          <w:sz w:val="28"/>
          <w:sz w:val="28"/>
          <w:szCs w:val="28"/>
          <w:rtl w:val="true"/>
          <w:lang w:bidi="fa-IR"/>
        </w:rPr>
        <w:t>أو قسم منهم کتبوا حواشی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عن الاُستاذ علی الدوانی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الاخر ، فهـو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فقیه بیت الوحی ماخاب فی عروته الوثقی من استمسکا</w:t>
      </w:r>
    </w:p>
    <w:p>
      <w:pPr>
        <w:pStyle w:val="BookText"/>
        <w:rPr/>
      </w:pPr>
      <w:r>
        <w:rPr>
          <w:rFonts w:ascii="IRNazanin" w:hAnsi="IRNazanin" w:eastAsia="IRNazanin"/>
          <w:color w:val="111111"/>
          <w:sz w:val="28"/>
          <w:sz w:val="28"/>
          <w:szCs w:val="28"/>
          <w:rtl w:val="true"/>
          <w:lang w:bidi="fa-IR"/>
        </w:rPr>
        <w:t>فإنّ أهل البیت أدری بما فی البیت من أحکامه مدرکا</w:t>
      </w:r>
    </w:p>
    <w:p>
      <w:pPr>
        <w:pStyle w:val="BookText"/>
        <w:rPr/>
      </w:pPr>
      <w:r>
        <w:rPr>
          <w:rFonts w:ascii="IRNazanin" w:hAnsi="IRNazanin" w:eastAsia="IRNazanin"/>
          <w:color w:val="111111"/>
          <w:sz w:val="28"/>
          <w:sz w:val="28"/>
          <w:szCs w:val="28"/>
          <w:rtl w:val="true"/>
          <w:lang w:bidi="fa-IR"/>
        </w:rPr>
        <w:t>کاظم أهل البیت بالعروة الو ثقی أتی فاستوجب الشکرا</w:t>
      </w:r>
    </w:p>
    <w:p>
      <w:pPr>
        <w:pStyle w:val="BookText"/>
        <w:rPr/>
      </w:pPr>
      <w:r>
        <w:rPr>
          <w:rFonts w:ascii="IRNazanin" w:hAnsi="IRNazanin" w:eastAsia="IRNazanin"/>
          <w:color w:val="111111"/>
          <w:sz w:val="28"/>
          <w:sz w:val="28"/>
          <w:szCs w:val="28"/>
          <w:rtl w:val="true"/>
          <w:lang w:bidi="fa-IR"/>
        </w:rPr>
        <w:t>والناس فی الأشیاء قد تستوی وما استوت علماً ولا خبرا</w:t>
      </w:r>
    </w:p>
    <w:p>
      <w:pPr>
        <w:pStyle w:val="BookText"/>
        <w:rPr/>
      </w:pPr>
      <w:r>
        <w:rPr>
          <w:rFonts w:ascii="IRNazanin" w:hAnsi="IRNazanin" w:eastAsia="IRNazanin"/>
          <w:color w:val="111111"/>
          <w:sz w:val="28"/>
          <w:sz w:val="28"/>
          <w:szCs w:val="28"/>
          <w:rtl w:val="true"/>
          <w:lang w:bidi="fa-IR"/>
        </w:rPr>
        <w:t>والشرع بیت للهدی قائم والبیت أهلوه به أدری</w:t>
      </w:r>
    </w:p>
    <w:p>
      <w:pPr>
        <w:pStyle w:val="BookText"/>
        <w:rPr/>
      </w:pPr>
      <w:r>
        <w:rPr>
          <w:rFonts w:ascii="IRNazanin" w:hAnsi="IRNazanin" w:eastAsia="IRNazanin"/>
          <w:color w:val="111111"/>
          <w:sz w:val="28"/>
          <w:sz w:val="28"/>
          <w:szCs w:val="28"/>
          <w:rtl w:val="true"/>
          <w:lang w:bidi="fa-IR"/>
        </w:rPr>
        <w:t xml:space="preserve">إنّ أهمّ وأکمل أعماله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طبع ونشر لمرّات عدیدةٍ فی مختلف الدول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اکتسب الکتاب شهرة عالمیّة، وکان فی وقته سیّد الرسائل العملیّة عند عامة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وفاة السیّد الیزدی کان یرجع إلیه ویستند علیه فی الفتوی علماء الشیعة الکبار، مثل آیة اللّه السیّد محسن الحکیم، الّذی کتب شرحاً استدلالیاً علی هذا الکتاب فی أربعة عشر مجلّداً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حسب طبعة 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العروة الوثقی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کتب العدید من العلماء والمراجع شروحاً وحواشی علی هذا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ذکر السیّد الروضاتی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حیاة سماحة آیة اللّه چهار سوقی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تبلغ مائة شرح وحاشیة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وأشهر الشروح والحواشی کتبت بأقلام هؤلاء العلماء والآیات العظام،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محمّد الفیروزآبادی الیزدی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والمیرزا محمّد حسین بن عبدالرحیم النائینی الیزدی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عبدالکریم الحائری الیزدی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ضیاء الدین العراقی </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والسیّد أبو الحسن الموسوی الإصفهانی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والحاج السیّد حسین الطباطبائی القمّی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والشیخ محمّد رضا آل یاسین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والسیّد حسین الطباطبائی البروجردی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محمود الحسینی الشاهرودی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وتوجد کذلک تعلیقتان لکلٍّ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أبی القاسم الموسوی الخوئی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والسیّد عبد الهادی الشیرازی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ترجم العروة الوثقی إلی اللغة الفارسیة وطبعها المرحوم الشیخ عباس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والسیّد أبو القاسم الإصفهانی معاً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القصوی فی ترجمة 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وکُتبت أیضاً حواشی علی هذه الترجمة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حاشیة آیة اللّه السیّد محمّد الفیروزآبادی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الغایة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المرحوم آیة اللّه المرعشی النجفی أیضاً تعلیقات علی هذا الکتاب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الغایة القصوی لمن رام التمسّک بالعروة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مجلدین کبیرین وقام بطبعهما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الواضح ، أنّ کتاباً یتمیّز بأهمیته العلمیة ، لابدّ وأن یحظی بالتقدیر الکبیر لدی المعنیین بشؤون الفقه وسواه ، ولذلک کتب الکثیر عن المدونة المذکور ، نعرض للبعض من ذلک ، جاء فی أحدها ما یأتی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آراء المختصّین بالعروة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جاء فی أحد المصادر المؤرخة للسیّد قدس‌سره ما یأتی</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أحد المعنیین بشؤون الفقه بأنّ الکتاب المذکور بسبب احتوائه علی مسائل فرعیّة ضروریّة فإنّ الفقهاء والمراجع الّذین جاؤوا من بعد السیّد الیزدی کانوا یعتمدون علیه ویرجعون إلیه ویدقّقون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علیه الفقهاء الکبار حواشیهم وبحثوا فیه لمرّات عدیدة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ألّف الفقهاء الکبار عشرات الکتب الاستدلالیّة وکلّها تتمحور وتدور حول العروة، علی 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العروة، </w:t>
      </w:r>
    </w:p>
    <w:p>
      <w:pPr>
        <w:pStyle w:val="BookText"/>
        <w:rPr/>
      </w:pPr>
      <w:r>
        <w:rPr>
          <w:rFonts w:ascii="IRNazanin" w:hAnsi="IRNazanin" w:eastAsia="IRNazanin"/>
          <w:color w:val="111111"/>
          <w:sz w:val="28"/>
          <w:sz w:val="28"/>
          <w:szCs w:val="28"/>
          <w:rtl w:val="true"/>
          <w:lang w:bidi="fa-IR"/>
        </w:rPr>
        <w:t>ومستمسک العروة، أو 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ونقد، وبحث، وشرح لمسائلها، وقد طبعت هذه الکتب ـ الّذی مدارها العروة ـ واستنسخت لیستفید منها الراغبون فی معرفة الأحکام الفقهیّة</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 کتاب العروة باللغة العربیة، ویحتوی علی </w:t>
      </w:r>
      <w:r>
        <w:rPr>
          <w:rFonts w:eastAsia="IRNazanin" w:cs="IRNazanin"/>
          <w:color w:val="111111"/>
          <w:sz w:val="28"/>
          <w:szCs w:val="28"/>
          <w:rtl w:val="true"/>
          <w:lang w:bidi="fa-IR"/>
        </w:rPr>
        <w:t>(</w:t>
      </w:r>
      <w:r>
        <w:rPr>
          <w:rFonts w:eastAsia="IRNazanin" w:cs="IRNazanin"/>
          <w:color w:val="111111"/>
          <w:sz w:val="28"/>
          <w:szCs w:val="28"/>
          <w:lang w:bidi="fa-IR"/>
        </w:rPr>
        <w:t>3260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مسألة فی أبواب الفقه</w:t>
      </w:r>
      <w:r>
        <w:rPr>
          <w:rStyle w:val="FootnoteAnchor"/>
          <w:rtl w:val="true"/>
        </w:rPr>
        <w:footnoteReference w:id="48"/>
      </w:r>
      <w:r>
        <w:rPr>
          <w:rFonts w:ascii="IRNazanin" w:hAnsi="IRNazanin" w:eastAsia="IRNazanin"/>
          <w:color w:val="111111"/>
          <w:sz w:val="28"/>
          <w:sz w:val="28"/>
          <w:szCs w:val="28"/>
          <w:rtl w:val="true"/>
          <w:lang w:bidi="fa-IR"/>
        </w:rPr>
        <w:t>، وحسب قول الرازی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العروة ولأکثر من خمسین سنة عنواناً لدرس الخارج لدی مراجع النجف الکبار وقم وسواهما من الحوزات ذات السموّ والرفعة الدینیة؛ وذلک لصحّة نصوصها وعباراتها</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محسن الأمین فی أعیانه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العروة الوثقی فیها فروع کثیرة جیّدة الترتیب، أفرز فیها کلّ فرع علی حدة بعنوان مسألة، وجعل لأعداد مسائلها أرقاماً فسهّل التناول، وأقبل الناس علیها ونسخت نجاة العباد بعد أن کانت تراجع سابقاً</w:t>
      </w:r>
      <w:r>
        <w:rPr>
          <w:rFonts w:eastAsia="IRNazanin" w:cs="IRNazanin"/>
          <w:color w:val="111111"/>
          <w:sz w:val="28"/>
          <w:szCs w:val="28"/>
          <w:rtl w:val="true"/>
          <w:lang w:bidi="fa-IR"/>
        </w:rPr>
        <w:t>»</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مصدر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یحتوی کتاب العروة الوثقی علی مسائل فقهیّة کثیرة فی جمیع الأبواب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وصیغت مسائله بطریقة جیّدة جدّاً ومستدلّة، ولکیفیّتها العالیة وشمولیّتها الواسعة کتب علیها علماء ومراجع کلّ عصر حواشیهم وتعلیقاتهم</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مقدّمة کتاب الغایة القصوی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کنت دائماً أطلب لقاءها وأشتاق لزیارتها وأودّها، فیالها من رسالة سهلة ویسیرة المأخذ ومستحسنة، وتألیفها فی غایة </w:t>
      </w:r>
    </w:p>
    <w:p>
      <w:pPr>
        <w:pStyle w:val="BookText"/>
        <w:rPr/>
      </w:pPr>
      <w:r>
        <w:rPr>
          <w:rFonts w:ascii="IRNazanin" w:hAnsi="IRNazanin" w:eastAsia="IRNazanin"/>
          <w:color w:val="111111"/>
          <w:sz w:val="28"/>
          <w:sz w:val="28"/>
          <w:szCs w:val="28"/>
          <w:rtl w:val="true"/>
          <w:lang w:bidi="fa-IR"/>
        </w:rPr>
        <w:t>الجودة ولطافة الاُسلوب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جامعة لجمیع الرسائل، وتشتمل علی جمیـع المسائل، وتضمّ أنواع الفروع الفقهیّة، بل هی ناسخة للرسائل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ممیّزات کتاب 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خلال إجراء تحقیق قصیر واستطلاع لآراء العلماء والمختصّین فإنّ ممیّزات کتاب العروة الوثقی کما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جامع وکامل إلی حدّ کبیر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یحتوی علی فروع کثیرة حتّی المسائل الجزئیّة، وکلّ ما لا یوجد فی سائر الرسائل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یعطی للقارئ معلومات واسعة فی أدلّة الفروع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یجیب علی أکثر المسائل الفقهیّة، ویضمّ المباحث الّتی هی موضع الحاجة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أوّل رسالة عملیّة مسائلها مرقّمة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اُسلوبه سهل وبسیط وفی نفس الوقت ذو متانة وقوّة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یُبسّط ویُسهّل فهم المسائل الفقهیّة الصعبة والمعقدة لعامّة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یلبّی متطلّبات الزمان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فتح أبواباً جدیدة فی الفروع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الشجاعة فی تسمیة بعض المسائل والبحوث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وکلاؤه رحمهم‌الله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اختار السیّد الیزدی من بین أعیان وکبار رجالات النجف الأشرف وأبنائه وأحفاده أربعة أشخاصٍ عیّنهم وکلاء له، وهم کالتالی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الشیخ أحمد کاشف الغطاء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الشیخ محمّد حسین کاشف الغطاء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آیة اللّه المیرزا محمود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ـ آیة اللّه الشیخ علیّ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مهمّة هؤلاء الوکلاء الأربعة هی تحویل کلّ ما خلّفه السیّد الیزدی ممّا کان بحوزته من حقوق شرعیّة وأمانات وأدوات، کسهم الإمام علیه‌السلام وسهم السادات والکفّارات والمظالم وکلّ منها ثُبِّت بدفتر مستقلّ، وتُدفع إلی مراجع التقلید اللاحقین بعد وفاته</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مشاریعه الخیریّة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بناء مدرسة فی النجف الأشرف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الأعمال الخیریّة الّتی خلّفها السیّد کاظم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مدرسة کبیرة ومهمّة فی النجف الأشرف، وتُعدّ من أفضل وأجمل المدارس فی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هذه المدرسة لازالت مشهورة باسمه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 علی المازندرانی ـ وهو من تلامذته ـ فی تاریخ بناء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أسّسها بحر العلوم والتقی محمّد الکاظم من آل طبا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 بیوتٍ أذن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 تاریخها لکن بحذف ما ابتدا</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1331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أی إذا حذفنا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الآیة فإنّها تصبح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الحروف الأبجدیّة، ولکنَّ البعض لم یحذف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خطأً، فکتبوا تاریخ بناء المدرسة فی سنة </w:t>
      </w:r>
    </w:p>
    <w:p>
      <w:pPr>
        <w:pStyle w:val="BookText"/>
        <w:rPr/>
      </w:pPr>
      <w:r>
        <w:rPr>
          <w:rFonts w:eastAsia="IRNazanin" w:cs="IRNazanin"/>
          <w:color w:val="111111"/>
          <w:sz w:val="28"/>
          <w:szCs w:val="28"/>
          <w:lang w:bidi="fa-IR"/>
        </w:rPr>
        <w:t>1331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تقع هذه المدرسة فی محلّة الحویش فی النجف الأشرف بین شارع الرسول وسوق الحویش، وواجهتها مزیّنة بالقاشانی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وتحتوی المدرسة علی طابقین فیهما ثمانون غرفة وثلاث قاعات دراسیة، ومساحتها سبعمائة وخمسون متراً مربعاً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قام السیّد محمّد الطباطبائی فیما بعد بإعمارها بشکل أساسی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وتوجد أبیات اُخر لتاریخ بناء هذه المدرسة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أبهج المصطفی وعترته بذا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شیّدت دعائمنا</w:t>
      </w:r>
    </w:p>
    <w:p>
      <w:pPr>
        <w:pStyle w:val="BookText"/>
        <w:rPr/>
      </w:pPr>
      <w:r>
        <w:rPr>
          <w:rFonts w:ascii="IRNazanin" w:hAnsi="IRNazanin" w:eastAsia="IRNazanin"/>
          <w:color w:val="111111"/>
          <w:sz w:val="28"/>
          <w:sz w:val="28"/>
          <w:szCs w:val="28"/>
          <w:rtl w:val="true"/>
          <w:lang w:bidi="fa-IR"/>
        </w:rPr>
        <w:t>یاطالبی فقهنا وحکمتنا دونکم هذه معالمنا</w:t>
      </w:r>
    </w:p>
    <w:p>
      <w:pPr>
        <w:pStyle w:val="BookText"/>
        <w:rPr/>
      </w:pPr>
      <w:r>
        <w:rPr>
          <w:rFonts w:ascii="IRNazanin" w:hAnsi="IRNazanin" w:eastAsia="IRNazanin"/>
          <w:color w:val="111111"/>
          <w:sz w:val="28"/>
          <w:sz w:val="28"/>
          <w:szCs w:val="28"/>
          <w:rtl w:val="true"/>
          <w:lang w:bidi="fa-IR"/>
        </w:rPr>
        <w:t xml:space="preserve">مدارس الدین أرِّخوا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 جدّده للعلوم کاظمنا</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أی سنة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جعل السیّد مکتبة کبیرة وقفاً علی هذه المدرسة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ویوجد تاریخ هذه المدرسة بالتفصیل</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بناء مدرسة فی محلّة العمارة</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تقع هذه المدرسة فی محلّة العمارة فی الجهة الغربیة من مدرسة الخلیلی الصغیرة، فی الجهة الجنوبیة من مدرسة الخلیلی الکبیرة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تبلغ مساحة بنائها ستمائة متر مربع، وتحتوی علی طابقین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کانت هذه المدرسة محلاًّ للضیافة بناه السیّد للزائرین من الوجوه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قام ابنه السیّد أسد اللّه بإعماره وتزیینه، وحوّله إلی مدرسة لائقة تحتوی علی طابقین فیها إحدی وخمسون غرفة مع جمیع مستلزماتها لطلبة العلوم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 جدارها الخارجی بالقاشانی الجمیل والآیات القرآنیة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ویتّصل بهذه المدرسة أربعة متاجر </w:t>
      </w:r>
    </w:p>
    <w:p>
      <w:pPr>
        <w:pStyle w:val="BookText"/>
        <w:rPr/>
      </w:pPr>
      <w:r>
        <w:rPr>
          <w:rFonts w:ascii="IRNazanin" w:hAnsi="IRNazanin" w:eastAsia="IRNazanin"/>
          <w:color w:val="111111"/>
          <w:sz w:val="28"/>
          <w:sz w:val="28"/>
          <w:szCs w:val="28"/>
          <w:rtl w:val="true"/>
          <w:lang w:bidi="fa-IR"/>
        </w:rPr>
        <w:t>ومنزلان وفندق صغیر وکلّها وقف للمدرسة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وبشأن تاریخ تجدید بناء المدرسة قال السیّد موسی بحر العلوم فی مادّة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بشری بها مدرسة عائده علی هواة العلم بالفائده</w:t>
      </w:r>
    </w:p>
    <w:p>
      <w:pPr>
        <w:pStyle w:val="BookText"/>
        <w:rPr/>
      </w:pPr>
      <w:r>
        <w:rPr>
          <w:rFonts w:ascii="IRNazanin" w:hAnsi="IRNazanin" w:eastAsia="IRNazanin"/>
          <w:color w:val="111111"/>
          <w:sz w:val="28"/>
          <w:sz w:val="28"/>
          <w:szCs w:val="28"/>
          <w:rtl w:val="true"/>
          <w:lang w:bidi="fa-IR"/>
        </w:rPr>
        <w:t xml:space="preserve">أسّسها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حلمه بنیّةٍ راسخة القاعده</w:t>
      </w:r>
    </w:p>
    <w:p>
      <w:pPr>
        <w:pStyle w:val="BookText"/>
        <w:rPr/>
      </w:pPr>
      <w:r>
        <w:rPr>
          <w:rFonts w:ascii="IRNazanin" w:hAnsi="IRNazanin" w:eastAsia="IRNazanin"/>
          <w:color w:val="111111"/>
          <w:sz w:val="28"/>
          <w:sz w:val="28"/>
          <w:szCs w:val="28"/>
          <w:rtl w:val="true"/>
          <w:lang w:bidi="fa-IR"/>
        </w:rPr>
        <w:t>ثنّی بها مدرسة فاغتدت فی حسنها الثانیة الواحده</w:t>
      </w:r>
    </w:p>
    <w:p>
      <w:pPr>
        <w:pStyle w:val="BookText"/>
        <w:rPr/>
      </w:pPr>
      <w:r>
        <w:rPr>
          <w:rFonts w:ascii="IRNazanin" w:hAnsi="IRNazanin" w:eastAsia="IRNazanin"/>
          <w:color w:val="111111"/>
          <w:sz w:val="28"/>
          <w:sz w:val="28"/>
          <w:szCs w:val="28"/>
          <w:rtl w:val="true"/>
          <w:lang w:bidi="fa-IR"/>
        </w:rPr>
        <w:t>فأصبحت عیداً لمن هاجروا للعلم والسکنی بها المائده</w:t>
      </w:r>
    </w:p>
    <w:p>
      <w:pPr>
        <w:pStyle w:val="BookText"/>
        <w:rPr/>
      </w:pPr>
      <w:r>
        <w:rPr>
          <w:rFonts w:ascii="IRNazanin" w:hAnsi="IRNazanin" w:eastAsia="IRNazanin"/>
          <w:color w:val="111111"/>
          <w:sz w:val="28"/>
          <w:sz w:val="28"/>
          <w:szCs w:val="28"/>
          <w:rtl w:val="true"/>
          <w:lang w:bidi="fa-IR"/>
        </w:rPr>
        <w:t xml:space="preserve">وعدّها الدهر بتأریخه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حسنات السیّد الخالده</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السیّد أبدی اهتماماً ببناء مساجد ومدارس اُخری أیضاً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کاظم غیظٍ صادقٌ لأنـّه وارث علم صادقٍ وکاظمِ</w:t>
      </w:r>
    </w:p>
    <w:p>
      <w:pPr>
        <w:pStyle w:val="BookText"/>
        <w:rPr/>
      </w:pPr>
      <w:r>
        <w:rPr>
          <w:rFonts w:ascii="IRNazanin" w:hAnsi="IRNazanin" w:eastAsia="IRNazanin"/>
          <w:color w:val="111111"/>
          <w:sz w:val="28"/>
          <w:sz w:val="28"/>
          <w:szCs w:val="28"/>
          <w:rtl w:val="true"/>
          <w:lang w:bidi="fa-IR"/>
        </w:rPr>
        <w:t>من یرتضع درّ العلی من فاطم فما له عن العلی من فاطمِ</w:t>
      </w:r>
    </w:p>
    <w:p>
      <w:pPr>
        <w:pStyle w:val="BookText"/>
        <w:rPr/>
      </w:pPr>
      <w:r>
        <w:rPr>
          <w:rFonts w:ascii="IRNazanin" w:hAnsi="IRNazanin" w:eastAsia="IRNazanin"/>
          <w:color w:val="111111"/>
          <w:sz w:val="28"/>
          <w:sz w:val="28"/>
          <w:szCs w:val="28"/>
          <w:rtl w:val="true"/>
          <w:lang w:bidi="fa-IR"/>
        </w:rPr>
        <w:t xml:space="preserve">وفاته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العلاّمة السیّد کاظم الیزدی ـ بعد إحدی وثمانین سنة، أو إحدی وتسعین سنة، أو کما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معارف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خمسة وتسعین سنة من حیاةٍ مثمرة مقرونة بالجهاد، والبحث والتدقیق والمتابعة فی العلوم الدینیّة وزعامة عالم التشیّع ـ فی الیوم السابع والعشرین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رجب سنة </w:t>
      </w:r>
      <w:r>
        <w:rPr>
          <w:rFonts w:eastAsia="IRNazanin" w:cs="IRNazanin"/>
          <w:color w:val="111111"/>
          <w:sz w:val="28"/>
          <w:szCs w:val="28"/>
          <w:rtl w:val="true"/>
          <w:lang w:bidi="fa-IR"/>
        </w:rPr>
        <w:t>(</w:t>
      </w:r>
      <w:r>
        <w:rPr>
          <w:rFonts w:eastAsia="IRNazanin" w:cs="IRNazanin"/>
          <w:color w:val="111111"/>
          <w:sz w:val="28"/>
          <w:szCs w:val="28"/>
          <w:lang w:bidi="fa-IR"/>
        </w:rPr>
        <w:t>1337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الموافق للثامن من شهر اُردیبهشت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والمصادف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1919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إثر إصابته بمرض ذات الرئة فی مدینة النجف الأشرف فی محلّة الحویش، ودفن قدس‌سره فی الصحن الحیدری عند باب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ترک للاُمة ثلمة یصعب سدّها وخسارة لم تعوَّض</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یتوقف ویتوانی قدس‌سره من ریعان شبابه حتّی اللحظات الأخیرة من حیاته </w:t>
      </w:r>
    </w:p>
    <w:p>
      <w:pPr>
        <w:pStyle w:val="BookText"/>
        <w:rPr/>
      </w:pPr>
      <w:r>
        <w:rPr>
          <w:rFonts w:ascii="IRNazanin" w:hAnsi="IRNazanin" w:eastAsia="IRNazanin"/>
          <w:color w:val="111111"/>
          <w:sz w:val="28"/>
          <w:sz w:val="28"/>
          <w:szCs w:val="28"/>
          <w:rtl w:val="true"/>
          <w:lang w:bidi="fa-IR"/>
        </w:rPr>
        <w:t>المبارکة لحظةً عن السعی والمثابرة والاجتهاد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ما کان یتمتّع به قدس‌سره من المکانة المرموقة والبارزة إلاّ أ نّه لم یمل إلی زخارف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أحلک الظروف وأصعبها بقی محافظاً علی عزّة نفسه، ولم تَنَل الشدائد منه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وعزفت نفسه عن جمیع الاُمور الدنیویة المغریة، وقضی عمره الشریف زاهداً تقیاً، وخلّف سیرة عطرة وسمعة طیبة، فأصبح اسمه خالداً فی الذکریات، ونعاه العالم الإسلامی عامّة وعالم التشیع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هنیئاً للاُولی رحلوا کراماً عن الدنیا أعزّة فارقوها</w:t>
      </w:r>
    </w:p>
    <w:p>
      <w:pPr>
        <w:pStyle w:val="BookText"/>
        <w:rPr/>
      </w:pPr>
      <w:r>
        <w:rPr>
          <w:rFonts w:ascii="IRNazanin" w:hAnsi="IRNazanin" w:eastAsia="IRNazanin"/>
          <w:color w:val="111111"/>
          <w:sz w:val="28"/>
          <w:sz w:val="28"/>
          <w:szCs w:val="28"/>
          <w:rtl w:val="true"/>
          <w:lang w:bidi="fa-IR"/>
        </w:rPr>
        <w:t>یقول فیه المعلم حبیب آبادی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یظهر إلی الوجود فی المائة الرابعة عشرة کشخصه فی مجال الخبرة وسعة الاطّلاع والإحاطة بالفروع وشقوق المسائل ومباحث الفقه حتّی وقتنا الحاضر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وإضافة إلی ذلک فإنّه رحمه‌الله کانت له مهارة فی علوم الأدب، بل الحکمة ونظم الشعر باللغتین الفارسیة والعربیة</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عنه ذبیح اللّه المحلاّتی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یحصل أحد بعد المرحوم آیة اللّه الشیرازی علی شهرةٍ عالمیة بقدر ما حصل علیها هذا العالم الربّانی</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ورثاه أحد مریدیه بأشعارٍ موضّحاً فیها تاریخ وفاته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فمُذ کاظم الغیظ نال النعیما وحاز مقاماً وفضلاً کریما</w:t>
      </w:r>
    </w:p>
    <w:p>
      <w:pPr>
        <w:pStyle w:val="BookText"/>
        <w:rPr/>
      </w:pPr>
      <w:r>
        <w:rPr>
          <w:rFonts w:ascii="Amiri" w:hAnsi="Amiri" w:eastAsia="Amiri" w:cs="Amiri"/>
          <w:color w:val="111111"/>
          <w:sz w:val="28"/>
          <w:sz w:val="28"/>
          <w:szCs w:val="28"/>
          <w:rtl w:val="true"/>
          <w:lang w:bidi="ar-SA"/>
        </w:rPr>
        <w:t>وجاور ربّاً غفوراً رحیما فأرِّخ لقد فاز فوزاً عظیما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خصوص وفاته قدس‌سره کتب المحدّث الشهیر الشیخ عباس القمّی صاحب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الفوائد الرضویة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بشأن حادثة ارتحاله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لقد وصل خبر وفاة السیّد الجلیل إلی خراسان، واُقیم مجلس تأبین وعزاء کبیر فی مسجد گوهرشاد، وقد اجتمع فی هذا المجلس علماء المدینة المقدّسة، وأغلق التجار والکسبة وأصحاب الحرف محلاّتهم ودکاکینهم وانشغلوا بالعزاء</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اُقیمت مجالس العزاء والتأبین فی المدن الشیعیة ومنها یزد، واستمرت فیها مجالس الفاتحة إلی أربعین یوماً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وقبره الآن مزار لعامة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لاتطلبوا فی الأرض قبری ومرقدی بل فی صدور العارفین مزارنا</w:t>
      </w:r>
    </w:p>
    <w:p>
      <w:pPr>
        <w:pStyle w:val="BookText"/>
        <w:rPr/>
      </w:pPr>
      <w:r>
        <w:rPr>
          <w:rFonts w:ascii="IRNazanin" w:hAnsi="IRNazanin" w:eastAsia="IRNazanin"/>
          <w:color w:val="111111"/>
          <w:sz w:val="28"/>
          <w:sz w:val="28"/>
          <w:szCs w:val="28"/>
          <w:rtl w:val="true"/>
          <w:lang w:bidi="fa-IR"/>
        </w:rPr>
        <w:t>ولأجل إحیاء ذکره وإجلاله وتکریمه فقد بُنیت مکتبة عامّة فی یزد من قبل مدیریة الثقافة والإعلام الإسلامیة العامّة، وکذلک اُسّس مجمَّع ثقافی فی محلّ سکنی السیّد الیزدی بمساعدة عائلته ومشارکة إدارة المحافظة والقائمقامیة</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وأخیراً فیما یتعلق بسیرته الشخصیة قدس‌سره نتناول حیاته السیاسیة أو الاجتماعیة والتی تمثل مواجهاته لأعداء الإسلام </w:t>
      </w:r>
      <w:r>
        <w:rPr>
          <w:rFonts w:eastAsia="IRNazanin" w:cs="IRNazanin"/>
          <w:color w:val="111111"/>
          <w:sz w:val="28"/>
          <w:szCs w:val="28"/>
          <w:rtl w:val="true"/>
          <w:lang w:bidi="fa-IR"/>
        </w:rPr>
        <w:t xml:space="preserve">. </w:t>
      </w:r>
      <w:bookmarkStart w:id="17" w:name="pg13272_142564"/>
    </w:p>
    <w:p>
      <w:pPr>
        <w:pStyle w:val="Heading3"/>
        <w:numPr>
          <w:ilvl w:val="2"/>
          <w:numId w:val="1"/>
        </w:numPr>
        <w:rPr/>
      </w:pPr>
      <w:bookmarkStart w:id="18" w:name="__RefHeading___Toc1636388_2322387425"/>
      <w:bookmarkStart w:id="19" w:name="_Toc6"/>
      <w:bookmarkEnd w:id="17"/>
      <w:bookmarkEnd w:id="18"/>
      <w:r>
        <w:rPr>
          <w:rtl w:val="true"/>
        </w:rPr>
        <w:t>مواقفه فی مواجهة أعداء الإسلام</w:t>
      </w:r>
      <w:bookmarkEnd w:id="19"/>
    </w:p>
    <w:p>
      <w:pPr>
        <w:pStyle w:val="BookText"/>
        <w:rPr/>
      </w:pPr>
      <w:r>
        <w:rPr>
          <w:rStyle w:val="FootnoteAnchor"/>
          <w:rtl w:val="true"/>
        </w:rPr>
        <w:footnoteReference w:id="5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تحفل حیاة السید الیزدی بمجموعة من الممارسات الاجتماعیة والسیاسیة بخاصة أنّ المرحلة التی برز فیها قدس‌سره بالنسبة إلی خارطة العراق وایران وسواهما ، کانت حافلة بغلیان سیاسی وبتغیرات اجتماعیة تفرض علی الاشخاص الذین یحتلون مواقع ریادیة، کالمرجعیة مثلاً أن یسهموا فی المبادرات الاصلاحیة ، وهذا ما طبع حیاة السید الیزدی قدس‌سره ، وهو أمر یقتادنا إلی المرور ـ ولو سریعاً ـ علی مشارکته فی مقدمة ذلک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موقفه من الحرکة الدستوریة فی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بدایات القرن العشرین، برز فی ایران صراع بعد إقرار الدستور بین علماء الشیعة، فقد انقسموا إلی فریقین متعارضین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یتزعّمه الآخوند الخراسانی والمیرزا حسین المیرزا خلیل والشیخ محمّد حسین النائینی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 یتزعّمه الشیخ فضل اللّه النوری ویدعمه السیّد کاظم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عرف هذا الفریق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المستبدة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مقابل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تسمیة غیر دقیقة رغم شیوعها فی المصادر التاریخیة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لم یعارضوا مشروع النظام الدستوری، إنّما عارضوا تطبیقاته کما سیأتی بنا فی بعض الوثائق التاریخیة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نقطة الخلاف الأساسیة هی الموقف من الدستور، فقد کانت کتلة الآخوند الخراسانی تری فی الحیاة الدستوریة تحقیقاً للعدالة الّتی حرم منها </w:t>
      </w:r>
    </w:p>
    <w:p>
      <w:pPr>
        <w:pStyle w:val="BookText"/>
        <w:rPr/>
      </w:pPr>
      <w:r>
        <w:rPr>
          <w:rFonts w:ascii="IRNazanin" w:hAnsi="IRNazanin" w:eastAsia="IRNazanin"/>
          <w:color w:val="111111"/>
          <w:sz w:val="28"/>
          <w:sz w:val="28"/>
          <w:szCs w:val="28"/>
          <w:rtl w:val="true"/>
          <w:lang w:bidi="fa-IR"/>
        </w:rPr>
        <w:t>الشعب الإیرانی، وأنّ مواد الدستور لاتخالف الشریعة الإسلامیة طالما أنّ هنالک لجنةً من الفقهاء تشرف علی قراراته ولوائحه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کتلة الشیخ النوری فقد کانت تنظر إلی الدستور علی أ نّه من صیاغة الاتجاه التغریبی، الّذی استطاع رجاله أن یحرفوا الحرکة الدستوریة عن مسارها الإسلامی؛ لذا کان الشیخ النوری یدعو إلی شرعیة المشروطة، وهو الطرح الّذی أثار العلمانیین، فتعرّض الشیخ النوری إلی حملة شدیدة ومحاولات تشویه مکثّفة نتیجة ذلک</w:t>
      </w:r>
      <w:r>
        <w:rPr>
          <w:rStyle w:val="FootnoteAnchor"/>
          <w:rtl w:val="true"/>
        </w:rPr>
        <w:footnoteReference w:id="6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للماسونیّة دورها فی تلک الأحداث وفی تعمیق الخلاف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ونظراً لموقع النجف فی الحیاة الشیعیّة فقد انتقل الخلاف إلیها، وتوزّع علماء الدین بین السیّد الیزدی والشیخ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والملاحظ علی هذا التوزع أنّ العرب انضمّوا إلی السیّد الیزدی، فیما انضمّ الإیرانیون إلی الآخوند الخراسانی، وقد نجم عن ذلک تنافس شدید بین الجماعتین وصل إلی الاتهامات والحساسیات المفرطة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انتصار الحرکة الدستوریة فی ترکیا کانت جماعة السیّد الیزدی هی الأقوی، فقد کان یصلّی وراءه الآلاف، فی حین لم یکن یصلّی وراء الآخوند الخراسانی سوی عدد قلیل لایزید علی الثلاثین شخصاً</w:t>
      </w:r>
      <w:r>
        <w:rPr>
          <w:rStyle w:val="FootnoteAnchor"/>
          <w:rtl w:val="true"/>
        </w:rPr>
        <w:footnoteReference w:id="6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أنصار المشروطة یتعرضون لمضایقات العشائر العراقیّة؛ لأنـّهم یرونهم خصوماً للسیّد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ویروی أنّ طلبة العلوم الدینیّة لم یستطیعوا الخروج من النجف الأشرف لمدّة سنة کاملة لزیارة کربلاء والکوفة خوفاً من خصوم المشروطة</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غیر أنّ الصورة انعکست بعد الحرکة الدستوریة فی الدولة العثمانیّة عام </w:t>
      </w:r>
    </w:p>
    <w:p>
      <w:pPr>
        <w:pStyle w:val="BookText"/>
        <w:rPr/>
      </w:pP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Style w:val="FootnoteAnchor"/>
          <w:rtl w:val="true"/>
        </w:rPr>
        <w:footnoteReference w:id="63"/>
      </w:r>
      <w:r>
        <w:rPr>
          <w:rFonts w:ascii="IRNazanin" w:hAnsi="IRNazanin" w:eastAsia="IRNazanin"/>
          <w:color w:val="111111"/>
          <w:sz w:val="28"/>
          <w:sz w:val="28"/>
          <w:szCs w:val="28"/>
          <w:rtl w:val="true"/>
          <w:lang w:bidi="fa-IR"/>
        </w:rPr>
        <w:t>، حیث تعرّض السیّد الیزدی إلی مضایقات حکومة الإتّحاد والترقّی وهدّدوه بالنفی خارج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حاول بعض أنصار المشروطة الإساءة إلیه اجتماعیاً عن طریق إرسال برقیات إلی إسطنبول تتهمه بتهم سیئة، بغیة تعریضه لعقوبة قاسیة من الحکومة العثمانیّة</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حاول أحد القادة الأتراک التأثیر علی موقف السیّد الیزدی، فزاره فی النجف الأشرف، وطلب منه أن یصدر رأیاً یؤید فیه الحرکة الدستوریة، فأجابه السیّد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الشعارات الّتی ترفعونها هی شعارات غربیّة، وهؤلاء الّذین ینادون بالحریّة إنّما یریدون إنهاء الإسلام فی البلاد من خلال المظاهر الغربیة فی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نظرة السیّد الیزدی إلی المشروطة قائمةً علی أساس رصد الممارسة الفعلیّة الّتی یقوم بها بعض رجال المشروطة، وتشخیص دوافعهم من ورائها، حیث کان یعتبر أنّ موقفهم الحقیقی معادٍ للإسلام، وأنـّهم یریدون تعطیل أحکام الشریعة الإسلامیة فی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أبدی هذا الرأی ذات مرّة فی منزل شیخ الشریعة الإصفهانی</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استغلّ المغرضون أجواء الخلاف فی الإقدام علی خطوات خطیرة، فقد تعرّض فی تلک الفترة السیّد الیزدی والآخوند الخراسانی والشیخ النوری إلی محاولات اغتیال</w:t>
      </w:r>
      <w:r>
        <w:rPr>
          <w:rStyle w:val="FootnoteAnchor"/>
          <w:rtl w:val="true"/>
        </w:rPr>
        <w:footnoteReference w:id="66"/>
      </w:r>
      <w:r>
        <w:rPr>
          <w:rFonts w:ascii="IRNazanin" w:hAnsi="IRNazanin" w:eastAsia="IRNazanin"/>
          <w:color w:val="111111"/>
          <w:sz w:val="28"/>
          <w:sz w:val="28"/>
          <w:szCs w:val="28"/>
          <w:rtl w:val="true"/>
          <w:lang w:bidi="fa-IR"/>
        </w:rPr>
        <w:t xml:space="preserve">، وهی ظاهرة خطیرة ذات دلالات تاریخیة هامّة، لاسیما إذا تذکّرنا أنّ الماسونیة وغیرها من الجمعیات المعادیة للإسلام نشطت فی تلک الفترة </w:t>
      </w:r>
    </w:p>
    <w:p>
      <w:pPr>
        <w:pStyle w:val="BookText"/>
        <w:rPr/>
      </w:pPr>
      <w:r>
        <w:rPr>
          <w:rFonts w:ascii="IRNazanin" w:hAnsi="IRNazanin" w:eastAsia="IRNazanin"/>
          <w:color w:val="111111"/>
          <w:sz w:val="28"/>
          <w:sz w:val="28"/>
          <w:szCs w:val="28"/>
          <w:rtl w:val="true"/>
          <w:lang w:bidi="fa-IR"/>
        </w:rPr>
        <w:t>بشکل ملحوظ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یروی الشیخ محمّد حرز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کان فی مسجد السهلة بالکوفة بتاریخ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w:t>
      </w:r>
      <w:r>
        <w:rPr>
          <w:rFonts w:eastAsia="IRNazanin" w:cs="IRNazanin"/>
          <w:color w:val="111111"/>
          <w:sz w:val="28"/>
          <w:szCs w:val="28"/>
          <w:lang w:bidi="fa-IR"/>
        </w:rPr>
        <w:t>1326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الثانی </w:t>
      </w:r>
      <w:r>
        <w:rPr>
          <w:rFonts w:eastAsia="IRNazanin" w:cs="IRNazanin"/>
          <w:color w:val="111111"/>
          <w:sz w:val="28"/>
          <w:szCs w:val="28"/>
          <w:lang w:bidi="fa-IR"/>
        </w:rPr>
        <w:t>1908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فقدم جماعة من إیران یستفتون المیرزا حسین المیرزا خلیل حول جزاء المحارب للّه ولرسوله ممّن یسعی فی الأرض فساداً، هل یجوز قتله؟ وقد کتب المیرزا حسین والآخوند الخراسانی والشیخ عبداللّه المازندرانی الجواب بالإیجاب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فأدرک الشیخ حرز الدین أنّ هؤلاء یستهدفون العلماء الذین یعارضون المشروطة، فأسرّ للمیرزا حسین بحقیقة الأمر، فطلب أصحاب الاستفتاء فلم یعثروا علیهم، ممّا اضطرّ المیرزا إلی کتابة ورقة فیها عدول عما أفتی به، وتوفّی بعد هذه الحادثة بثلاثة أیام</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أمثال هذه الاستفتاءات وغیرها من الممارسات تُستغلّ فی إیران لمحاربة معارضی المشروطة، خصوصاً الشیخ فضل اللّه النوری الّذی تصدّی بقوّة لمواجهة الانحراف الّذی حدث فی الحرکة الدستوریة، فقد اعتصم فی مرقد السیّد عبدالعظیم فی جمادی الاُولی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واستمر فی اعتصامه حتّی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من تلک السنة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أیلول </w:t>
      </w:r>
      <w:r>
        <w:rPr>
          <w:rFonts w:eastAsia="IRNazanin" w:cs="IRNazanin"/>
          <w:color w:val="111111"/>
          <w:sz w:val="28"/>
          <w:szCs w:val="28"/>
          <w:lang w:bidi="fa-IR"/>
        </w:rPr>
        <w:t>1907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وکانت فترة اعتصامه هامّة فی مسار الأحداث، حیث تصدّی لمظاهر الانحراف بقوّة، واستطاع أن یحقّق بعض المکاسب،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حصوله علی تعهّدٍ من المجلس بأن تکون إیران دولة إسلامیة، وأنّ أحکام الإسلام ثابتة غیر متغیرة، وأنّ المشروطة یجب أن لا تخالف الشریعة الإسلامیة</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خلال تلک الفترة أصدر الشیخ النوری نشرة محلّیة فی بلدة السیّد عبدالعظیم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فیها نصوص البرقیات الّتی وردته من السیّد الیزدی والشیخ </w:t>
      </w:r>
    </w:p>
    <w:p>
      <w:pPr>
        <w:pStyle w:val="BookText"/>
        <w:rPr/>
      </w:pPr>
      <w:r>
        <w:rPr>
          <w:rFonts w:ascii="IRNazanin" w:hAnsi="IRNazanin" w:eastAsia="IRNazanin"/>
          <w:color w:val="111111"/>
          <w:sz w:val="28"/>
          <w:sz w:val="28"/>
          <w:szCs w:val="28"/>
          <w:rtl w:val="true"/>
          <w:lang w:bidi="fa-IR"/>
        </w:rPr>
        <w:t>الخراسانی وغیرهما من العلماء تُبیّن موقفهم من الدستور والمجلس</w:t>
      </w:r>
      <w:r>
        <w:rPr>
          <w:rStyle w:val="FootnoteAnchor"/>
          <w:rtl w:val="true"/>
        </w:rPr>
        <w:footnoteReference w:id="69"/>
      </w:r>
      <w:r>
        <w:rPr>
          <w:rFonts w:ascii="IRNazanin" w:hAnsi="IRNazanin" w:eastAsia="IRNazanin"/>
          <w:color w:val="111111"/>
          <w:sz w:val="28"/>
          <w:sz w:val="28"/>
          <w:szCs w:val="28"/>
          <w:rtl w:val="true"/>
          <w:lang w:bidi="fa-IR"/>
        </w:rPr>
        <w:t>، وهی وثائق تاریخیّة ذات أهمیّة کبیرة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أصدر الشیخ النوری فی نشرته المحلّیّة بیاناً آخر کشف فیه أنّ السیّد کاظم الیزدی لایعارض المشروطة، ویستند فی ذلک علی برقیّة أرسلها السیّد الیزدی إلی أحد علماء الدین فی إیران، جاء فی البیان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فیما یلی مسوّدة برقیة حضرة حجة الإسلام والمسلمین آیة اللّه فی العالمین سماحة السیّد محمّد کاظم الطباطبائی دامت برکاته العالیة، أرسلها إلی حضرة ثقة الإسلام والمسلمین کهف العلماء المجتهدین سماحة الآخوند الآملی دام ظله العالی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w:t>
      </w:r>
      <w:r>
        <w:rPr>
          <w:rFonts w:eastAsia="IRNazanin" w:cs="IRNazanin"/>
          <w:color w:val="111111"/>
          <w:sz w:val="28"/>
          <w:szCs w:val="28"/>
          <w:lang w:bidi="fa-IR"/>
        </w:rPr>
        <w:t>676</w:t>
      </w:r>
    </w:p>
    <w:p>
      <w:pPr>
        <w:pStyle w:val="BookText"/>
        <w:rPr/>
      </w:pPr>
      <w:r>
        <w:rPr>
          <w:rFonts w:ascii="IRNazanin" w:hAnsi="IRNazanin" w:eastAsia="IRNazanin"/>
          <w:color w:val="111111"/>
          <w:sz w:val="28"/>
          <w:sz w:val="28"/>
          <w:szCs w:val="28"/>
          <w:rtl w:val="true"/>
          <w:lang w:bidi="fa-IR"/>
        </w:rPr>
        <w:t>حضرة ثقة الإسلام الآملی دامت 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تملّکَنا القلق من تجرّؤ المبتدعین، وإشاعة کفر الملحدین، نتیجة الحریة الزائفة، وسوف لن یتمکنوا من تنفیذ مآربهم بعون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وبالطبع فإنّ الوقوف بوجه الکفر وصیانة العقیدة وتطبیق القوانین القرآنیة القویمة والشریعة المحمدیّة الأبدیّة، یعتبر من أهم فرائض العلماء الربّانیین، مع الأخذ بعین الاعتبار الأسباب الموجبة لصلاح وصون الدین ودماء المسلمین، لا بُدّ من بذل الجهود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کاظم الطباطبائی</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rtl w:val="true"/>
          <w:lang w:bidi="fa-IR"/>
        </w:rPr>
        <w:t>(</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إعلانه الجهاد ضدّ نظام محمّد علی شاه وإسقاطه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قرار محمّد علی شاه فی إلغاء الحیاة الدستوریة، کان فی نظر علماء الشیعة لیس عودة إلی الدکتاتوریة فحسب، إنّما هو مشروع استعماری یهدف إلی تحکیم الإرادة الأجنبیّة علی بلد إسلامی، خصوصاً وأنّ خلفیات المشروع وتنفیذه جاء بدعم عسکری من روسیا، الدولة الّتی تمتلک مصالح استعماریة قدیمة فی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یکن الشاه یقدّر بدقة درجة تحسّس علماء الشیعة من المظاهر الاستعماریة، وأنـّهم لا یمکن أن یتقبّلوا وجوداً عسکریاً استعماریاً فی بلاد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أثارت خطوته علماء الشیعة کافة، حتّی اُولئک الّذین لم یدعموا المشروطة مثل السیّد کاظم الیزدی الّذی أبرق إلی محمّد علی شاه یشجب دخول القوّات الروسیّة إلی إیران، معتبراً ذلک احتلالاً عسکریّاً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ما أثار مخاوف الحکومة الروسیّة، فقد کتب السفیر البریطانی فی بغداد یقول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أبلغنی المسیو ماسجکوف ـ موظف الحکومة الروسیّة ـ أنّ الملاّ محمّد کاظم الخراسانی له نفوذ عظیم فی باکو، بشکل جعل من باکو أعظم مراکز نفوذه الفتّاکة الّتی تجری فیها التبلیغات الثوریة، ویضیف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أکثر الشخصیّات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نفوذاً خارج باکو وسط المسلمین القفقاز هو السیّد کاظم الیزدی؛ لهذا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أعتقد بأنّ من الضروری الالتفات إلی نقطة هامة هی أنّ السیّد کاظم الیزدی لم یبتعد عن السیاسة، إنّه الآن یرید أن یستخدم نفوذه حتّی یدفع الروس، وإنّ السیّد کاظم الیزدی یُحترم کثیراً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ذلک إذا کان یفکر بوجوب الاشتراک فی الاُمور السیاسیّة، فمن الممکن أن یحرّک الثورات فی القفقاز وإیجاد مشاکل واضطرابات واضحة للدولة الروسیّة</w:t>
      </w:r>
      <w:r>
        <w:rPr>
          <w:rFonts w:eastAsia="IRNazanin" w:cs="IRNazanin"/>
          <w:color w:val="111111"/>
          <w:sz w:val="28"/>
          <w:szCs w:val="28"/>
          <w:rtl w:val="true"/>
          <w:lang w:bidi="fa-IR"/>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إثر اهتمام علماء الشیعة بدخول القوّات الروسیّة إلی إیران ، وتصاعد احتمال قیادتهم لحرکة الجهاد ضد الوجود العسکری الروسی، شعرت الحکومتان الروسیّة والبریطانیّة بالخطر الجادّ الّذی یهدّد مصالحهما فی إیران، ممّا دفعهما إلی تحاشی الصِدام مع علماء الشیعة عن طریق الضغظ علی الشاه لحمله علی إعادة الحیاة الدستوریة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فعقد سفیرا الدولتین اجتماعاً مشترکاً مع محمّد علی شاه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1909</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الثانی </w:t>
      </w:r>
      <w:r>
        <w:rPr>
          <w:rFonts w:eastAsia="IRNazanin" w:cs="IRNazanin"/>
          <w:color w:val="111111"/>
          <w:sz w:val="28"/>
          <w:szCs w:val="28"/>
          <w:lang w:bidi="fa-IR"/>
        </w:rPr>
        <w:t>1327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قدّما له بیاناً مشترکاً یطلبان فیه إعادة النظام الدستوری إلی إیران ، ووعداه بتقدیم مساعدة مالیة لحکومته فیما لو نفّذ ذلک</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موقف روسیا وبریطانیا یعکس حجم مخاوفهما من علماء الشیعة، فرغم معاداة روسیا للنظام الدستوری، ووقوفها وراء موقف الشاه فی تعطیل الدستور، إلاّ أنّ تقدیرها لخطورة المستقبل علی مصالحها جعلها تضطر إلی قبول المشروطة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بریطانیا فهی رغم سعیها لإضعاف النفوذ الروسی فی إیران، إلاّ أنّ طبیعة المصالح السیاسیة والخوف من تطورات المستقبل یومذاک، جعلها تتفق مع روسیا فی الموقف، من أجل امتصاص معارضة علماء الشیعة، والحیلولة دون مضیّهم فی حرکة الجهاد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سیاق الجهود المکثّفة لإرضاء علماء الشیعة أعلن محمّد علی شاه أ نّه سیعید الحیاة الدستوریة، وأرسل برقیاته إلی علماء الدین فی العراق یخبرهم أنّ النظام الدستوری قد عاد إلی إیران، غیر أنـّهم ظلّوا علی مواقفهم السابقة بضرورة التصدّی لسلطة الشاه وإجلاء القوّات الروسیّة عن الأراضی الإیرانیة، حیث اعتبروا أنّ وجود القوّات الأجنبیّة یتعارض مع استقلال بلد إسلامی، وأنّ هذه </w:t>
      </w:r>
    </w:p>
    <w:p>
      <w:pPr>
        <w:pStyle w:val="BookText"/>
        <w:rPr/>
      </w:pPr>
      <w:r>
        <w:rPr>
          <w:rFonts w:ascii="IRNazanin" w:hAnsi="IRNazanin" w:eastAsia="IRNazanin"/>
          <w:color w:val="111111"/>
          <w:sz w:val="28"/>
          <w:sz w:val="28"/>
          <w:szCs w:val="28"/>
          <w:rtl w:val="true"/>
          <w:lang w:bidi="fa-IR"/>
        </w:rPr>
        <w:t xml:space="preserve">القـوّات ما لـم تنسحب من أراضی المسلمین فإنّ علی المسلمین إخراجها بالقوّة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أثار تشدّد المرجعیّة الشیعیّة قلق روسیا وبریطانیا، فحاولتا الاتّصال برجال المشروطة فی إیران لإقناعهم بأنّ الشاه سیعید الحیاة الدستوریة، کما بذلت الدولتان جهودهما مع علماء الدین فی العراق بالاتجاه نفسه، وقدّم سفیرا روسیا وبریطانیا بیاناً إلیهم یؤکدان فیه إعادة الدستور إلی إیران، ویدعوهم إلی التعاون مع الشاه فی هذا الخصوص، لکن علماء الشیعة واصلوا شجبهم للوجود الروسی فی إیران</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موقفهم بضرورة جلاء القوّات الروسیّة مسألة لا تقبل المساومة والتراجع، کما أنـّهم اعتبروا إسقاط الشاه هدفاً آخر لابُدّ من تحقیقه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أعلن علماء الدین فی النجف الأشرف الجهاد ضد روسیا، وأنـّهم سیتوجهون إلی الکاظمیة علی رأس المجاهدین فی طریقهم إلی إیران، وکان من بینهم السیّد کاظم الیزدی</w:t>
      </w:r>
      <w:r>
        <w:rPr>
          <w:rStyle w:val="FootnoteAnchor"/>
          <w:rtl w:val="true"/>
        </w:rPr>
        <w:footnoteReference w:id="73"/>
      </w:r>
      <w:r>
        <w:rPr>
          <w:rFonts w:ascii="IRNazanin" w:hAnsi="IRNazanin" w:eastAsia="IRNazanin"/>
          <w:color w:val="111111"/>
          <w:sz w:val="28"/>
          <w:sz w:val="28"/>
          <w:szCs w:val="28"/>
          <w:rtl w:val="true"/>
          <w:lang w:bidi="fa-IR"/>
        </w:rPr>
        <w:t>، وقد وجّه الآخوند الخراسانی دعوته إلی العشائر العراقیة، فاستجابت بآلاف المقاتلین</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دوره الفعّال بعد غزو روسیا لإیران وغیره</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 الهجوم الروسی علی إیران تحدّیاً جدیداً للعالم الإسلامی، فقد جاء بعد عدة أسابیع من الاحتلال الإیطالی للأراضی اللیبیّة؛ لذلک کانت استجابة علماء الشیعة سریعة وقویّة، فقد أعلنوا فتاواهم بوجوب الدفاع عن إیران ضد الاحتلال </w:t>
      </w:r>
    </w:p>
    <w:p>
      <w:pPr>
        <w:pStyle w:val="BookText"/>
        <w:rPr/>
      </w:pPr>
      <w:r>
        <w:rPr>
          <w:rFonts w:ascii="IRNazanin" w:hAnsi="IRNazanin" w:eastAsia="IRNazanin"/>
          <w:color w:val="111111"/>
          <w:sz w:val="28"/>
          <w:sz w:val="28"/>
          <w:szCs w:val="28"/>
          <w:rtl w:val="true"/>
          <w:lang w:bidi="fa-IR"/>
        </w:rPr>
        <w:t>الروسی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أصدر السیّد کاظم الیزدی بیاناً فی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الثانی </w:t>
      </w:r>
      <w:r>
        <w:rPr>
          <w:rFonts w:eastAsia="IRNazanin" w:cs="IRNazanin"/>
          <w:color w:val="111111"/>
          <w:sz w:val="28"/>
          <w:szCs w:val="28"/>
          <w:lang w:bidi="fa-IR"/>
        </w:rPr>
        <w:t>1911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أفتی فیه بالجهاد، وتحدث عن الهجمة الاستعماریة الّتی تقوم بها کلّ من إیطالیا وروسیا وبریطانیا علی البلاد الإسلامیّة، ودعا المسلمین إلی التصدّی للاستعمار، والدفاع عن کیان الدولتین الإیرانیة والعثمانیّة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أصدر السیّد الیزدی البیان رغم سوء علاقته بالحکومتین الإیرانیة والعثمانیّة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رؤیته للخطر الّذی تتعرّض له البلاد الإسلامیّة وتشخیصه لأبعاد التحدّی الاستعماری جعلته یتّخذ هذا الموقف الحاسم، ویصدر فتواه بالجهاد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خلال شهر محرم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الثانی </w:t>
      </w:r>
      <w:r>
        <w:rPr>
          <w:rFonts w:eastAsia="IRNazanin" w:cs="IRNazanin"/>
          <w:color w:val="111111"/>
          <w:sz w:val="28"/>
          <w:szCs w:val="28"/>
          <w:lang w:bidi="fa-IR"/>
        </w:rPr>
        <w:t>1912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قرّر علماء الدین التوجه إلی الکاظمیة لإکمال مشروعهم الجهادی، فتمّ تشکیل لجنة من ثلاثة عشر عالماً لإدارة التحرّک ضدّ الاحتلال الروسی لإیران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کانت لجنة العلماء تعقد اجتماعاتها فی مدینة الکاظمیة المقدّسة، أقدمت القوّات الروسیّة إلی اجتیاح مدینة تبریز وقامت بمجازر بشعة کان من ضمنها إعدام مجموعة من علماء الشیعة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أثار هذا الحدث مشاعر علماء الدین فی العراق، فأعلن السیّد کاظم الیزدی أ نّه سیتوجّه إلی الکاظمیة للمشارکة فی تجمّع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إعلانه الجهاد ضدّ الاحتلال البریطانی للعراق</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أن تعلن بریطانیا الحرب علی الدولة العثمانیّة، صدرت الأوامر إلی القوّات البریطانیّة فی بومبی بالتحرک نحو المیاه الخلیجیّة والمرابطة فی البحرین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إعلان الحرب تقدّمت القوّات البریطانیّة نحو العراق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فاحتلّت الفاو</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کانت الدولة العثمانیّة قد أعلنت الجهاد فی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تشرین الثانی، لکنّ هذا الإعلان لم یحقّق النتائج المطلوبة فی أقالیم الدولة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وکانت المفاجأة الکبیرة للحکومة العثمانیّة أن یبادر علماء الدین الشیعة إلی إصدار فتواهم بالجهاد ووجوب محاربة الإنجلیز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الثانی </w:t>
      </w:r>
      <w:r>
        <w:rPr>
          <w:rFonts w:eastAsia="IRNazanin" w:cs="IRNazanin"/>
          <w:color w:val="111111"/>
          <w:sz w:val="28"/>
          <w:szCs w:val="28"/>
          <w:rtl w:val="true"/>
          <w:lang w:bidi="fa-IR"/>
        </w:rPr>
        <w:t>(</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وصلت برقیّة من البصرة إلی علماء الدین فی المدن المقدّسة ومختلف المدن العراقیة تخبرهم بالخطر الّذی یهدّد المدینة، جاء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البصرة الکفّار محیطون به، الجمیع تحت السلاح، نخشی علی باقی بلاد الإسلام، ساعدونا بأمر العشائر بالدفاع</w:t>
      </w:r>
      <w:r>
        <w:rPr>
          <w:rFonts w:eastAsia="IRNazanin" w:cs="IRNazanin"/>
          <w:color w:val="111111"/>
          <w:sz w:val="28"/>
          <w:szCs w:val="28"/>
          <w:rtl w:val="true"/>
          <w:lang w:bidi="fa-IR"/>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استجاب مراجع الدین الشیعة بشکل سریع ومکثَّف لهذا الخبر، فأصدروا فتاواهم بوجوب الدفاع عن البلاد ضد الغزو البریطانی، وعقدوا اجتماعاً کبیراً فی مسجد الهندی فی مدینة النجف الأشرف، خطب فیه السیّد محمّد سعید الحبوبی والشیخ عبدالکریم الجزائری والشیخ جواد الجواهری، وأکدوا وجوب مشارکة الحکومة المسلمة فی دفع الکفار عن بلاد الإسلام</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الصحن العلوی الشریف ارتقی السیّد کاظم الیزدی المنبر وخطب فی الناس یدعوهم إلی الدفاع عن البلاد الإسلامیة، وأوجب علی الغنی العاجز بَدَناً </w:t>
      </w:r>
    </w:p>
    <w:p>
      <w:pPr>
        <w:pStyle w:val="BookText"/>
        <w:rPr/>
      </w:pPr>
      <w:r>
        <w:rPr>
          <w:rFonts w:ascii="IRNazanin" w:hAnsi="IRNazanin" w:eastAsia="IRNazanin"/>
          <w:color w:val="111111"/>
          <w:sz w:val="28"/>
          <w:sz w:val="28"/>
          <w:szCs w:val="28"/>
          <w:rtl w:val="true"/>
          <w:lang w:bidi="fa-IR"/>
        </w:rPr>
        <w:t>أن یجهّز من ماله الفقیر القویّ</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توجّه علماء الدین إلی جبهات القتال علی رأس کتائب المجاهدین الذین زاد عددهم علی أربعین ألف مجاهد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فقد انطلق السیّد محمّد سعید الحبوبی من النجف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الثانی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 الحجة </w:t>
      </w:r>
      <w:r>
        <w:rPr>
          <w:rFonts w:eastAsia="IRNazanin" w:cs="IRNazanin"/>
          <w:color w:val="111111"/>
          <w:sz w:val="28"/>
          <w:szCs w:val="28"/>
          <w:lang w:bidi="fa-IR"/>
        </w:rPr>
        <w:t>1332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طریق السماوة والناصریة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تشرین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تحرّک موکب السیّد عبدالرزاق الحلو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وتلا ذلک تحرّک المجاهدین عن طریق بغداد بقیادة کل من شیخ الشریعة الإصفهانی والسیّد علیّ الداماد والسیّد مصطفی الکاشانی وموفدو السیّد کاظم الیزدی،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ابنه السیّد محمّد والشیخ محمّد حسین کاشف الغطاء، وذلک فی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الثانی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توزّع المجاهدون علی ثلاث فرق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الاُولی فی القرنة برئاسة السیّد مهدی الحیدری وشیخ الشریعة الإصفهانی والسیّد مصطفی الکاشانی والسیّد علی الداماد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والثانیة فی الحویزة برئاسة الشیخ مهدی الخالصی وابنه الشیخ محمّد والسیّد محمّد الیزدی والشیخ جعفر راضی والسیّد کمال الحلّی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والثالثة فی الشعیبة برئاسة السیّد محمّد سعید الحبوبی والشیخ باقر حیدر والسیّد محسن الحکیم</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بذل علماء الشیعة جهودهم لتوسیع دائرة حرکة الجهاد، وکانت إمارة عربستان تمثّل منطقة هامة من الناحیة العسکریة آنذاک؛ لذا أرسل علماء النجف الأشرف إلی حاکمها الشیخ خزعل البرقیة التالیة فی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الثانی </w:t>
      </w:r>
      <w:r>
        <w:rPr>
          <w:rFonts w:eastAsia="IRNazanin" w:cs="IRNazanin"/>
          <w:color w:val="111111"/>
          <w:sz w:val="28"/>
          <w:szCs w:val="28"/>
          <w:lang w:bidi="fa-IR"/>
        </w:rPr>
        <w:t>1914</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بِاسمِ الشریعة المحمدیّة، یجب علیک النهوض والقیام واتفاقکم مع المسلمین فی مدافعة الکفار عن ثغر البصرة بالمال والنفس وبکل ما تقدرون علیه، وهذا حکم دینی لا یفرّق بین الإیرانی والعثمانی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وجاهدوا بأموالکم وأنفسکم لینصرکم اللّه بحوله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وقّع علی هذه البرقیّة کلّ من شیخ الشریعة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الإصفهانی والسیّد مصطفی الکاشانی والمیرزا مهدی الخراسانی والسیّد علی التبریزی والشیخ محمّد حسین المهدی</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نفس الیوم أرسل السیّد کاظم الیزدی البرقیّة التالیة إلی الشیخ خزعل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یخفی أنّ من أهم الواجبات المحافظة علی بیضة الإسلام، والدفاع بالنفس والنفیس عن ثغور المسلمین ضد مهاجمة الکفار، وأنت فی ثغرٍ مهمٍّ من تلک الثغور، فالواجب حفظ ذلک الثغر عن هجوم الکفار بکلّ ما تتمکّن، کما یجب ذلک علی سائر العشائر القاطنین فی تلک الجهات، واللازم علیک تبلیغ ذلک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أ نّه یحرم علی کلّ مسلم معاونة الکفار ومعاضدتهم علی محاربة المسلمین، والأمل بهمّتک وغیرتک أن تبذل تمام جهدک فی دفع الکافرین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مؤیدک بالنصر علی أعدائه إن شاء اللّه تعالی</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 الشیخ خزعل یرتبط مع الإنجلیز باتفاقیّة تحالف، تعهّد فیها الإنجلیز بالحفاظ علی إمارته والاعتراف باستقلالها إذا ظلّ حلیفاً لهم یعمل بمشورتهم</w:t>
      </w:r>
      <w:r>
        <w:rPr>
          <w:rStyle w:val="FootnoteAnchor"/>
          <w:rtl w:val="true"/>
        </w:rPr>
        <w:footnoteReference w:id="81"/>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وهذا ما جعله یتمسّک بحیاده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حاول الشیخ عبدالکریم الجزائری بحکم العلاقة الوثیقة مع الشیخ خزعل أن یحمله علی المشارکة فی الجهاد، فکتب إلیه یأمره أن یقف إلی جانب الدولة العثمانیّة، وأن یعبّئ العشائر لمحاربة الإنجلیز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خزعل أجابه بالاعتذار شارحاً موقفه من الإنجلیز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فقطع الشیخ الجزائری علاقته به، ومع أنّ الشیخ خزعل حاول إعادة العلاقة بعد انتهاء الحرب، إلاّ أنّ الشیخ الجزائری أجابه بمبدئیة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 ما بینی وبینک الإسلام</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الشیخ خزعل سمح لقوّات المجاهدین بالمرور عبر أراضیه، وذلک استجابة لطلب السیّد الیزدی</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وفی أواخر کانون الثانی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وصلت من العمارة قوّة ترکیّة بقیادة توفیق بک الخالدی ، فعسکرت علی ضفاف نهر الکرخة علی بعد عشرین میلاً من بلدة الأهواز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جاءت علی أثرها قوّات المجاهدین بقیادة الشیخ مهدی الخالصی وابنه الشیخ محمّد والسیّد محمّد الیزدی والشیخ عبدالکریم الجزائری والسیّد عیسی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وأعقب ذلک عملیات عسکریّة نفّذتها العشائر ضد المنشآت النفطیّة البریطانیّة</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اهتمّ علماء الدین الشیعة بتعبئة العشائر العراقیة ومتابعة شؤون حرکة الجهاد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فمثلاً امتنع الشیخ خیون العبید فی الشطرة عن المشارکة فی الجهاد، فکتب إلیه </w:t>
      </w:r>
    </w:p>
    <w:p>
      <w:pPr>
        <w:pStyle w:val="BookText"/>
        <w:rPr/>
      </w:pPr>
      <w:r>
        <w:rPr>
          <w:rFonts w:ascii="IRNazanin" w:hAnsi="IRNazanin" w:eastAsia="IRNazanin"/>
          <w:color w:val="111111"/>
          <w:sz w:val="28"/>
          <w:sz w:val="28"/>
          <w:szCs w:val="28"/>
          <w:rtl w:val="true"/>
          <w:lang w:bidi="fa-IR"/>
        </w:rPr>
        <w:t>السیّد کاظم الیزدی عدّة رسائل یأمره بالمشارکة، فقد بعث برسالة إلی عشائر الشطرة یحثّهم علی الجهاد، قال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 کافة إخواننا فی الشطرة وفیما حولها ورحمة اللّه وبرکاته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غیر خفیٍّ علیکم أنّا أبرقنا غیر مرّة لکم ولغیرکم وکتبنا حتّی کَلّ القلم وشافهنا حتّی اضطرب اللسان حثّاً علی الدفاع وإلزاماً بحفظ الثغر المهاجم، وأقول الآن عوداً علی بدء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علیکم الدفاع وحفظ بیضة الإسلام، فبأی عذر بعد الیوم تعتذرون،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اللّه‌َ حَقَّ تُقَاتِهِ وَلاَ تَمُوتُنَّ إِلاَّ وَأَنْتُم مُسْلِمُونَ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وفی رسالة شخصیّة بعثها السیّد الیزدی إلی الشیخ خَیّون العبید، کتب فیها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الرشد المتکاثر والعقل الوافر ولدنا الأعز خیّون؛ أدام اللّه عزته وأجزل توفیقه وکرامته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فقد بلغک کما بلغنا هجوم الکفّار علی بلاد المسلمین وإحاطتهم بالبصرة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لِیُطفِئُوا نُورَ اللّه‌ِ بأفواهِهِمْ واللّه‌ُ مُتِمُّ نُورِهِ</w:t>
      </w:r>
      <w:r>
        <w:rPr>
          <w:rFonts w:eastAsia="Amiri" w:cs="Amiri" w:ascii="Amiri" w:hAnsi="Amiri"/>
          <w:color w:val="111111"/>
          <w:sz w:val="28"/>
          <w:szCs w:val="28"/>
          <w:rtl w:val="true"/>
          <w:lang w:bidi="ar-SA"/>
        </w:rPr>
        <w:t>...»</w:t>
      </w:r>
      <w:r>
        <w:rPr>
          <w:rStyle w:val="FootnoteAnchor"/>
          <w:rtl w:val="true"/>
        </w:rPr>
        <w:footnoteReference w:id="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کان الأمر کذلک فإنّی اُلزمک واُوجب علیک أن تتوجّه أنت مع جمیع المسلمین الذین هم طوع أمرک إلی البصرة لسدّ ثغرها ودفع الکفرة الحافِّین بها، فإنّ ذلک واجب علیک من اللّه تعالی، وعلی کلّ من بلغه کلامی ممّن یتمکّن من شدّ الرحال إلی البصرة بماله ونفسه وخیله وسلاحه ورجاله، ولیس لمسلم متمکّن من ذلک عذر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والحکومة </w:t>
      </w:r>
    </w:p>
    <w:p>
      <w:pPr>
        <w:pStyle w:val="BookText"/>
        <w:rPr/>
      </w:pPr>
      <w:r>
        <w:rPr>
          <w:rFonts w:ascii="IRNazanin" w:hAnsi="IRNazanin" w:eastAsia="IRNazanin"/>
          <w:color w:val="111111"/>
          <w:sz w:val="28"/>
          <w:sz w:val="28"/>
          <w:szCs w:val="28"/>
          <w:rtl w:val="true"/>
          <w:lang w:bidi="fa-IR"/>
        </w:rPr>
        <w:t>وسائر المسلمین فی هذا الیوم سواء فی وجوب الدفاع وحفظ بیضة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وفّقکم اللّه وسائر المسلمین لذلک، وبلوغ الأجر فیما هنالک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وأرسل السیّد الیزدی رسالةً اُخری إلی الشیخ خَیّون یقول فیها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الأفخم خیّون آل عبید حرسه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السلام علیک ورحمة اللّه وبرکاته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یقیناً بلغک کما بلغنا هجوم الکفار علی بلاد المسلمین وإحاطتهم البصرة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یُرِیدُونَ أَن یُطْفِئُوا نُورَ اللّهِ بِأَفْوَاهِهِمْ وَیَأْبَی اللّهُ إِلاَّ أَن یُتِمَّ نُورَهُ وَلَوْ کَرِهَ الْکَافِرُونَ</w:t>
      </w:r>
      <w:r>
        <w:rPr>
          <w:rFonts w:eastAsia="Amiri" w:cs="Amiri" w:ascii="Amiri" w:hAnsi="Amiri"/>
          <w:color w:val="111111"/>
          <w:sz w:val="28"/>
          <w:szCs w:val="28"/>
          <w:rtl w:val="true"/>
          <w:lang w:bidi="ar-SA"/>
        </w:rPr>
        <w:t>»</w:t>
      </w:r>
      <w:r>
        <w:rPr>
          <w:rStyle w:val="FootnoteAnchor"/>
          <w:rtl w:val="true"/>
        </w:rPr>
        <w:footnoteReference w:id="8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وحیث إنّ الأمر کذلک فلا یجوز لک أن تشغل نفسک بغیر مدافعة الکافرین، فإنّ الواجب علیک ـ وعلی کلّ من بلغه فتوانا من وجوب الدفاع علی المتمکّنین من المسلمین عند مهاجمتهم الکفار علی بلاد الإسلام ـ أن تشدّ رحلک إلی حفظ ذلک الثغر، ولا یسوغ التقاعس عن نصرة الإسلام والمسلمین</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یکتفِ السیّد کاظم الیزدی بمخاطبة خیّون العبید، إنّما طلب من بعض رؤساء العشار بذل جهودهم فی الضغط علیه من أجل مشارکته فی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کتب السیّد الیزدی إلی رئیس عشیرة الزیرج فی الناصریة الرسالة التالیة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العزّ المنیع والمجد الرفیع والفضل الجلی قاطع آل بطی؛ أدام اللّه عزته وأجزل توفیقه وکرامته</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فقد بلغنا أنّ خَیّون غیر موافق للحکومة، والحکومة فی هذا الیوم وسائر المسلمین سواء فی وجوب دفاع الکفار؛ لأنـّه یجب علی کلّ مسلم متمکّن حفظ </w:t>
      </w:r>
    </w:p>
    <w:p>
      <w:pPr>
        <w:pStyle w:val="BookText"/>
        <w:rPr/>
      </w:pPr>
      <w:r>
        <w:rPr>
          <w:rFonts w:ascii="IRNazanin" w:hAnsi="IRNazanin" w:eastAsia="IRNazanin"/>
          <w:color w:val="111111"/>
          <w:sz w:val="28"/>
          <w:sz w:val="28"/>
          <w:szCs w:val="28"/>
          <w:rtl w:val="true"/>
          <w:lang w:bidi="fa-IR"/>
        </w:rPr>
        <w:t>بیضة الإسلام ودفاع الکفار الهاجمین علی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فاللازم علیک من قِبَلِنا أن تمنعه من مخالفة الحکومة، وتلزمه مع أصحابه والجمع الّذی تحت یده أن یتوجه إلی البصرة لحمایة ثغرها، ودفع الکفرة المحیطین بها، فإنّی اُوجب علیهم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أنـّی اُوجب علیک أن تتوجه مع جمعک وأصحابک إلی البصرة لسدّ ثغرها وردّ الکفرة عنها، فإنّ لکم بذلک الأجر الجزیل والثواب الجمیل من اللّه العزیز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 لکم ولا لکلّ مسلم متمکّن من ذلک عذر عند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والسلام علیکم ورحمة اللّه وبرکاته</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بعث السیّد الیزدی رسائل اُخری بهذا الخصوص إلی رؤساء الناصریّة، وظلّ یتابع بدقّة موقف الشیخ خَیّون العبید من أجل إشراکه فی الحرب دفاعاً عن بلاد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برّر خیّون قعوده بأنـّه کان قد استولی علی مجموعة من الأسلحة من الأتراک، وهو لا یرید المشارکة فی الحرب؛ لأنّ الأتراک لو امتلکوا القوّة فإنـّهم سینتقمون منه، فکتب إلیه السیّد الیزدی بأنـّه یضمن عدم تعرّضه لسخط الأتراک</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جانب ذلک أرسل السیّد محمّد سعید الحبوبی إلی خیّون یطلب حضوره إلی الناصریّة، وهناک استحصل له من الحکومة عفواً عنه وعن أتباعه، وبذلک أعلن انضمامه إلی حرکة الجهاد</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عندما أعلن خیّون العبید مشارکته فی الدفاع عن الدولة ضد الهجوم البریطانی، أرسل إلیه السیّد الیزدی رسالة یثمّن فیها موقفه، فکتب یقول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العزّة والمنعة والإباء والرفعة الأمجد الأکرم جناب الشیخ خیّون المکرم زید توفیقه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زلت مؤیداً منصوراً، وقلب الشرع بک فرحاً مسروراً بما أنت فیه من حیاطة الإسلام وصیانة أعراض المسلمین، والمحافظة علی الذمام، وحمایة شریعة سیّد المرسلین، تعطی السیف حقّه جهاداً فی سبیل اللّه، باذلاً نفسک طلباً لرضاه، مخلّداً لک الذکر الجمیل فی کلّ جیل وکلّ قبیل، آمین بمحمّدٍ صلی‌الله‌علیه‌و‌آله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فقد بلغنی عنک ما هو المأمول فیک من الشیمة العربیة والنهضة الإسلامیّة، شکر اللّه تعالی مساعیک، وشدّد صولتک علی الکافرین، وجعل من طلائعک الرعب، والنصر لک قرین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فلعمری لقد نشطتنی علی المداومة لک بالدعوات راجیاً من اللّه تعالی أن یزهق بسیفک أرواح المشرکین، ویطهّر تلک الصفحات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وها أنا بما أعدّ اللّه تعالی للمجاهدین من الخیر اُهنّیک، وبرسم التعزیة بالأکرمَین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عسکر ومطر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اُعزّیک، فلک البقاء ولهما البشری بالسعادة الأبدیّة، والحیاة السرمدیّة، والأمل أن تکون المبلّغ کافة العشائر المشترکین فی هذا الوجه الحسن عنّی التشکّر لتلک المساعی المشکورة، والوثبات المأثورة، وأن تخصّهم ونفسک بالتحیّة والسلام</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موقع مرجعیة السیّد الیزدی والثوّار فی مسار الحرب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حاولت بعض الدراسات التاریخیّة الحدیثة التقلیل من شأن المجاهدین الّذین اشترکوا فی الدفاع ضد الاحتلال البریطانی، وذلک عن طریق وصفهم </w:t>
      </w:r>
    </w:p>
    <w:p>
      <w:pPr>
        <w:pStyle w:val="BookText"/>
        <w:rPr/>
      </w:pPr>
      <w:r>
        <w:rPr>
          <w:rFonts w:ascii="IRNazanin" w:hAnsi="IRNazanin" w:eastAsia="IRNazanin"/>
          <w:color w:val="111111"/>
          <w:sz w:val="28"/>
          <w:sz w:val="28"/>
          <w:szCs w:val="28"/>
          <w:rtl w:val="true"/>
          <w:lang w:bidi="fa-IR"/>
        </w:rPr>
        <w:t>بأنـّهم اندفعوا فی المعرکة من أجل الحصول علی المغانم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وحاولت کتابات اُخری أن تصوّر اشتراک علماء الدین الشیعة والمجاهدین فی الحرب ضد الهجوم الاستعماری، علی أ نّه مشارکة هامشیّة لا تمتلک قیمة عسکریة مؤثّرة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ذهب إلی ذلک ذوو الاتّجاه القومی فی کتابة التاریخ المعاصر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وحاول بعض هؤلاء الباحثین إغفال دور مراجع وعلماء الدین من غیر العرب، الّذین أفتوا بالجهاد وشارکوا فی القتال، إمّا بصورة مباشرة أو عن طریق ممثلیهم کالسیّد کاظم الیزدی والمیرزا محمّد تقی الشیرازی، وذلک من أجل سعیهم لتوظیف حرکة الجهاد بالاتّجاه القومی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حرکة الجهاد استطاعت أن تعبّئ وبسرعة ملحوظة عدداً کبیراً من المجاهدین بلغ أکثر من أربعین ألف مقاتل، وهو رقم کبیر قیاساً بعدد أفراد الجیش العثمانی النظامی، کما أنّ المواقف البطولیّة والأداء العسکری کان ناجحاً فی أکثر من معرکة، إنما الخلل کان فی طریقة الإدارة العسکریة الترکیة، وعدم قدرتها علی توظیف طاقات المجاهدین وإخلاصهم فی الدفاع عن بلاد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ننقل هنا نصّ وثیقة تاریخیّة، وهی رسالة بعثها الشیخ محمّد حسین کاشف الغطاء إلی السیّد محمود الیزدی من جبهات القتال، وکان معه السیّد محمّد ابن السیّد کاظم الیزدی، وفیها یتحدث عن الموقف العسکری والانتصارات الّتی حقّقها المجاهدون علی القوّات البریطانیّة، قال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 وسلام اللّه علی نبیه وأهل بیته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الأخ الأعزّ الأمجد ثقة الإسلام الأجلّ السیّد محمود أطال اللّه عمره وشدّ أزره </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تقدیم عرائض الشوق والتحیة والتسلیم، نبدی لکم أ نّه وصلنا کتابکم مؤرخ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بشائر الجیش الإسلامی نصره اللّه فمن أوّل أمس إلی الیوم </w:t>
      </w:r>
    </w:p>
    <w:p>
      <w:pPr>
        <w:pStyle w:val="BookText"/>
        <w:rPr/>
      </w:pPr>
      <w:r>
        <w:rPr>
          <w:rFonts w:ascii="IRNazanin" w:hAnsi="IRNazanin" w:eastAsia="IRNazanin"/>
          <w:color w:val="111111"/>
          <w:sz w:val="28"/>
          <w:sz w:val="28"/>
          <w:szCs w:val="28"/>
          <w:rtl w:val="true"/>
          <w:lang w:bidi="fa-IR"/>
        </w:rPr>
        <w:t>صباحاً ومساءً تردنا البشائر بالتقدم والظفر واندحار العدوّ خذله اللّه</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السیّد الیزدی علی الثوّار العراقیین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حضور المجاهدین العراقیین من أبناء العشائر وغیرهم فی ساحات القتال تحت قیادة علماء الدین، یکشف عن الوعی العام للشیعة فی تشخیص الخطر الّذی یتعرّض له العالم الإسلامی من القوی الاستعماریة، وهو الموقف الّذی سبقته مواقف مماثلة عام </w:t>
      </w:r>
      <w:r>
        <w:rPr>
          <w:rFonts w:eastAsia="IRNazanin" w:cs="IRNazanin"/>
          <w:color w:val="111111"/>
          <w:sz w:val="28"/>
          <w:szCs w:val="28"/>
          <w:rtl w:val="true"/>
          <w:lang w:bidi="fa-IR"/>
        </w:rPr>
        <w:t>(</w:t>
      </w:r>
      <w:r>
        <w:rPr>
          <w:rFonts w:eastAsia="IRNazanin" w:cs="IRNazanin"/>
          <w:color w:val="111111"/>
          <w:sz w:val="28"/>
          <w:szCs w:val="28"/>
          <w:lang w:bidi="fa-IR"/>
        </w:rPr>
        <w:t>1911</w:t>
      </w:r>
      <w:r>
        <w:rPr>
          <w:rFonts w:ascii="IRNazanin" w:hAnsi="IRNazanin" w:eastAsia="IRNazanin"/>
          <w:color w:val="111111"/>
          <w:sz w:val="28"/>
          <w:sz w:val="28"/>
          <w:szCs w:val="28"/>
          <w:rtl w:val="true"/>
          <w:lang w:bidi="fa-IR"/>
        </w:rPr>
        <w:t xml:space="preserve">م وعام </w:t>
      </w:r>
      <w:r>
        <w:rPr>
          <w:rFonts w:eastAsia="IRNazanin" w:cs="IRNazanin"/>
          <w:color w:val="111111"/>
          <w:sz w:val="28"/>
          <w:szCs w:val="28"/>
          <w:lang w:bidi="fa-IR"/>
        </w:rPr>
        <w:t>1912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عندما احتلت روسیا شمال إیران واحتلت إیطالیا لیبیا، فلقد کان علماء الدین وأبناء الشیعة یتعاملون مع الحدث من بُعده الإسلامی دون سواه، وهذا ما یتّضح من خلال تصدّی مراجع الدین من غیر العرب لقضایا عربیّة، وکذلک استجابة العشائر العربیة لفتاوی المراجع الإیرانیین وانضوائهم تحت قیادتهم المباشرة، ونثبت هنا وثیقتین تاریخیتین تؤکدان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الوثیقة الاُولی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کتبها متصرّف لواء المنتفک محمّد حمزة إلی السیّد کاظم الیزدی، یعرب فیها عن استجابته لأوامره السابقة حول تسهیل شؤون المجاهدین، ویخبره بحرکة التطوّع لمحاربة الإنکلیز بتأثیر فتواه، کتب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جناب الأجلّ الأمجد حضرة مولانا ومقتدانا خادم الشرع الشریف فخر العلماء صاحب الفضیلة السیّد کاظم الیزدی المحترم وفّقه اللّه وحرسه وحماه بجاه البیت ومن بناه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عرض واجبات الاحترام لدی أعتابکم الشریفة نالت أیدی التکریم والتعظیم کتابکم وأسرّنا خطابکم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منطرف مسائل الجهادیة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فالحمد للّه </w:t>
      </w:r>
    </w:p>
    <w:p>
      <w:pPr>
        <w:pStyle w:val="BookText"/>
        <w:rPr/>
      </w:pPr>
      <w:r>
        <w:rPr>
          <w:rFonts w:ascii="IRNazanin" w:hAnsi="IRNazanin" w:eastAsia="IRNazanin"/>
          <w:color w:val="111111"/>
          <w:sz w:val="28"/>
          <w:sz w:val="28"/>
          <w:szCs w:val="28"/>
          <w:rtl w:val="true"/>
          <w:lang w:bidi="fa-IR"/>
        </w:rPr>
        <w:t xml:space="preserve">قبل کم یوم تحرکوا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تسعة آلاف مجاهد من مرکز اللواء وألفین خیّال إلی مناطق الحربیّة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والعشائر بکمال الشوق والسرور لا زالوا یتواردو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علینا من کلّ فجٍّ عمیق وسنلحقهم، إلی محالّ اللازمة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من ثمرة أنفاسکم الطاهرة ومن تأثیرات فتاویکم الشریفة الّتی اُنشرت وتبلغة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لعالم الإسلامی وافتهمنا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أنباء البرقیّة الواردة أنّ قضاء القورنة سیرد من قبل عساکرنا المنصورة والمجاهدین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1333</w:t>
      </w:r>
    </w:p>
    <w:p>
      <w:pPr>
        <w:pStyle w:val="BookText"/>
        <w:rPr/>
      </w:pPr>
      <w:r>
        <w:rPr>
          <w:rFonts w:ascii="IRNazanin" w:hAnsi="IRNazanin" w:eastAsia="IRNazanin"/>
          <w:color w:val="111111"/>
          <w:sz w:val="28"/>
          <w:sz w:val="28"/>
          <w:szCs w:val="28"/>
          <w:rtl w:val="true"/>
          <w:lang w:bidi="fa-IR"/>
        </w:rPr>
        <w:t>متصرّف لواء المنتفک</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الوثیقة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رسالة موجهة من مواقع القتال إلی أحد أبناء السیّد کاظم الیزدی، یبیّن فیها المُرسل امتثال المجاهدین للسیّد محمّد ابن السیّد الیزدی، جاء فیها</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یخفاکم من خصوص جناب مولانا حجّة الإسلام السیّد محمّد بکمال الصحّة، وجمیع من بخدمته وصحبته، وهذه المدّة نحنو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بخدمته مع عساکرنا المنصورة مع المجاهدین نازلین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الجمیع بقرب الناصریّة عنها ثلاث ساعات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والعدو خذله اللّه علی کارون بالناصریّة، وهذه المدّة لم یقع عندنا حادث جدید غیر المصادمة الأولیّة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وعمدة هذا التعطیل والتوقّف للعساکر والمجاهدین من الهجوم علی العدو هو شدّة احتیاط حجّة الإسلام وتوقّفه مهما أمکن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قریب ـ إن شاء اللّه ـ نبشّرکم بالفتح التام، ویکون الفتح من جهتنا إن شاء اللّه، وذلک ببرکة دعاء آیة اللّه دام ظلّه</w:t>
      </w:r>
      <w:r>
        <w:rPr>
          <w:rFonts w:eastAsia="IRNazanin" w:cs="IRNazanin"/>
          <w:color w:val="111111"/>
          <w:sz w:val="28"/>
          <w:szCs w:val="28"/>
          <w:rtl w:val="true"/>
          <w:lang w:bidi="fa-IR"/>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موقف السیّد الیزدی من ثورة النجف وأثره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المعروف تأریخیاً أنّ النجف شهدت ثورة ضد الانجلیز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ودراسة الثورة المشار إلیها ، لا بُدّ أن تمرّ علی مواقف السیّد الیزدی، فهو المرجع الأعلی للشیعة الّذی یتّخذ من النجف مقرّاً له، ممّا یعنی أ نّه کان وسط دائرة الحوادث، وفی موقع التأثیر علی مجریاتها، أو علی الأقلّ فی موقع الاحتکاک المباشر بها، وهذا ما یفرض علیه أن یکون صاحب موقف فیما یدور حوله، ولم یکن بمقدوره أن ینعزل ویبتعد، فخیار الحیاد لم یکن ممکناً لشخص فی موقعه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فالسیّد محمّد کاظم الیزدی جزء من حرکة الحوادث، ومعرفة موقفه لا یصحّ تجاوزها بأیّ حال من الأحوال عند دراسة ثورة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هذا التصوّر مسألة أساسیة تفرضها طبیعة المتابعة ومنهجیة البحث، ولیس هناک أیّ مبرر موضوعی لمخالفة هذا المنهج التاریخی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فالمطلوب إذاً دراسة موقف الیزدی ودوره فی حوادث الثورة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کان یقف فی معادلة الصراع؟</w:t>
      </w:r>
    </w:p>
    <w:p>
      <w:pPr>
        <w:pStyle w:val="BookText"/>
        <w:rPr/>
      </w:pPr>
      <w:r>
        <w:rPr>
          <w:rFonts w:ascii="Amiri" w:hAnsi="Amiri" w:eastAsia="Amiri" w:cs="Amiri"/>
          <w:color w:val="111111"/>
          <w:sz w:val="28"/>
          <w:sz w:val="28"/>
          <w:szCs w:val="28"/>
          <w:rtl w:val="true"/>
          <w:lang w:bidi="ar-SA"/>
        </w:rPr>
        <w:t>هل مارس دوراً داعماً أم مناهضاً للثورة والثوار؟</w:t>
      </w:r>
    </w:p>
    <w:p>
      <w:pPr>
        <w:pStyle w:val="BookText"/>
        <w:rPr/>
      </w:pPr>
      <w:r>
        <w:rPr>
          <w:rFonts w:ascii="IRNazanin" w:hAnsi="IRNazanin" w:eastAsia="IRNazanin"/>
          <w:color w:val="111111"/>
          <w:sz w:val="28"/>
          <w:sz w:val="28"/>
          <w:szCs w:val="28"/>
          <w:rtl w:val="true"/>
          <w:lang w:bidi="fa-IR"/>
        </w:rPr>
        <w:t>ما هی قدراته فی التأثیر علی عناصر الثورة؟</w:t>
      </w:r>
    </w:p>
    <w:p>
      <w:pPr>
        <w:pStyle w:val="BookText"/>
        <w:rPr/>
      </w:pPr>
      <w:r>
        <w:rPr>
          <w:rFonts w:ascii="IRNazanin" w:hAnsi="IRNazanin" w:eastAsia="IRNazanin"/>
          <w:color w:val="111111"/>
          <w:sz w:val="28"/>
          <w:sz w:val="28"/>
          <w:szCs w:val="28"/>
          <w:rtl w:val="true"/>
          <w:lang w:bidi="fa-IR"/>
        </w:rPr>
        <w:t>وغیر ذلک من الأسئلة الّتی یحقّ لکلّ باحث، بل لکلّ مهتمّ أن یثیرها أمام شخصیة المرجع الأعلی للشیعة أیامَ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النقطة بالذات ـ أی کونه مرجع زمانه ـ هی الّتی تجعل مناقشة دور الیزدی فی الثورة ذات أهمیّة قصوی إلی أعلی المستویات، بحکم موقعه الدینی المتفرّد فی العالم الشیعی</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ثورة النجف هی فی حقیقتها محصّلة عدّة وقائع تاریخیّة شاخصة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زعماء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جمعیة النهضة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عملیة الحاج نجم البقال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أزمة سعد الحاج 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زعماء النجف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هذه هی المفردات الأساسیة الّتی تشکّلت منها حوادث تلک الفترة، والّتی قادت إلی المواجهة المسلّحة بین الثوار والاستعمار البریطانی، ولقد کان لکلّ مفردة ظروفها الخاصّة الّتی استدعت اتخاذ مواقف تنسجم مع أجوائها السیاسیة والاجتماعیّة الّتی عاشت 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وسنحاول دراسة هذه المفردات من خلال مقاطعها الزمنیّة وترابطها مع الحوادث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السیّد الیزدی وزعماء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یمثّل زعماء النجف فئة اجتماعیة لها شأنها المؤثّر فی الحیاة العامّة للمدینة وما یرتبط بها من أوضاع سیاسیّة واجتماعیّة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ولیست هذه الزعامة صفة دینیّة، إنّما هی سلطة محلّیة تقوم علی أساس القوّة والأعوان والاعتبارات الشعبیّة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وخلال الفترة ـ موضوع البحث ـ کانت الزعامات المحلّیة تتوزّع علی أربعة رؤساء، یتولّی کلّ واحد منهم السلطة علی إحدی محلاّت النجف الأربع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عطیة أبو کِلل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العمارة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مهدی السیّد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الحویش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کاظم صُبّی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محلّة البراق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سعد الحاج 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عطیة أبو کلل هو الأقوی لا ینافسه سوی مهدی السیّد سلمان، وکان کلّ منهما یطمح إلی فرض هیمنته المطلقة علی المدینة بأسرها</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ورغم أنّ توجّهات هؤلاء الزعماء تختلف عن توجّهات علماء الدین بحکم الفارق الاجتماعی والثقافی بینهما إلاّ أنـّهم کانوا فی المواقف الحسّاسة لا یخرجون علی إرادتهم، ففی الأیام الساخنة للحرکة الدستوریة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المشروطة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بعض رؤساء النجف یحیطون بالسیّد الیزدی لحمایته من اعتداء محتمل قد یشنّه أنصار المشروطة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کانت علاقتهم بالسیّد الیزدی وثیقة تفوق بقیة المراجع، بل إنّ أحداث الحرکة الدستوریة جعلتهم یقفون إلی جانبه مبتعدین عن </w:t>
      </w:r>
    </w:p>
    <w:p>
      <w:pPr>
        <w:pStyle w:val="BookText"/>
        <w:rPr/>
      </w:pPr>
      <w:r>
        <w:rPr>
          <w:rFonts w:ascii="IRNazanin" w:hAnsi="IRNazanin" w:eastAsia="IRNazanin"/>
          <w:color w:val="111111"/>
          <w:sz w:val="28"/>
          <w:sz w:val="28"/>
          <w:szCs w:val="28"/>
          <w:rtl w:val="true"/>
          <w:lang w:bidi="fa-IR"/>
        </w:rPr>
        <w:t>غیره من علماء الدین المؤیدین للمشروطة</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وعندما أفتی علماء الشیعة بوجوب الجهاد ضد الاستعمار البریطانی خلال الحرب العالمیّة الاُولی، استجاب رؤساء النجف لدعوة الجهاد وتحمّسوا لأداء واجبهم الإسلامی، غیر أنّ الانتکاسة العسکریّة فی معرکة الشعیبة فی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نیسان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وسوء معاملة الأتراک للمجاهدین، مثّل بدایة تحوّل فی موقف رؤساء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تصاعدت فی تلک الفترة درجة التذمّر من الحکم العثمانی، ولجأ الکثیر من الفارّین من الخدمة العسکریة إلی مدینة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یبدو أنّ هذا الوضع الجدید ساهم فی تکوین اتجاه یدعو إلی الثورة علی الأتراک، وظهرت فی المدینة منشورات تنادی بأنّ محاربة الحکومة العثمانیّة أولی من محاربة المشرکین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أثر ذلک أرسل الوالی إلی النجف قوّة عسکریّة کبیرة للقبض علی الفارّین، وأعطی قائد القوّة إنذاراً للأهالی أمده ثلاثة أیام لکی یسلّم الفارّون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انتهت المدّة أخذ رجال الشرطة یتعقّبون الفارّین، ویداهمون البیوت لیلاً ونهاراً، ویتحسّسون أجساد النساء مخافة أن یکون أحد الفارّین قد تنکّر بزیّ امرأة</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من شأن هذه الإجراءات أن تستفزّ الرأی العام، وتولّد ردود فعل عنیفة، لا سیّما مسألة التعرّض للنساء فی مجتمع محافظ کمجتمع النجف، وکان من الطبیعی أن تتحوّل ردّة الفعل إلی اتّجاه اجتماعی وسیاسی عام فی المدینة، وأن </w:t>
      </w:r>
    </w:p>
    <w:p>
      <w:pPr>
        <w:pStyle w:val="BookText"/>
        <w:rPr/>
      </w:pPr>
      <w:r>
        <w:rPr>
          <w:rFonts w:ascii="IRNazanin" w:hAnsi="IRNazanin" w:eastAsia="IRNazanin"/>
          <w:color w:val="111111"/>
          <w:sz w:val="28"/>
          <w:sz w:val="28"/>
          <w:szCs w:val="28"/>
          <w:rtl w:val="true"/>
          <w:lang w:bidi="fa-IR"/>
        </w:rPr>
        <w:t>یتصدّی رؤساء النجف للإجراء الحکومی، باعتبار أنّ التجاوز علی البیوت أمر یرتبط مباشرة بموقعهم الاجتماعی واعتباراتهم الشعبیّة، خصوصاً وأنّ الناس فی مثل هذه الحالات یلجؤون إلی زعاماتهم المحلّیة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لیلة </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مایس </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اندلعت فی النجف ثورة ضد الإدارة الترکیّة، ودارت معارک عنیفة بین الثوار وبین القوّات العثمانیّة، اضطرّ الأتراک فی النهایة إلی الاستسلام</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ودخلت الحکومة فی مفاوضات مع رؤساء النجف تمخّضت عن احتفاظ الحکومة بوجود رمزی فی المدینة، بینما أصبحت السلطة الفعلیّة بید الرؤساء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یواجه رؤساء النجف مشکلة داخلیّة فی مشروعهم الإداری، بمعنی أنـّهم لم یتعرّضوا لردود فعل من أبناء المدینة أو من علماء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موقف السیّد الیزدی کان یمکن أن یفهمه رؤساء النجف علی أ نّه فی صالح الثورة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فخلال المعارک اُصیبت مآذن الصحن العلوی الشریف بقذائف الأتراک، ممّا جعل السیّد الیزدی یشجب هذا الاعتداء ببرقیّة أرسلها إلی إسطنبول</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موقف السیّد الیزدی دقیقاً فی حرکة الأحداث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فالأتراک یخوضون حرباً دفاعیّة ضد الاستعمار البریطانی، ورغم مؤازرة علماء الشیعة وأبناء العشائر والمدن الشیعیة لهم، إلاّ أ نّهم لم یثمّنوا هذه المواقف الکبیرة للشیعة، الّـذین تناسوا الخَزِین التاریخی ووقفوا إلی جانب الأتراک بدافع إسلامی واعٍ</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مقابل ذلک، فإنّ توسیع نطاق الثورة واعتمادها کخطّ سیاسی فی التعامل مع الحکومة العثمانیّة، سیشکّل بدون ریب إضعافاً لوجودهم العسکری، وفی ذلک </w:t>
      </w:r>
    </w:p>
    <w:p>
      <w:pPr>
        <w:pStyle w:val="BookText"/>
        <w:rPr/>
      </w:pPr>
      <w:r>
        <w:rPr>
          <w:rFonts w:ascii="IRNazanin" w:hAnsi="IRNazanin" w:eastAsia="IRNazanin"/>
          <w:color w:val="111111"/>
          <w:sz w:val="28"/>
          <w:sz w:val="28"/>
          <w:szCs w:val="28"/>
          <w:rtl w:val="true"/>
          <w:lang w:bidi="fa-IR"/>
        </w:rPr>
        <w:t>تقویة لأعدائهم البریطانیین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فالسیّد الیزدی ومعه علماء الشیعة کانوا یقفون إزاء معادلة سیاسیّة حسّاسة وخطیرة، وقد تعاملوا مع الظرف بطریقة واعیة دقیقة، وذلک باعتماد منهجین أساسیین فی صیاغة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الإبقاء علی موقفهم السابق فی مواجهة الاحتلال البریطانی والتصدّی لجیوشه الاستعماریّة، کخطٍّ شرعی ثابت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الحفاظ علی المکسب الاستقلالی الّذی حقّقه رؤساء النجف، وإنهاء حالة المواجهة والثورة المسلّحة ضد الأتراک، مع تنظیم صیغة رمزیّة للعلاقة مع الحکومة المرکزیّة تحفظ هیبتها وصورتها الرسمیّة أمام الرأی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ورغم دقّة هذه المنهجیّة السیاسیّة علی المستوی التطبیقی، إلاّ أ نّه أمکن تنفیذها بنجاح، حیث إنّ العلاقة مع الدولة العثمانیّة لم تشهد تصعیداً جدیداً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أنّ علاقة السیّد الیزدی الوثیقة برؤساء النجف ساهمت فی إدارة الشؤون العامة للمدینة بشکل جیّد، فکانت توصیاته تنفّذ من قبل الرؤساء، وکان ختم السیّد الیزدی یُعتمد فی الشؤون الإداریة کالأملاک والعقارات، وغیر ذلک من المعاملات الّتی تتّصل بحیاة الناس وشؤونهم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أثر مرجعیّته فی ثورة النجف</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ساهم السیّد الیزدی فی دعم الوضع الإداری للمدینة، وسعی إلی إزالة الصعوبات الّتی تشهدها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فعندما تفاقمت الأوضاع الاقتصادیّة نتیجة تطوّرات الحرب وسقوط بغداد بید الإنجلیز، کانت النجف ضمن المناطق الّتی أضرّت بها الأزمة وعاشت تحت وطأتها الثقیلة، فبذل السیّد الیزدی مساعیه من أجل تخفیف حدّة الأوضاع المعاشیّة، حیث کان یوعز إلی تجار الحبوب والمواد الغذائیة فی </w:t>
      </w:r>
    </w:p>
    <w:p>
      <w:pPr>
        <w:pStyle w:val="BookText"/>
        <w:rPr/>
      </w:pPr>
      <w:r>
        <w:rPr>
          <w:rFonts w:ascii="IRNazanin" w:hAnsi="IRNazanin" w:eastAsia="IRNazanin"/>
          <w:color w:val="111111"/>
          <w:sz w:val="28"/>
          <w:sz w:val="28"/>
          <w:szCs w:val="28"/>
          <w:rtl w:val="true"/>
          <w:lang w:bidi="fa-IR"/>
        </w:rPr>
        <w:t>بعض مناطق العراق إلی التعاون مع أعیان النجف لبیعهم المواد الغذائیّة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ما توضّحه الوثیقة التالیة المؤرخة فی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الأوّل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لجناب الأعزّ الأکرم حمیدی الداخل المحترم أدام اللّه عزّه وتوفیقه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بلغک هیاج عامة هذه النواحی من حادثة هذا الغلاء المریع، بل الخطب الفظیع، ولا سیّما علی فقراء المشاهد المقدّسة وهم أکثر أهالیها، فإنّهم أصبحوا لا یملکون قوّتاً ولا نقوداً، فأصبحت ضجة الأرامل والیتامی وأنینهم من الجوع والطوی یفتّت الأکباد ویبلغ السبع الشداد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انتدب جماعة من تجّار النجف الأشرف وأعیانهم فجمعوا رأس مال کبیر، وعزموا علی شراء مقدار من الأطعمة وجلبها إلی النجف کی تباع وتبذل للفقراء والمساکین برأس مالها من دون ربح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فالأمل بمنّه تعالی وجمیل ما نعهده فیکم أن تعاضدوهم وتؤازروهم وتشارکوهم فی هذا الأجر الجزیل والمشروع الجلیل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وبلّغوا سلامنا ودعاءنا لکافة إخواننا المؤمنین</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أدرک الإنجلیز حقیقة التوجّه العام فی النجف الأشرف، والّذی عبَّرت عنه الرسالة السابقة؛ لذلک جاء ردّهم حذراً یحاول تهدئة الطرف الآخر، جاء فی الجواب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البریطانیین یکنّون أخلص المشاعر نحو رجال الدین وأهالی الأماکن المقدّسة، وقد انتهزوا کلّ فرصة للتعبیر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وإنّنا سوف نواصل ذلک ونحن علی ثقة بأنّ السیّد محمّد کاظم الیزدی والشیخ عطیة سیکنّان لنا نفس المشاعر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ونرجو أن یتأکّدا أ نّه لیس فی نیتنا التدخّل بأیّ شکل من الأشکال فی الشؤون الدینیّة </w:t>
      </w:r>
    </w:p>
    <w:p>
      <w:pPr>
        <w:pStyle w:val="BookText"/>
        <w:rPr/>
      </w:pPr>
      <w:r>
        <w:rPr>
          <w:rFonts w:ascii="IRNazanin" w:hAnsi="IRNazanin" w:eastAsia="IRNazanin"/>
          <w:color w:val="111111"/>
          <w:sz w:val="28"/>
          <w:sz w:val="28"/>
          <w:szCs w:val="28"/>
          <w:rtl w:val="true"/>
          <w:lang w:bidi="fa-IR"/>
        </w:rPr>
        <w:t>للعتبات</w:t>
      </w:r>
      <w:r>
        <w:rPr>
          <w:rFonts w:eastAsia="IRNazanin" w:cs="IRNazanin"/>
          <w:color w:val="111111"/>
          <w:sz w:val="28"/>
          <w:szCs w:val="28"/>
          <w:rtl w:val="true"/>
          <w:lang w:bidi="fa-IR"/>
        </w:rPr>
        <w:t>)</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التأکیدات البریطانیّة ومحاولات التهدئة الّتی جاءت فی الجواب الرسمی لم تؤثّر علی موقف السیّد الیزدی ورؤساء النجف، إذ أعلن السیّد الیزدی وبقیة علماء الدین دعوتهم الثانیة للجهاد دفاعاً عن الدولة العثمانیّة ضد الاحتلال البریطانی، وذلک فی تشرین الثانی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rtl w:val="true"/>
          <w:lang w:bidi="fa-IR"/>
        </w:rPr>
        <w:t>(</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استدعی السیّد الیزدی رؤساء النجف إلی مدرسته للاجتماع بهم، وعرض علیهم برقیة القائد العثمانی العام فی العراق الّتی وصلته قبل یومین من الاجتماع، وفیها یشکر علماء الشیعة علی مواقفهم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طلب منهم السیّد الیزدی أن ینهوا الأزمة مع الحکومة ویعودوا إلی طاعتها ووعدهم باستحصال العفو عنهم</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استطاع السیّد الیزدی أن ینهی الأزمة بین الطرفین، حیث تنازل زعماء النجف عن جبایة الضرائب فیما بعد، وقد ظلّت سلطتهم الإداریة قائمة علی المدینة إلی جانب الوجود الرمزی للحکومة</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المواقف الکبیرة لعلماء الشیعة، والّتی تنطلق من إخلاصهم، وفهمهم لمتطلّبات الظرف، وضرورة مساندة الدولة ضد الغزو الاستعماری، لم یقابلها الأتراک بما تستحق من تقدیر حقیقی، إنـّما ظلّت سیاستهم المعادیة للشیعة تسیر علی نمطها القدیم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أراد الأتراک الانتقام من مدینة الحلّة علی ثورتها الّتی اندلعت عام </w:t>
      </w:r>
      <w:r>
        <w:rPr>
          <w:rFonts w:eastAsia="IRNazanin" w:cs="IRNazanin"/>
          <w:color w:val="111111"/>
          <w:sz w:val="28"/>
          <w:szCs w:val="28"/>
          <w:rtl w:val="true"/>
          <w:lang w:bidi="fa-IR"/>
        </w:rPr>
        <w:t>(</w:t>
      </w:r>
      <w:r>
        <w:rPr>
          <w:rFonts w:eastAsia="IRNazanin" w:cs="IRNazanin"/>
          <w:color w:val="111111"/>
          <w:sz w:val="28"/>
          <w:szCs w:val="28"/>
          <w:lang w:bidi="fa-IR"/>
        </w:rPr>
        <w:t>1915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ثورات مناطق الفرات الأوسط فی تلک الفترة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فکّر الأتراک أنّ الانتقام من الحلّة سیکون درساً قاسیاً لغیرها من المدن فلا تفکر </w:t>
      </w:r>
    </w:p>
    <w:p>
      <w:pPr>
        <w:pStyle w:val="BookText"/>
        <w:rPr/>
      </w:pPr>
      <w:r>
        <w:rPr>
          <w:rFonts w:ascii="IRNazanin" w:hAnsi="IRNazanin" w:eastAsia="IRNazanin"/>
          <w:color w:val="111111"/>
          <w:sz w:val="28"/>
          <w:sz w:val="28"/>
          <w:szCs w:val="28"/>
          <w:rtl w:val="true"/>
          <w:lang w:bidi="fa-IR"/>
        </w:rPr>
        <w:t>فی الخروج عن طاعة الحکومة العثمانیّة کما حدث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تشرین الثانی </w:t>
      </w:r>
      <w:r>
        <w:rPr>
          <w:rFonts w:eastAsia="IRNazanin" w:cs="IRNazanin"/>
          <w:color w:val="111111"/>
          <w:sz w:val="28"/>
          <w:szCs w:val="28"/>
          <w:rtl w:val="true"/>
          <w:lang w:bidi="fa-IR"/>
        </w:rPr>
        <w:t>(</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أرسلت الحکومة قوّة عسکریّة بقیادة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عاکف 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فدخل الحلّة وأخذت قوّاته بحرق وهدم البیوت وقتل الأهالی، ثمّ نفّذ حکم الإعدام شنقاً بحق مائة وستّة وعشرین رجلاً</w:t>
      </w:r>
      <w:r>
        <w:rPr>
          <w:rStyle w:val="FootnoteAnchor"/>
          <w:rtl w:val="true"/>
        </w:rPr>
        <w:footnoteReference w:id="1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 عدد القتلی ألف وخمسمائة، وتمَّ نفی أعدادٍ من الأهالی بینهم نساء وأطفال، مات قسم منهم خلال الطریق إلی الأناضول</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لهذه الفاجعة صداها المؤثّر علی المناطق الشیعیّة، حیث ظنّت أنّ الانتقام الترکی سیصلها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الطبیعی أن یکون هذا الهاجس قویّاً فی مدینة النجف الأشرف بعد الّذی حصل بینها وبین الحکومة، فعقد رؤساء العشائر القریبة من النجف اجتماعاً فی المدینة، ألقی فیه رئیس آل فتلة الشیخ مبدر الفرعون خطاباً حماسیّاً دعا فیه الحاضرین إلی عدم طاعة العثمانیین لظلمهم</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وصلت أنباء هذه التطوّرات إلی المجاهدین من أبناء الشیعة فی مناطق القتال ضد الإنجلیز، وکان تأثیرها سیّئاً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تبیّنه الوثیقة التالیة المؤرخة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الأوّل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والمرسلة إلی السیّد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مولای یا أمیر المؤمنین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إلی حضرة مولانا وملاذنا حجّة الإسلام وأبو الأیتام ومرجع الخاصّ والعام جناب السیّد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کاظم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 بقاه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تقبیل أیادیکم الشریفة نخبر جنابکم الشریف خَرَجنا من النجف الأشرف </w:t>
      </w:r>
    </w:p>
    <w:p>
      <w:pPr>
        <w:pStyle w:val="BookText"/>
        <w:rPr/>
      </w:pPr>
      <w:r>
        <w:rPr>
          <w:rFonts w:ascii="IRNazanin" w:hAnsi="IRNazanin" w:eastAsia="IRNazanin"/>
          <w:color w:val="111111"/>
          <w:sz w:val="28"/>
          <w:sz w:val="28"/>
          <w:szCs w:val="28"/>
          <w:rtl w:val="true"/>
          <w:lang w:bidi="fa-IR"/>
        </w:rPr>
        <w:t>بأمرکم، قاصدین نصرة الدین والإسلام، حتّی إذا وصلنا لواء المنتفک شوّقْنا وهیّجْنا عشایرنا وبذلنا نفسنا ونفیسنا وبقینا مواظبین علی هذا العمل، حتّی وردتنا أخبار واقعة الحلّة وحرکة النجف شوّشتنا وکدّرتنا، بل أوجبت الشکّ فی الدوام علی علمنا وصرنا فی ریب ووقفنا عن العمل بانتظار أمرکم، وعشایرنا علی الدوام تستفتینا فتقف علی الجواب تارة ونجمل علیهم اُخری، ونحن وقوف عن العمل والتبس علینا الأمر بانتظار أمرکم وفتواکم، والسلام علیکم وعلی الأخ مولانا الشیخ أحمد وعموم السادة أبنائکم الکرام ورحمة اللّه وبرکاته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خادمکم عبدالحسین مطر</w:t>
      </w:r>
      <w:r>
        <w:rPr>
          <w:rFonts w:eastAsia="IRNazanin" w:cs="IRNazanin"/>
          <w:color w:val="111111"/>
          <w:sz w:val="28"/>
          <w:szCs w:val="28"/>
          <w:rtl w:val="true"/>
          <w:lang w:bidi="fa-IR"/>
        </w:rPr>
        <w:t>)</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قرّر زعماء العشائر فی اجتماعهم بالنجف الأشرف القیام بتحرّک عسکری ضد العثمانیین فی الحلّة قبل أن یبادروا بإرسال قواتهم إلی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الوضع القتالی یزداد سوءاً علی جبهات القتال، حیث استعدّ الإنجلیز لشنّ هجومهم الکاسح علی القوّات العثمانیّة فی جبهة الکوت، وهو الهجوم الّذی استمر فی نجاح حتّی سقوط بغداد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وجد علماء الدین الشیعة أنّ حرکة النجف ضد الأتراک لا تخدم الموقف العسکری فی التصدی للزحف البریطانی، وأنّ الظرف یستدعی تجاوز إساءات الأتراک والتمتع بالوعی السیاسی المطلوب؛ لذلک مارسوا دورهم فی حلّ الأزمة سلمیاً مع السلطات العثمانیّة، وهذا ما توضّحه الوثیقة التاریخیة التالیة، وهی رسالة بعثها المیرزا محمّد تقی الشیرازی فی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کانون الأول </w:t>
      </w:r>
      <w:r>
        <w:rPr>
          <w:rFonts w:eastAsia="IRNazanin" w:cs="IRNazanin"/>
          <w:color w:val="111111"/>
          <w:sz w:val="28"/>
          <w:szCs w:val="28"/>
          <w:lang w:bidi="fa-IR"/>
        </w:rPr>
        <w:t>1916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السیّد کاظم الیزدی، ننقلها بنصّها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السلام علیک یا أمیر المؤمنین وعلی ضجیعیک وجاریک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حضرة ملاذ الأنام وحجّة الإسلام السیّد الأجلّ دام ظلّه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بعد، السلام علیکم ورحمة اللّه وبرکاته، أدام اللّه ظلّکم علی المسلمین وتوفیقهم لرشدهم فی طاعتک، وهداهم فی امتثال أوامرکم ونواهیکم، ونفعهم ببرکات موعظتکم وزجرکم، وحباهم ببرکة ذلک خیر الدارین وسلامة الدین والدنیا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فغیر خفیٍّ علیکم سوء أثر التشاویش فی النجف من بعض الجهّال وقبح نتیجتها ووخامة عاقبتها ومنافاتها لمراعاة حرمة المشهد المعظم واقتضائها لسوء الجوار لأمیر المؤمنین علیه‌السلام ، وأنتم أبصر بذلک وأعرف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وإنّی مطمئنّ بدوام اهتمامکم بهذا الأمر من کل وجه ومواظبتکم علی النصح والوعظ والزجر، ولکنّی أحببت مذاکرتکم بذلک لاُشارککم فی الأجر والفوز فی إصلاح اُمور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کاتبنا حضرة القائد العام ومعاون الولایة بطلب العفو والمراعاة سائلین من اللّه صلاح أمر الإسلام، والسلام علیکم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صفر الخیر </w:t>
      </w:r>
      <w:r>
        <w:rPr>
          <w:rFonts w:eastAsia="IRNazanin" w:cs="IRNazanin"/>
          <w:color w:val="111111"/>
          <w:sz w:val="28"/>
          <w:szCs w:val="28"/>
          <w:lang w:bidi="fa-IR"/>
        </w:rPr>
        <w:t>1335</w:t>
      </w:r>
    </w:p>
    <w:p>
      <w:pPr>
        <w:pStyle w:val="BookText"/>
        <w:rPr/>
      </w:pPr>
      <w:r>
        <w:rPr>
          <w:rFonts w:ascii="IRNazanin" w:hAnsi="IRNazanin" w:eastAsia="IRNazanin"/>
          <w:color w:val="111111"/>
          <w:sz w:val="28"/>
          <w:sz w:val="28"/>
          <w:szCs w:val="28"/>
          <w:rtl w:val="true"/>
          <w:lang w:bidi="fa-IR"/>
        </w:rPr>
        <w:t>الأحقر محمّد تقی الشیرازی، الختم</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مارس رؤساء النجف سلطاتهم الإداریة علی المدینة حتّی أواخر تموز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م، حین عیّنت سلطات الاحتلال البریطانی الکابتن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حاکماً سیاسیاً لمنطقة الشامیّة والنجف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الإنجلیز حذرین فی هذا الإجراء، إذ لم یجعلوا مقرّ الحاکم السیاسی فی النجف؛ لئلاّ یستفزّوا المشاعر الإسلامیة؛ ولیمنعوا ردود الفعل المحتملة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عیّنوا حمید خان ـ وهو رجل شیعی بمنصب ـ وکیل الحاکم، </w:t>
      </w:r>
    </w:p>
    <w:p>
      <w:pPr>
        <w:pStyle w:val="BookText"/>
        <w:rPr/>
      </w:pPr>
      <w:r>
        <w:rPr>
          <w:rFonts w:ascii="IRNazanin" w:hAnsi="IRNazanin" w:eastAsia="IRNazanin"/>
          <w:color w:val="111111"/>
          <w:sz w:val="28"/>
          <w:sz w:val="28"/>
          <w:szCs w:val="28"/>
          <w:rtl w:val="true"/>
          <w:lang w:bidi="fa-IR"/>
        </w:rPr>
        <w:t>وقد رفض حمید خان المنصب؛ لکنّه استجاب لطلب السیّد الیزدی وکذلک بعض أصدقائه کالشیخ عبدالکریم الجزائری والشیخ جواد الجواهری والمیرزا مهدی ابن الآخوند الخراسانی، حیث کانوا یرون فی قبوله الوظیفة خدمةً للأهالی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هذه الأزمة لعب السیّد الیزدی دوراً أساسیاً فی إنهائها ومنع تطوّراتها، والّتی لو تطوّرت لعرّضت النجف والمناطق الثائرة إلی انتقام الإنجلیز، فی وقت لم تکن فیه هذه المناطق مستعدّة لمواجهة الإنجلیز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السیّد الیزدی من بلفور أن یغادر النجف، ویترک عطیة أبو کِلل وکاظم صُبّی وشأنهما، وقد استجاب بلفور لهذا الطلب، وبذلک أنهی السیّد الیزدی أزمة حادّة کادت تتطوّر إلی مواجهة مسلّحة غیر متکافئة بین الإنجلیز وزعماء النجف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إنّ السلطات البریطانیّة تراجعت عن موقفها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ففی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تشرین الثانی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 أی بعد أقلّ من اُسبوع علی انتهاء الأزمة، اتّخذت الإدارة البریطانیّة قراراً بتزوید النجف بالحبوب، ومنع نقلها من الفرات الأوسط إلی بغداد</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أمام واقع حسّاس؛ لذلک قام خلال جولته بزیارة السیّد کاظم الیزدی فی الکوفة، وشیخ الشریعة الإصفهانی فی النجف الأشرف</w:t>
      </w:r>
      <w:r>
        <w:rPr>
          <w:rStyle w:val="FootnoteAnchor"/>
          <w:rtl w:val="true"/>
        </w:rPr>
        <w:footnoteReference w:id="110"/>
      </w:r>
      <w:r>
        <w:rPr>
          <w:rFonts w:ascii="IRNazanin" w:hAnsi="IRNazanin" w:eastAsia="IRNazanin"/>
          <w:color w:val="111111"/>
          <w:sz w:val="28"/>
          <w:sz w:val="28"/>
          <w:szCs w:val="28"/>
          <w:rtl w:val="true"/>
          <w:lang w:bidi="fa-IR"/>
        </w:rPr>
        <w:t>، وهو فی ذلک یحاول امتصاص أیة ردّة فعل قد تنشأ من قبل علماء الدین فیما لو اتخذت السلطات البریطانیّة بعض الإجراءات الإداریّة والعسکریّة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ورغم أنّ جولة کوکس أسفرت عن اتّخاذ سلطات الاحتلال إجراءات تقضی بتعزیز وجودها العسکری فی تلک المناطق، إلاّ أنّ الحذر من ردّة فعل علماء الشیعة اضطرّها إلی تنفیذ مشروعها بطریقة هادئة علی غیر ما تریده وتطمح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شرح المس بیل تنفیذ المشروع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وبإشارة منه ـ کوکس ـ وُضِعت مفرزات </w:t>
      </w:r>
    </w:p>
    <w:p>
      <w:pPr>
        <w:pStyle w:val="BookText"/>
        <w:rPr/>
      </w:pPr>
      <w:r>
        <w:rPr>
          <w:rFonts w:ascii="IRNazanin" w:hAnsi="IRNazanin" w:eastAsia="IRNazanin"/>
          <w:color w:val="111111"/>
          <w:sz w:val="28"/>
          <w:sz w:val="28"/>
          <w:szCs w:val="28"/>
          <w:rtl w:val="true"/>
          <w:lang w:bidi="fa-IR"/>
        </w:rPr>
        <w:t xml:space="preserve">صغیرة فی مختلف النقاط الکائنة علی النهر ولیس فی النجف نفسها، حیث إنّ هذه البلدة بنفوسها البالغة </w:t>
      </w:r>
      <w:r>
        <w:rPr>
          <w:rFonts w:eastAsia="IRNazanin" w:cs="IRNazanin"/>
          <w:color w:val="111111"/>
          <w:sz w:val="28"/>
          <w:szCs w:val="28"/>
          <w:rtl w:val="true"/>
          <w:lang w:bidi="fa-IR"/>
        </w:rPr>
        <w:t>(</w:t>
      </w:r>
      <w:r>
        <w:rPr>
          <w:rFonts w:eastAsia="IRNazanin" w:cs="IRNazanin"/>
          <w:color w:val="111111"/>
          <w:sz w:val="28"/>
          <w:szCs w:val="28"/>
          <w:lang w:bidi="fa-IR"/>
        </w:rPr>
        <w:t>000/40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نسمة کانت أحوالها تستدعی وضع عدد کبیر من الجنود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تکهّن من یعنیهم الأمر بأنّ وجود قوّة مختلطة فی الکوفة الّتی تبعد مسافة سبعة أمیال عنها سیکون له التأثیر التهدیئی المطلوب بصورة غیر مباشرة</w:t>
      </w:r>
      <w:r>
        <w:rPr>
          <w:rFonts w:eastAsia="IRNazanin" w:cs="IRNazanin"/>
          <w:color w:val="111111"/>
          <w:sz w:val="28"/>
          <w:szCs w:val="28"/>
          <w:rtl w:val="true"/>
          <w:lang w:bidi="fa-IR"/>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هنا ینتهی أحد المقاطع التاریخیّة فی علاقة مدینة النجف الأشرف مع الإنجلیز، والّذی کان زعماء النجف المحلّیون یمثّلون مصدر الفعل التاریخی فی حرکة الأحداث، وتُمثّل القیادة الدینیّة المتمثّلة بالسیّد الیزدی مصدر الردع للإجراءات البریطانیّة المضادة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 السیّد الیزدی من جمعیة النهضة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تشکّلت جمعیة النهضة الإسلامیة أواخر عام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 xml:space="preserve">م فی مدینة النجف الأشرف، من قبل مجموعة من علماء الدین کان فی مقدّمتهم السیّد محمّد علی بحر 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الجمعیة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والشیخ محمّد جواد الجزائری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نائب الرئیس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اللّذان وضعا الاُسس الفکریّة والسیاسیّة للجمعیّة وحدّدا خطوطها العامّة فی التحرّک والعمل</w:t>
      </w:r>
      <w:r>
        <w:rPr>
          <w:rStyle w:val="FootnoteAnchor"/>
          <w:rtl w:val="true"/>
        </w:rPr>
        <w:footnoteReference w:id="112"/>
      </w:r>
      <w:r>
        <w:rPr>
          <w:rFonts w:ascii="IRNazanin" w:hAnsi="IRNazanin" w:eastAsia="IRNazanin"/>
          <w:color w:val="111111"/>
          <w:sz w:val="28"/>
          <w:sz w:val="28"/>
          <w:szCs w:val="28"/>
          <w:rtl w:val="true"/>
          <w:lang w:bidi="fa-IR"/>
        </w:rPr>
        <w:t>، علی أساس العقیدة الإسلامیة</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اعتمدت الجمعیّة الاتّجاه الإسلامی صفة أساسیّة فی تحدید هویّة الأعضاء الّذین ینتمون إلیها؛ لذلک لم تُدخِل فی عضویتها الأشخاص من ذوی الاتّجاه القومی</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تمیّزت الجمعیّة بامتلاکها النظرة الواعیة للمرحلة الّتی تعیشها، وللأهداف الّتی تسعی لتحقیقها، فقد انطلقت من استیعابها لظروف الاُمّة الإسلامیة وطبیعة التحدّیات الّتی تواجهها، وهذا ما یتّضح من خلال المادّة الاُولی من منهاج الجمعیّة حیث نصّت علی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أجمع رأی علماء الإسلام وقادتهم الأفاضل الأعلام علی لزوم تفهیم الاُمّة الإسلامیة، ووجوب تحکیم ارتباط أفراد المسلمین بعضهم ببعض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الجامعة الإسلامیة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للتکاتف والتعاضد والاعتصام بحبل اللّه؛ لیکون الإسلام کتلة واحدة علی من سواهم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وفی المادّة الثانیة أکدت الجمعیّة علی ضرورة العمل من أجل تحکیم المفاهیم الإسلامیة فی المجتمع وتطبیق الشریعة الإسلامیة، جاء فیها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السعی لإعلاء کلمة الإسلام وسعادته وترقیته ومراعاة القانون الأعظم وهو الشرع الشریف المحمّدی والعمل به طبقاً لقوله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یَجْعَلَ اللّهُ لِلْکَافِرِینَ عَلَی الْمُؤْمِنِینَ سَبِیلاً</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المادّة الثالثة تبنّت الجمعیّة تأیید الاستقلال المطلق للحکومات الإسلامیة بوجه عام والعراق بوجه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فلقد کان اهتمامها کبیراً بالاستقلال التامّ، حتّی أنـّها أعربت عن استعدادها لمساعدة الهیئات العربیّة إذا کانت تسعی حقّاً للاستقلال الکامل، ومساندتها مادیّاً ومعنویّاً</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یمکن اکتشاف علاقة الجمعیّة بالسیّد الیزدی من خلال المادّة السابعة من منهاجها، والّتی حدّدت فیها هیکلها التنظیمی، وذلک بأن یتألّف من جمعیّة مرکزیة </w:t>
      </w:r>
    </w:p>
    <w:p>
      <w:pPr>
        <w:pStyle w:val="BookText"/>
        <w:rPr/>
      </w:pPr>
      <w:r>
        <w:rPr>
          <w:rFonts w:ascii="IRNazanin" w:hAnsi="IRNazanin" w:eastAsia="IRNazanin"/>
          <w:color w:val="111111"/>
          <w:sz w:val="28"/>
          <w:sz w:val="28"/>
          <w:szCs w:val="28"/>
          <w:rtl w:val="true"/>
          <w:lang w:bidi="fa-IR"/>
        </w:rPr>
        <w:t xml:space="preserve">عدد أعضائها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عضواً یرأسها المرجع الدینی الأعلی للمسلمین</w:t>
      </w:r>
      <w:r>
        <w:rPr>
          <w:rStyle w:val="FootnoteAnchor"/>
          <w:rtl w:val="true"/>
        </w:rPr>
        <w:footnoteReference w:id="1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والمعروف أنّ السیّد کاظم الیزدی کان هو المرجع الأعلی فی تلک الفترة، إلاّ أنّ المصادر التاریخیّة الّتی اطِّلعنا علیها، لم تتحدّث عن علاقة تنظیمیة بین السیّد الیزدی والجمعیّة بالمعنی الدقیق لهذه العلاقة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ویبدو أنّ مثل هذه العلاقات کانت معتمدة من قبل الجمعیّة؛ لظروفها الخاصّة وطبیعة عملها السری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فالشیخ عبدالکریم الجزائری کان من مؤیدی الجمعیّة، وهو رغم عدم انضمامه للجمعیّة إلاّ أنّ بعض الاجتماعات کانت تعقد فی داره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انضمّ إلی الجمعیّة عدد من العلماء مثل الشیخ محمّد علی الدمشقی والسیّد إبراهیم البهبهانی وغیرهما من العلماء وطلبة الحوزة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شکّلت الجمعیّة جناحاً عسکریّاً توزّع علی عدّة مجموعات، وضمّ معظم رؤساء النجف وشجعانها المعروفین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آل صُبّی، وآل غنیم، وآل شبع، وآل کرماشة، وآل العکاشی، وآل الحاج راضی، وآل ألبوکلل، وآل عدوة وغیرهم، ولم ینضمّ إلی الجمعیّة أحد من آل السیّد سلمان</w:t>
      </w:r>
      <w:r>
        <w:rPr>
          <w:rStyle w:val="FootnoteAnchor"/>
          <w:rtl w:val="true"/>
        </w:rPr>
        <w:footnoteReference w:id="1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وبذلک توزعت الجمعیّة علی جناحین سیاسی وعسکری</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أصبحت الثورة مشروع الجمعیّة الأساس، والّذی لابدّ من تنفیذه للحصول علی استقلال العراق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أنّ اختلافاً حدث داخل الجمعیّة حول توقیت الثورة، فکان قسم منهم یری ضرورة التعجیل، باعتبار أنّ الإنجلیز بدؤوا یشعرون بوجود نشاط ثوری سرّی فی المدینة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 حمید خان نائب الحاکم السیاسی یحذّر بعض رجال الجمعیّة مثل عباس الخلیلی سکرتیر الجمعیّة بأنّ الإنجلیز یمتلکون تقاریر عن نشاطاتهم، ممّا جعلهم یفضّلون الإسراع بالثورة قبل أن یحبط الإنجلیز </w:t>
      </w:r>
    </w:p>
    <w:p>
      <w:pPr>
        <w:pStyle w:val="BookText"/>
        <w:rPr/>
      </w:pPr>
      <w:r>
        <w:rPr>
          <w:rFonts w:ascii="IRNazanin" w:hAnsi="IRNazanin" w:eastAsia="IRNazanin"/>
          <w:color w:val="111111"/>
          <w:sz w:val="28"/>
          <w:sz w:val="28"/>
          <w:szCs w:val="28"/>
          <w:rtl w:val="true"/>
          <w:lang w:bidi="fa-IR"/>
        </w:rPr>
        <w:t>المشروع من أساسه، ولعلّ الشیخ محمّد جواد الجزائری کان من هذا القسم کما یبدو من رسالته السابقة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القسم الثانی فکان یری ضرورة التریّث، حتّی یتمّ استکمال التعبئة العشائریة فی المناطق الاُخری، لتحقّق الثورة أغراضها بعد أن تتحوّل إلی حالة جماهیریة فی مناطق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 نّنا نرجّح أنّ السیّد الیزدی کان یمیل إلی الاتّجاه الثانی، وهو اتجاه الأغلبیّة الّتی تری ضرورة التریّث فی إعلان الثورة، فهو لم یکن علی علاقة جیّدة مع الأتراک، کما أ نّه دعم الاتّجاه الاستقلالی لإدارة النجف خلال الفترة </w:t>
      </w:r>
      <w:r>
        <w:rPr>
          <w:rFonts w:eastAsia="IRNazanin" w:cs="IRNazanin"/>
          <w:color w:val="111111"/>
          <w:sz w:val="28"/>
          <w:szCs w:val="28"/>
          <w:lang w:bidi="fa-IR"/>
        </w:rPr>
        <w:t>1915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1917</w:t>
      </w:r>
      <w:r>
        <w:rPr>
          <w:rFonts w:ascii="IRNazanin" w:hAnsi="IRNazanin" w:eastAsia="IRNazanin"/>
          <w:color w:val="111111"/>
          <w:sz w:val="28"/>
          <w:sz w:val="28"/>
          <w:szCs w:val="28"/>
          <w:rtl w:val="true"/>
          <w:lang w:bidi="fa-IR"/>
        </w:rPr>
        <w:t>م، إضافة إلی أنّ السیّد الیزدی کان یدعم من یطالب بالاستقلال التامّ الناجز</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هنا تکون الثورة قد نضجت کمشروع سیاسی فی أوساط النجف الأشرف، وبالتحدید فی دوائر جمعیّة النهضة الإسلامیة الّتی ضمّت عدّة مئات من الأعضاء المسلمین، إنّما الاختلاف کان فی موعد التنفیذ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موقف السیّد الیزدی إزاء حوادث النجف</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موقف السیّد الیزدی خلال حوادث ثورة النجف لا یختلف عن مواقف بقیّة علماء الدین الشیعة یومذاک، حیث کانوا یرون أنّ الثورة سبقت موعدها، وأنّ السیطرة علیها أمر مطلوب؛ لذلک لم تصدر أی فتوی بالجهاد لدعم الثورة من أیّ مرجع دینی آخر، بل إنّ مراجع وعلماء الشیعة الّذین اشتهروا بمعارضة الإنجلیز باتفاق المؤرخین والباحثین والمهتمین، مثل المیرزا محمّد تقی الشیرازی وشیخ الشریعة الإصفهانی والشیخ مهدی الخالصی وغیرهم، لم یصدر عنهم موقف عملی </w:t>
      </w:r>
    </w:p>
    <w:p>
      <w:pPr>
        <w:pStyle w:val="BookText"/>
        <w:rPr/>
      </w:pPr>
      <w:r>
        <w:rPr>
          <w:rFonts w:ascii="IRNazanin" w:hAnsi="IRNazanin" w:eastAsia="IRNazanin"/>
          <w:color w:val="111111"/>
          <w:sz w:val="28"/>
          <w:sz w:val="28"/>
          <w:szCs w:val="28"/>
          <w:rtl w:val="true"/>
          <w:lang w:bidi="fa-IR"/>
        </w:rPr>
        <w:t>یشیر إلی رغبتهم فی تصاعد الحوادث أو استمرار الثورة فی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 هذا فلا یختلف السیّد الیزدی عن بقیّة مراجع وعلماء الشیعة فی الموقف من الثورة، والّذی یقوم علی رؤیة استوعبت الحادث وقدّرت الظرف واستشرفت المستقبل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السیّد الیزدی کان الأکثر نشاطاً من بقیّة المراجع وعلماء الدین فی محاولة الحفاظ علی حیاة الثوار، والحیلولة دون تعرّضهم لانتقام الإنجلیز، ومحاولة إقناع السلطات البریطانیّة بإصدار العفو العام عن کلّ الذین اشترکوا فی الثورة، بدءاً من مقتل الکابتن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مارشال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 وحتّی أیام الثورة اللاحقة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أدرک الثوار أنفسهم دور السیّد الیزدی من خلال تحرکاته، وتعاطفه معهم؛ لذلک بادروا إلی تزوید منزله بالمواد الغذائیة لیتمکّن من مقاومة الحصار المضروب علی النجف</w:t>
      </w:r>
      <w:r>
        <w:rPr>
          <w:rStyle w:val="FootnoteAnchor"/>
          <w:rtl w:val="true"/>
        </w:rPr>
        <w:footnoteReference w:id="1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یغادر السیّد الیزدی النجف عند اندلاع الثورة، کما رفض فیما بعد طلب الإنجلیز بمغادرة النجف لئلاّ یتضرّر بالقصف البریطانی المزمع تنفیذه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اشترط علی الإنجلیز أ نّه یستطیع مغادرة النجف فی حالة واحدة فقط، هی أن یصطحب معه کافة أهله ومتعلّقیه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وعندما وافق الإنجلیز علی ذلک،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أهله هم کلّ سکّان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المعلوم أنّ رفضه مغادرة المدینة کان من أجل ردع الإنجلیز عن القیام بعمل عسکری إرهابی یستهدف ثوار المدینة وسکانها بعد صمودهم ومقاومتهم البطولیة، وتحدّیهم للإدارة المحتلّة</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الإشارات السریعة الّتی نوردها لا نقصد بها الدفاع عن السیّد کاظم الیزدی کشخصیّة شیعیّة لها شأنها الأوّل فی تلک الفترة، إنّما سقناها کمقدّمات سریعة لدراسة دور السیّد الیزدی فی حوادث الثورة بعد أن تعرّضنا لمواقفه قبل </w:t>
      </w:r>
    </w:p>
    <w:p>
      <w:pPr>
        <w:pStyle w:val="BookText"/>
        <w:rPr/>
      </w:pPr>
      <w:r>
        <w:rPr>
          <w:rFonts w:ascii="IRNazanin" w:hAnsi="IRNazanin" w:eastAsia="IRNazanin"/>
          <w:color w:val="111111"/>
          <w:sz w:val="28"/>
          <w:sz w:val="28"/>
          <w:szCs w:val="28"/>
          <w:rtl w:val="true"/>
          <w:lang w:bidi="fa-IR"/>
        </w:rPr>
        <w:t>اندلاعها، وذلک فی محاولتنا لإعادة تشکیل مفردات التاریخ الخاصّ بتلک الفترة، بسیاقاته الحقیقیة من خلال الوقائع الّتی حدثت آنذاک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وسنحتاج إلی تذکّرها فیما بعد، والدخول فی تفصیلات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ذلک یساعدنا فی محاولتنا هذه، وبالتالی فی إصدار تقویم حقیقی حول شخصیّة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هذا فمن الضروری أن نسیر مع الحدث فی تطوراته الیومیّة المتلاحقة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صباح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آذار </w:t>
      </w:r>
      <w:r>
        <w:rPr>
          <w:rFonts w:eastAsia="IRNazanin" w:cs="IRNazanin"/>
          <w:color w:val="111111"/>
          <w:sz w:val="28"/>
          <w:szCs w:val="28"/>
          <w:lang w:bidi="fa-IR"/>
        </w:rPr>
        <w:t>1918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الثانیة </w:t>
      </w:r>
      <w:r>
        <w:rPr>
          <w:rFonts w:eastAsia="IRNazanin" w:cs="IRNazanin"/>
          <w:color w:val="111111"/>
          <w:sz w:val="28"/>
          <w:szCs w:val="28"/>
          <w:lang w:bidi="fa-IR"/>
        </w:rPr>
        <w:t>1336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أی فی الیوم الثالث من الثورة ـ کانت أوّل خطوة سیاسیّة بمبادرة السیّد الیزدی، حیث دعا إلی اجتماع کبیر فی مدرسته ضمّ علماء الدین وأعیان المدینة وزعماء النجف؛ لدراسة الموقف العام فی المدینة وإیجاد الحلّ المناسب للأزمة، لا سیّما وأنّ البلدة مکتظّة بالزوار، وأنّ هؤلاء یتعرّضون لأخطار الرمی المتبادل بالرصاص بین الطرفین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طلب الثوار من السیّد الیزدی أن یضمن لهم ولأتباعهم العفو العام والأمان التامّ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دور السیّد الیزدی فی الاستفتاء لاستقلال العراق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ضوء توجیهات السیّد الیزدی عُقدت عدّة اجتماعات فی النجف الأشرف لبحث مسألة الإجابة علی أسئلة الاستفتاء البریطانی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ویبدو أنّ السیّد الیزدی فی نفس الوقت کان یقوم بنشاط سرّی فی هذا الخصوص مع بعض الشخصیّات الشیعیّة فی بغداد، وکان عضو الارتباط الشیخ محمّد حسین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توضِّحه وثیقة زوّدنی بها السیّد عبدالعزیز الطباطبائی، وهی رسالة کتبها الشیخ أحمد کاشف الغطاء إلی السیّد الیزدی من کربلاء یخبره عن قرب مجیء الشیخ محمّد حسین کاشف الغطاء وجعفر أبو التمّن </w:t>
      </w:r>
    </w:p>
    <w:p>
      <w:pPr>
        <w:pStyle w:val="BookText"/>
        <w:rPr/>
      </w:pPr>
      <w:r>
        <w:rPr>
          <w:rFonts w:ascii="IRNazanin" w:hAnsi="IRNazanin" w:eastAsia="IRNazanin"/>
          <w:color w:val="111111"/>
          <w:sz w:val="28"/>
          <w:sz w:val="28"/>
          <w:szCs w:val="28"/>
          <w:rtl w:val="true"/>
          <w:lang w:bidi="fa-IR"/>
        </w:rPr>
        <w:t>إلی النجف الأشرف قادمین من بغداد، جاء فیها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اللیلة کتبنا تلغرافاً إلی بغداد إلی الأخ الشیخ محمّد حسین وجعفر الحاج داود إخباراً لهما بمجیئهما وهما یتحرّکان بالعربة هذه اللیلة ـ أعنی لیلة الجمعة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مفهومة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فانتظر قدوم الأخ الشیخ محمّد حسین، وعند مجیئه نتوجّه معاً لطرفکم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لقد کان لوصول الحاج جعفر أبو التمّن أثره فی تحدید الرأی المتّفق علیه بشأن أسئلة الاستفتاء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فبعد عدّة اجتماعات تمّ الاتّفاق وبإشارة من السیّد الیزدی علی مضبطة تطالب بحکومة مستقلّة استقلالاً تامّاً ناجزاً برئاسة ملک عربی مقیّد بدستور ومجلس تشریعی منتخب</w:t>
      </w:r>
      <w:r>
        <w:rPr>
          <w:rStyle w:val="FootnoteAnchor"/>
          <w:rtl w:val="true"/>
        </w:rPr>
        <w:footnoteReference w:id="121"/>
      </w:r>
      <w:r>
        <w:rPr>
          <w:rFonts w:ascii="IRNazanin" w:hAnsi="IRNazanin" w:eastAsia="IRNazanin"/>
          <w:color w:val="111111"/>
          <w:sz w:val="28"/>
          <w:sz w:val="28"/>
          <w:szCs w:val="28"/>
          <w:rtl w:val="true"/>
          <w:lang w:bidi="fa-IR"/>
        </w:rPr>
        <w:t>، وکان للحاج جعفر أبوالتمن دور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تجربة الاستفتاء فی النجف الأشرف أوّل إخفاق عملی واجهه المشروع البریطانی فی تحدید مستقبل العراق السیاسی، وقد عزّز موقف النجف المدن العراقیة الاُخری ولا سیّما الشیعیّة، حیث رفضت إعطاء الآراء الّتی تریدها سلطات الاحتلال، وأصرّت علی الحکم المستقل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نکتفی بهذا المقدار من سرد حیاة السید الیزدی قدس‌سره فی فترة سیاسیة مرت علی الاُمة الإسلامیة والتی عمتها عواصف وتیارات کانت تستهدف الإسلام أولاً والمسلمین ثانیاً ، حیث التطور العالمی وتجاذب القوی الاستکباریة لاخضاع الشعوب وقمعها ومحاولة إمحاء تراثها الدینی المتمثل فی الإسلام </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وبهذا ننتقل إلی الحلقة الأخیرة من مقدمة المؤسسة وهی تعریف أصحاب التعلیقات ومن ثمّ إلی مقدمة الاُستاذ الدکتور محمود البستانی </w:t>
      </w:r>
      <w:r>
        <w:rPr>
          <w:rFonts w:eastAsia="IRNazanin" w:cs="IRNazanin"/>
          <w:color w:val="111111"/>
          <w:sz w:val="28"/>
          <w:szCs w:val="28"/>
          <w:rtl w:val="true"/>
          <w:lang w:bidi="fa-IR"/>
        </w:rPr>
        <w:t xml:space="preserve">. </w:t>
      </w:r>
      <w:bookmarkStart w:id="20" w:name="pg13272_142602"/>
    </w:p>
    <w:p>
      <w:pPr>
        <w:pStyle w:val="Heading3"/>
        <w:numPr>
          <w:ilvl w:val="2"/>
          <w:numId w:val="1"/>
        </w:numPr>
        <w:rPr/>
      </w:pPr>
      <w:bookmarkStart w:id="21" w:name="__RefHeading___Toc1636390_2322387425"/>
      <w:bookmarkStart w:id="22" w:name="_Toc7"/>
      <w:bookmarkEnd w:id="20"/>
      <w:bookmarkEnd w:id="21"/>
      <w:r>
        <w:rPr>
          <w:rtl w:val="true"/>
        </w:rPr>
        <w:t>أصحاب التعلیقات</w:t>
      </w:r>
      <w:bookmarkEnd w:id="22"/>
    </w:p>
    <w:p>
      <w:pPr>
        <w:pStyle w:val="BookText"/>
        <w:rPr/>
      </w:pPr>
      <w:r>
        <w:rPr>
          <w:rFonts w:ascii="IRNazanin" w:hAnsi="IRNazanin" w:eastAsia="IRNazanin"/>
          <w:color w:val="111111"/>
          <w:sz w:val="28"/>
          <w:sz w:val="28"/>
          <w:szCs w:val="28"/>
          <w:rtl w:val="true"/>
          <w:lang w:bidi="fa-IR"/>
        </w:rPr>
        <w:t xml:space="preserve">التعلیقات علی العروة الوثقی الّتی قامت المؤسّسة بجمعها فی هذه الموسوعة القیمة هی إحدی وأربعون تعلیقة، مدرجة حسب تاریخ الوفاة للمتوفّین قدس‌سرهم ، وبالنسبة لمن علی قید الحیاة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حسب تاریخ الولادة، وفی نهایة هذا التسلسل نبذة مختصرة عن حیاة کل واحد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علی الجواهری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الفیروزآبادی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محمّد حسین النائینی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عبدالکریم الحائری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ضیاء الدین العراقی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الحسن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آقا حسین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محمّدرضا آل یاسین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تقی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السیّد محمّد الکوه کَمَرئی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وفاته </w:t>
      </w:r>
      <w:r>
        <w:rPr>
          <w:rFonts w:eastAsia="Amiri" w:cs="Amiri" w:ascii="Amiri" w:hAnsi="Amiri"/>
          <w:color w:val="111111"/>
          <w:sz w:val="28"/>
          <w:szCs w:val="28"/>
          <w:lang w:bidi="ar-SA"/>
        </w:rPr>
        <w:t>1372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صدر الدین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حسین کاشف الغطاء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جمال الدین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إبراهیم الحسینی الإصطهباناتی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حسین الطباطبائی البروجردی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مهدی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عبدالهادی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محسن الطباطبائی الحکیم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محمود الشاهرودی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الحسن الحسینی الرفیعی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هادی الحسینی المیلانی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حسن البجنوردی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أحمد الخونساری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عبداللّه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کاظم الشریعتمداری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علی الفانی الإصفهانی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روح اللّه الموسوی الخمینی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شهاب الدین المرعشی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أبو القاسم الموسوی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هاشم الآملی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رضا الگلپایگانی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عبدالأعلی الموسوی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علی الأراکی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أمین زین الدین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الحسینی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وفاته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حسن الطباطبائی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تقی الطباطبائی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صادق الحسینی الروحانی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الموسوی مفتی الشیعة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علی الحسینی السیستانی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الفاضل اللنکرانی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ولادته </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علی الجواهری</w:t>
      </w:r>
    </w:p>
    <w:p>
      <w:pPr>
        <w:pStyle w:val="BookText"/>
        <w:rPr/>
      </w:pPr>
      <w:r>
        <w:rPr>
          <w:rFonts w:eastAsia="IRNazanin" w:cs="IRNazanin"/>
          <w:color w:val="111111"/>
          <w:sz w:val="28"/>
          <w:szCs w:val="28"/>
          <w:rtl w:val="true"/>
          <w:lang w:bidi="fa-IR"/>
        </w:rPr>
        <w:t xml:space="preserve">( . . .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علی بن باقر بن محمّد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الجواهر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باقر بن عبدالرحیم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متبحّراً، اُصولیّاً، واسع الاطّلاع، من مراجع التقلید والإفتاء للإمامیّة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فی مدینة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المبادئ والمقدّمات، ثمّ حضر فی الفقه والاُصول علی مشاهیر العلماء، وأبدع وأتقنَ علم الرجال، وبرع فی الفقه، وحقّق فیه ودقّق، ووقف علی أسراره، وکان عارفاً بآراء الفقهاء من المتقدّمین والمتأخّرین، مستحضراً لها</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تصدّی للتدریس فأبدی کفاءة عالیة، ولازم بحثه فریق من العلماء، وأصبح فی طلیعة علماء النجف، واتجهت إلیه الأنظار للتقلید بعد وفاة المیرزا محمّد تقی </w:t>
      </w:r>
    </w:p>
    <w:p>
      <w:pPr>
        <w:pStyle w:val="BookText"/>
        <w:rPr/>
      </w:pPr>
      <w:r>
        <w:rPr>
          <w:rFonts w:ascii="IRNazanin" w:hAnsi="IRNazanin" w:eastAsia="IRNazanin"/>
          <w:color w:val="111111"/>
          <w:sz w:val="28"/>
          <w:sz w:val="28"/>
          <w:szCs w:val="28"/>
          <w:rtl w:val="true"/>
          <w:lang w:bidi="fa-IR"/>
        </w:rPr>
        <w:t xml:space="preserve">الشیرازی سنة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عهد شیخ الشریعة الإصفهانی، برز بعد وفاته سنة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بصورة أکثر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أساتذته ،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حسین الکاظمی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حبیب اللّه الرشتی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الآخوند محمّد کاظم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طه نجف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السیّد محمّد الهندی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تلامذته،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محسن بن مهدی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حسین بن علی الحمّاس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عبدالمجید بن محمود الطالقانی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عبدالمهدی بن إبراهیم آل المظفّر النجفی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ترک عدّة مؤلفات، أهمّها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العملی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الفیروزآبادی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السیّد محمّد بن محمّد باقر الحسینی، الفیروزآبادی الیزدی، النجفی، کان فقیهاً إمامیّاً، مدرّساً، مرجعاً من مراجع التقلید والفتیا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فیروزآباد من قری یزد فی إیران سنة </w:t>
      </w:r>
      <w:r>
        <w:rPr>
          <w:rFonts w:eastAsia="IRNazanin" w:cs="IRNazanin"/>
          <w:color w:val="111111"/>
          <w:sz w:val="28"/>
          <w:szCs w:val="28"/>
          <w:rtl w:val="true"/>
          <w:lang w:bidi="fa-IR"/>
        </w:rPr>
        <w:t>(</w:t>
      </w:r>
      <w:r>
        <w:rPr>
          <w:rFonts w:eastAsia="IRNazanin" w:cs="IRNazanin"/>
          <w:color w:val="111111"/>
          <w:sz w:val="28"/>
          <w:szCs w:val="28"/>
          <w:lang w:bidi="fa-IR"/>
        </w:rPr>
        <w:t>1275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انتقل إلی یزد، ودرس بها علی السیّد یحیی الیزدی، هاجر إلی العراق فحضر فی سامراء وکربلاء والنجف علی أکابر المجتهدین، وأبدع فی علوم الشریعة، ثُمّ تصدّی للتدریس فی مسجد الهندی بالنجف الأشرف، وعلا شأنه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واشتهر بعد وفاة اُستاذه السیّد محمّد کاظم الیزدی، إذ رجع إلیه فی التقلید جمع من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أساتذته،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المجدّد السیّد محمّد حسن الشیرازی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کاظم الخراسانی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کاظم الطباطبائی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الفاضل حسین بن محمّد إسماعیل الأردکانی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عبدالکریم بن محمّد رضا الزنجانی</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حسین بن موسی بن محمّد الحسینی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عبدالحسین الأمینی مؤلّف موسوعة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أحمد بن حسین الأردکانی العلومی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الطهارة وکتاب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مناسک الحجّ والعمرة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مجموعة الأحادیث الأخلاقیّة والمواعظ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سامراء لیلة الجمعة آخر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محمّد حسین النائینی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محمّد حسین بن عبدالرحیم بن محمّد سعید بن عبدالرحیم النائینی النجفی، من أعلام الإمامیّة، وأحد کبار مراجع التقلید والفتیا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بلدة نائین من توابع إصفهان فی إیران سنة </w:t>
      </w:r>
      <w:r>
        <w:rPr>
          <w:rFonts w:eastAsia="IRNazanin" w:cs="IRNazanin"/>
          <w:color w:val="111111"/>
          <w:sz w:val="28"/>
          <w:szCs w:val="28"/>
          <w:rtl w:val="true"/>
          <w:lang w:bidi="fa-IR"/>
        </w:rPr>
        <w:t>(</w:t>
      </w:r>
      <w:r>
        <w:rPr>
          <w:rFonts w:eastAsia="IRNazanin" w:cs="IRNazanin"/>
          <w:color w:val="111111"/>
          <w:sz w:val="28"/>
          <w:szCs w:val="28"/>
          <w:lang w:bidi="fa-IR"/>
        </w:rPr>
        <w:t>1277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واصل دراسته فی إصفهان، وقصد العراق، فهبط سامراء سنة </w:t>
      </w:r>
      <w:r>
        <w:rPr>
          <w:rFonts w:eastAsia="IRNazanin" w:cs="IRNazanin"/>
          <w:color w:val="111111"/>
          <w:sz w:val="28"/>
          <w:szCs w:val="28"/>
          <w:rtl w:val="true"/>
          <w:lang w:bidi="fa-IR"/>
        </w:rPr>
        <w:t>(</w:t>
      </w:r>
      <w:r>
        <w:rPr>
          <w:rFonts w:eastAsia="IRNazanin" w:cs="IRNazanin"/>
          <w:color w:val="111111"/>
          <w:sz w:val="28"/>
          <w:szCs w:val="28"/>
          <w:lang w:bidi="fa-IR"/>
        </w:rPr>
        <w:t>1303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واختلف فیها إلی حلقات بحث الخارج عند العلماء الأعلام، ودرس التفسیر </w:t>
      </w:r>
    </w:p>
    <w:p>
      <w:pPr>
        <w:pStyle w:val="BookText"/>
        <w:rPr/>
      </w:pPr>
      <w:r>
        <w:rPr>
          <w:rFonts w:ascii="IRNazanin" w:hAnsi="IRNazanin" w:eastAsia="IRNazanin"/>
          <w:color w:val="111111"/>
          <w:sz w:val="28"/>
          <w:sz w:val="28"/>
          <w:szCs w:val="28"/>
          <w:rtl w:val="true"/>
          <w:lang w:bidi="fa-IR"/>
        </w:rPr>
        <w:t xml:space="preserve">والحدیث، وانتقل إلی کربلاء سنة </w:t>
      </w:r>
      <w:r>
        <w:rPr>
          <w:rFonts w:eastAsia="IRNazanin" w:cs="IRNazanin"/>
          <w:color w:val="111111"/>
          <w:sz w:val="28"/>
          <w:szCs w:val="28"/>
          <w:rtl w:val="true"/>
          <w:lang w:bidi="fa-IR"/>
        </w:rPr>
        <w:t>(</w:t>
      </w:r>
      <w:r>
        <w:rPr>
          <w:rFonts w:eastAsia="IRNazanin" w:cs="IRNazanin"/>
          <w:color w:val="111111"/>
          <w:sz w:val="28"/>
          <w:szCs w:val="28"/>
          <w:lang w:bidi="fa-IR"/>
        </w:rPr>
        <w:t>1314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بصحبة اُستاذه السیّد الصدر ولازمه عدّة سنین، ثمّ قطن النجف الأشرف، فاتّصل بالفقیه الشهیر محمّد کاظم الخراسانی المتوفّی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وآزره فی مهمّاته الدینیّة والسیاسیّة، واستقلّ بعد وفاة الخراسانی بالبحث والتدریس، فأبدی مقدرة وکفاءة 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وذاع صیته بعد وفاة المرجعین الکبیرین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المیرزا محمّد تقی الشیرازی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الشریعة الإصفهانی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واتجهت أنظار المقلّدین إلیه وإلی السیّد أبو الحسن الإصفهانی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استقامت لهما الرئاسة الدینیّة فی العراق، بل انحصرت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المیرزا محمّد حسین النائینی متضلّعاً فی الأدب الفارسی والعربی، ذا قَدَمٍ راسخة فی الحکمة والفلسفة، ماهراً فی اُصول الفقه محقّقاً فیه، وله فیه آراء مبتکرة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أساتذته ،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محمّد تقی المعروف بآقا 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الفشارکی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إسماعیل بن صدر الدین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حسین النوری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محسن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محمود الشاهرودی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أبو القاسم الخوئی</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باقر الزنجانی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علی نقی النقوی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حسین الطباطبائی المفسّر الکبیر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تعلیقة علی 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فتوائیّة لعمل المقلّدین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المعانی الحرفیّة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التزاحم والترتیب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تنبیه الاُمّة وتنزیه الملّة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الاُولی سنة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جثمانه بجوار مرقد الإمام علی علیه‌السلام فی النجف الأشرف ورُثی بمراثی کثیرة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عبدالکریم الحائری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عبدالکریم بن محمّد جعفر المهرجردی الیزدی، الحائری، القمّی، المجدد لحوزة قم المقدّسة، کان فقیهاً جلیلاً، عالماً شهیراً، اُستاذاً قدیراً، من أکابر مراجع التقلید والإفتاء للإمامیّة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1267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مهرجرد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قری 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 وأساتذته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فی مدینته، ثمّ هاجر إلی سامراء فتلمّذ علی ید العلاّمتین المیرزا </w:t>
      </w:r>
    </w:p>
    <w:p>
      <w:pPr>
        <w:pStyle w:val="BookText"/>
        <w:rPr/>
      </w:pPr>
      <w:r>
        <w:rPr>
          <w:rFonts w:ascii="IRNazanin" w:hAnsi="IRNazanin" w:eastAsia="IRNazanin"/>
          <w:color w:val="111111"/>
          <w:sz w:val="28"/>
          <w:sz w:val="28"/>
          <w:szCs w:val="28"/>
          <w:rtl w:val="true"/>
          <w:lang w:bidi="fa-IR"/>
        </w:rPr>
        <w:t>إبراهیم الشیروانی والشیخ فضل اللّه النوری، وفی أبحاث الخارج علی المحقّقین السیّد الفشارکی والآخوند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له مقام سامٍ ودرجة رفیعة عند المیرزا محمّد تقی الشیرازی، لذا أرجع المیرزا مقلّدیه إلیه فی موارد الاحتیاط من فتاواه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إلی إیران أثناء الحرب العالمیّة الاُولی، فسکن مدینة أراک مدّة، ثمّ استقرّ به المقام فی مدینة قم المشرّفة، فتقاطر إلیه العلماء الفضلاء من کلّ صوب وحدب، وغصّت المدارس بهم، وقام بأعباء تعلیمهم وإعاشتهم، وقرّر الامتحان السنوی والإشراف علی التعلیم بعد أن أسّس حوزته العلمیّة بصورة رسمیّة فی قم المقدّسة سنة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الإمام الخمینی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علی الأراکی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أبو الحسن الرفیعی القزوینی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درر الفوائد فی علم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تقریر أبحاث اُستاذه السیّد الفشارکی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رسائل فی أبواب فقهیّة مختلفة کأحکام الإرث، وأحکام الزواج والطلاق</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علی العروة الوثقی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التحق بالرفیق الأعلی سنة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جثمانه بقرب کریمة أهل البیت فاطمة بنت موسی بن جعفر علیهماالسلام فی قم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ضیاء الدین العراقی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الشیخ ضیاء الدین بن محمّد العراقی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إمامیّاً مجتهداً، محقّقاً، من أکابر أساتذة الاُصول، ومن الشخصیّات اللامعة فی عصره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الشیخ العراقی عام </w:t>
      </w:r>
      <w:r>
        <w:rPr>
          <w:rFonts w:eastAsia="IRNazanin" w:cs="IRNazanin"/>
          <w:color w:val="111111"/>
          <w:sz w:val="28"/>
          <w:szCs w:val="28"/>
          <w:rtl w:val="true"/>
          <w:lang w:bidi="fa-IR"/>
        </w:rPr>
        <w:t>(</w:t>
      </w:r>
      <w:r>
        <w:rPr>
          <w:rFonts w:eastAsia="IRNazanin" w:cs="IRNazanin"/>
          <w:color w:val="111111"/>
          <w:sz w:val="28"/>
          <w:szCs w:val="28"/>
          <w:lang w:bidi="fa-IR"/>
        </w:rPr>
        <w:t>1278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سلطان آباد العراق من بلاد إیران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وتعرف الیوم بمحافظة أراک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ونشأ فی بیت علم، حیث کان والده المولی محمّد العراقی من الفقهاء الأجلاّء، ثمّ سافر من مسقط رأسه إلی مدینة إصفهان، ومنها ذهب إلی مدینة النجف الأشرف ـ وقد کان مجتهداً ـ لإکمال دراسته الفقهیة والاُصولیّة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وتصدّی لتدریس السطوح العلیا وبحث الخارج فی الفقه والاُصول، وکان الشیخ العراقی معروفاً بالتواضع، وطیب الأخلاق، ولطافة الروح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أساتذته،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الفشارکی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حسین الخلیلی</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کاظم الخراسانی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کاظم الطباطبائی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تلامذته،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عبدالهادی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محسن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أبو القاسم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تقی الآملی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تقی البروجردی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حسن البجنوردی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عبدالنبیّ 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یحیی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هاشم 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مؤلّفاته،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استصحاب العدم الأزلی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أحکام الرضاع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تعاقب الأیدی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تعلیقات علی رسائل الشیخ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فوائد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جواهر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العروة الوثقی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کفایة الاُصول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المکاسب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حجّیّة القطع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روائع الأمالی فی فروع العلم الإجمالی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الشرط المتأخّر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الصلاة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قاعدة الحرج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قاعدة لاضرر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اللباس المشکوک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مقالات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الشیخ العراقی قدس‌سره فی الثامن والعشرین من ذی القعدة </w:t>
      </w:r>
      <w:r>
        <w:rPr>
          <w:rFonts w:eastAsia="IRNazanin" w:cs="IRNazanin"/>
          <w:color w:val="111111"/>
          <w:sz w:val="28"/>
          <w:szCs w:val="28"/>
          <w:rtl w:val="true"/>
          <w:lang w:bidi="fa-IR"/>
        </w:rPr>
        <w:t>(</w:t>
      </w:r>
      <w:r>
        <w:rPr>
          <w:rFonts w:eastAsia="IRNazanin" w:cs="IRNazanin"/>
          <w:color w:val="111111"/>
          <w:sz w:val="28"/>
          <w:szCs w:val="28"/>
          <w:lang w:bidi="fa-IR"/>
        </w:rPr>
        <w:t>1361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أبو الحسن الإصفهانی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أبو الحسن بن محمّد بن عبدالحمید بن محمّد الموسوی، الإصفهانی، النجفی، من أعلام الإمامیّة، ومن أشهر مراجع التقلید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1284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إحدی قری إصفهان فی إیران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انتقل فی مبکَّر شبابه إلی إصفهان، فدرس بها وأخذ العلوم عن محمّد الکاشی وغیره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هاجر إلی الحوزة العلمیّة الکبری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1308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فحضر علی المیرزا حبیب اللّه الرشتی المتوفّی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حضر بحث الخارج عند محمّد کاظم الخراسانی النجفی فی الفقه والاُصول واختصّ به، ولازمه إلی أن توفّی الخراسانی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ونال حظاً من الرئاسة الدینیّة بعد وفاة أحمد کاشف الغطاء، وأخذ یشتهر فی الأوساط شیئاً فشیئاً حتّی انحصرت به مرجعیّة التقلید بعد وفاة المیرزا محمّد حسین النائینی سنة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وطبقت شهرته الآفاق، وأصبح مفتی الشیعة فی سائر الأقطار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أساتذته،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الشیح محمّد حسن المامقانی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کاظم الیزدی صاحب 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الآخوند الخراسانی صاحب کفایة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محمّد تقی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باقر بن إسماعیل المحلاّتی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عبدالکریم بن محمود مغنیة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عبدالصاحب بن حسن بن محمّد حسن صاحب الجواهر</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السیّد عبدالرزّاق بن محمّد النجفی المقرّم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فتوائیّة سمّاها وسیلة النجاة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الکفایة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الفقه لاُستاذه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علی تبصرة المتعلّمین للعلاّمة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مدینة الکاظمیّة فی العراق سنة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السیّد آقا حسین القمّی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حسین بن محمود بن علی الطباطبائی الحسنی، المشهدی، الحائری، المعروف بآقا حسین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فقیهاً متبحّراً، اُصولیّاً، جلیل الشأن، من مراجع التقلید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السیّد آقا حسین القمّی سنـة </w:t>
      </w:r>
      <w:r>
        <w:rPr>
          <w:rFonts w:eastAsia="IRNazanin" w:cs="IRNazanin"/>
          <w:color w:val="111111"/>
          <w:sz w:val="28"/>
          <w:szCs w:val="28"/>
          <w:rtl w:val="true"/>
          <w:lang w:bidi="fa-IR"/>
        </w:rPr>
        <w:t>(</w:t>
      </w:r>
      <w:r>
        <w:rPr>
          <w:rFonts w:eastAsia="IRNazanin" w:cs="IRNazanin"/>
          <w:color w:val="111111"/>
          <w:sz w:val="28"/>
          <w:szCs w:val="28"/>
          <w:lang w:bidi="fa-IR"/>
        </w:rPr>
        <w:t>1282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قم المقدّسة فی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 وأساتذته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المقدّمات والسطوح فی مدینة قم المقدّسة، ثمّ سافر إلی مدینة سامراء المقدّسة فحضر عند الشیخ محمّد تقی الشیرازی، وفی سنة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إلی العاصمة طهران، وفی عام </w:t>
      </w:r>
      <w:r>
        <w:rPr>
          <w:rFonts w:eastAsia="IRNazanin" w:cs="IRNazanin"/>
          <w:color w:val="111111"/>
          <w:sz w:val="28"/>
          <w:szCs w:val="28"/>
          <w:rtl w:val="true"/>
          <w:lang w:bidi="fa-IR"/>
        </w:rPr>
        <w:t>(</w:t>
      </w:r>
      <w:r>
        <w:rPr>
          <w:rFonts w:eastAsia="IRNazanin" w:cs="IRNazanin"/>
          <w:color w:val="111111"/>
          <w:sz w:val="28"/>
          <w:szCs w:val="28"/>
          <w:lang w:bidi="fa-IR"/>
        </w:rPr>
        <w:t>1311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إلی مدینة النجف الأشرف لإکمال دراسته، فحضر دروس الشیخ محمّد کاظم الخراسانی، والسیّد محمّد کاظم </w:t>
      </w:r>
    </w:p>
    <w:p>
      <w:pPr>
        <w:pStyle w:val="BookText"/>
        <w:rPr/>
      </w:pPr>
      <w:r>
        <w:rPr>
          <w:rFonts w:ascii="IRNazanin" w:hAnsi="IRNazanin" w:eastAsia="IRNazanin"/>
          <w:color w:val="111111"/>
          <w:sz w:val="28"/>
          <w:sz w:val="28"/>
          <w:szCs w:val="28"/>
          <w:rtl w:val="true"/>
          <w:lang w:bidi="fa-IR"/>
        </w:rPr>
        <w:t>الطباطبائی الیزدی، والشیح حبیب اللّه الرشتی، والشیخ علی النهاوندی، والشیخ رضا الهمدانی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1321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إلی مدینة سامراء المقدّسة مرّة اُخری، حضر خلالها دروس الشیخ محمّد تقی الشیرازی، وفی سنة </w:t>
      </w:r>
      <w:r>
        <w:rPr>
          <w:rFonts w:eastAsia="IRNazanin" w:cs="IRNazanin"/>
          <w:color w:val="111111"/>
          <w:sz w:val="28"/>
          <w:szCs w:val="28"/>
          <w:rtl w:val="true"/>
          <w:lang w:bidi="fa-IR"/>
        </w:rPr>
        <w:t>(</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أرسله أستاذه الشیرازی إلی مدینة مشهد المقدّسة لأجل التدریس فیها، وبعد وفاة الشیخ الشیرازی استدعاه علماء مدینة النجف الأشرف، فعاد لتولّی مهام المرجعیة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السیّد آقا حسین القمّی متقیّداً بالأخلاق وحسن المعاشرة مع أصدقائه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تلامذته،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میرزا حسن البجنوردی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علیّ الکاظمی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صدر الدین الجزائری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زین العابدین الکاشانی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هادی الحائری الشیرازی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 أمینی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مواقفه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زار الشاه رضا خان مدینة مشهد المقدّسة سنة </w:t>
      </w: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وقبل مجیئه أمر أن تقام له معالم الفرح والزینة، ، فرفض السیّد القمّی إقامة هذه الأفراح فی تلک المدینة الّتی یرقد فیها الإمام الرضا علیه‌السلام ، وقد صادف ذلک الیوم مناسبة وفاة مسلم بن عقیل علیه‌السلام ، فحقد الشاه علی السیّد آقا حسین القمّی حقداً کبیراً وأضمر الانتقام منه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قدس‌سره قد تصدّی لقانون منع الحجاب الإسلامی الّذی أصدره رضا خان، وذهب إلی العاصمة طهران معتصماً مع مجموعة من العلماء فی مرقد السیّد </w:t>
      </w:r>
    </w:p>
    <w:p>
      <w:pPr>
        <w:pStyle w:val="BookText"/>
        <w:rPr/>
      </w:pPr>
      <w:r>
        <w:rPr>
          <w:rFonts w:ascii="IRNazanin" w:hAnsi="IRNazanin" w:eastAsia="IRNazanin"/>
          <w:color w:val="111111"/>
          <w:sz w:val="28"/>
          <w:sz w:val="28"/>
          <w:szCs w:val="28"/>
          <w:rtl w:val="true"/>
          <w:lang w:bidi="fa-IR"/>
        </w:rPr>
        <w:t>عبدالعظیم الحسنی، ولمّا وصلت الاُمور إلی طریق مسدود سافر إلی کربلاء المقدّسة، لیخوض من هناک حربه علی الشاه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مواقف رضا خان من السیّد القمّی اعتصم الناس بمسجد گوهر شاد المجاور لمرقد الإمام الرضا علیه‌السلام متمرّدین علی أوامر النظام، ففتحت علیهم قوات النظام النار وقتلت منهم أکثر من ثلاثة آلاف شخص من مختلف الطبقات والأعمار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مؤلّفاته،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رسالة مجمع الرسائل للملاّ هاشم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الذخیرة الباقیة فی العبادات والمعاملات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مختصر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طریقة النجاة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منتخب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مناسک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ذخیرة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هدایة الأنام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السیّد آقا حسین القمّی فی ربیع الأوّل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بإحدی مستشفیات العاصمة بغداد، ودفن قدس‌سره فی الصحن الحیدری الشریف للإمام علی علیه‌السلام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محمّدرضا آل یاسین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محمّد رضا بـن عبد الحسین بن باقر بن محمّد حسن آل یاسین الکاظمی،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جَدّ المرجع الشهید السیّد محمّد الصدر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فقیهاً متبحّراً، اُستاذاً قدیراً، من مراجع التقلید والفتیا للطائفة الإمامیّة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فی مدینة الکاظمیّة سنة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تتلمذ علی والده الفقیه عبدالحسین المتوفّی سنة </w:t>
      </w:r>
      <w:r>
        <w:rPr>
          <w:rFonts w:eastAsia="IRNazanin" w:cs="IRNazanin"/>
          <w:color w:val="111111"/>
          <w:sz w:val="28"/>
          <w:szCs w:val="28"/>
          <w:rtl w:val="true"/>
          <w:lang w:bidi="fa-IR"/>
        </w:rPr>
        <w:t>(</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وعلی خاله السیّد حسن الصدر الکاظمی، وعبدالحسین بن محمّد جواد البغدادی، وحضر الأبحاث العالیة فقهاً واُصولاً علی السیّد إسماعیل بن صدر الدین الصدر المتوفّی سنة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ولازمه فی کربلاء والکاظمیّة، ونبغ فی وقت مبکّر، وحمل الفقه ورعاه وهو شابّ یافع، ومنحه اُستاذه السیّد إسماعیل إجازة اجتهاد وهو ابن عشرین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وباشر التدریس، فأبدی براعة فی إیصال المطالب العلمیّة إلی الطالب بسرعة ودقّة</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قطن النجف عام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وتصدّی للبحث والتدریس، فتهافت علیه طلاب العلم، لِما امتاز به من اُسلوب خاصّ فی التدریس، وتضلعه فی الفقه، ومعرفته بأخبار أهل البیت علیهم‌السلام وبأقوال الفقهاء السابقین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وأصبح الزعیم الدینی البارز فی عصره ذا منزلة اجتماعیّة رفیعة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أساتذته،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إسماعیل بن صدر الدین الصدر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حسن بن علی الکربلائی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رضا السیستانی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أخوه الشیخ مرتضی آل یاسین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رضا بن قاسم الغروی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تقی بن حسن آل بحر العلوم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الشهید السیّد محمّد باقر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تبصرة المتعلّمین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للعلاّمة الحلّی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للسیّد محمّد کاظم الطباطبائی الیزدی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منظومة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للسیّد محمّد مهدی بحر العلوم نظماً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فتوائیّة 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بُلغة الراغبین فی فقه آل یاسین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مطبوعة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شعره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قوله فی السیّد محمّد بن الإمام علی الهادی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أبا جعفر إلیک لجأنا ولمغناک دون غیرک جئنا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فعسی ینجلی لنا آی قدس فنری بالعیان ما قد سمعنا </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تقی الخونساری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محمّد تقی بن أسد اللّه بن محمّد بن حسین الموسوی، الخونساری ثمّ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إمامیّاً، عالماً جلیلاً، من مراجع التقلید والفتیا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السیّد الخونساری فی شهر رمضان المبارک </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خونسار فی إیران، فی اُسرة کریمة معروفة بالعلم والفضل والأدب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 وأساتذته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عام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إلی مدینة النجف الأشرف لدراسة العلوم الدینیّة، وبعد إکماله مرحلة السطوح أخذ یحضر دروس الشیخ محمّد کاظم الخراسانی، والسیّد محمّد کاظم الطباطبائی الیزدی، وفتح اللّه الشیرازی المشهور بشیخ الشریعة الإصفهانی، وضیاء الدین العراقی، وعاد إلی إیران والتحق بحوزة الفقیه الکبیر عبدالکریم الیزدی الحائری فی بلدة أراک، ثمّ فی بلدة قم المشرّفة عام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فتصدّی للبحث والتدریس، وبعد وفاة اُستاذه الشیخ الحائری رجع إلیه فی التقلید جمع من أهالی قم وخونسار وطهران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منتخب الأحکام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فتوائیة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مناسک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للشیخ الأنصاری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جهاده ضدّ الاستعمار البریطانی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السیّد الخونساری مع الشیخ محمّد تقی الشیرازی وعلماء آخرین فی جبهة واحدة ضدّ الاحتلال البریطانی، وکانت جبهتهم تشمل الأراضی الواقعة ما بین نهری دجلة والفرات، وکان القتال شدیداً بین الجانبین، حیث جُرح السیّد الخونساری نتیجة اصابته بإطلاقة منعته من مواصلة القتال، فوقع فی أسر القوّات البریطانیّة، واُبعد بعدها إلی بلاد الهند، لیطلق سراحه بعد أربع سنوات من الأسر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تصدّی لنظام الشاه رضا خان مع باقی العلماء المجاهدین، واشترک فی حرکة الجماهیر للمطالبة بتأمیم النفط، وکذا دعا إلی عدم المشارکة فی انتخابات المجلس الوطنی الشاهنشاهی عام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وقارع أیضاً قانون منع الحجاب الإسلامی الصادر أیّام رضا خان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خدماته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وفاة الشیخ الحائری اتفق السیّد الخونساری مع السیّد محمّد حجّت، والسیّد صدر الدین الصدر علی المضیّ قُدماً نحو تطبیق أهداف الشیخ فی تربیة وتدریس الطلاب وإعدادهم لأداء واجباتهم الرسالیّة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خدماته الجلیلة إحیاؤه لصلاة الجمعة ذات الأبعاد السیاسیّة عام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المدرسة الفیضیّة، والّتی کانت معطّلة لسنوات طویلة، وبسبب کثرة المصلّین تمّ نقلها إلی مسجد الإمام الحسن العسکری علیه‌السلام فی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السیّد الخونساری قدس‌سره فی السابع من ذی الحجّة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ودفن </w:t>
      </w:r>
    </w:p>
    <w:p>
      <w:pPr>
        <w:pStyle w:val="BookText"/>
        <w:rPr/>
      </w:pPr>
      <w:r>
        <w:rPr>
          <w:rFonts w:ascii="IRNazanin" w:hAnsi="IRNazanin" w:eastAsia="IRNazanin"/>
          <w:color w:val="111111"/>
          <w:sz w:val="28"/>
          <w:sz w:val="28"/>
          <w:szCs w:val="28"/>
          <w:rtl w:val="true"/>
          <w:lang w:bidi="fa-IR"/>
        </w:rPr>
        <w:t xml:space="preserve">بجانب اُستاذه الشیخ عبدالکریم الحائری الیزدی، وبجوار مرقد السیّدة فاطمة بنت الإمام موسی بن جعفر علیهاالسلام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السیّد محمّد الکوه کَمَرئی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السیّد محمّد بن علی بن علی نقی بن محمّد بن حسن الحسینی الکوه کَمَرئی التبریزی ثمّ القمّی، المعروف بالحجّة، أصله من قریة کوه کَمَرئی فی مدینة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یرجع نسبه إلی الإمام السجاد علیه‌السلام ، ولد فی العاشر من شعبان سنة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من مشاهیر أساتذة الفقه والاُصول، وأحد مراجع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 وأساتذته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طوی بعض المراحل الدراسیّة، متتلمذاً علی والده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غیره من علماء تبریز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وقصد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الأبحاث العالیة علی عدد من الأعلام</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عاد إلی إیران، ثمّ استقرّ بمدینة قم فی أیّام زعامة المرجع الشهیر عبدالکریم الیزدی الحائری سنة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فشرع فی البحث والتدریس، فاشتهر علمه وحظی باحترام وتقدیر المرجع الحائری ، الّذی أوکل إلیه إمامة الجماعة فی حرم السیّدة فاطمة بنت الإمام الکاظم سلام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وذاع صیته أکثر بعد وفاة الشیخ الحائری عام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وأصبح من مراجع التقلید والإفتاء، ومن أکابر المدرّسین فی قم ، بل أبرزهم ، ونهض بمعیّة اثنین من زملائه بمهامّ </w:t>
      </w:r>
    </w:p>
    <w:p>
      <w:pPr>
        <w:pStyle w:val="BookText"/>
        <w:rPr/>
      </w:pPr>
      <w:r>
        <w:rPr>
          <w:rFonts w:ascii="IRNazanin" w:hAnsi="IRNazanin" w:eastAsia="IRNazanin"/>
          <w:color w:val="111111"/>
          <w:sz w:val="28"/>
          <w:sz w:val="28"/>
          <w:szCs w:val="28"/>
          <w:rtl w:val="true"/>
          <w:lang w:bidi="fa-IR"/>
        </w:rPr>
        <w:t xml:space="preserve">الحوزة العلمیة وإدارة شؤونها، إلی أن ورد السیّد حسین البروجردی مدینة قم عام </w:t>
      </w:r>
      <w:r>
        <w:rPr>
          <w:rFonts w:eastAsia="IRNazanin" w:cs="IRNazanin"/>
          <w:color w:val="111111"/>
          <w:sz w:val="28"/>
          <w:szCs w:val="28"/>
          <w:rtl w:val="true"/>
          <w:lang w:bidi="fa-IR"/>
        </w:rPr>
        <w:t>(</w:t>
      </w:r>
      <w:r>
        <w:rPr>
          <w:rFonts w:eastAsia="IRNazanin" w:cs="IRNazanin"/>
          <w:color w:val="111111"/>
          <w:sz w:val="28"/>
          <w:szCs w:val="28"/>
          <w:lang w:bidi="fa-IR"/>
        </w:rPr>
        <w:t>1364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فکان منها بمنزلة القطب من الرحی، وکان السیّد الکوه کَمَرئی ذا حافظةٍ قویّة، وذهنٍ وقّاد، وفکرٍ صائب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أساتذته،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کاظم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ضیاء الدین 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حسین النائینی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الفیروز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العلاّمة السیّد محمّد حسین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الشهید الشیخ المطهری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مکارم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جعفر السبحانی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مستدرک المستدرک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لوامع الأنوار الغرویة فی مرسلات الآثار النبویّة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علی الکفایة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آثاره</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إنشاء مدرسة الحجتیة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تأسیس مکتبة الحجتیة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بناء مسجد الحجتیة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ربّی تلامذة وطلاّباً نشروا المعارف الإسلامیة فی أنحاء العالم، ومنهم الشهید المطهری، إضافة إلی قلمه الشریف وکتاباته التربویّة الدالّة علی سعة اطّلاعه فی العلوم والفنون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قدس‌سره فی قم المقدّسة فی الثالث من جمادی الأوّل سنة </w:t>
      </w:r>
      <w:r>
        <w:rPr>
          <w:rFonts w:eastAsia="IRNazanin" w:cs="IRNazanin"/>
          <w:color w:val="111111"/>
          <w:sz w:val="28"/>
          <w:szCs w:val="28"/>
          <w:rtl w:val="true"/>
          <w:lang w:bidi="fa-IR"/>
        </w:rPr>
        <w:t>(</w:t>
      </w:r>
      <w:r>
        <w:rPr>
          <w:rFonts w:eastAsia="IRNazanin" w:cs="IRNazanin"/>
          <w:color w:val="111111"/>
          <w:sz w:val="28"/>
          <w:szCs w:val="28"/>
          <w:lang w:bidi="fa-IR"/>
        </w:rPr>
        <w:t>1372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وصلّی علیه السیّد البروجردی، ودفن فی مقبرته الخاصّة فی مدرسة الحجتیة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صدر الدین الصدر</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محمّد علی بن إسماعیل بن صدر الدین بن محمّد بن صالح، صدر الدین الکاظمی نزیل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إمامیّاً، اُصولیّاً، محدّثاً، أدیباً، عمیق النظر، من مراجع التقلید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السیّد الصدر سنة </w:t>
      </w:r>
      <w:r>
        <w:rPr>
          <w:rFonts w:eastAsia="IRNazanin" w:cs="IRNazanin"/>
          <w:color w:val="111111"/>
          <w:sz w:val="28"/>
          <w:szCs w:val="28"/>
          <w:rtl w:val="true"/>
          <w:lang w:bidi="fa-IR"/>
        </w:rPr>
        <w:t>(</w:t>
      </w:r>
      <w:r>
        <w:rPr>
          <w:rFonts w:eastAsia="IRNazanin" w:cs="IRNazanin"/>
          <w:color w:val="111111"/>
          <w:sz w:val="28"/>
          <w:szCs w:val="28"/>
          <w:lang w:bidi="fa-IR"/>
        </w:rPr>
        <w:t>1299</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الکاظمیّة المقدّسة فی العراق، وکان والده السیّد إسماعیل الصدر من کبار العلماء والفقهاء آنذاک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 وأساتذته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درس المقدّمات والریاضیّات فی مدینة سامراء المقدّسة عند أساتذتها، ثمّ سافر مع أبیه إلی مدینة کربلاء المقدّسة، وتلمّذ فیها السطوح علی أساتذتها المعروفین، کالشیخ حسن الکربلائی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مدینة </w:t>
      </w:r>
    </w:p>
    <w:p>
      <w:pPr>
        <w:pStyle w:val="BookText"/>
        <w:rPr/>
      </w:pPr>
      <w:r>
        <w:rPr>
          <w:rFonts w:ascii="IRNazanin" w:hAnsi="IRNazanin" w:eastAsia="IRNazanin"/>
          <w:color w:val="111111"/>
          <w:sz w:val="28"/>
          <w:sz w:val="28"/>
          <w:szCs w:val="28"/>
          <w:rtl w:val="true"/>
          <w:lang w:bidi="fa-IR"/>
        </w:rPr>
        <w:t>النجف الأشرف بتوجیه من والده لغرض إکمال دراسته، فحضر دروس الشیخ محمّد کاظم الخراسانی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عام </w:t>
      </w:r>
      <w:r>
        <w:rPr>
          <w:rFonts w:eastAsia="IRNazanin" w:cs="IRNazanin"/>
          <w:color w:val="111111"/>
          <w:sz w:val="28"/>
          <w:szCs w:val="28"/>
          <w:rtl w:val="true"/>
          <w:lang w:bidi="fa-IR"/>
        </w:rPr>
        <w:t>(</w:t>
      </w:r>
      <w:r>
        <w:rPr>
          <w:rFonts w:eastAsia="IRNazanin" w:cs="IRNazanin"/>
          <w:color w:val="111111"/>
          <w:sz w:val="28"/>
          <w:szCs w:val="28"/>
          <w:lang w:bidi="fa-IR"/>
        </w:rPr>
        <w:t>1339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توفّی والده، سافر إلی مدینة مشهد المقدّسة لزیارة الإمام الرضا علیه‌السلام سنة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وأقام فیها، فظلّ مشغولاً بالتدریس والوعظ مدّة ستّ سنوات، ثمّ عاد إلی مدینة النجف الأشرف، وفی عام </w:t>
      </w: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إلی إیران مرّة ثانیة، وأقام فی مدینة قم المقدّسة مشغولاً بالتدریس، ثمّ ذهب إلی مدینة مشهد المقدّسة ثانیة لزیارة الإمام الرضا علیه‌السلام ، فطلبوا منه الإقامة فیها فقبل دعوتهم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طلب منه الشیخ عبدالکریم الحائری ـ مؤسس الحوزة العلمیّة فی مدینة قم المقدّسة ـ أواخر حیاته الانتقال إلی مدینة قم لغرض تقویة کیان الحوزة العلمیة فیها، والمحافظة علیها من نظام رضا خان، لأنـّه کان یتربّص بها الدوائر، فقبل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بعد وفاة الشیخ الحائری استعدّ السیّد الصدر للقیام بمهامّه بالاعتماد علی السیّد محمّد حجّت، والسیّد الخونساری، فأخذوا علی عاتقهم توسیع الحوزة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 وأخلاقه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اهتمامه بالطلاّب، کان السیّد جادّاً فی تشجیع الطلاب لتعلّم العلوم الدینیّة وشدّهم إلی الدراسة والبحث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تواضعه، فقد کان السیّد کثیر التواضع مع الآخرین، یعیش حیاة البساطة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قام بتأسیس جمعیّات وصنادیق قرض الحسنة؛ لغرض قضاء حوائج المحتاجین</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کان السیّد یقیم صلاة الجماعة فی مدینة قم المقدّسة، وبعد مجیء السیّد محمّد حسین البروجردی إلی قم فوّض إلیه إقامة صلاة الجماعة فیها، وفی إحدی </w:t>
      </w:r>
    </w:p>
    <w:p>
      <w:pPr>
        <w:pStyle w:val="BookText"/>
        <w:rPr/>
      </w:pPr>
      <w:r>
        <w:rPr>
          <w:rFonts w:ascii="Amiri" w:hAnsi="Amiri" w:eastAsia="Amiri" w:cs="Amiri"/>
          <w:color w:val="111111"/>
          <w:sz w:val="28"/>
          <w:sz w:val="28"/>
          <w:szCs w:val="28"/>
          <w:rtl w:val="true"/>
          <w:lang w:bidi="ar-SA"/>
        </w:rPr>
        <w:t>المرّات کان یتحدّث عن الرئاسة والزعامة،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یکفینا فی هذا المجال ماورد فی الآیة الشریفة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تِلْکَ الدَّارُ الآخِرَةُ نَجْعَلُهَا لِلَّذِینَ لاَ یُرِیدُونَ عُلُوّاً فِی الأَرْضِ وَلاَ فَسَاداً وَالْعَاقِبَةُ لِلْمُتَّقِینَ</w:t>
      </w:r>
      <w:r>
        <w:rPr>
          <w:rFonts w:eastAsia="Amiri" w:cs="Amiri" w:ascii="Amiri" w:hAnsi="Amiri"/>
          <w:color w:val="111111"/>
          <w:sz w:val="28"/>
          <w:szCs w:val="28"/>
          <w:rtl w:val="true"/>
          <w:lang w:bidi="ar-SA"/>
        </w:rPr>
        <w:t>»</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الإمام المهدی علیه‌السلام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خلاصة الفصول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رسالة الحقوق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مختصر تاریخ الإسلام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سفینة النجاة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السیّد الصدر فی التاسع عشر من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قم المقدّسة، دفن قدس‌سره بجوار مرقد الشیخ عبدالکریم الحائری، فی حرم السیّدة فاطمة بنت الإمام موسی الکاظم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حسین کاشف الغطاء</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محمّد حسین بن علی بن محمّد رضا بن موسی بن جعفر کاشف الغطاء </w:t>
      </w:r>
    </w:p>
    <w:p>
      <w:pPr>
        <w:pStyle w:val="BookText"/>
        <w:rPr/>
      </w:pPr>
      <w:r>
        <w:rPr>
          <w:rFonts w:ascii="IRNazanin" w:hAnsi="IRNazanin" w:eastAsia="IRNazanin"/>
          <w:color w:val="111111"/>
          <w:sz w:val="28"/>
          <w:sz w:val="28"/>
          <w:szCs w:val="28"/>
          <w:rtl w:val="true"/>
          <w:lang w:bidi="fa-IR"/>
        </w:rPr>
        <w:t>المالکی النجفی، کان من أعلام مجتهدی الإمامیّة، وکبار الکتّاب، ومشاهیر زعماء الدین ذوی النزعة الإصلاحیّة، الداعین إلی الوحدة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الشیخ کاشف الغطاء سنة </w:t>
      </w:r>
      <w:r>
        <w:rPr>
          <w:rFonts w:eastAsia="IRNazanin" w:cs="IRNazanin"/>
          <w:color w:val="111111"/>
          <w:sz w:val="28"/>
          <w:szCs w:val="28"/>
          <w:rtl w:val="true"/>
          <w:lang w:bidi="fa-IR"/>
        </w:rPr>
        <w:t>(</w:t>
      </w:r>
      <w:r>
        <w:rPr>
          <w:rFonts w:eastAsia="IRNazanin" w:cs="IRNazanin"/>
          <w:color w:val="111111"/>
          <w:sz w:val="28"/>
          <w:szCs w:val="28"/>
          <w:lang w:bidi="fa-IR"/>
        </w:rPr>
        <w:t>1294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النجف الأشرف، فی عائلة علمیّة متدیّنة معروفة بالعلم والفضیلة، وینتهی نسبه إلی الصحابی الجلیل مالک الأشتر النخعی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أمـّا والده فهو الشیخ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مؤرّخاً ومحقّقاً، وله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الحصون المنیعة فی طبقات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 وأساتذته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المقدّمات فی مدینة النجف الأشرف، وحضر دروس علم الاُصول عند الشیخ محمّد کاظم الخراسانی، کما حضر دروس الفقه عند الشیخ رضا الهمدانی، والسیّد محمّد کاظم الطباطبائی الیزدی، ودرس الأخبار والأحادیث عند المحدث الکبیر الشیخ حسین النوری الطبرسی، وحصل منه علی إجازة روایة الحدیث، ونظراً لمؤهلاته العالیة، وحدّة ذکائه فقد طوی مراحل شتّی العلوم بسرعة وهو فی فتوّته، لذلک أصبح موضع اهتمام وثقة اُستاذه السیّد الطباطبائی الیزدی، الّذی عیّن قبل وفاته أربعة وکلاء عنه فی الاستفتاء، وکان الشیخ کاشف الغطاء أحدهم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مرجعیته</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وفاة السیّد الطباطبائی الیزدی أخذ الناس فی العراق بتقلید الشیخ أحمد کاشف الغطاء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أخذ کثیر من أهالی العاصمة بغداد بالعدول فی تقلیدهم إلی أخیه الشیخ محمّد حسین کاشف الغطاء، وشیئاً فشیئاً ذاع صیته </w:t>
      </w:r>
    </w:p>
    <w:p>
      <w:pPr>
        <w:pStyle w:val="BookText"/>
        <w:rPr/>
      </w:pPr>
      <w:r>
        <w:rPr>
          <w:rFonts w:ascii="IRNazanin" w:hAnsi="IRNazanin" w:eastAsia="IRNazanin"/>
          <w:color w:val="111111"/>
          <w:sz w:val="28"/>
          <w:sz w:val="28"/>
          <w:szCs w:val="28"/>
          <w:rtl w:val="true"/>
          <w:lang w:bidi="fa-IR"/>
        </w:rPr>
        <w:t>حتّی أحرز المرجعیة الدینیة العلیا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حلقاته فی التدریس عامرةً بالفضلاء والعلماء من جمیع أنحاء العالم الإسلامی، وقد نهلوا من معینه مختلف العلوم، وکتب کثیر من طلاّبه تقریرات دروسه القیّمة فی الفقه والاُصول، حتّی بلغت عشرات المجلّدات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تلامذته،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محسن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جواد مغنیّة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الشهید السیّد قاضی الطباطبائی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 وأخلاقه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الشیخ کاشف الغطاء من أتباع أهل البیت علیهم‌السلام الحقیقیین، لذا نجده عندما یقرأ کتاباً ویجد فیه ادّعاءات باطلة علی الإسلام أو المذهب، یقوم بإمساک القلم فوراً لیردّ علیه بدون تحفّظ، وهذا واضح فی کتبه ومؤلفاته الّتی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أصل الشیعة واُصولها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ونقده 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آداب اللغة العربیة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لجرجی زیدان الّذی تعرّض فیه للمذهب الشیعی، حیث کان شجاعاً فی طرح آرائه ومثالاً علی ذلک نورد ما کتبه فی إحدی رسائله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أمریکا ترید إبقاء شعوبنا رازحةً تحت أشکال الفقر والجهل والتخلّف، وکذلک فی مجال الزراعة والصناعة؛ لکی تجعلنا أذلاّء خاضعین لها، وفی مقابل ذلک کلّه تسعی للسیطرة علی ثرواتنا، واستثمارها ونحن راضین</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وکان من صفاته العفو عمّن أساء إلیه، والحلم والصبر عمّن أخطأ بحقّه، ولم </w:t>
      </w:r>
    </w:p>
    <w:p>
      <w:pPr>
        <w:pStyle w:val="BookText"/>
        <w:rPr/>
      </w:pPr>
      <w:r>
        <w:rPr>
          <w:rFonts w:ascii="Amiri" w:hAnsi="Amiri" w:eastAsia="Amiri" w:cs="Amiri"/>
          <w:color w:val="111111"/>
          <w:sz w:val="28"/>
          <w:sz w:val="28"/>
          <w:szCs w:val="28"/>
          <w:rtl w:val="true"/>
          <w:lang w:bidi="ar-SA"/>
        </w:rPr>
        <w:t>یکُن مستبدّاً برأیه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مواقفه فی الدفاع عن العقیدة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یقتصر الشیخ کاشف الغطاء علی دراسة وتدریس العلوم الدینیة، بل کانت له خارج هذه الدائرة نشاطات مختلفة فی خدمة الإسلام، والدفاع عن العقیدة، وکان له فی هذا الصدد رحلات إلی مختلف البلدان الإسلامیة،وفی سنة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إلی فلسطین،وحضر المؤتمر الإسلامی الّذی عُقد فیها، وقام بإلقاء خطاب تأریخی علی أسماع مائة وخمسین ممثّلاً من الأقطار الإسلامیة المختلفة، وبحضور عشرین ألف مشارک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الشیخ قدس‌سره له قدرة أدبیّة عالیة، فقد برع فی الشعر والخطب الحماسیّة والسیاسیّة، فهو ثانی الفقهاء بعد الشهید الثانی فی هذا المجال، وله اطّلاع واسع فی التاریخ وآراء المذاهب الاُخری، ساعده فی نقل أفکار مذهب الشیعة إلی مصر وفلسطین ولبنان، وأظهر لهم عظمة مذهب التشیّع وصغر المذاهب الاُخری أمامه، وبیّن أیضاً قوّة الإسلام وشمول أحکامه، وأ نّه المذهب الخالد أثناء النقاش والحـوار الّذی دار فی منطقة جنوب لبنان بینه وبین المسیح، وکانت حصیلة الحـوار أن یؤلّف کتاباً اسمـه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التوضیح فی بیان ما هو الإنجیل ومن هو المسیح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جهاد الشیخ کاشف الغطاء</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له الید العلیا فی مقارعة الظلم والاضطهاد، والوقوف بوجه الاستعمار البریطانی بقصائده الشعریّة وخطبه الحماسیّة فی البلدان العربیة أثناء سفراته بعد إتمام مناسک الحجّ، فقد ذهب إلی سوریا ولبنان وفلسطین ومصر وباکستان، وبثّ </w:t>
      </w:r>
    </w:p>
    <w:p>
      <w:pPr>
        <w:pStyle w:val="BookText"/>
        <w:rPr/>
      </w:pPr>
      <w:r>
        <w:rPr>
          <w:rFonts w:ascii="IRNazanin" w:hAnsi="IRNazanin" w:eastAsia="IRNazanin"/>
          <w:color w:val="111111"/>
          <w:sz w:val="28"/>
          <w:sz w:val="28"/>
          <w:szCs w:val="28"/>
          <w:rtl w:val="true"/>
          <w:lang w:bidi="fa-IR"/>
        </w:rPr>
        <w:t>فیهم روح الوحدة ونبذ الفرقة والاختلاف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أصل الشیعة واُصولها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نقض فتاوی الوهابیة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للفقیه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وجیزة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حواشی عین الحیاة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المراجعات الریحانیّة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الأرض والتربة الحسینیّة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الدین والإسلام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باع کبیر فی المجالات الاُخری کالأدب والشعر والخطب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نقد ملوک العرب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تعلیقات علی الواسطة بین المتنبی وخصومه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تعلیقات علی دیوان سعید الحبّوبی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الفقیه المجاهد السیّد سعید الحبّوبی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تعلیقات علی دیوان السیّد جعفر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الشیخ محمّد حسین کاشف الغطاء فی الثامن عشر من ذی القعدة </w:t>
      </w:r>
      <w:r>
        <w:rPr>
          <w:rFonts w:eastAsia="IRNazanin" w:cs="IRNazanin"/>
          <w:color w:val="111111"/>
          <w:sz w:val="28"/>
          <w:szCs w:val="28"/>
          <w:rtl w:val="true"/>
          <w:lang w:bidi="fa-IR"/>
        </w:rPr>
        <w:t>(</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کرند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الواقعة بین کرمانشاه وخانقین قرب حدود العراق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بمقبرة وادی السلام فی مدینة النجف الأشرف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جمال الدین الگلپایگانی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جمال الدین بن حسین بن محمّد علی نقی الموسوی الگلپایگانی، کان فقیهاً إمامیّاً، مدرّساً، من مراجع التقلید والإفتاء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سعید آباد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 گلپایگان فی محافظة إصفهان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 نهر خروشان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شرع فی الدراسة بمدینته، ومن شدّة شوقه لطلب العلوم الدینیة کان یذهب مشیاً من قریته إلی مدینة گلپایگان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إلی إصفهان وبلغ بها مکانة فی علمی الفقه والاُصول، وهاجر بعد ذلک إلی مدینة قم المقدّسة، ثمّ قصد النجف الأشرف مدینة العلم ومعقله فی عام </w:t>
      </w:r>
      <w:r>
        <w:rPr>
          <w:rFonts w:eastAsia="IRNazanin" w:cs="IRNazanin"/>
          <w:color w:val="111111"/>
          <w:sz w:val="28"/>
          <w:szCs w:val="28"/>
          <w:rtl w:val="true"/>
          <w:lang w:bidi="fa-IR"/>
        </w:rPr>
        <w:t>(</w:t>
      </w:r>
      <w:r>
        <w:rPr>
          <w:rFonts w:eastAsia="IRNazanin" w:cs="IRNazanin"/>
          <w:color w:val="111111"/>
          <w:sz w:val="28"/>
          <w:szCs w:val="28"/>
          <w:lang w:bidi="fa-IR"/>
        </w:rPr>
        <w:t>1319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حیث دخل إلیها وهو من الأعلام والفضلاء ، وواصل دراساته العلیا عند الأکابر والعظماء من الفقهاء منهم السیّد محمّد کاظم الیزدی والخراسانی وغیرهم ، وبعد ذلک أخذ بالبحث والتدریس فصار من مراجع التقلید، خصوصاً بعد وفاة السیّد الأجل أبو الحسن الإصفهانی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ذا حالات عرفانیّة وکرامات إلهیّة مشهودة، وکان مطّلعاً فی شؤون السیاسة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أساتذته،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کاظم الطباطبائی الیزدی</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الآخوند محمّد کاظم الخراسانی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محمّد حسین النائینی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مرتضی الکشمیری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لطف اللّه بن محمّد جواد الصافی النجفی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جواد بن محمود آل مغنیة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حسین بن حسن الخراسانی الشهیر بالوحید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مهدی الحائری الطهرانی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الغیبة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ذخیرة العباد لیوم المعاد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بالفارسیّة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النجف الأشرف عن عمر مبارک ناهز </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مودّعاً الدنیا براحة الأبد ، ودفن بمقابر العلماء فی وادی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إبراهیم الحسینی الإصطهباناتی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السیّد إبراهیم ابن المیرزا حسن ابن المیرزا إبراهیم، وینتهی نسبه إلی </w:t>
      </w:r>
    </w:p>
    <w:p>
      <w:pPr>
        <w:pStyle w:val="BookText"/>
        <w:rPr/>
      </w:pPr>
      <w:r>
        <w:rPr>
          <w:rFonts w:ascii="IRNazanin" w:hAnsi="IRNazanin" w:eastAsia="IRNazanin"/>
          <w:color w:val="111111"/>
          <w:sz w:val="28"/>
          <w:sz w:val="28"/>
          <w:szCs w:val="28"/>
          <w:rtl w:val="true"/>
          <w:lang w:bidi="fa-IR"/>
        </w:rPr>
        <w:t xml:space="preserve">الإمام الباقر علیه‌السلام ، وجدّه الأکبر المشهور بإمام زاده حسین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سنة </w:t>
      </w:r>
      <w:r>
        <w:rPr>
          <w:rFonts w:eastAsia="IRNazanin" w:cs="IRNazanin"/>
          <w:color w:val="111111"/>
          <w:sz w:val="28"/>
          <w:szCs w:val="28"/>
          <w:rtl w:val="true"/>
          <w:lang w:bidi="fa-IR"/>
        </w:rPr>
        <w:t>(</w:t>
      </w:r>
      <w:r>
        <w:rPr>
          <w:rFonts w:eastAsia="IRNazanin" w:cs="IRNazanin"/>
          <w:color w:val="111111"/>
          <w:sz w:val="28"/>
          <w:szCs w:val="28"/>
          <w:lang w:bidi="fa-IR"/>
        </w:rPr>
        <w:t>1297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وباشر بتعلم القرآن فی السادسة من عمره فی إحدی المحلات القدیمة لاستهبان، ودرس المقدمات والسطوح أیضاً هناک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غادر إلی شیراز واستقر فی مدرسة المنصوریة حیث حضر دروس علمائها مثل آیة اللّه محمّد باقر الاصطهباناتی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بالشهید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والشیخ جعفر المحلاتی والشیخ محمّد طاهر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شدّ الرحال إلی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وفاة أستاذه المیرزا محمّد تقی الشیرازی فی سنة </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 xml:space="preserve">، أخذ یدرس درس الخارج بصورة مستقلة ودام تدریسه مدة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حاز علی إجازة الاجتهاد من أستاذه الآخوند الخراسانی وهو فی الثانیة والثلاثین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کان عمره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بلغ من المرتبة العلمیة درجة بحیث کان المیرزا الشیرازی قدس‌سره یُرجع احتیاطاته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أساتذته،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کاظم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ملاّ محمّد کاظم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محمّد تقی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آیة اللّه محمّد باقر الاصطهباناتی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المعروف بالشهید الرابع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میرزا أبو الحسن محقق الاصطهباناتی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الخوئی</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المرعشی النجفی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الشهید دستغیب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مجتبی 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محمّد رضا الطبسی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میرزا علی غروی علیاری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الرسائل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المکاسب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فی مدینة النجف الأشرف، فی الحسینیة التی انشأها هناک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حسین الطباطبائی البروجردی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حسین بن علی بن أحمد بن علی نقی بن جواد بن مرتضی الطباطبائی الحسنی، البروجردی، نزیل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متبحّراً، اُصولیاً، خبیراً بالحدیث والرجال، من مشاهیر علماء الإمامیّة وأکابر مراجع التقلید والإفتاء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السیّد البروجردی سنة </w:t>
      </w:r>
      <w:r>
        <w:rPr>
          <w:rFonts w:eastAsia="IRNazanin" w:cs="IRNazanin"/>
          <w:color w:val="111111"/>
          <w:sz w:val="28"/>
          <w:szCs w:val="28"/>
          <w:rtl w:val="true"/>
          <w:lang w:bidi="fa-IR"/>
        </w:rPr>
        <w:t>(</w:t>
      </w:r>
      <w:r>
        <w:rPr>
          <w:rFonts w:eastAsia="IRNazanin" w:cs="IRNazanin"/>
          <w:color w:val="111111"/>
          <w:sz w:val="28"/>
          <w:szCs w:val="28"/>
          <w:lang w:bidi="fa-IR"/>
        </w:rPr>
        <w:t>1292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بروجرد فی إیران، ونشأ فی </w:t>
      </w:r>
    </w:p>
    <w:p>
      <w:pPr>
        <w:pStyle w:val="BookText"/>
        <w:rPr/>
      </w:pPr>
      <w:r>
        <w:rPr>
          <w:rFonts w:ascii="IRNazanin" w:hAnsi="IRNazanin" w:eastAsia="IRNazanin"/>
          <w:color w:val="111111"/>
          <w:sz w:val="28"/>
          <w:sz w:val="28"/>
          <w:szCs w:val="28"/>
          <w:rtl w:val="true"/>
          <w:lang w:bidi="fa-IR"/>
        </w:rPr>
        <w:t>عائلة علمیّة متدیّنة، کان أبوه من کبار العلماء، واُمّه من أحفاد العلاّمة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المقدّمات عند والده وعند العلماء الآخرین فی مدینة بروجرد، وفی سنة </w:t>
      </w:r>
      <w:r>
        <w:rPr>
          <w:rFonts w:eastAsia="IRNazanin" w:cs="IRNazanin"/>
          <w:color w:val="111111"/>
          <w:sz w:val="28"/>
          <w:szCs w:val="28"/>
          <w:rtl w:val="true"/>
          <w:lang w:bidi="fa-IR"/>
        </w:rPr>
        <w:t>(</w:t>
      </w:r>
      <w:r>
        <w:rPr>
          <w:rFonts w:eastAsia="IRNazanin" w:cs="IRNazanin"/>
          <w:color w:val="111111"/>
          <w:sz w:val="28"/>
          <w:szCs w:val="28"/>
          <w:lang w:bidi="fa-IR"/>
        </w:rPr>
        <w:t>1310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إلی مدینة إصفهان لإکمال دراسته، ثمَّ قصد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نال درجة الاجتهاد من علماء حوزة النجف الأشرف، ثمّ عاد إلی بروجرد للتدریس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أساتذته،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أبو المعالی الکلباسی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السیّد محمّد تقی المدرّس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کاظم الطباطبائی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الإمام الخمینی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رضا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علی الصافی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عبدالجواد الإصفهانی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بدأ السیّد البروجردی بالتدریس منذ کان فی مدینة إصفهان، وبعد عودته إلی بروجرد، وبناءً علی طلب علماء وأهالی مدینة قم المقدّسة، قدم حوزتها وتصدّی للتدریس فیها، بالإضافة إلی انشغاله باُمور المرجعیّة الدینیّة والدفاع عنها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أقوال بعض العلماء فی حقّه،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الشهید الشیخ المطهری 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للسیّد اطّلاع واسع فی تاریخ الفقه، ونهج الفقهاء القدماء والمتأخّرین، وآرائهم، بالإضافة إلی تخصّصه فی علمی الحدیث والرجال من الخاصّة والعامّة، أمـّا عن القرآن الکریم فقد کان شغوفاً به، حفظاً، وتلاوةً، وعلوماً، بالأخصّ علوم التفسیر، مضافاً إلی إحاطته بدقائق التاریخ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 وأخلاقه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عنه إخلاصه وتواضعه لطلاّبه واحترامه للعلماء قاطبة واعتناؤه الشدید بالفقراء، وشدّة اهتمامه بالوقت، وبساطته فی المأکل والملبس، وکان لایقبل هدایا الملوک، ولایقبل الإطراء علیه ویری ذلک خدشاً فی نیّة الإخلاص للعمل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إیمانه بالوحدة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مهتمّاً بمسألة الوحدة الإسلامیة ونبذ الفرقة بین المسلمین، ومن أجل ذلک دأب علی العمل فی تعریف مذهب الشیعة ومعتقداته لأبناء المذاهب الإسلامیة الاُخری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مؤلّفاته،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تجرید أسانید الکافی والتهذیب ومن لا یحضره الفقیه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جامع أحادیث الشیعة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نهایة الأفکار فی مباحث الألفاظ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السیّد البروجردی فی الثالث عشر من شوال سنة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بالمسجد الأعظم جوار مرقد السیّدة فاطمة بنت الإمام موسی بن جعفر علیهماالسلام فی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مهدی الشیرازی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مهدی بن حبیب اللّه بن آقا بزرک بن محمود بن إسماعیل الحسینی، الشیرازی الأصل، الحائری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إمامیّاً، أدیباً، عالماً جلیلاً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الحائر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1304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تتلمذ فی بلدته کربلاء، وهاجر إلی سامراء والنجف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الّتی أقام بها ما یقرب من عشرین 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وبارح النجف سنة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عائداً إلی کربلاء، فأقام بها مدرّساً، ومفتیاً، وإماماً للجماعة فی الصحن الحسینی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وبرز اسمه أکثر بعد وفاة السیّد حسین القمّی الحائری سنة </w:t>
      </w:r>
      <w:r>
        <w:rPr>
          <w:rFonts w:eastAsia="IRNazanin" w:cs="IRNazanin"/>
          <w:color w:val="111111"/>
          <w:sz w:val="28"/>
          <w:szCs w:val="28"/>
          <w:rtl w:val="true"/>
          <w:lang w:bidi="fa-IR"/>
        </w:rPr>
        <w:t>(</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وصار أحد المراجع المعروفین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أساتذته، منهم</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محمّد تقی الشیرازی زعیم ثورة العشرین فی العراق</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کاظم الطباطبائی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محمّد حسین النائینی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ضیاء الدین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السیّد محمّد الشیرازی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أحمد الفالی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کاظم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حسین باقر الهندی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 فی خمسة 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فتوائیة سمّاها ذخیرة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فقه الرضا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رسائل فی المباحث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کربلاء سنة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عبدالهادی الشیرازی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عبدالهادی بن إسماعیل بن رضی الدین بن إسماعیل بن فتح اللّه الحسینی </w:t>
      </w:r>
    </w:p>
    <w:p>
      <w:pPr>
        <w:pStyle w:val="BookText"/>
        <w:rPr/>
      </w:pPr>
      <w:r>
        <w:rPr>
          <w:rFonts w:ascii="IRNazanin" w:hAnsi="IRNazanin" w:eastAsia="IRNazanin"/>
          <w:color w:val="111111"/>
          <w:sz w:val="28"/>
          <w:sz w:val="28"/>
          <w:szCs w:val="28"/>
          <w:rtl w:val="true"/>
          <w:lang w:bidi="fa-IR"/>
        </w:rPr>
        <w:t>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فقیهاً بارعاً، أدیباً، مدرّساً، قدیراً، من مراجع التقلید والإفتاء للطائفة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ولد بمدینة سامراء فی العراق سنة وفاة والده</w:t>
      </w:r>
      <w:r>
        <w:rPr>
          <w:rFonts w:eastAsia="IRNazanin" w:cs="IRNazanin"/>
          <w:color w:val="111111"/>
          <w:sz w:val="28"/>
          <w:szCs w:val="28"/>
          <w:rtl w:val="true"/>
          <w:lang w:bidi="fa-IR"/>
        </w:rPr>
        <w:t>(</w:t>
      </w:r>
      <w:r>
        <w:rPr>
          <w:rFonts w:eastAsia="IRNazanin" w:cs="IRNazanin"/>
          <w:color w:val="111111"/>
          <w:sz w:val="28"/>
          <w:szCs w:val="28"/>
          <w:lang w:bidi="fa-IR"/>
        </w:rPr>
        <w:t>1305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ونشأ فی ظلّ المجدّد ـ السیّد محمّد حسن الشیرازی ـ وتحت کنفه محاطاً برعایته، وعند رحیل المجدّد کان له من العمر سبع سنوات، فتولّی تربیته ابن عمّته الحجّة الورع السیّد علی ابن المجدّد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مبادئ العلوم، وأخذ شطراً من الفقه عن إبن عمّته السیّد علی ابن المجدّد محمّد حسن الشیرازی وعن المیرزا محمّد تقی الشیرازی، قصد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1326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 الأبحاث العالیة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نال المقام الکبیر فی الفقه، وتضلّع فی سائر العلوم، وکتب الشعر باللغتین العربیة والفارسیّة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وتصدّی للتدریس، فأبدی کفاءة عالیة، واشتهر بین العلماء بالتحقیق والتدقیق والرأی الصائب، والغور فی الدلیل، وسعة العلم، وأصبح فی الطلیعة من أعلام النجف ومن أساتذتها البارزین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ولمّا توفّی المرجع السیّد أبو الحسن الإصفهانی سنة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کان السیّد الشیرازی فی عداد الّذین انتهت إلیهم اُمور التقلید بعده، ثُمّ بعد وفاة المرجع السیّد حسین البروجردی سنة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رجع إلیه الجمّ الغفیر من مقلّدیه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أساتذته، منهم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الآخوند محمّد کاظم الخراسانی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الشریعة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تقی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ضیاء الدین 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حسین النائینی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أحمد الشیرازی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اُستاذه فی الفلسفة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رضا التبریزی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اُستاذه فی الأخلاق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إسماعیل بن حیدر الصدر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محمّد صادق الصدر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موسی الزنجانی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أسد اللّه المدنی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تقی بحر العلوم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موسی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ناصر مکارم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عبدالعزیز الطباطبائی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توضیح المسائل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اجتماع الأمر والنهی</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دیوان شعر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السیّد الشیرازی فی العاشر من صفر سنة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بالصحن الحیدری فی مدینة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محسن الطباطبائی الحکیم</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محسن بن مهدی بن صالح بن أحمد بن محمود الحکیم الطباطبائی الحسنی، النجفی، المرجع الدینی الأعلی للشیعة الإمامیّة فی عصره، وأحد مشاهیر العلماء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السیّد الحکیم سنة </w:t>
      </w:r>
      <w:r>
        <w:rPr>
          <w:rFonts w:eastAsia="IRNazanin" w:cs="IRNazanin"/>
          <w:color w:val="111111"/>
          <w:sz w:val="28"/>
          <w:szCs w:val="28"/>
          <w:rtl w:val="true"/>
          <w:lang w:bidi="fa-IR"/>
        </w:rPr>
        <w:t>(</w:t>
      </w:r>
      <w:r>
        <w:rPr>
          <w:rFonts w:eastAsia="IRNazanin" w:cs="IRNazanin"/>
          <w:color w:val="111111"/>
          <w:sz w:val="28"/>
          <w:szCs w:val="28"/>
          <w:lang w:bidi="fa-IR"/>
        </w:rPr>
        <w:t>1306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النجف الأشرف، ونشأ فی عائلة متدیّنة معروفة بالعلم والصلاح والتقوی، حیث کان جدّه السیّد مهدی الحکیم من مدرّسی علم الأخلاق المعروفین فی زمانه، واُمّه حفیدة العلاّمة الشیخ عبدالنبی الکاظمی،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وکان أحد أجداد هذه العائلة ـ وهو السیّد علی الحکیم ـ طبیباً مشهوراً، ومنذ ذلک الزمان اکتسبت العائلة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الطبیب، وأصبح لقباً مشهوراً 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أساتذته،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کاظم الطباطبائی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کاظم الخراسانی</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ضیاء الدین العراقی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أبو تراب الخونساری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حسین النائینی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السیّد محمّد سعید الحبّوبی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علی باقر الجواهری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تلامذته،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الشهید السیّد أسد اللّه المدنی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الشهید السیّد محمّد باقر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حسین وحید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أحمد فیاض السدهی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مهدی شمس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حسین المشکوری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حسن البهبهانی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ولده السیّد یوسف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مهدی الموسوی الخلخالی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مرتضی البروجردی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علی 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عبدالمنعم الفرطوسی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عبدالکریم الموسوی الأردبیلی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مهدی الآصفی</w:t>
      </w:r>
    </w:p>
    <w:p>
      <w:pPr>
        <w:pStyle w:val="BookText"/>
        <w:rPr/>
      </w:pPr>
      <w:r>
        <w:rPr>
          <w:rFonts w:eastAsia="IRNazanin" w:cs="IRNazanin"/>
          <w:color w:val="111111"/>
          <w:sz w:val="28"/>
          <w:szCs w:val="28"/>
          <w:lang w:bidi="fa-IR"/>
        </w:rPr>
        <w:t>393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قربان علی الکابلی</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ناصر مکارم الشیرازی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هادی معرفة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حسین الراستی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عز الدین الحسینی الزنجانی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أبو الفضل النجفی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صفاته وأخلاقه،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کان السیّد سَمِحاً عطوفاً، یعامل الآخرین بلطف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کان شدید التواضع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عدم اعتماده فی تأمین اُموره المعاشیّة علی ما یحصل علیه من الأموال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کان له اهتمام کبیر بإحیاء مناسبات أهل البیت علیهم‌السلام ، وبالخصوص إحیاء مجالس عزاء الإمام الحسین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أقوال بعض العلماء فی حقّه، ومنهم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الشهید السیّد محمّد علی القاضی الطباطبائیإذ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یحدّث الفقید الحکیم نفسه بالرئاسة یوماً من الأیام، لکنّی وجدت الزعامة والرئاسة هی الّتی وجدته لائقاً وجدیراً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مشاریعه</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تأسیسه المکتبات العامّة فی أنحاء العراق کافّة، لنشر الثقافة الإسلامیة، ومنها مکتبة الإمام الحکیم العامّة فی مدینة النجف الأشرف، وهی من أکبر المکتبات حیث کانت تحتوی علی </w:t>
      </w:r>
      <w:r>
        <w:rPr>
          <w:rFonts w:eastAsia="IRNazanin" w:cs="IRNazanin"/>
          <w:color w:val="111111"/>
          <w:sz w:val="28"/>
          <w:szCs w:val="28"/>
          <w:rtl w:val="true"/>
          <w:lang w:bidi="fa-IR"/>
        </w:rPr>
        <w:t>(</w:t>
      </w:r>
      <w:r>
        <w:rPr>
          <w:rFonts w:eastAsia="IRNazanin" w:cs="IRNazanin"/>
          <w:color w:val="111111"/>
          <w:sz w:val="28"/>
          <w:szCs w:val="28"/>
          <w:lang w:bidi="fa-IR"/>
        </w:rPr>
        <w:t>000/30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مطبوع، وحوالی </w:t>
      </w:r>
      <w:r>
        <w:rPr>
          <w:rFonts w:eastAsia="IRNazanin" w:cs="IRNazanin"/>
          <w:color w:val="111111"/>
          <w:sz w:val="28"/>
          <w:szCs w:val="28"/>
          <w:rtl w:val="true"/>
          <w:lang w:bidi="fa-IR"/>
        </w:rPr>
        <w:t>(</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 خطّیّة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خدماته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الخدمات الجلیلة الّتی قدّمها السیّد الحکیم إلی الحوزة العلمیة فی النجف الأشرف قیامه بإغناء دروس الحوزة بإدخال مواد دراسیة جدیدة، مثل التفسیر والاقتصاد والفلسفة والعقائد، کما شجّع طلاب العلوم الدینیّة علی التألیف، وأشرف علی المجلاّت الإسلامیة الّتی کانت تصدر آنذاک،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الأضواء، رسالة الإسلام، النجف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مواقفه الجهادیة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السیّد الحکیم منذ أیام شبابه رافضاً للظالمین وأعداء الدین، وقد شارک بنفسه فی التصدّی للاحتلال البریطانی الغاشم للعراق، وعندما أخذ الحکّام المرتبطون بالأجنبی بترویج أفکار القومیّة العربیّة فی العراق، قام السیّد بالتصدّی لتلک الأفکار، وقاوم کلّ أشکال التعصّب والتمییز الطائفی فی العراق، وخیر شاهد علی ذلک إصداره الفتوی المعروفة حرمة مقاتلة الأکراد فی شمال العراق، وعندما روّج الشیوعیّون فی العراق لأفکارهم الإلحادیّة، أصدر السیّد الحکیم فتواه المشهورة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الشیوعیّة کفر وإلحاد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مواقفه الاُخری دعمه لحرکة التحرّر فی العالم الإسلامی، وعلی رأسها حرکة تحریر فلسطین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مؤلّفاته،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مستمسک العروة الوثقی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نهج الفقاهة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حقائق الاُصول</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منهاج الصالحین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منهاج الناسکین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شرح التبصرة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دلیل الناسک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تحریر المنهاج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مختصر منهاج الصالحین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 الثمین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علی الرسالة الصلاتیّة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المراح فی علم الصرف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تشریح الأفلاک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سجدة السهو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مختصرة فی علم الدرایة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بعض المسائل المتفرّقة فی الصلاة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حواشی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نجاة العباد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حواشی علی تقریرات السیّد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السیّد الحکیم فی السابع والعشرین من 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1390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واستغرق تشییعه من العاصمة بغداد إلی مدینة النجف الأشرف مدّة یومین بموکب مهیب، حضره مئات الآلاف من المؤمنین، ودفن بمقبرة خاصّة له إلی جوار مکتبته فی مدینة النجف الأشرف</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محمود الشاهرودی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محمود بن علی بن عبداللّه الحسینی الشاهرودی النجفی، کان فقیهاً إمامیّاً کبیراً، من مراجع التقلید والفتیا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فی إحدی قری شاهرود تعرف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قلعة آقا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شمال إیران سنة </w:t>
      </w:r>
      <w:r>
        <w:rPr>
          <w:rFonts w:eastAsia="IRNazanin" w:cs="IRNazanin"/>
          <w:color w:val="111111"/>
          <w:sz w:val="28"/>
          <w:szCs w:val="28"/>
          <w:rtl w:val="true"/>
          <w:lang w:bidi="fa-IR"/>
        </w:rPr>
        <w:t>(</w:t>
      </w:r>
      <w:r>
        <w:rPr>
          <w:rFonts w:eastAsia="IRNazanin" w:cs="IRNazanin"/>
          <w:color w:val="111111"/>
          <w:sz w:val="28"/>
          <w:szCs w:val="28"/>
          <w:lang w:bidi="fa-IR"/>
        </w:rPr>
        <w:t>1301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ینتهی نسبه الشریف الی الشهید زید بن علی بن الحسین بن علی بن أبی طالب علیه وعلیهم الصلاة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جده العالم الزاهد السیّد عبداللّه الی جانب مکانته العلمیة السامیة مشهوراً بالزهد والتقوی والصلاح والسداد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السیّد الجلیل کرامات ومآثر عجیبة تناقلها الخلف عن السلف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نشأته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أسرته قدس‌سره أسرة علویة متدیّنة للغایة، وبهذا نشأ نشأة دینیة بحتة ظهرت آثارها منذ الصغر ونذکر أن المنطقة ابتلیت بالجراد لمدة سنتین متوالیتین سببت فساد المزارع وباءت جمیع المحاولات والسبل بالفشل لازالة هذا الخطر المحدق الذی ألمّ بمصیر أهالی المنطقة صغیراً وکبیراً، وفی الندوة التی عقدت تکلم السیّد حیث کان طفلاً بکلمة أخذت مفعولها،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توجهوا کلکم إلی اللّه تعالی وعاهدوه أن تؤدوا زکوات أموالکم فی هذه السنة کاملة غیر منقوصة، فسوف یزیل اللّه عنکم هذا البلاء ویرحمکم برحمته الواسعة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وحقاً قد زالت آثار الجراد وحان </w:t>
      </w:r>
    </w:p>
    <w:p>
      <w:pPr>
        <w:pStyle w:val="BookText"/>
        <w:rPr/>
      </w:pPr>
      <w:r>
        <w:rPr>
          <w:rFonts w:ascii="IRNazanin" w:hAnsi="IRNazanin" w:eastAsia="IRNazanin"/>
          <w:color w:val="111111"/>
          <w:sz w:val="28"/>
          <w:sz w:val="28"/>
          <w:szCs w:val="28"/>
          <w:rtl w:val="true"/>
          <w:lang w:bidi="fa-IR"/>
        </w:rPr>
        <w:t>وقت الحصاد ورأوا وفرة محاصیلهم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الطمع دب فی نفوسهم فلم یفوا بعهدهم ولم یؤدوا زکوات أموالهم کما ینبغی، حیث کان لموقفهم هذا، عدم تأدیة ما علیهم من الواجب تجاه الفقراء أثر بالغ فی نفس الطفل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 وتدریسه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تلقی دروسه الأولیة فی قریته ثم فی بسطام ثم فی مشهد الإمام الرضا علیه‌السلام ، وقصد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فحضر الأبحاث العالیة، وبلغ مرتبة الاجتهاد واستنباط الأحکام، وتصدّی للبحث والتدریس والإمامة، اشتهر بالورع والزهد والتقوی والبعد عن التکلّف والتصنّع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کانت حلقات تدریسه أعظم الحلقات التدریسیة التی شهدتها النجف الأشرف فی السنین الأخیرة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صنف أکثر من عشرین کتاباً ورسالة علمیة اجتهادیة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طبع أول رسالة عملیة له فی سنة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بعد وفاة المرحوم الآیة السیّد أبو الحسن الإصفهانی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ملامح من شخصیته قدس‌سره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نظرة خاطفة علی حیاته قدس‌سره تدل دلالة واضحة علی معنی العلم والعالم ومدی تطبیق الموازین العلمیة الإسلامیة علی نفسه وذویه وکل من ینتمی إلیه بصلة قریبة أو بعیدة، وحتی علی البعیدین عنه من سائر الأفراد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وعطفه الأبوی علی الطلبة ورجال الدین فهو مما یضرب به الأمثال</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ونتناول جانب مهم آخر من شخصیته الرفیعة، حیث أن والمعروف عن المیرزا النائینی قدس‌سره أنه کان صعباً جداً فی قبول الشهادات وخاصة العلمیة منها، فکان یتروی فی الشاهد وکیفیة الشهادة والمشهود له، ومع هذا کله کان سریع البت فی الموضوع إذا جاءت شهادة سیدنا قدس‌سره ، فهی الحد الفاصل لکل تردد وتروٍّ</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أساتذته،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الآخوند محمّد کاظم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محمّد حسین النائینی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ضیاء الدین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نجله السیّد محمّد الشاهرودی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السیّد محمّد جعفر المروّج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السیّد محمّد علی المدرّسی الیزدی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باقر بن علی الشخص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السعودیة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حسین بن محمود آل مکی العاملی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الشیخ محمّد تقی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علماء لبنان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رضا بخارائی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سیّد حسین الموسوی الشاهرودی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علی أصغر دانش پژوه</w:t>
      </w:r>
    </w:p>
    <w:p>
      <w:pPr>
        <w:pStyle w:val="BookText"/>
        <w:rPr/>
      </w:pP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نصیری المازندرانی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ذخیرة المؤمنین لیوم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شرائع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للمحقّق الحلّی</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الفقه للشیخ مرتضی الأنصاری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مشاریعه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بالاضافة إلی ما کان مخصصاً لتوزیع الرواتب شهریاً بصورة منظمة لطلاب العلوم الدینیة فی المدن المقدسة والکثیر من المدن فی ایران فهناک کانت مساعدات مالیة کثیرة تمنح للطلاب وغیر الطلاب من ضعفاء الکسبة والفقراء والشیوخ والأیتام والأرامل والعجزة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بناء المدارس الدینیة،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مدرسة القزوینی ومدرسة البخارائی فی النجف الأشرف ومدرسة المحمودیة فی فاروج ومدرسة فی زاهدان وفی فومن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شیدت بأمر من سماحته قدس‌سره جوامع ومساجد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الجامع فی کرمه جاجرم، ومسجد المعصومیة فی بجنورد وفی زاهدان وگنبد قابوس 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إنشاء مجمّع سکنی لطلاب العلوم الدینیة باسم حی الإمام الشاهرودی فی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أبو الحسن الحسینی الرفیعی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أبو الحسن ابن السیّد إبراهیم المشهور بالمیرزا خلیل، وحفید السیّد رفیع الطالقانی المعروف بالرفیعی القزوینی، من أکابر العلماء والأساتذة فی الحکمة والفلسفة</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قزوین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أساتذته،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التنکابنی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عبدالنبی النوری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هاشم الأشکوری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عبدالکریم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الإمام الخمینی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إبراهیم بنی الهاشمیان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أبو القاسم مسیح الشرفیان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الاُنس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کفایة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أسرار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أوّل المحرّم سنة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عمر ناهز </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فی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هادی الحسینی المیلانی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السیّد محمّد هادی المیلانی فی السادس من محرّم الحرام سنة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النجف الأشرف، ونشأ فی عائلة علمیّة معروفة بالفضل والتقوی، حیث کان والده السیّد جعفر من المراجع والشخصیّات البارزة فی القرن الرابع عشر الهجری، وکانت والدته إمرأة جلیلة فاضلة، قال فیها الشیخ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من خیر نساء عصرنا وأنجبهنّ وأعقلهنّ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 وأساتذته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أکمل المقدّمات عند أساتذة الحوزة العلمیّة فی مدینة النجف الأشرف، ومنهم الشیخ الهمدانی، والملاَّ حسن التبریزی، وآخرین، ثمّ درس السطوح عند مجموعة من العلماء،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إبراهیم السالیانی، والسیّد جعفر الأردبیلی، والشیخ علی الإیروانی، والشیخ غلام علی القمّی السامرائی، والشیخ أبی القاسم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وحضر بحث الخارج فی الفقه والاُصول عند الشیخ فتح اللّه الإصفهانی، والشیخ ضیاء الدین العراقی، ودرس الفلسفة عند السیّد حسین البادکوبی، والشیخ محمّد حسین الغروی الإصفهانی، ودرس الأخلاق عند السیّد علی القاضی، وعبد الغفار المازندرانی ، وکذلک درس علمَی المناظرة والتفسیر عند الشیخ محمّد جواد البلاغی ، ودرس أیضاً علم الریاضیات عند السیّد أبی القاسم الخونساری ، وبهذه الدراسة یکون السیّد المیلانی قد جمع بین المعقول والمنقول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مکانته العلمیّة</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بالنظر لاستعداده القویّ فقد استطاع هذا العالم الکبیر الإحاطة بآراء وتقریرات أساتذته الثلاث، الّذین کانوا محور الحوزة العلمیّة فی مدینة النجف الأشرف آنذاک، 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محمّد حسین النائینی، والسیّد أبو الحسن الإصفهانی، والشیخ ضیاء الدین العراقی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حاز درجة الاجتهاد وهو لم یتجاوز العقد الرابع من عمره الشریف، وأصبح فیما بعد موضع اهتمام العلماء والفضلاء بسبب دقّة نظره واهتمامه بالتحقیق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بدأ بإلقاء دروسه عندما کان فی مدینة النجف الأشرف، ولمّا ذهب إلی مدینة مشهد المقدّسة لزیارة الإمام الرضا علیه‌السلام طلب منه فضلاء الحوزة فی مشهد المقدّسة الإقامة فیها لغرض الاستفادة من دروسه، فقبل دعوتهم بعد أن استخار اللّه، وأخذ یدرّس الفقه والاُصول، وقد طبعت تلک الدروس علی شکل کتابٍ مستقلٍّ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محاضرات فی فقه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للسیّد المیلانی اعتناء خاصّ بدروس التفسیر، حتّی أنّ أحد بحوثه حول سورتَی الجمعة والتغابن قد طُبع بشکل کتاب مستقلّ، وأصبح موضع اهتمام طلاّب العلوم الدینیّة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تلامذته،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الشیح حسین الوحید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إبراهیم علم الهدی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عباس الصدر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السیّد محمّد باقر حجّت الطباطبائی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حسین الشمس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رضا الدامغانی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تقی الجعفری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نور الدین المیلانی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علمیّته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إلمامه بعلم الحدیث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سعة اطّلاعه بعلوم الفقه، والاُصول، والکلام، والفلسفة، فقد کان متبحّراً بعلم الحدیث، وقد کانت له مباحثات فی هذا العلم مع الشیخ علی القمّی، ولمدّة ثمانی سنوات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تعلّقه بالأدب والشعر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السیّد المیلانی واسع الإطّلاع بالأدب الفارسی والعربی، وکان یمتلک خطّاً جمیلاً، وإنشاءً جذّاباً، وله أشعار لطیفة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 وأخلاقه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احترامه لأساتذته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السیّد المیلانی یحترم أساتذته احتراماً کبیراً، ویتواضع لهم جمیعاً، وعلی الأخصّ اُستاذه الشیخ محمّد حسین الغروی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تواضعه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یتواضع لجمیع الناس، العالم منهم والعامّی، الغنی منهم والفقیر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وقاره وأدبه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ملتزماً بالآداب، ولم یُنقل عنه أ نّه فی یوم من الأیّام تکلّم مع أحد من الناس بصوت عالٍ، أو کان یضحک بقهقهة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إخلاصه للّه سبحانه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السیّد مبتعداً عن التظاهر والریاء، لایُحبّ الزعامة ولایسعی إلیها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ذوبانه فی أهل البیت علیهم‌السلام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لانستطیع وصف شدّة تعلّقه بالأئمّة الطاهرین علیهم‌السلام ، فقد کان یعایشهم فی أحواله کافّة عند زیارته للمراقد المقدّسة، وفی مجالس العزاء، وفی الأعیاد الدینیّة، وفی المحاضرات والمراسلات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مواقفه من نظام الشاه</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کان من العلماء البارزین فی التصدّی لممارسات الشاه التعسّفیّة، </w:t>
      </w:r>
    </w:p>
    <w:p>
      <w:pPr>
        <w:pStyle w:val="BookText"/>
        <w:rPr/>
      </w:pPr>
      <w:r>
        <w:rPr>
          <w:rFonts w:ascii="IRNazanin" w:hAnsi="IRNazanin" w:eastAsia="IRNazanin"/>
          <w:color w:val="111111"/>
          <w:sz w:val="28"/>
          <w:sz w:val="28"/>
          <w:szCs w:val="28"/>
          <w:rtl w:val="true"/>
          <w:lang w:bidi="fa-IR"/>
        </w:rPr>
        <w:t>وخصوصاً عندما صوّت مجلس الاُمّة الشاهنشاهی علی قانون الانتخابات العامّة والمحلّیّة الجائر، فأرسل السیّد المیلانی برقیّة إلی رئیس الوزراء وحذّره من عواقب إصدار هذه اللائحة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کتب رسالة إلی العلماء بمناسبة حوادث المدرسة الفیضیّة المؤلمة فی قم المقدّسة، والّتی قُتل وجُرح فیها الکثیر من طلبة الحوزة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أصدر بیاناً سنة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أبناء الشعب کافة مستنکراً فیه اعتقال الإمام الخمینی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أجاب بالحرمة علی استفسارات المواطنین حول المشارکة بانتخابات الدورة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لمجلس الاُمّة، وأنّ معارضتها واجب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مؤلّفاته،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سورة الجمعة والتغابن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مائة وعشر أسئلة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محاضرات فی فقه الإمامیّة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قادتنا کیف نعرفهم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نخبة المسائل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مختصر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مناسک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مشاریعه الخیریّة، منها</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تأسیس أربع مدارس للعلوم الدینیّة فی مدینة مشهد المقدّسة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468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بناء المدرسة المنتظریّة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إرسال المبلّغین لغرض إرشاد الناس إلی الأحکام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بناء العدید من المساجد والحمّامات فی القری والأریاف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دعم وإسناد المبلّغین والکتّاب الإسلامیین المقیمین خارج إیران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السیّد المیلانی یوم الجمعة التاسع والعشرین من شهر رجب سنة </w:t>
      </w:r>
      <w:r>
        <w:rPr>
          <w:rFonts w:eastAsia="IRNazanin" w:cs="IRNazanin"/>
          <w:color w:val="111111"/>
          <w:sz w:val="28"/>
          <w:szCs w:val="28"/>
          <w:rtl w:val="true"/>
          <w:lang w:bidi="fa-IR"/>
        </w:rPr>
        <w:t>(</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مشهد المقدّسة، ودفن بجوار مرقد الإمام الرضا علیه‌السلام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حسن البجنوردی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حسن بن آقا بزرک بن علی أصغر بن فتح علی بن إسماعیل الموسوی، البجنوردی الخراسانی ثمّ النجفی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کان فقیهاً إمامیّاً، اُصولیّاً، مدرّساً، متضلّعاً فی الفلسفة والحکمة الإلهیّة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ولد فی خُراشا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قری بجنورد بخراسان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شرع فی دراسة العلوم الدینیّة فی مدینته، ثمّ سافر إلی مدینة مشهد، فمکث فیها ثلاثة عشر عاماً، تتلمذ أثناءها علی لفیف من العلماء، ثمّ قصد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فحضر البحوث العالیة علی الأعلام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کانت تربطه علاقات علمیّة مع السیّد أبو الحسن الإصفهانی وتزوّج حفیدته من ابنته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برع فی عدّة علوم، وتصدّی لتدریس الفقه والاُصول والفلسفة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وسعی إلی تطویر تدریس الأبحاث العالیة فی الحوزة العلمیّة، من خلال اهتمام الاُستاذ بطرح القواعد الکلیّة للفقه وتطبیقها علی مصادیقها وذلک بهدف بلوغ ملکة الاستنباط فی مدّة أقصر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یبدِ رغبته لتصدّی المرجعیّة رغم ازدیاد التوجّه لتقلیده، لا سیّما بعد ارتحال السیّد البروجردی سنة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أساتذته، منهم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السیّد آقا حسین القمّی</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المیرزا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الآخوند الخراسانی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بآقازاده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الحکیم فاضل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ضیاء الدین 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حسین النائینی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أبو الحسن الإصفهانی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رضا المظفر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یوسف بن محسن الحکیم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تقی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علی القاضی الطباطبائی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تقی الجعفری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عبداللطیف الحائری التنکابنی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السیّد محمّد الکلانتر</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حسین وحید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ولده السیّد مهدی البجنوردی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ولده السیّد محمّد البجنوردی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السیّد موسی بحر العلوم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القواعد الفقهیّة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منتهی 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اُصول الفقه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ذخیرة العباد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الفقه العملی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اجتماع الأمر والنهی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 الأربعة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جمادی الثانی سنة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فی النجف الأشرف ودفن جثمانه بجوار مرقد أمیر المؤمنین علیه‌السلام فی مقبرة السیّد أبو الحسن 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أحمد الخونساری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بمدینة خونسار فی إیران سنة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ونشأ فی عائلة متدیّنة، </w:t>
      </w:r>
    </w:p>
    <w:p>
      <w:pPr>
        <w:pStyle w:val="BookText"/>
        <w:rPr/>
      </w:pPr>
      <w:r>
        <w:rPr>
          <w:rFonts w:ascii="IRNazanin" w:hAnsi="IRNazanin" w:eastAsia="IRNazanin"/>
          <w:color w:val="111111"/>
          <w:sz w:val="28"/>
          <w:sz w:val="28"/>
          <w:szCs w:val="28"/>
          <w:rtl w:val="true"/>
          <w:lang w:bidi="fa-IR"/>
        </w:rPr>
        <w:t xml:space="preserve">حیث کان والده السیّد یوسف من الفضلاء، وینتهی نسب العائلة إلی الإمام الکاظم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 وأساتذته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 المقدّمات والسطوح والریاضیات فی مسقط رأسه، ثمّ التحق بحوزة إصفهان ـ الّتی کانت من الحوزات المشهورة آنذاک ـ لإکمال دراسته فیها، فحضر دروس بحث الخارج فی الفقه والاُصول عند الأساتذة المیر محمّد صادق الإصفهانی، والملاّ عبدالکریم الکزی، والمیرزا محمّد علی التُویسرکانی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سافر إلی مدینة النجف الأشرف لیتلقّی الدروس العالیة عند کبار أساتذتها، کالشیخ محمّد کاظم الخراسانی، والسیّد محمّد کاظم الطباطبائی الیزدی، والشیخ ضیاء الدین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عاد إلی إیران سنة </w:t>
      </w:r>
      <w:r>
        <w:rPr>
          <w:rFonts w:eastAsia="IRNazanin" w:cs="IRNazanin"/>
          <w:color w:val="111111"/>
          <w:sz w:val="28"/>
          <w:szCs w:val="28"/>
          <w:rtl w:val="true"/>
          <w:lang w:bidi="fa-IR"/>
        </w:rPr>
        <w:t>(</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وذهب إلی مدینة أراک وأخذ یحضر دروس الشیخ عبدالکریم الحائری، وبعد انتقال الشیخ الحائری إلی قم، أخذ السیّد الخونساری یقیم صلاة الجماعة الّتی کان یقیمها الشیخ الحائری فی أراک، ویؤدّی الوظائف الدینیّة الّتی کان الشیخ الحائری یؤدّیها، وبالنظر لشدّة حاجة حوزة قم العلمیّة لأمثاله، جاء إلی مدینة قم المقدّسة، وشرع بتدریس بحث الخارج فی الفقه والاُصول</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مرور شهرین علی إقامته فی قم فوّض الشیخ الحائری إقامة صلاة الجماعة الّتی کان یقیمها فی المدرسة الفیضیّة إلیه ، وعندما توفّی العلاّمة یحیی السجادی إمام الجماعة 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السیّد عزیز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العاصمة طهران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قام السیّد البروجردی بإرسال السیّد الخونساری إلی طهران لغرض أداء وظائفه فی المسجد المذکور ودرّس فیه البحث الخارج من الفقه </w:t>
      </w:r>
    </w:p>
    <w:p>
      <w:pPr>
        <w:pStyle w:val="BookText"/>
        <w:rPr/>
      </w:pPr>
      <w:r>
        <w:rPr>
          <w:rFonts w:ascii="Amiri" w:hAnsi="Amiri" w:eastAsia="Amiri" w:cs="Amiri"/>
          <w:color w:val="111111"/>
          <w:sz w:val="28"/>
          <w:sz w:val="28"/>
          <w:szCs w:val="28"/>
          <w:rtl w:val="true"/>
          <w:lang w:bidi="ar-SA"/>
        </w:rPr>
        <w:t>والاُصول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مواقفه من نظام الشاه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کان السیّد الخونساری من العلماء الذین أعلنوا تأییدهم لنهضة الإمام الخمینی فی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عام </w:t>
      </w:r>
      <w:r>
        <w:rPr>
          <w:rFonts w:eastAsia="IRNazanin" w:cs="IRNazanin"/>
          <w:color w:val="111111"/>
          <w:sz w:val="28"/>
          <w:szCs w:val="28"/>
          <w:rtl w:val="true"/>
          <w:lang w:bidi="fa-IR"/>
        </w:rPr>
        <w:t>(</w:t>
      </w:r>
      <w:r>
        <w:rPr>
          <w:rFonts w:eastAsia="IRNazanin" w:cs="IRNazanin"/>
          <w:color w:val="111111"/>
          <w:sz w:val="28"/>
          <w:szCs w:val="28"/>
          <w:lang w:bidi="fa-IR"/>
        </w:rPr>
        <w:t>1963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وخلال الأحداث الّتی سبقت انتصار الثورة الإسلامیة فی إیران، کان له الدور الکبیر فی تثبیت اللَّبنات الاُولی للثورة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 العلماء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قال الإمام الخمینی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لهذا العالم الجلیل والمرجع الکبیر منزلة رفیعة، لقد قضی عمره الشریف بالتدریس وتربیة الفضلاء ، وکان اُسوة حسنة فی التقوی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السیّد الگلپایگانی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بقیّة السلف، واُسوة الفضائل الأخلاقیّة، وفقیه أهل البیت علیهم‌السلام ، وقد قضی أکثر من نصف قرن فی العلم والتقوی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جامع المدارک فی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المختصر النافع</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العقائد الحقّة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مناسک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السیّد الخونساری فی ربیع الثانی سنة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بالعاصمة طهران، </w:t>
      </w:r>
    </w:p>
    <w:p>
      <w:pPr>
        <w:pStyle w:val="BookText"/>
        <w:rPr/>
      </w:pPr>
      <w:r>
        <w:rPr>
          <w:rFonts w:ascii="IRNazanin" w:hAnsi="IRNazanin" w:eastAsia="IRNazanin"/>
          <w:color w:val="111111"/>
          <w:sz w:val="28"/>
          <w:sz w:val="28"/>
          <w:szCs w:val="28"/>
          <w:rtl w:val="true"/>
          <w:lang w:bidi="fa-IR"/>
        </w:rPr>
        <w:t xml:space="preserve">وعلی أثر انتشار نبأ وفاته أعلنت حکومة الجمهوریّة الإسلامیّة فی إیران الحِداد فی البلاد، وصلّی علیه المرجع السیّد محمّد رضا الگلپایگانی، ودفن بجوار مرقد السیّدة فاطمة بنت موسی بن جعفر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عبداللّه الشیرازی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السیّد عبداللّه بن محمّد طاهر الموسوی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شیراز جنوب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مکانته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تخرّج السیّد الشیرازی علی ید فطاحل العلماء فی النجف الأشرف، ثمّ سافر إلی مشهد المقدّسة فمارس دوره العلمی فیها بإلقاء الدروس فی الفقه والاُصول، ومن نشاطاته أ نّه أسّس مجلساً للإفتاء متشکّلاً من مجموعة کبار رجالات الحوزة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أساتذته،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أبو الحسن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حسین النائینی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ضیاء الدین 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والده السیّد محمّد طاهر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مؤلّفاته، منها </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ذخیرة الصالحین وأنیس المقلّدین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عملیّة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عمدة الوسائل فی شرح الرسائل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إزاحة الشبهات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دفع الحاجب فی أخذ الاُجرة علی 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ذخیرة العباد فی المعاد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الاحتجاجات العشرة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السیّد الشیرازی فی الأوّل من المحرّم سنة </w:t>
      </w:r>
      <w:r>
        <w:rPr>
          <w:rFonts w:eastAsia="IRNazanin" w:cs="IRNazanin"/>
          <w:color w:val="111111"/>
          <w:sz w:val="28"/>
          <w:szCs w:val="28"/>
          <w:rtl w:val="true"/>
          <w:lang w:bidi="fa-IR"/>
        </w:rPr>
        <w:t>(</w:t>
      </w:r>
      <w:r>
        <w:rPr>
          <w:rFonts w:eastAsia="IRNazanin" w:cs="IRNazanin"/>
          <w:color w:val="111111"/>
          <w:sz w:val="28"/>
          <w:szCs w:val="28"/>
          <w:lang w:bidi="fa-IR"/>
        </w:rPr>
        <w:t>1405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مشهد المقدّسة، ودفن 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کاظم الشریعتمداری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السیّد کاظم بن حسن حفید السیّد محمّد حسین البروجردی الملقّب بالشریعتمداری، یعود نسبه الشریف إلی الإمام السجّاد علیه‌السلام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محلّة میرخیز فی تبریز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أساتذته،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عبدالکریم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جواد آقا ملکی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حسین النائینی</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أبو الحسن الإصفهانی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أسماها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مناهج التقی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النهی فی المعاملات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عملیّة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القضاء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فی مدینة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علی الفانی الإصفهانی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السیّد نور الدین علی ابن السیّد الحسن محمّد ابن السیّد الحسین ابن السیّد إسماعیل ابن السیّد مرتضی الحسینی الیزدی الغرآبادی، الملقّب بالعلاّمة الفانی الإصفهانی، ولد فی یوم الخمیس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الأوّل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إصفهان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 وأساتذته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ونشأ فی اُسرة علمیّة مرموقة، شرع فی تلقّی العلوم الأدبیّة ودراسة اللغة العربیّة وآدابها فی سنٍّ مبکّر، حیث لم یکن قد تجاوز العاشرة من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توفّی اُستاذه السیّد علی النجف آبادی فی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هـ عزم السیّد الفانی علی الرحیل إلی النجف الأشرف فوردها فی سنة </w:t>
      </w:r>
      <w:r>
        <w:rPr>
          <w:rFonts w:eastAsia="IRNazanin" w:cs="IRNazanin"/>
          <w:color w:val="111111"/>
          <w:sz w:val="28"/>
          <w:szCs w:val="28"/>
          <w:lang w:bidi="fa-IR"/>
        </w:rPr>
        <w:t>1362</w:t>
      </w:r>
      <w:r>
        <w:rPr>
          <w:rFonts w:ascii="IRNazanin" w:hAnsi="IRNazanin" w:eastAsia="IRNazanin"/>
          <w:color w:val="111111"/>
          <w:sz w:val="28"/>
          <w:sz w:val="28"/>
          <w:szCs w:val="28"/>
          <w:rtl w:val="true"/>
          <w:lang w:bidi="fa-IR"/>
        </w:rPr>
        <w:t xml:space="preserve">هـ، فحضر أبحاث الشیخ </w:t>
      </w:r>
    </w:p>
    <w:p>
      <w:pPr>
        <w:pStyle w:val="BookText"/>
        <w:rPr/>
      </w:pPr>
      <w:r>
        <w:rPr>
          <w:rFonts w:ascii="IRNazanin" w:hAnsi="IRNazanin" w:eastAsia="IRNazanin"/>
          <w:color w:val="111111"/>
          <w:sz w:val="28"/>
          <w:sz w:val="28"/>
          <w:szCs w:val="28"/>
          <w:rtl w:val="true"/>
          <w:lang w:bidi="fa-IR"/>
        </w:rPr>
        <w:t>محمّد کاظم الشیرازی، والسیّد عبدالهادی الشیرازی، کما حضر أبحاث السیّد جمال الدین الگلپایگانی ولازمه واختصّ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أساتذته أیضاً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الحکیم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مرتضی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النجف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میر علی النجف آبادی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 ومنهم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هادی معرفت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حسن آقا شریعتی النیاسری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صادقی الإصفهانی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ومنها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تقریرات دورة کاملة فی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الفوائد الرجالیة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غایة البیان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دیوان فانی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المعارف العلویّة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الشعائر الحُسینیّة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قبسات العقول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السیر إلی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المتعة مشروعة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حدود سنة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هـ هاجر من النجف الأشرف أثر الأحداث الّتی عصفت بالحوزة وأهلها، فنزل فی بلدة قم المقدّسة، وواصل بها نشاطه العلمی حتّی مرض فی شوال سنة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فنُقل إلی المستشفی فی طهران، وتوفی فی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شوال سنة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وحمل إلی مدینة قم المقدّسة ودفن فی إحدی حُجرات صحن حرم السیّدة فاطمة بنت الإمام موسی بن جعفر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روح اللّه الموسوی الخمینی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الإمام الخمینی ابن السیّد مصطفی فی العشرین من جمادی الثانیة سنة </w:t>
      </w:r>
      <w:r>
        <w:rPr>
          <w:rFonts w:eastAsia="IRNazanin" w:cs="IRNazanin"/>
          <w:color w:val="111111"/>
          <w:sz w:val="28"/>
          <w:szCs w:val="28"/>
          <w:rtl w:val="true"/>
          <w:lang w:bidi="fa-IR"/>
        </w:rPr>
        <w:t>(</w:t>
      </w:r>
      <w:r>
        <w:rPr>
          <w:rFonts w:eastAsia="IRNazanin" w:cs="IRNazanin"/>
          <w:color w:val="111111"/>
          <w:sz w:val="28"/>
          <w:szCs w:val="28"/>
          <w:lang w:bidi="fa-IR"/>
        </w:rPr>
        <w:t>1320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خُمین فی إیران، وبعد وفاة والده تکفّلته اُمّه وعمّته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دراسته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أکمل دراسة المقدّمات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کالمنطق والنحو والصرف عند أخیه الأکبر السیّد مرتضی الموسوی،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پسندیده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هجرة الشیخ الحائری إلی مدینة قم المقدّسة بأربعة أشهر ، رحل إلیها الإمام الخمینی، وواصل دراسته فیها، وبعد فترة وجیزة نال درجة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تدریسه</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یدرّس بحوث الخارج فی الفقه والاُصول لسنین طوال، وکذلک درّس </w:t>
      </w:r>
    </w:p>
    <w:p>
      <w:pPr>
        <w:pStyle w:val="BookText"/>
        <w:rPr/>
      </w:pPr>
      <w:r>
        <w:rPr>
          <w:rFonts w:ascii="IRNazanin" w:hAnsi="IRNazanin" w:eastAsia="IRNazanin"/>
          <w:color w:val="111111"/>
          <w:sz w:val="28"/>
          <w:sz w:val="28"/>
          <w:szCs w:val="28"/>
          <w:rtl w:val="true"/>
          <w:lang w:bidi="fa-IR"/>
        </w:rPr>
        <w:t>الفلسفة والعرفان والأخلاق الإسلامیّة فی المدرسة الفیضیّة، وفی المسجد الأعظم، وفی مسجد المحمّدیّة، وفی مدرسة الحاج ملاّ صادق، ومسجد السلماسی وغیرها، وکلّها فی قم المقدّسة وفی مسجد الشیخ الأعظم الأنصاری قدس‌سره فی النجف الأشرف أقام فیها أربعة عشر سنة، وتخرّج علی یده قدس‌سره العدید من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قیادته للثورة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استطاع الإمام بفضل إیمانه الراسخ باللّه، وعلمه، وحنکته، وحُبّه لأبناء الشعب، وتقواه، وشجاعته أن یقود هذا الشعب المسلم بثورة استأصلت الحکم الشاهنشاهی العمیل للغرب، وإقامة النظام الإسلامی فی </w:t>
      </w:r>
      <w:r>
        <w:rPr>
          <w:rFonts w:eastAsia="IRNazanin" w:cs="IRNazanin"/>
          <w:color w:val="111111"/>
          <w:sz w:val="28"/>
          <w:szCs w:val="28"/>
          <w:rtl w:val="true"/>
          <w:lang w:bidi="fa-IR"/>
        </w:rPr>
        <w:t>(</w:t>
      </w:r>
      <w:r>
        <w:rPr>
          <w:rFonts w:eastAsia="IRNazanin" w:cs="IRNazanin"/>
          <w:color w:val="111111"/>
          <w:sz w:val="28"/>
          <w:szCs w:val="28"/>
          <w:lang w:bidi="fa-IR"/>
        </w:rPr>
        <w:t>11/2/1979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بذلک ضرب أروع المُثُل فی إنجاح اُطروحة القیادة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 العلماء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السیّد البروجردی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کانت الحوزة العلمیة قریرة العین بوجوده، وکانت حلقاته فی التدریس محطّ أنظار الحوزات الاُخری، وغایتها وأملها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قال السیّد شهاب الدین المرعشی النجفی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مرجعاً من مراجع الشیعة، ومن أساطین علماء الإسلام الروحانیّین، ومفخرة من مفاخر التشیّع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تحریر الوسیلة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الأربعون حدیثاً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المکاسب المحرّمة</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أسرار الصلاة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کشف الأسرار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الحکومة الإسلامیة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للملاّ صدرا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دیوان شعر باللغة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مصباح الهدایة إلی الخلافة والولایة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أساتذته،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عبدالکریم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علی الشاه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أبو الحسن الرفیعی القزوینی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جواد ملکی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علی أکبر الحکیمی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تلامذته،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الشهید الشیخ مرتضی المطهّری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الشهید السیّد محمّد حسین البهشتی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نجله الشهید السیّد مصطفی الخمینی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الشهید السیّد علی القاضی التبریزی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 وأخلاقه</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تعلّقه بالإمام الحسین علیه‌السلام ، ابتعاده عن الغیبة، اهتمامه بالمستحبّات، مقابلة الإساءة بالإحسان، تعظیمه للمراجع والعلماء، حرصه علی بیت المال، ثقته </w:t>
      </w:r>
    </w:p>
    <w:p>
      <w:pPr>
        <w:pStyle w:val="BookText"/>
        <w:rPr/>
      </w:pPr>
      <w:r>
        <w:rPr>
          <w:rFonts w:ascii="IRNazanin" w:hAnsi="IRNazanin" w:eastAsia="IRNazanin"/>
          <w:color w:val="111111"/>
          <w:sz w:val="28"/>
          <w:sz w:val="28"/>
          <w:szCs w:val="28"/>
          <w:rtl w:val="true"/>
          <w:lang w:bidi="fa-IR"/>
        </w:rPr>
        <w:t>وتوکّله علی اللّه ، بساطته فی العیش، شجاعته وشهامته وشدّته علی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فی الثامن والعشرین من شهر شوال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1409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شیّعه أکثر من عشرة ملایین شخص، ودفن قدس‌سره بجوار مقبرة جنّة الزهراء جنوب طهران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شهاب الدین المرعشی النجفی قدس‌سره</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السیّد شهاب الدین بن شمس الدین محمود بن علی بن محمّد نجم الدین ابن محمّد إبراهیم المرعشی الحسینی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ولادته ونشأته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السیّد المرعشی فی العشرین من صفر سنة </w:t>
      </w:r>
      <w:r>
        <w:rPr>
          <w:rFonts w:eastAsia="IRNazanin" w:cs="IRNazanin"/>
          <w:color w:val="111111"/>
          <w:sz w:val="28"/>
          <w:szCs w:val="28"/>
          <w:rtl w:val="true"/>
          <w:lang w:bidi="fa-IR"/>
        </w:rPr>
        <w:t>(</w:t>
      </w:r>
      <w:r>
        <w:rPr>
          <w:rFonts w:eastAsia="IRNazanin" w:cs="IRNazanin"/>
          <w:color w:val="111111"/>
          <w:sz w:val="28"/>
          <w:szCs w:val="28"/>
          <w:lang w:bidi="fa-IR"/>
        </w:rPr>
        <w:t>1315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النجف الأشرف، وتعتبر عائلة المرعشی من أکبر العوائل العلویّة الّتی تنتسب إلی الإمام زین العابدین علیه‌السلام ، وقد برز من هذه العائلة العریقة کثیر من العلماء والحکماء والوزراء والأطبّاء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بدایة حیاته الدراسیة حاز العلوم الجدیدة، ودرس العلوم الدینیّة فی حوزة النجف الأشرف، وفی سنة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إلی العاصمة طهران، ثمّ ذهب إلی مدینة قم المقدّسة سنة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لحضور دروس أساتذتها البارزین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أساتذته،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مرتضی الطالقانی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والده السیّد شمس الدین 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نور الدین البکتاشی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رضا البحرانی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حسین الشیرازی العسکری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عبدالکریم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سنة </w:t>
      </w:r>
      <w:r>
        <w:rPr>
          <w:rFonts w:eastAsia="IRNazanin" w:cs="IRNazanin"/>
          <w:color w:val="111111"/>
          <w:sz w:val="28"/>
          <w:szCs w:val="28"/>
          <w:rtl w:val="true"/>
          <w:lang w:bidi="fa-IR"/>
        </w:rPr>
        <w:t>(</w:t>
      </w:r>
      <w:r>
        <w:rPr>
          <w:rFonts w:eastAsia="IRNazanin" w:cs="IRNazanin"/>
          <w:color w:val="111111"/>
          <w:sz w:val="28"/>
          <w:szCs w:val="28"/>
          <w:lang w:bidi="fa-IR"/>
        </w:rPr>
        <w:t>1343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اتّجه السیّد المرعشی نحو تدریس وتربیة الطلاب فی مدینة قم المقدّسة إلی آخر أیّام عمره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مکانته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 یکتفِ السیّد بالتدریس فقط، بل کان له اطّلاع واسع بعلم الرجال والدرایة وعلم الأنساب، الّذی تمیّز به عن باقی المراجع العظام، وقد قام بتحریر أکثر من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ورسالة باللغات الفارسیة والعربیة والآذریة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تلامذته،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الشهید الشیخ مرتضی المطهّری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حسن الغروی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أبو القاسم مولانا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مهدی الغضنفری</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عادل العلوی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مشاریعه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إنشاء مدرسة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المهدیّة والمؤمنیّة والشهابیّة والمرعشیّة لطلاّب العلوم الدینیّة فی مدینة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تأسیس أکبر مکتبة علمیّة تضمّ الآلاف من المخطوطات النفیسة والکتب من التراث الإسلامی، وترفد المکتبة کافة المراکز والمؤسّسات العلمیّة فی العالم الإسلامی وأرجاء العالم؛ لما تحتویه من تراث نادر تولّی قدس‌سره الاهتمام بجمعه والاعتناء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أقوال العلماء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آغا بزرک الطهرانی صاحب الذریعة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الفاضل، المعاصر، الماهر فی فنّ الرجال، والأنساب والتاریخ وتراجم العلماء وأحوالهم وطبقاتهم، وطرق مشیختهم وإجازتهم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الهدایة فی شرح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معالم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علی مکاسب الشیخ الأنصاری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علی کتاب وسیلة النجاة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الغایة القصوی لمن رام التمسّک بالعروة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السیّد المرعشی فی الثامن من شهر صفر سنة </w:t>
      </w:r>
      <w:r>
        <w:rPr>
          <w:rFonts w:eastAsia="IRNazanin" w:cs="IRNazanin"/>
          <w:color w:val="111111"/>
          <w:sz w:val="28"/>
          <w:szCs w:val="28"/>
          <w:rtl w:val="true"/>
          <w:lang w:bidi="fa-IR"/>
        </w:rPr>
        <w:t>(</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قم المقدّسة، ودفن بمکتبته الواقعة فی مدینة قم المقدّسة، قرب حرم السیّدة فاطمة </w:t>
      </w:r>
    </w:p>
    <w:p>
      <w:pPr>
        <w:pStyle w:val="BookText"/>
        <w:rPr/>
      </w:pPr>
      <w:r>
        <w:rPr>
          <w:rFonts w:ascii="IRNazanin" w:hAnsi="IRNazanin" w:eastAsia="IRNazanin"/>
          <w:color w:val="111111"/>
          <w:sz w:val="28"/>
          <w:sz w:val="28"/>
          <w:szCs w:val="28"/>
          <w:rtl w:val="true"/>
          <w:lang w:bidi="fa-IR"/>
        </w:rPr>
        <w:t xml:space="preserve">بنت الإمام موسی بن جعفر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أبو القاسم الموسوی الخوئی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هو السیّد أبو القاسم بن علی أکبر بن المیر هاشم بن علی أصغر الموسوی الخوئی، ولد یوم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شهر رجب المرجّب سنة </w:t>
      </w:r>
      <w:r>
        <w:rPr>
          <w:rFonts w:eastAsia="IRNazanin" w:cs="IRNazanin"/>
          <w:color w:val="111111"/>
          <w:sz w:val="28"/>
          <w:szCs w:val="28"/>
          <w:rtl w:val="true"/>
          <w:lang w:bidi="fa-IR"/>
        </w:rPr>
        <w:t>(</w:t>
      </w:r>
      <w:r>
        <w:rPr>
          <w:rFonts w:eastAsia="IRNazanin" w:cs="IRNazanin"/>
          <w:color w:val="111111"/>
          <w:sz w:val="28"/>
          <w:szCs w:val="28"/>
          <w:lang w:bidi="fa-IR"/>
        </w:rPr>
        <w:t>1317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مدینة خوی من أعمال آذربایجان، فی اُسرة علمیّة معروفة بالصلاح والتقوی، حتّی حدث الخلاف بین الاُمّة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أثر حادثة المشروطة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فهاجر والده إلی النجف الأشرف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عامین إلتحق الإمام الخوئی بوالده، فورد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برفقة أخیه الأکبر المرحوم السیّد عبداللّه الخوئی وبقیّة الاُسرة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رأی والده فی المنام فی لیلة من اللیالی کأنّه حامل عیاله وهو سائر بهم باتّجاه النجف الأشرف، وهو علی هذا الحال وأمیر المؤمنین علیه‌السلام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ولدک له 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فنزل السیّد علی أکبر هاشم الخوئی ضیفاً علی أمیر المؤمنین علیه‌السلام فی مدینته المشرّفة سنة </w:t>
      </w:r>
      <w:r>
        <w:rPr>
          <w:rFonts w:eastAsia="IRNazanin" w:cs="IRNazanin"/>
          <w:color w:val="111111"/>
          <w:sz w:val="28"/>
          <w:szCs w:val="28"/>
          <w:rtl w:val="true"/>
          <w:lang w:bidi="fa-IR"/>
        </w:rPr>
        <w:t>(</w:t>
      </w:r>
      <w:r>
        <w:rPr>
          <w:rFonts w:eastAsia="IRNazanin" w:cs="IRNazanin"/>
          <w:color w:val="111111"/>
          <w:sz w:val="28"/>
          <w:szCs w:val="28"/>
          <w:lang w:bidi="fa-IR"/>
        </w:rPr>
        <w:t>1330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أکمل دراسة المقدّمات وهو فی سن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ولم یزل ـ منذ أن التحق بالحوزة العلمیّة فی النجف الأشرف ـ دائباً علی دراسة العلوم الأدبیّة والمنطق والاُصول والفقه وعلم الکلام والفلسفة وسائر العلوم الّتی جرت سیرة الحوزات العلمیة علی دراستها، فجدّ فی طلب العلم وأکّد فی السعی والمثابرة حتّی بلغ رتبةً </w:t>
      </w:r>
    </w:p>
    <w:p>
      <w:pPr>
        <w:pStyle w:val="BookText"/>
        <w:rPr/>
      </w:pPr>
      <w:r>
        <w:rPr>
          <w:rFonts w:ascii="IRNazanin" w:hAnsi="IRNazanin" w:eastAsia="IRNazanin"/>
          <w:color w:val="111111"/>
          <w:sz w:val="28"/>
          <w:sz w:val="28"/>
          <w:szCs w:val="28"/>
          <w:rtl w:val="true"/>
          <w:lang w:bidi="fa-IR"/>
        </w:rPr>
        <w:t xml:space="preserve">مرموقةً فی العلم، وبعد أن أکمل الدروس العالیة، وحضر أبحاث الخارج فی سن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عند فطاحل وأعاظم علماء النجف الأشرف وذلک فی سنة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ونال الاجتهاد فیما بعد وأصبح من عظماء المراجع فی زماننا هذا، ولم یأتِ التأریخ بمثله إلاّ نادراً، ولم ینجب الزمان أمثاله إلاّ قلیلاً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أساتذته،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شیخ الشریعة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مهدی المازندرانی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ضیاء الدین 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حسین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محمّد حسین النائینی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جواد البلاغی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حسین البادکوبی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علی آقا القاضی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عبدالغفار المازندرانی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أبو القاسم الخوانساری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مشایخه فی الروایة عبدالحسین شرف الدین العاملی المتوفّی سنة </w:t>
      </w:r>
      <w:r>
        <w:rPr>
          <w:rFonts w:eastAsia="IRNazanin" w:cs="IRNazanin"/>
          <w:color w:val="111111"/>
          <w:sz w:val="28"/>
          <w:szCs w:val="28"/>
          <w:rtl w:val="true"/>
          <w:lang w:bidi="fa-IR"/>
        </w:rPr>
        <w:t>(</w:t>
      </w:r>
      <w:r>
        <w:rPr>
          <w:rFonts w:eastAsia="IRNazanin" w:cs="IRNazanin"/>
          <w:color w:val="111111"/>
          <w:sz w:val="28"/>
          <w:szCs w:val="28"/>
          <w:lang w:bidi="fa-IR"/>
        </w:rPr>
        <w:t>1377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لقد مارس المشار إلیه تدریسه فی البحث الخارج أکثر من خمسة عقود فی إلقاء محاضراته فی میدان الفقه واُصوله والتفسیر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وهکذا قاد الحرکة العلمیّة أکثر من نصف قرن، وقد أصبحت نظریاته العلمیّة خلال هذه الفترة ـ وما تزال ـ </w:t>
      </w:r>
    </w:p>
    <w:p>
      <w:pPr>
        <w:pStyle w:val="BookText"/>
        <w:rPr/>
      </w:pPr>
      <w:r>
        <w:rPr>
          <w:rFonts w:ascii="IRNazanin" w:hAnsi="IRNazanin" w:eastAsia="IRNazanin"/>
          <w:color w:val="111111"/>
          <w:sz w:val="28"/>
          <w:sz w:val="28"/>
          <w:szCs w:val="28"/>
          <w:rtl w:val="true"/>
          <w:lang w:bidi="fa-IR"/>
        </w:rPr>
        <w:t>محوراً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تخرّج علیه المئآت من العلماء والمجتهدین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علی البهشتی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علی السیستانی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وحید الخراسانی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میرزا جواد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الشهید السیّد محمّد باقر الصدر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الشهید الحاج المیرزا علی الغروی التبریزی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الشهید الشیخ مرتضی البروجردی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علی الحسینی 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البیان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معجم رجال الحدیث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المسائل المنتخبة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فقه القرآن علی المذاهب الخمسة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تقریرات درس الاُصول للمرحوم المحقّق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مبانی تکملة المنهاج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خصوصیّاته الأخلاقیّة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الهمّة العالیّة</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البساطة والزهد فی الحیاة المعیشیّة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الوله بالعبادة والولاء لأهل البیت علیهم‌السلام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التشجیع لطلب العلوم الدینیّة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الاحترام الکبیر للعلماء الأعلام وتوقیرهم والثناء علیهم والتواضع لهم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مشاریعه الخیریّة الاجتماعیة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إیران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 ـ بناء مجمّع سکنی لطلبة العلوم الدینیّة فی قم المقدّسة یسمّی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بناء مدرسة ومکتبة فی مدینة مشهد المقدّسة تسمّی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مدرسة ومکتبة آیة اللّه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أمریکا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فی نیویورک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مرکز الإمام الخوئی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فی لوس انجلس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 ومرکز إسلامی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لندن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الإمام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الهند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مدینة بومبی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المجمع الثقافی الخیری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فی لبنان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مبرّة الإمام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وکذلک فی مدن کثیرة اُخری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کانت وفاته عصر یوم السبت الثامن من صفر المظفر سنة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ودفن جنب مسجد الخضراء فی النجف الأشرف ، وترک الأثر الکبیر والفراغ الواسع فی الحوزة العلمیّة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المیرزا هاشم الآملی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الشیخ الآملی عام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لاریجان التابعة لمحافظة مازندران شمال إیران، وکانت نشأته وسط عائلة متدیّنة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تعلّم القرآن الکریم، وأکمل دراسته الابتدائیّة، وفی سنة </w:t>
      </w:r>
      <w:r>
        <w:rPr>
          <w:rFonts w:eastAsia="IRNazanin" w:cs="IRNazanin"/>
          <w:color w:val="111111"/>
          <w:sz w:val="28"/>
          <w:szCs w:val="28"/>
          <w:rtl w:val="true"/>
          <w:lang w:bidi="fa-IR"/>
        </w:rPr>
        <w:t>(</w:t>
      </w:r>
      <w:r>
        <w:rPr>
          <w:rFonts w:eastAsia="IRNazanin" w:cs="IRNazanin"/>
          <w:color w:val="111111"/>
          <w:sz w:val="28"/>
          <w:szCs w:val="28"/>
          <w:lang w:bidi="fa-IR"/>
        </w:rPr>
        <w:t>1334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ذهب إلی العاصمة طهران لمواصلة دراسته فی مدرسة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سِبَهسَالار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الّتی کانت تحت إشراف السیّد حسن المدرّس، ثمّ غادرها إلی مدینة قم المقدّسة سنة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لحضور دروس الشیخ عبدالکریم الحائری، والسیّد محمّد حجّت، والشیخ محمّد علی الشاه آبادی، وآیة اللّه محمّد علی القمّی، وبقی فیها ستّ سنوات، وحاز درجة الاجتهاد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1351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إلی مدینة النجف الأشرف وتتلمذ علی السیّد أبی الحسن الإصفهانی، والمیرزا محمّد حسین النائینی، والشیخ ضیاء الدین العراقی، وغیرهم، وفی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 إلی إیران بعد أن قضی ثلاثین عاماً فی حوزة النجف الأشرف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أساتذته،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عبدالکریم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المیرزا محمّد حسین النائینی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ضیاء الدین العراقی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أبو الحسن الإصفهانی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السیّد محمّد حجّت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علی الشاه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علی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منذ وصوله إلی مدینة قم المقدّسة شرع بتدریس بحث الخارج فی الفقه والاُصول، أمـّا طریقته فی التدریس فقد کان الشیخ الآملی ماهراً فی علم الاُصول، ولهذا نجد دروسه الفقهیّة مشحونة بالتحقیقات الاُصولیّة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صفاته وأخلاقه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تواضعه ودقّته والتزامه واحتیاطه فی الفتاوی، فهو لایصدر الفتوی عن تسرّع وعدم إلمام، وکان کثیر العبادة، موالیاً لآل البیت علیهم‌السلام فی قلبه وسلوکه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مشاریعه الخیریة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بناء مدرسة ولی العصر علیه‌السلام للعلوم الدینیّة فی مدینة قم المقدّسة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بناء عشرات المساجد فی محافظة مازندران، عن طریق المساعدات المالیة الّتی کان یقدّمها، بحیث أ نّه أعطی إجازة شرعیّة لمقلّدیه بصرف مبالغ سهم الإمام علیه‌السلام فی مثل هذه المشاریع الخیریّة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تقریرات بدایة الاُصول للشیخ 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الصلاة</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الصوم</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الرهن والإجارة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البیع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الخیارات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النیّة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توضیح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الشیخ الآملی فی الرابع من شهر رمضان المبارک سنة </w:t>
      </w:r>
      <w:r>
        <w:rPr>
          <w:rFonts w:eastAsia="IRNazanin" w:cs="IRNazanin"/>
          <w:color w:val="111111"/>
          <w:sz w:val="28"/>
          <w:szCs w:val="28"/>
          <w:rtl w:val="true"/>
          <w:lang w:bidi="fa-IR"/>
        </w:rPr>
        <w:t>(</w:t>
      </w:r>
      <w:r>
        <w:rPr>
          <w:rFonts w:eastAsia="IRNazanin" w:cs="IRNazanin"/>
          <w:color w:val="111111"/>
          <w:sz w:val="28"/>
          <w:szCs w:val="28"/>
          <w:lang w:bidi="fa-IR"/>
        </w:rPr>
        <w:t>1413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قم المقدّسة، ودفن بجوار مرقد السیّدة فاطمة بنت موسی بن جعفر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رضا الگلپایگانی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السیّد الگلپایگانی فی الثامن من شهر ذی القعدة سنة </w:t>
      </w:r>
      <w:r>
        <w:rPr>
          <w:rFonts w:eastAsia="IRNazanin" w:cs="IRNazanin"/>
          <w:color w:val="111111"/>
          <w:sz w:val="28"/>
          <w:szCs w:val="28"/>
          <w:rtl w:val="true"/>
          <w:lang w:bidi="fa-IR"/>
        </w:rPr>
        <w:t>(</w:t>
      </w:r>
      <w:r>
        <w:rPr>
          <w:rFonts w:eastAsia="IRNazanin" w:cs="IRNazanin"/>
          <w:color w:val="111111"/>
          <w:sz w:val="28"/>
          <w:szCs w:val="28"/>
          <w:lang w:bidi="fa-IR"/>
        </w:rPr>
        <w:t>1316</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گلپایگان التابعة لمحافظة إصفهان، ونشأ فی عائلة متدیّنة ومعروفة، حیث کان والده السیّد محمّد باقر من العلماء المعروفین فی مدینة گلپایگان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توفّیت والدته وعمره ثلاث سنوات، وعندما بلغ التاسعة من عمره فقد والده، لکنّ حالة الیُتم الّتی عاشها لم تکن تمنعه من مواصلة الدراسة وطلب العلم، وعندما بلغ عمره ستّة عشر عاماً سمع بمجیء الشیخ عبدالکریم الحائری إلی مدینة أراک، فذهب إلیها لحضور دروسه، واستمرّ علی ذلک إلی أن انتقل الشیخ </w:t>
      </w:r>
    </w:p>
    <w:p>
      <w:pPr>
        <w:pStyle w:val="BookText"/>
        <w:rPr/>
      </w:pPr>
      <w:r>
        <w:rPr>
          <w:rFonts w:ascii="IRNazanin" w:hAnsi="IRNazanin" w:eastAsia="IRNazanin"/>
          <w:color w:val="111111"/>
          <w:sz w:val="28"/>
          <w:sz w:val="28"/>
          <w:szCs w:val="28"/>
          <w:rtl w:val="true"/>
          <w:lang w:bidi="fa-IR"/>
        </w:rPr>
        <w:t>الحائری إلی مدینة قم المقدّسة، فدعاه إلی الانتقال إلیها، فلبّی دعوة اُستاذه، فسافر إلیها لیواصل دراسته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السیّد الگلپایگانی إلی جانب حضوره دروس الشیخ عبدالکریم الحائری فی مدینة قم المقدّسة یمارس تدریس مرحلة السطوح، وهی المرحلة الأخیرة من الدراسة الّتی تسبق مرحلة حضور بحث الخارج، فعُرف فی طلیعة الأساتذة البارزین فی الحوزة العلمیّة المقدّسة بتلک المدینة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أساتذته،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عبدالکریم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حسن الخونساری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باقر الگلپایگانی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رضا المسجد شاهی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مرتضی الحائری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عبدالرحیم الربّانی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مرتضی المطهّری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أسداللّه المدنی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مرجعیّته</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وفاة الشیخ عبدالکریم الحائری تحوّلت زعامة الحوزة العلمیّة فی مدینة قم المقدّسة إلی السیّد حسین البروجردی، ویومها کان السیّد الگلپایگانی من </w:t>
      </w:r>
    </w:p>
    <w:p>
      <w:pPr>
        <w:pStyle w:val="BookText"/>
        <w:rPr/>
      </w:pPr>
      <w:r>
        <w:rPr>
          <w:rFonts w:ascii="IRNazanin" w:hAnsi="IRNazanin" w:eastAsia="IRNazanin"/>
          <w:color w:val="111111"/>
          <w:sz w:val="28"/>
          <w:sz w:val="28"/>
          <w:szCs w:val="28"/>
          <w:rtl w:val="true"/>
          <w:lang w:bidi="fa-IR"/>
        </w:rPr>
        <w:t>الأعـلام المعروفین بالأهلیّة لتصـدی المرجعیّة، وقـد ازدحـم درسـه بحضور کبـار الأساتذة والطلبة، کما طبعـت رسالته العملیّة، وصـار عـدد من المؤمنین یرجعون إلیه، وبعد وفاة السیّد البروجردی أصبح واحداً من أشهر مراجع التقلید، واتّسع نطاق تقلیده، ولمع نجمه فی مختلف المجامع العلمیّة فی داخل إیران وخارجها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مؤلّفاته،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القضاء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الشهادات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کتاب الحجّ</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الطهارة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الدرّ المنضود فی أحکام الحدود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إفاضة العوائد فی علم الفقه تقریرات اُستاذه الشیخ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بلاغة الطالب فی شرح المکاسب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مجمع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وسیلة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أبی الحسن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محمّد کاظم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توضیح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الجمعة وصلاة عید الأضحی وعید الفطر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الهدایة إلی من له الولایة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رسالة فی المحرّمات فی النَسَب</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عدم تحریف القرآن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السیّد الگلپایگانی فی الرابع والعشرین من جمادی الثانیة سنة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قم المقدّسة، وشُیّع تشییعاً مهیباً، ودفن بجوار مرقد السیّدة فاطمة بنت الإمام موسی الکاظم علیهماالسلام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عبدالأعلی الموسوی السبزواری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السیّد عبدالأعلی بن علی رضا بن عبدالعلی الموسوی السبزواری، ونشأ فی اُسرة علمیّة کریمة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السیّد السبزواری فی یوم الغدیر فی الثامن عشر من ذی الحجّة الحرام سنة </w:t>
      </w:r>
      <w:r>
        <w:rPr>
          <w:rFonts w:eastAsia="IRNazanin" w:cs="IRNazanin"/>
          <w:color w:val="111111"/>
          <w:sz w:val="28"/>
          <w:szCs w:val="28"/>
          <w:rtl w:val="true"/>
          <w:lang w:bidi="fa-IR"/>
        </w:rPr>
        <w:t>(</w:t>
      </w:r>
      <w:r>
        <w:rPr>
          <w:rFonts w:eastAsia="IRNazanin" w:cs="IRNazanin"/>
          <w:color w:val="111111"/>
          <w:sz w:val="28"/>
          <w:szCs w:val="28"/>
          <w:lang w:bidi="fa-IR"/>
        </w:rPr>
        <w:t>1328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سبزوار بإقلیم خراسان شمال غرب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تدریسه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بدأ بإلقاء محاضراته فی الأبحاث العلیا فقهاً واُصولاً فی سنة </w:t>
      </w:r>
      <w:r>
        <w:rPr>
          <w:rFonts w:eastAsia="IRNazanin" w:cs="IRNazanin"/>
          <w:color w:val="111111"/>
          <w:sz w:val="28"/>
          <w:szCs w:val="28"/>
          <w:rtl w:val="true"/>
          <w:lang w:bidi="fa-IR"/>
        </w:rPr>
        <w:t>(</w:t>
      </w:r>
      <w:r>
        <w:rPr>
          <w:rFonts w:eastAsia="IRNazanin" w:cs="IRNazanin"/>
          <w:color w:val="111111"/>
          <w:sz w:val="28"/>
          <w:szCs w:val="28"/>
          <w:lang w:bidi="fa-IR"/>
        </w:rPr>
        <w:t>1365</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فی العقد الرابع من عمره الشریف، واستمرّ فی عطائه الفکری الزاخر ولم ینقطع عن المحاضرات والتدریس حتّی فی أیّام الخمیس والجمعة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 وأساتذته</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درس المقدّمات وقسماً من السطوح فی الفقه والاُصول لدی والده المقدّس السیّد علی رضا السبزواری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هاجر لإکمال دراسته إلی مشهد الإمام الرضا علیه‌السلام فی سنة </w:t>
      </w:r>
      <w:r>
        <w:rPr>
          <w:rFonts w:eastAsia="IRNazanin" w:cs="IRNazanin"/>
          <w:color w:val="111111"/>
          <w:sz w:val="28"/>
          <w:szCs w:val="28"/>
          <w:rtl w:val="true"/>
          <w:lang w:bidi="fa-IR"/>
        </w:rPr>
        <w:t>(</w:t>
      </w:r>
      <w:r>
        <w:rPr>
          <w:rFonts w:eastAsia="IRNazanin" w:cs="IRNazanin"/>
          <w:color w:val="111111"/>
          <w:sz w:val="28"/>
          <w:szCs w:val="28"/>
          <w:lang w:bidi="fa-IR"/>
        </w:rPr>
        <w:t>1342</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فی الرابعة عشر من عمره فحضر فیها أساتذتها وعلمائها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شدّ الرحال ـ وهو فی مقتبل عمره ـ متّجهاً نحو باب مدینة علم النبی صلی‌الله‌علیه‌و‌آله لینهل من علوم آل محمّد صلی‌الله‌علیه‌و‌آله ، فحلّ فی النجف الأشرف، وحضر فیها علی کبار علمائها حتّی برز من بین أقرانه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وتمیّز بمزایا ربانیّة 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فکان ممّن حضر علیهم فیالنجف الأشرف، 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المیرزا محمّد حسین النائینی، الشیخ ضیاء الدین العراقی، السیّد أبو الحسن الإصفهانی، السیّد حسین البادکوبی، السیّد علی القاضی الطباطبائی، الشیخ محمّد حسین الإصفهانی، الشیخ محمّد جواد البلاغی، ثمّ استقلّ بالتدریس فی مسجده الّذی کان یُقیم فیه صلاة الجماعة فی محلّة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النجف الأشرف، فتخرّج علیه العدید من الفضلاء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إفاضة الباری فی نقد ما ألّفه الحکیم 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جامع الأحکام الشرعیّة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الأنوار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علی تفسیر الصافی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 الکلام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رفض الفضول عن علم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مواهب الرحمن فی تفسیر القرآن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منهاج الصالحین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انتقل إلی جوار ربّه علی أثر سمٌّ دُسَّ لَهُ، والتحق بالرفیق الأعلی فی الساعة </w:t>
      </w:r>
    </w:p>
    <w:p>
      <w:pPr>
        <w:pStyle w:val="BookText"/>
        <w:rPr/>
      </w:pPr>
      <w:r>
        <w:rPr>
          <w:rFonts w:ascii="IRNazanin" w:hAnsi="IRNazanin" w:eastAsia="IRNazanin"/>
          <w:color w:val="111111"/>
          <w:sz w:val="28"/>
          <w:sz w:val="28"/>
          <w:szCs w:val="28"/>
          <w:rtl w:val="true"/>
          <w:lang w:bidi="fa-IR"/>
        </w:rPr>
        <w:t xml:space="preserve">الثامنة من صباح یوم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سنة </w:t>
      </w:r>
      <w:r>
        <w:rPr>
          <w:rFonts w:eastAsia="IRNazanin" w:cs="IRNazanin"/>
          <w:color w:val="111111"/>
          <w:sz w:val="28"/>
          <w:szCs w:val="28"/>
          <w:rtl w:val="true"/>
          <w:lang w:bidi="fa-IR"/>
        </w:rPr>
        <w:t>(</w:t>
      </w:r>
      <w:r>
        <w:rPr>
          <w:rFonts w:eastAsia="IRNazanin" w:cs="IRNazanin"/>
          <w:color w:val="111111"/>
          <w:sz w:val="28"/>
          <w:szCs w:val="28"/>
          <w:lang w:bidi="fa-IR"/>
        </w:rPr>
        <w:t>1414</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فی بیته فی الکوفة، ودفن بمسجده المعروف فی منطقة الحویش فی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علی الأراکی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الشیخ الأراکی سنة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أراک فی إیران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درس المقدّمات عند السیّد جعفر، الملقّب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الّذی کان من أرکان الحوزة العلمیّة فی أراک، ثمّ واصل دراسته عند الشیخ محمّد سلطان العلماء صاحب الحاشیة علی اللمعة، وأکمل مرحلة السطوح عند السیّد محمّد تقی الخونساری، وفی سنة </w:t>
      </w:r>
      <w:r>
        <w:rPr>
          <w:rFonts w:eastAsia="IRNazanin" w:cs="IRNazanin"/>
          <w:color w:val="111111"/>
          <w:sz w:val="28"/>
          <w:szCs w:val="28"/>
          <w:rtl w:val="true"/>
          <w:lang w:bidi="fa-IR"/>
        </w:rPr>
        <w:t>(</w:t>
      </w:r>
      <w:r>
        <w:rPr>
          <w:rFonts w:eastAsia="IRNazanin" w:cs="IRNazanin"/>
          <w:color w:val="111111"/>
          <w:sz w:val="28"/>
          <w:szCs w:val="28"/>
          <w:lang w:bidi="fa-IR"/>
        </w:rPr>
        <w:t>1322</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شرع بدراسة الفقه والاُصول عند الشیخ عبدالکریم الحائری عندما کان فی أراک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تدریسه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وفاة السیّد محمّد تقی الخونساری سنة </w:t>
      </w:r>
      <w:r>
        <w:rPr>
          <w:rFonts w:eastAsia="IRNazanin" w:cs="IRNazanin"/>
          <w:color w:val="111111"/>
          <w:sz w:val="28"/>
          <w:szCs w:val="28"/>
          <w:rtl w:val="true"/>
          <w:lang w:bidi="fa-IR"/>
        </w:rPr>
        <w:t>(</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 الشیخ الأراکی للتدریس، فدرس عنده علی مدی خمس وثلاثین سنة الکثیرون من الطلاب المرموقین، الّذین یعتبرون الیوم من أساتذة الحوزة العلمیّة فی مدینة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أساتذته،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تقی الخونساری</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باقر الأراکی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عبدالکریم الحائری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نور الدین الأراکی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مکانته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کان الشیخ الأراکی متضلّعاً بالفقه والاُصول، وقد حصل علی هذه المهارة بعد سنوات عدیدة من البحث والتدریس والتصنیف فی جمیع أبواب الفقه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رسالة الاستفتاءات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توضیح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مناسک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حاشیة علی دُرر الاُصول للشیخ عبد الکریم الحائری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الشیخ الأراکی فی الخامس والعشرین من جمادی الثانیة سنة </w:t>
      </w:r>
      <w:r>
        <w:rPr>
          <w:rFonts w:eastAsia="IRNazanin" w:cs="IRNazanin"/>
          <w:color w:val="111111"/>
          <w:sz w:val="28"/>
          <w:szCs w:val="28"/>
          <w:rtl w:val="true"/>
          <w:lang w:bidi="fa-IR"/>
        </w:rPr>
        <w:t>(</w:t>
      </w:r>
      <w:r>
        <w:rPr>
          <w:rFonts w:eastAsia="IRNazanin" w:cs="IRNazanin"/>
          <w:color w:val="111111"/>
          <w:sz w:val="28"/>
          <w:szCs w:val="28"/>
          <w:lang w:bidi="fa-IR"/>
        </w:rPr>
        <w:t>1415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بجوار مرقد السیّدة فاطمة بنت الإمام موسی بن جعفر علیهماالسلام فی مدینة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أمین زین الدین</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هو الشیخ محمّد أمین بن عبدالعزیز بن زین الدین بن علی بن زین الدین بن </w:t>
      </w:r>
    </w:p>
    <w:p>
      <w:pPr>
        <w:pStyle w:val="BookText"/>
        <w:rPr/>
      </w:pPr>
      <w:r>
        <w:rPr>
          <w:rFonts w:ascii="IRNazanin" w:hAnsi="IRNazanin" w:eastAsia="IRNazanin"/>
          <w:color w:val="111111"/>
          <w:sz w:val="28"/>
          <w:sz w:val="28"/>
          <w:szCs w:val="28"/>
          <w:rtl w:val="true"/>
          <w:lang w:bidi="fa-IR"/>
        </w:rPr>
        <w:t>علیّ بن مکّی بن بهاء البحرانی البصری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1333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نهر خوز من قری البصرة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أساتذته،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ضیاء الدین العراقی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حسین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حسین البادکوبی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الأخلاق عند الإمام الصادق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الإسلام ینابیعه، غایاته، أهدافه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دیوان صغیر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آمالی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سنة </w:t>
      </w:r>
      <w:r>
        <w:rPr>
          <w:rFonts w:eastAsia="IRNazanin" w:cs="IRNazanin"/>
          <w:color w:val="111111"/>
          <w:sz w:val="28"/>
          <w:szCs w:val="28"/>
          <w:rtl w:val="true"/>
          <w:lang w:bidi="fa-IR"/>
        </w:rPr>
        <w:t>(</w:t>
      </w:r>
      <w:r>
        <w:rPr>
          <w:rFonts w:eastAsia="IRNazanin" w:cs="IRNazanin"/>
          <w:color w:val="111111"/>
          <w:sz w:val="28"/>
          <w:szCs w:val="28"/>
          <w:lang w:bidi="fa-IR"/>
        </w:rPr>
        <w:t>1419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ودفن فی مدینة النجف الأشرف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الحسینی الشیرازی</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السیّد الشیرازی سنة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بمدینة النجف الأشرف، ونشأ فی عائلة علمیّة بین أحضان والده السیّد مهدی ابن السیّد حبیب اللّه الشیرازی، ثمّ سافر إلی مدینة کربلاء المقدّسة بصحبة والده وهو فی التاسعة من العمر، وبقی فیها یواصل </w:t>
      </w:r>
    </w:p>
    <w:p>
      <w:pPr>
        <w:pStyle w:val="BookText"/>
        <w:rPr/>
      </w:pPr>
      <w:r>
        <w:rPr>
          <w:rFonts w:ascii="IRNazanin" w:hAnsi="IRNazanin" w:eastAsia="IRNazanin"/>
          <w:color w:val="111111"/>
          <w:sz w:val="28"/>
          <w:sz w:val="28"/>
          <w:szCs w:val="28"/>
          <w:rtl w:val="true"/>
          <w:lang w:bidi="fa-IR"/>
        </w:rPr>
        <w:t>دراسته الحوزویّة إلی أن صار من المجتهدین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 وأخلاقه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 واشتهر بمکارم الأخلاق والصفات الحمیدة، کالتواضع، وسعة الصدر، ومداراة القریب والبعید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أساتذته،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والده السیّد مهدی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محمّد هادی المیلانی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رضا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زین العابدین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جعفر الرشتی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تلامذته، منهم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الشهید السیّد حسن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صادق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مجتبی الشیرازی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السیّد محمّد تقی المدرِّسی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مؤلّفاته،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تفسیر تقریب القرآن إلی الأذهان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متی جمع القرآن؟</w:t>
      </w:r>
    </w:p>
    <w:p>
      <w:pPr>
        <w:pStyle w:val="BookText"/>
        <w:rPr/>
      </w:pP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الوصول إلی کفایة الاُصول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إیصال الطالب إلی المکاسب</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توفّی السیّد الشیرازی یوم الاثنین الثانی من شهر شوال سنة </w:t>
      </w:r>
      <w:r>
        <w:rPr>
          <w:rFonts w:eastAsia="IRNazanin" w:cs="IRNazanin"/>
          <w:color w:val="111111"/>
          <w:sz w:val="28"/>
          <w:szCs w:val="28"/>
          <w:rtl w:val="true"/>
          <w:lang w:bidi="fa-IR"/>
        </w:rPr>
        <w:t>(</w:t>
      </w:r>
      <w:r>
        <w:rPr>
          <w:rFonts w:eastAsia="IRNazanin" w:cs="IRNazanin"/>
          <w:color w:val="111111"/>
          <w:sz w:val="28"/>
          <w:szCs w:val="28"/>
          <w:lang w:bidi="fa-IR"/>
        </w:rPr>
        <w:t>1423</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ودفن بجوار السیّدة فاطمة بنت الإمام موسی بن جعفر علیهماالسلام فی مدینة قم المقدّسة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حسن الطباطبائی القمّی</w:t>
      </w:r>
    </w:p>
    <w:p>
      <w:pPr>
        <w:pStyle w:val="BookText"/>
        <w:rPr/>
      </w:pPr>
      <w:r>
        <w:rPr>
          <w:rFonts w:ascii="IRNazanin" w:hAnsi="IRNazanin" w:eastAsia="IRNazanin"/>
          <w:color w:val="111111"/>
          <w:sz w:val="28"/>
          <w:sz w:val="28"/>
          <w:szCs w:val="28"/>
          <w:rtl w:val="true"/>
          <w:lang w:bidi="fa-IR"/>
        </w:rPr>
        <w:t xml:space="preserve">هو السیّد حسن بن حسین بن محمود الطباطبائی القمّی، ولد فی الثالث من شهر صفر سنة </w:t>
      </w:r>
      <w:r>
        <w:rPr>
          <w:rFonts w:eastAsia="IRNazanin" w:cs="IRNazanin"/>
          <w:color w:val="111111"/>
          <w:sz w:val="28"/>
          <w:szCs w:val="28"/>
          <w:rtl w:val="true"/>
          <w:lang w:bidi="fa-IR"/>
        </w:rPr>
        <w:t>(</w:t>
      </w:r>
      <w:r>
        <w:rPr>
          <w:rFonts w:eastAsia="IRNazanin" w:cs="IRNazanin"/>
          <w:color w:val="111111"/>
          <w:sz w:val="28"/>
          <w:szCs w:val="28"/>
          <w:lang w:bidi="fa-IR"/>
        </w:rPr>
        <w:t>1329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سامراء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 سماحته وسط أجواء عائلیّة ملؤها العلم والتقوی، تحت ظلّ والده السیّد حسین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انتقل إلی مدینة مشهد المقدّسة بعد أن أمر آیة اللّه العظمی میرزا محمّد تقی الشیرازی والده السیّد حسین بالرحیل إلی هناک حسب طلب حوزة خراسان العلمیّة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سنة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کان مع والده وشقیقه مهدی القمّی حینما توجّها إلی طهران لإلقاء الحجّة علی رضا شاه حول واقعة گوهرشاد فی مشهد، وبعد فترة من المکوث فی طهران اضطروا إلی مغادرة إیران إلی العراق، حیث سکنوا مدینة کربلاء المقدّسة</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سنة </w:t>
      </w:r>
      <w:r>
        <w:rPr>
          <w:rFonts w:eastAsia="IRNazanin" w:cs="IRNazanin"/>
          <w:color w:val="111111"/>
          <w:sz w:val="28"/>
          <w:szCs w:val="28"/>
          <w:lang w:bidi="fa-IR"/>
        </w:rPr>
        <w:t>1365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استقرّ فی مدینة النجف الأشرف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وعاد إلی مدینة مشهد المقدّسة سنة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 وکانت له مواقف جهادیّة ضد اللوائح والقوانین الّتی کانت منافیة مع الشریعة المقدّسة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أساتذته،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والده السیّد حسین الطباطبائی القمّی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محمّد حسین الإصفهانی المعروف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کمپانی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عبدالکریم الحائری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کاظم الیزدی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المیرزا حسین النائینی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مهدی درچه‌ای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النجف آبادی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آقا ضیاء الدین العراقی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ولده السیّد محمود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المیرزا أبو القاسم تلافی نوغانی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محمّد رضا بانی الکاشانی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السیّد علی الموسوی المیامه‌ای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شرح علی منتخب المسائل فی الفقه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رسالة والده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إقامته حالیّاً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یقیم حالیّاً فی مدینة مشهد الإمام الرضا المقدّسة، وله حوزة دراسیّة عامرة </w:t>
      </w:r>
    </w:p>
    <w:p>
      <w:pPr>
        <w:pStyle w:val="BookText"/>
        <w:rPr/>
      </w:pP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تقی الطباطبائی القمّی</w:t>
      </w:r>
    </w:p>
    <w:p>
      <w:pPr>
        <w:pStyle w:val="BookText"/>
        <w:rPr/>
      </w:pPr>
      <w:r>
        <w:rPr>
          <w:rFonts w:ascii="IRNazanin" w:hAnsi="IRNazanin" w:eastAsia="IRNazanin"/>
          <w:color w:val="111111"/>
          <w:sz w:val="28"/>
          <w:sz w:val="28"/>
          <w:szCs w:val="28"/>
          <w:rtl w:val="true"/>
          <w:lang w:bidi="fa-IR"/>
        </w:rPr>
        <w:t>هو السیّد تقی بن حسین بن محمود الطباطبائی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فی شهر رجب المرجب سنة </w:t>
      </w:r>
      <w:r>
        <w:rPr>
          <w:rFonts w:eastAsia="IRNazanin" w:cs="IRNazanin"/>
          <w:color w:val="111111"/>
          <w:sz w:val="28"/>
          <w:szCs w:val="28"/>
          <w:rtl w:val="true"/>
          <w:lang w:bidi="fa-IR"/>
        </w:rPr>
        <w:t>(</w:t>
      </w:r>
      <w:r>
        <w:rPr>
          <w:rFonts w:eastAsia="IRNazanin" w:cs="IRNazanin"/>
          <w:color w:val="111111"/>
          <w:sz w:val="28"/>
          <w:szCs w:val="28"/>
          <w:lang w:bidi="fa-IR"/>
        </w:rPr>
        <w:t>1341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مدینة مشهد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أساتذته،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والده السیّد حسین الطباطبائی القمّی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المیلانی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محمّد کاظم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أبو القاسم الموسوی الخوئی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حسین الحلّی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أربعة مجلّدات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الصالحین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دورة کاملة فی فقه الشیعة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أجزاء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القواعد الفقهیّة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شهید کربلاء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إقامته حالیّاً </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یقیم حالیّاً فی مدینة قم المقدّسة وله حوزة دراسیّة عامرة بحمد اللّه</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صادق الحسینی الروحانی</w:t>
      </w:r>
    </w:p>
    <w:p>
      <w:pPr>
        <w:pStyle w:val="BookText"/>
        <w:rPr/>
      </w:pPr>
      <w:r>
        <w:rPr>
          <w:rFonts w:ascii="IRNazanin" w:hAnsi="IRNazanin" w:eastAsia="IRNazanin"/>
          <w:color w:val="111111"/>
          <w:sz w:val="28"/>
          <w:sz w:val="28"/>
          <w:szCs w:val="28"/>
          <w:rtl w:val="true"/>
          <w:lang w:bidi="fa-IR"/>
        </w:rPr>
        <w:t xml:space="preserve">ولد السیّد محمّد صادق الروحانی فی أوّل شهر محرّم سنة </w:t>
      </w:r>
      <w:r>
        <w:rPr>
          <w:rFonts w:eastAsia="IRNazanin" w:cs="IRNazanin"/>
          <w:color w:val="111111"/>
          <w:sz w:val="28"/>
          <w:szCs w:val="28"/>
          <w:rtl w:val="true"/>
          <w:lang w:bidi="fa-IR"/>
        </w:rPr>
        <w:t>(</w:t>
      </w:r>
      <w:r>
        <w:rPr>
          <w:rFonts w:eastAsia="IRNazanin" w:cs="IRNazanin"/>
          <w:color w:val="111111"/>
          <w:sz w:val="28"/>
          <w:szCs w:val="28"/>
          <w:lang w:bidi="fa-IR"/>
        </w:rPr>
        <w:t>1345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قم المقدّسة، وکان والده آیة اللّه السیّد محمود الروحانی من العلماء المعروفین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 وأساتذته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تعلّم القرآن الکریم، وبلغ السطح العالی من العلوم الدینیّة ولم یتجاوز العاشرة من عمره، وفی سنة </w:t>
      </w:r>
      <w:r>
        <w:rPr>
          <w:rFonts w:eastAsia="IRNazanin" w:cs="IRNazanin"/>
          <w:color w:val="111111"/>
          <w:sz w:val="28"/>
          <w:szCs w:val="28"/>
          <w:rtl w:val="true"/>
          <w:lang w:bidi="fa-IR"/>
        </w:rPr>
        <w:t>(</w:t>
      </w:r>
      <w:r>
        <w:rPr>
          <w:rFonts w:eastAsia="IRNazanin" w:cs="IRNazanin"/>
          <w:color w:val="111111"/>
          <w:sz w:val="28"/>
          <w:szCs w:val="28"/>
          <w:lang w:bidi="fa-IR"/>
        </w:rPr>
        <w:t>1355</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إلی النجف الأشرف لإکمال دراسته الحوزویّة، وحضر دروس السیّد أبی الحسن الإصفهانی والشیخ محمّد حسین الکمپانی والشیخ محمّد علی الکاظمی والشیخ الشیرازی، وأخذ عن السیّد الخوئی الفقه والاُصول لمدّة اثنی عشر عاماً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وعندما بلغ عمره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بدأ بکتابة تقریرات أساتذته فی مدینة النجف الأشرف، وفی سنة </w:t>
      </w:r>
      <w:r>
        <w:rPr>
          <w:rFonts w:eastAsia="IRNazanin" w:cs="IRNazanin"/>
          <w:color w:val="111111"/>
          <w:sz w:val="28"/>
          <w:szCs w:val="28"/>
          <w:rtl w:val="true"/>
          <w:lang w:bidi="fa-IR"/>
        </w:rPr>
        <w:t>(</w:t>
      </w:r>
      <w:r>
        <w:rPr>
          <w:rFonts w:eastAsia="IRNazanin" w:cs="IRNazanin"/>
          <w:color w:val="111111"/>
          <w:sz w:val="28"/>
          <w:szCs w:val="28"/>
          <w:lang w:bidi="fa-IR"/>
        </w:rPr>
        <w:t>1370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عاد إلی مدینة قم المقدّسة، ومنذ وصوله شرع بتدریس بحث الخارج فی الفقه والاُصول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فقه الصادق علیه‌السلام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مناسک الحجّ باللغة الفارسیة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صلاة الجمعة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فروع العلم الإجمالی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منهاج الفقاهة</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توضیح المسائل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إقامته حالیاً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یقیم حالیاً فی مدینة قم المقدّسة وله حوزة علمیّة عامرة بحمد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محمّد الموسوی مفتی الشیعة</w:t>
      </w:r>
    </w:p>
    <w:p>
      <w:pPr>
        <w:pStyle w:val="BookText"/>
        <w:rPr/>
      </w:pPr>
      <w:r>
        <w:rPr>
          <w:rFonts w:ascii="IRNazanin" w:hAnsi="IRNazanin" w:eastAsia="IRNazanin"/>
          <w:color w:val="111111"/>
          <w:sz w:val="28"/>
          <w:sz w:val="28"/>
          <w:szCs w:val="28"/>
          <w:rtl w:val="true"/>
          <w:lang w:bidi="fa-IR"/>
        </w:rPr>
        <w:t>هو محمّد بن محمّد تقی بن مرتضی بن نقد علی بن میر علی رضا بن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الموسوی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وجدیر بالذکر أنّ والده وجدّه کانا من المراجع العظام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وینتهی نسبه الشریف إلی الإمام بالحقّ السابع من أئمة الهدی موسی بن جعفر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ولد السیّد محمّد الموسوی فی أردبیل فی العاشر من شهر رجب المرجّب سنة </w:t>
      </w:r>
      <w:r>
        <w:rPr>
          <w:rFonts w:eastAsia="IRNazanin" w:cs="IRNazanin"/>
          <w:color w:val="111111"/>
          <w:sz w:val="28"/>
          <w:szCs w:val="28"/>
          <w:rtl w:val="true"/>
          <w:lang w:bidi="fa-IR"/>
        </w:rPr>
        <w:t>(</w:t>
      </w:r>
      <w:r>
        <w:rPr>
          <w:rFonts w:eastAsia="IRNazanin" w:cs="IRNazanin"/>
          <w:color w:val="111111"/>
          <w:sz w:val="28"/>
          <w:szCs w:val="28"/>
          <w:lang w:bidi="fa-IR"/>
        </w:rPr>
        <w:t>1347</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الموافق </w:t>
      </w:r>
      <w:r>
        <w:rPr>
          <w:rFonts w:eastAsia="IRNazanin" w:cs="IRNazanin"/>
          <w:color w:val="111111"/>
          <w:sz w:val="28"/>
          <w:szCs w:val="28"/>
          <w:rtl w:val="true"/>
          <w:lang w:bidi="fa-IR"/>
        </w:rPr>
        <w:t>(</w:t>
      </w:r>
      <w:r>
        <w:rPr>
          <w:rFonts w:eastAsia="IRNazanin" w:cs="IRNazanin"/>
          <w:color w:val="111111"/>
          <w:sz w:val="28"/>
          <w:szCs w:val="28"/>
          <w:lang w:bidi="fa-IR"/>
        </w:rPr>
        <w:t>1307</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نشأ نشأة صالحة، محبّاً طالباً للعلم، قرأ المقدمات والسطوح فی مدینة أردبیل مسقط رأسه ثم هاجر إلی قم المقدسة وحضر بحث الخارج، ولم یروِ ظمأه، فشدّ الرحال إلی النجف الأشرف بغیة إکمال دراسته العلمیة الاستنباطیة، حیث حضر أبحاث الخارج عند مراجع الدین العظام والأساتذة الأعلام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أساتذته،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حسین البروجردی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روح اللّه الموسوی الخمینی</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محسن الحکیم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محمود الشاهرودی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أبو القاسم الموسوی 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سلوکه وأخلاقه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خصاله المحمودة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قلیل الکلام، کثیر الذکر للّه تعالی، دائب التفکیر، حلیم، مشهور عند مختلف الطبقات خاصّة فی بلاده وعند رفقائه المعاشرین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ومجلسه الخاصّ لا یخلو من المذاکرة لعلوم أهل البیت علیهم‌السلام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مؤلّفاته،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کتاب الصلاة، بحث اُستاذه آیة اللّه العظمی السیّد آقا حسین البروجردی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شرح الکفایة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رسالة 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المسائل والمسائل المستحدثة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نظریات اُستاذه العلاّمة الطباطبائی حول بعض المبانی فی الفلسفة الموجودة فی المنظومة والأسفار 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تعلیقات الاُستاذ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إقامته حالیاً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یقیم حالیاً فی مدینة قم المقدّسة وله حوزة علمیّة عامرة بحمد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السیّد علی الحسینی السیستانی</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وُلد سماحة السیّد السیستانی فی التاسع من شهر ربیع الأوّل سنة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1349</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مشهد المقدّسة، ونشأ فی اُسرة علمیّة دینیّة ملتزمة، وکانت اُسرته ـ وهی من الاُسر العلویّة الحسینیّة ـ تسکن مدینة إصفهان علی عهد الصفویین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عیّن جدّه الأعلی السیّد محمّد فی منصب شیخ الإسلام فی منطقة سیستان إبّان عهد السلطان حسین الصفوی، فانتقل إلیها، وسکنها هو وذرّیّته من بعده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من سافر من أحفاده إلی مدینة مشهد هو السیّد علی ـ الجَدّ الأدنی للسیّد السیستانی ـ حیث استقرّ فیها برهة من الزمن، ومن ثمّ هاجر إلی النجف الأشرف لإکمال دراسته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 وأساتذته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بدأ السیّد فی الخامسة من عمره بتعلّم القرآن الکریم، ثمّ دخل مدرسة لتعلّم القراءة والکتابة، وفی عام </w:t>
      </w:r>
      <w:r>
        <w:rPr>
          <w:rFonts w:eastAsia="IRNazanin" w:cs="IRNazanin"/>
          <w:color w:val="111111"/>
          <w:sz w:val="28"/>
          <w:szCs w:val="28"/>
          <w:rtl w:val="true"/>
          <w:lang w:bidi="fa-IR"/>
        </w:rPr>
        <w:t>(</w:t>
      </w:r>
      <w:r>
        <w:rPr>
          <w:rFonts w:eastAsia="IRNazanin" w:cs="IRNazanin"/>
          <w:color w:val="111111"/>
          <w:sz w:val="28"/>
          <w:szCs w:val="28"/>
          <w:lang w:bidi="fa-IR"/>
        </w:rPr>
        <w:t>1360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 المقدّمات الحوزویّة، وقرأ شرح اللمعة والقوانین علی السیّد أحمد الیزدی، وجملةً من السطوح العالیّة علی الشیخ هاشم القزوینی، وقرأ جملة من الکتب الفلسفیّة علی المرحوم الإ یسی، ودرس المعارف الإلهیّة عند الشیخ مهدی الإصفهانی، وحضر بحث الخارج عند الشیخ مهدی الآشتیانی والشیخ هاشم القزوینی، وفی أواخر سنة </w:t>
      </w:r>
      <w:r>
        <w:rPr>
          <w:rFonts w:eastAsia="IRNazanin" w:cs="IRNazanin"/>
          <w:color w:val="111111"/>
          <w:sz w:val="28"/>
          <w:szCs w:val="28"/>
          <w:rtl w:val="true"/>
          <w:lang w:bidi="fa-IR"/>
        </w:rPr>
        <w:t>(</w:t>
      </w:r>
      <w:r>
        <w:rPr>
          <w:rFonts w:eastAsia="IRNazanin" w:cs="IRNazanin"/>
          <w:color w:val="111111"/>
          <w:sz w:val="28"/>
          <w:szCs w:val="28"/>
          <w:lang w:bidi="fa-IR"/>
        </w:rPr>
        <w:t>1368</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سافر إلی مدینة قم المقدّسة لإکمال دراسته، فحضر درس السیّد حسین الطباطبائی البروجردی فی الفقه والاُصول ، وعند السیّد محمّد الحجّة الکوه کمَرَئی فی الفقه فقط</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أوائل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1371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سافر إلی النجف الأشرف ، فسکن مدرسة البخارائی العلمیّة، وحضر بحوث السیّد الخوئی والشیخ حسین الحلّی فی الفقه </w:t>
      </w:r>
    </w:p>
    <w:p>
      <w:pPr>
        <w:pStyle w:val="BookText"/>
        <w:rPr/>
      </w:pPr>
      <w:r>
        <w:rPr>
          <w:rFonts w:ascii="IRNazanin" w:hAnsi="IRNazanin" w:eastAsia="IRNazanin"/>
          <w:color w:val="111111"/>
          <w:sz w:val="28"/>
          <w:sz w:val="28"/>
          <w:szCs w:val="28"/>
          <w:rtl w:val="true"/>
          <w:lang w:bidi="fa-IR"/>
        </w:rPr>
        <w:t>والاُصول، وحضر بحوث السیّد محسن الحکیم والسیّد محمود 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أواخر سنة </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عزم السفر إلی موطنه مشهد الرضا علیه‌السلام وقد کتب له اُستاذاه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الخوئی والشیخ الحلّی شهادتین ببلوغه درجة الاجتهاد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وعند رجوعه إلی النجف الأشرف سنة </w:t>
      </w:r>
      <w:r>
        <w:rPr>
          <w:rFonts w:eastAsia="IRNazanin" w:cs="IRNazanin"/>
          <w:color w:val="111111"/>
          <w:sz w:val="28"/>
          <w:szCs w:val="28"/>
          <w:rtl w:val="true"/>
          <w:lang w:bidi="fa-IR"/>
        </w:rPr>
        <w:t>(</w:t>
      </w:r>
      <w:r>
        <w:rPr>
          <w:rFonts w:eastAsia="IRNazanin" w:cs="IRNazanin"/>
          <w:color w:val="111111"/>
          <w:sz w:val="28"/>
          <w:szCs w:val="28"/>
          <w:lang w:bidi="fa-IR"/>
        </w:rPr>
        <w:t>1381</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بتدریس بحث الخارج فی الفقه، وابتدأ محاضراته فی علم الاُصول فی شهر شعبان سنة </w:t>
      </w:r>
      <w:r>
        <w:rPr>
          <w:rFonts w:eastAsia="IRNazanin" w:cs="IRNazanin"/>
          <w:color w:val="111111"/>
          <w:sz w:val="28"/>
          <w:szCs w:val="28"/>
          <w:rtl w:val="true"/>
          <w:lang w:bidi="fa-IR"/>
        </w:rPr>
        <w:t>(</w:t>
      </w:r>
      <w:r>
        <w:rPr>
          <w:rFonts w:eastAsia="IRNazanin" w:cs="IRNazanin"/>
          <w:color w:val="111111"/>
          <w:sz w:val="28"/>
          <w:szCs w:val="28"/>
          <w:lang w:bidi="fa-IR"/>
        </w:rPr>
        <w:t>1384</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صفاته وأخلاقه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الإنصاف واحترام الرأی، الأدب فی الحوار، الأخلاق العالیة، 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تلامذته، ومنهم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مهدی مروارید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مرتضی المهری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حبیب حسینیان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مرتضی الموسوی الإصفهانی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السیّد أحمد المددی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الشیخ باقر الإیروانی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مؤلّفاته، منها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قاعدة لا ضرر ولا ضرار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تعلیقة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البحوث الاُصولیة</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القضاء</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کتاب البیع والخیارات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اللباس المشکوک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قاعدة الید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صلاة المسافر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قاعدة التجاوز والفراغ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القبلة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التقیّة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قاعدة الإلزام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الاجتهاد والتقلید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رسالة فی الربا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إقامته حالیّاً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یقیم حالیّاً فی مدینة النجف الأشرف وحوزته الدراسیّة عامرة بحمد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الشیخ محمّد الفاضل اللنکرانی</w:t>
      </w:r>
    </w:p>
    <w:p>
      <w:pPr>
        <w:pStyle w:val="BookText"/>
        <w:rPr/>
      </w:pPr>
      <w:r>
        <w:rPr>
          <w:rFonts w:ascii="IRNazanin" w:hAnsi="IRNazanin" w:eastAsia="IRNazanin"/>
          <w:color w:val="111111"/>
          <w:sz w:val="28"/>
          <w:sz w:val="28"/>
          <w:szCs w:val="28"/>
          <w:rtl w:val="true"/>
          <w:lang w:bidi="fa-IR"/>
        </w:rPr>
        <w:t xml:space="preserve">ولد سنة </w:t>
      </w:r>
      <w:r>
        <w:rPr>
          <w:rFonts w:eastAsia="IRNazanin" w:cs="IRNazanin"/>
          <w:color w:val="111111"/>
          <w:sz w:val="28"/>
          <w:szCs w:val="28"/>
          <w:rtl w:val="true"/>
          <w:lang w:bidi="fa-IR"/>
        </w:rPr>
        <w:t>(</w:t>
      </w:r>
      <w:r>
        <w:rPr>
          <w:rFonts w:eastAsia="IRNazanin" w:cs="IRNazanin"/>
          <w:color w:val="111111"/>
          <w:sz w:val="28"/>
          <w:szCs w:val="28"/>
          <w:lang w:bidi="fa-IR"/>
        </w:rPr>
        <w:t>1350</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بمدینة قم المقدّسة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دراسته وأساتذته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کرّس جهده فی دراسة العلوم الدینیّة فی الحوزة العلمیّة بمدینة قم المقدّسة، فأکمل مرحلة المقدّمات والسطوح خلال ستّ سنوات، ثمّ شرع بعدها بدراسة مرحلة البحث الخارج فی الفقه والاُصول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ودرس سماحته مدّة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سنة مرحلة الخارج فی الفقـه والاُصول عند </w:t>
      </w:r>
    </w:p>
    <w:p>
      <w:pPr>
        <w:pStyle w:val="BookText"/>
        <w:rPr/>
      </w:pPr>
      <w:r>
        <w:rPr>
          <w:rFonts w:ascii="IRNazanin" w:hAnsi="IRNazanin" w:eastAsia="IRNazanin"/>
          <w:color w:val="111111"/>
          <w:sz w:val="28"/>
          <w:sz w:val="28"/>
          <w:szCs w:val="28"/>
          <w:rtl w:val="true"/>
          <w:lang w:bidi="fa-IR"/>
        </w:rPr>
        <w:t xml:space="preserve">السیّد حسین البروجردی ، وکذلک درس عند الإمام الخمینی قدس‌سره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وحضر کذلک دروساً للعلاّمة السیّد محمّد حسین الطباطبائی فی الفلسفة والتفسیر، واستطاع الحصول علی درجة الاجتهاد وهو فی السن الخامسة والعشرین، بتأیید من السیّد حسین البروجردی، وبعد مدّة من الزمن أصبح مرجعاً من المراجع العظام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مؤلّفاته، منها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جامع المسائل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مختصر الأحکام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الأحکام الواضحة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مدخل التفسیر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أحکام الحجّ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تفصیل الشریعة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حاشیة علی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إقامته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یقیم حالیّاً فی مدینة قم المقدّسة وله حوزة دراسیّة عامرة بحمد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أن انتهینا من عرض مختصر لأصحاب التعلیقات، تبدی المؤسسة فی ختام مقدمتها هذه عن فائق شکرها وتقدیرها لمن أسهم فی مراحل عمل هذا المشروع العلمی الزاخر،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الإخوة حیدر النجار وعلیرضا شهبازی فی تنضید الحروف</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وأقسام الإسناد،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المخطوطات، المکتبة، التصویر اللیتوغرافی، الطباعة، </w:t>
      </w:r>
    </w:p>
    <w:p>
      <w:pPr>
        <w:pStyle w:val="BookText"/>
        <w:rPr/>
      </w:pPr>
      <w:r>
        <w:rPr>
          <w:rFonts w:ascii="IRNazanin" w:hAnsi="IRNazanin" w:eastAsia="IRNazanin"/>
          <w:color w:val="111111"/>
          <w:sz w:val="28"/>
          <w:sz w:val="28"/>
          <w:szCs w:val="28"/>
          <w:rtl w:val="true"/>
          <w:lang w:bidi="fa-IR"/>
        </w:rPr>
        <w:t>التغلیف، وسائر الأقسام،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 والطروحات الفنیة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والإخوة الأفاضل حجج الإسلام،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محمد صالح الموسوی التنکابنی والشیخ محمد صالح دانشیار والشیخ حسن العیداوی وأیضاً الأخ الفاضل إحسان القصاب فی تهیئة وتنظیم وکتابة ومقابلة نصوص التعلیقات، والشیخ کوثر علی النجفی، والشیخ أحمد الغانمی، والشیخ مرتضی الأسدی، فی تدقیق وضبط متون التعلیقات وتنظیم الفهارس، والشیخ عبدالعالی المنصوری لمراجعته النهائیة النصوص کافة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معرض الجوانب العلمیّة والفنیّة العدیدة الاُخری لهذا المشروع العلمی الکبیر، جهود الإخوة المحققین والمدققین الأفاضل،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 شاکر الأحمدی فی تقویم النصوص، وأیضاً نثمّن جهود الأخ الفاضل علی الربیعی لإشرافه الکامل علی مراحل عمل هذا المشروع الضخم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جزاهم اللّه خیراً، سائلین المولی العلی القدیر التوفیق فی مواصلة المسیرة العلمیة وتقدیم المزید من الانجازات المثمرة خدمة لمجتمعنا الإسلامی ورقیّه، إنّه ولیّ التوفیق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وآخر دعوانا أن الحمد 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مؤسّسة السبطین علیهماالسلام العالمیّة</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ربیع الأوّل </w:t>
      </w:r>
      <w:r>
        <w:rPr>
          <w:rFonts w:eastAsia="IRNazanin" w:cs="IRNazanin"/>
          <w:color w:val="111111"/>
          <w:sz w:val="28"/>
          <w:szCs w:val="28"/>
          <w:lang w:bidi="fa-IR"/>
        </w:rPr>
        <w:t>1428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bookmarkStart w:id="23" w:name="pg13272_142696"/>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24" w:name="__RefHeading___Toc1636392_2322387425"/>
      <w:bookmarkStart w:id="25" w:name="_Toc8"/>
      <w:bookmarkEnd w:id="23"/>
      <w:bookmarkEnd w:id="24"/>
      <w:r>
        <w:rPr>
          <w:rtl w:val="true"/>
        </w:rPr>
        <w:t>تقدیم بقلم الاُستاذ الدکتور محمود البستانی</w:t>
      </w:r>
      <w:bookmarkEnd w:id="25"/>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الفقیه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محمّد کاظم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من أعلام الطائفة ممّن یدرج ضمن ما یمکن أن یطلق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الطبقة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الفقهاء طوال التاریخ، أی منذ نشأة الفقة الاستدلالی البادئ بالقدیمین ابن عقیل وابن الجنید، مروراً بالمفید والمرتضی والطوسی، وامتداداً لفقهاء العصر الوسیط من أمثال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والمحقّق والشهیدین والأردبیلی، 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فقهاء الأجیال الأخیرة منذ العلماء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 العلوم، فکاشف الغطاء، فالبهبهانی، فالبحرانی، فالجواهری، فالأنصاری، وانتهاءً بالجیل الحدیث البادئ بالسیّد الیزدی، والسیّد الحکیم، والسیّد الخوئی،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هذه الأسماء الفقهیّة تجسّد الطبقة الاُولی من الأعلام الذین انتظمتهم الحوزة العلمیّة طوال تأریخها، ویأتی السیّد الیزدی ـ کما أشرنا ـ واحداً یندرج ضمن الطبقة المشار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طبیعیّاً، ینبغی أن نشیر إلی أنّ غالبیة الفقهاء المذکورین وسواهم، یضطلعون بممارسات أو نشاطات خاصّة بما یسمّی بالمرجعیّة الحوزویّة مقابل الفقهاء الذین یحملون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حیث إنّ المرجع یظلّ واحداً من عشرات فقهائنا، ممّن یضطلع بممارسة خاصّة من خلال ترشیح الآخرین فی الغالب، وهی التصدّی للفتوی بحیث یرجع المقلِّدون إلیه فی معرفة وظائفهم الدینیة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والمرجع عادةً إمـّا أن یقتصر علی نشاطه العلمی الصرف، وإمـّا أن یضطلع بنشاط اجتماعی، والنشاط الاجتماعی یتمثّل عادةً فی المستویین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الإصلاحی والسیاسی، ونقصد بالنشاط الإصلاحی أو الإصلاح الاجتماعی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یمارسه الفقیه </w:t>
      </w:r>
    </w:p>
    <w:p>
      <w:pPr>
        <w:pStyle w:val="BookText"/>
        <w:rPr/>
      </w:pPr>
      <w:r>
        <w:rPr>
          <w:rFonts w:ascii="IRNazanin" w:hAnsi="IRNazanin" w:eastAsia="IRNazanin"/>
          <w:color w:val="111111"/>
          <w:sz w:val="28"/>
          <w:sz w:val="28"/>
          <w:szCs w:val="28"/>
          <w:rtl w:val="true"/>
          <w:lang w:bidi="fa-IR"/>
        </w:rPr>
        <w:t>فی حلّ المشکلات الاجتماعیة الّتی تهمّ الحوزة والبلد، والاُمّة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 وأمـّا النشاط السیاسی فمن الوضوح بمکان، حیث یسهم الفقیه فی صیاغة القرارات السیاسیة بقدر ما تسنح له الفرص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والمهمّ أنّ المراجع بعامّة، یتوزّع نشاطهم بین الممارسة العلمیة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وهی تطبع جمیع المراجع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وبین من یضیف إلی ذلک أحد النشاطین الاجتماعیین المشار إلیهما، أو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والسیّد الیزدی هو واحد من المراجع الّذی اضطلع بالمستویات الثلاثة من النشاط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العلمی، الإصلاحی، والسیاسی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وبما أنّ المؤرّخین لدور المرجعیّة الدینیّة أو الحوزة العلمیّة توفّروا علی دراسة المستویین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الإصلاحی والسیاسی للسیّد الیزدی، حتّی أ نّه صدرت مؤلَّفات واسعة فی هذا المیدان،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فإنّ دراستنا للسیّد الیزدی سوف تقتصر علی النشاط الفقهی فحسب، بخاصّة أنّ الکتاب الّذی نضعه بین یدی القارئ خاصٌّ بفتاواه، والتعلیقات الفقهیة علیه من قبل عشرات الفقهاء الذین عاصروه أو تأخروا عنه، وحتّی سنواتنا المعاصرة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ولقد مرّ علی وفاته مایقارب ثلاثة أرباع القرن، إلاّ أنّ التعلیقات علی فتاواه لاتزال حیّة إلی هذه السنوات، کما قلنا</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لا مناص لنا من التذکیر بحقائق لایکاد یجهلها حتّی القارئ العادی،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النشاط الفقهی یتوزّع عادةً بین مستویات متنوّعة، فهناک الممارسة الاستدلالیّة الّتی تُعنی باستخلاص الحکم الفقهی من مظانّه المعروفة،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مَنْ یکتفی بکتابة فتاواه غیر مشفوعة بالاستدلال المکتوب، کما أنّ هناک من یمارس تدریس بحث الخارج فی نطاق الممارسة الاستدلالیّة، وهناک من تجده یتوفّر علی التألیف فحسب،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وبالنسبة إلی السیّد الیزدی فقد توفّر علی النشاطات المتقدّمة،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النشاط المتّصل بفتاواه، حیث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المرجع لا مناص له من </w:t>
      </w:r>
    </w:p>
    <w:p>
      <w:pPr>
        <w:pStyle w:val="BookText"/>
        <w:rPr/>
      </w:pPr>
      <w:r>
        <w:rPr>
          <w:rFonts w:ascii="IRNazanin" w:hAnsi="IRNazanin" w:eastAsia="IRNazanin"/>
          <w:color w:val="111111"/>
          <w:sz w:val="28"/>
          <w:sz w:val="28"/>
          <w:szCs w:val="28"/>
          <w:rtl w:val="true"/>
          <w:lang w:bidi="fa-IR"/>
        </w:rPr>
        <w:t>تقدیم فتاواه إلی مَن یقلّده،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حیث مادّتها ومنهجها ولغتها تختلف من واحد إلی آخر، لذلک نجد من المؤلّفات مایتّخذه الآخرون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إمـّا مادّةً لمقلِّدیهم مع بعض التغییرات فیها، 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ما نستهدف الإشارة إلیه الآن فیما نعنی به عبر دراستنا لممارسات السیّد الیزدی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نعرف جمیعاً ـ کما یقول المؤرِّخون للمؤسّسة الحوزویّة والمرجعیّة، أنّ بعض المؤلَّفات الفتوائیّة وهی ما یطلق علیها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الرسالة العملیّة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وحتّی لو لم تتّخذ هذا المنحی ـ فإنّ مجرّد صیاغة الفتاوی عبر مادّة ومنهج ولغةٍ خاصّة، یحمل الآخرین من الفقهاء مطلقاً مراجع، أو فقهاء یباحثون خارجاً، أو فقهاء یتوفّرون علی تألیف فقهی علی اتخاذه متناً للتعلیق، أو الشرح، أو الدراسة أساساً، أی التألیف الفقهی فی ضوء المتون الفتوائیّة، سواء کانت رسائل عملیّة أو مجرّد فتاوی، وهذا ما ألمح إلیه المؤرّخون عندما أشاروا إلی أنّ المتون الفقهیّة مرّت بمراحل متنوّعة، بُدئت بکتاب النهایة للشیخ الطوسی، ولانغفل أنّ الطوسی بدوره قد اعتمد فی بعض ممارساته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مقنعة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الحوزة العلمیّة الرشیدة الّتی امتدّت أکثر من ألف سنة، کانت تعتمد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متناً، ثمّ اتّخذت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للمحقّق،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قواعد الأحکام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للعلاّمة، 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للیزدی، وهو هذا الکتاب الّذی نتحدّث عنه،</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وممـّا تجدر ملاحظته ـ وهذا ما ألمحنا إلیه ونؤکّده الآن ـ أنّ المتن المذکور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العروة الوثقی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لعلّه أکثر المتون الفقهیّة اهتماماً من قبل فقهائنا المتأخّرین والمعاصرین، حیث حظی من جانب باتّخاذه متناً للممارسة الاستدلالیّة الشاملة، ولعلّ أوضح مصادیقها هو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مستمسک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وغیره من الممارسات، کما أ نّه من جانب آخر حظی بتعلیقات تعدّ بالعشرات، وهـو ما یقتصر علی مناقشة بعض المتون، من خلال ما یسمّی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الحاشیة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إمـّا مناقشة </w:t>
      </w:r>
    </w:p>
    <w:p>
      <w:pPr>
        <w:pStyle w:val="BookText"/>
        <w:rPr/>
      </w:pPr>
      <w:r>
        <w:rPr>
          <w:rFonts w:ascii="IRNazanin" w:hAnsi="IRNazanin" w:eastAsia="IRNazanin"/>
          <w:color w:val="111111"/>
          <w:sz w:val="28"/>
          <w:sz w:val="28"/>
          <w:szCs w:val="28"/>
          <w:rtl w:val="true"/>
          <w:lang w:bidi="fa-IR"/>
        </w:rPr>
        <w:t xml:space="preserve">فتوائیّة فحسب، أو مصحوبة بالاستدلال، وفی الحالتین، فإنّ الاهتمام بهذا المتن بالنحو المتقدّم، یجعل الدراسة لهذا الجانب تحمل مسوغاتها، حیث اضطلعت أکثر من مؤسّسة بتجمیع آراء الآخرین حیال المتن المذکور، متفاوتة فی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المعلّقین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أنّ الکتاب الحالی یعدّ أکثر الکتب حشداً للآراء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تأسیساً علی ما تقدّم یجدر بنا أن نتناول بالدراسة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السیّد الیزدی فقهیاً واُصولیاً، أو علی الأقلّ فقهیّاً بمستوییه الفتوائی والاستدلالی، وبخاصّة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الأخیر؛ لأنـّه الخلفیّة الّتی تستند فتاواه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ولحسن الحظ، أنّ السیّد الیزدی ترک لنا جملة مؤلَّفات استدلالیّة تتفاوت فی حجومها،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منجزات المریض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العروة الوثقی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بالإضافة إلی دراسة استدلالیّة قد اتّخذت من متن سابق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المعروف بالمکاسب للشیخ الأنصاری، قد اتّخذت منه وسیلة لممارسة فقهیة معمّقة ومفصّلة</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 مضافاً إلی کتاب اُصولی ضخم یتحدّث عن ظاهرة التضارب بین النصوص بنمطیها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الظاهری والباطنی، أو کما یطلق علی ذلک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التکافؤ</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التراجیح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وهو أهمّ الأبحاث الاُصولیّة لأنـّه ـ بوضوح ـ أکثر المبادئ تطبیقاً بخلاف الغالبیة من المبادئ الاُصولیّة الّتی تضؤل أهمیّتها العملیّة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الثمرة العلمیّة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بالقیاس إلی باب التعارض أو التضارب ـ کما نسمّیه ـ سواء أکان التضارب علی مستوی السطح بحیث یُجمع بین المتضاربین کالجمع العرفی المألوف، وسواه، أو کان علی مستوی العمق بحیث لا مناص من طرح أحد الطرفین،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موافقته للعامّة أو العمل بالآخر،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موافقة الکتاب، أو العمل بکلیهما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مستوی التخییر ولیس الجمع، أو الطرح لکلیهما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التوقّف أو 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ویتمیّز الکتاب المذکور بسعة حجمه، وبدخوله فی تفصیلات یمکن الاستغناء عنها، بخاصّة أنّ </w:t>
      </w:r>
    </w:p>
    <w:p>
      <w:pPr>
        <w:pStyle w:val="BookText"/>
        <w:rPr/>
      </w:pPr>
      <w:r>
        <w:rPr>
          <w:rFonts w:ascii="IRNazanin" w:hAnsi="IRNazanin" w:eastAsia="IRNazanin"/>
          <w:color w:val="111111"/>
          <w:sz w:val="28"/>
          <w:sz w:val="28"/>
          <w:szCs w:val="28"/>
          <w:rtl w:val="true"/>
          <w:lang w:bidi="fa-IR"/>
        </w:rPr>
        <w:t>بعض المعنیین بهذا الشأن المعرفی قد یکتفون بثلاثین صفحة من الکتاب، بینما تجاوز الکتاب الّذی عرضنا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الستمائة 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أنّ التطبیق لمبادئ التضارب لایتجانس مع النظریّة من حیث الحجم الّذی یستخدمه المؤلف، لذا فلا ضرورة کبیرة تدفعنا إلی مدارسة هذا الکتاب بقدر ما نقتبس منه بعض الفقرات لأنّ المهمّ هو ما نلاحظه من الممارسة الفقهیّة الّتی تعتمد هذا المبدأ الاُصولی أو ذاک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نعتمد الممارسة التطبیقیّة لما یطرح من عملیّات الجمع العرفی أو 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 هذه المسألة الفقهیّة أو تلک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سائر المبادئ الّتی یتوکّأ علیها فی استخلاص الظاهرة الشرعیّة بنحو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ما نبدأ به الآن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ـ إنّ المرحلة الاُولی من ممارسة السیّد الیزدی للظاهرة الفقهیّة،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تصدیرها بالبُعد اللغوی، أی من حیث التعریف بالظاهرة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البحث دلالیاً، ومدی انسحاب العنوان المنتخب علی الموضوع، یستوی فی ذلک أن یکون البحث فقهیّاً أو اُصولیّاً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لاشکّ فیه أنّ طبیعة البحث العلمی یتطلّب الإحاطة بجوانب الموضوع جمیعاً، وفی مقدّمته الجانب اللغوی مادامت اللغة هی الواسطة فی التعبیر عن موضوع البحث، لکن ینبغی أن نضع فی الاعتبار أنّ البُعد اللغوی یظلّ أداةً توظیفیّة ولیس غایة، وهذا ما یقتادنا إلی ملاحظة مهمّة بالنسبة إلی مطلق البحوث، ومنها البحث الفقهی، حیث نجد أنّ الباحثین لایکتفون بتعریف الموضوع لغویاً واصطلاحیّاً فی نطاق ماهو ضروری، بل یُسهبون فی البحث عن جذر الکلمة واستخداماتها،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 حتّی لیحسُ القارئ أ نّه أمام معجم لُغویٍّ ولیس أمام بحث لاعلاقة له باللغة إلاّ بمقدار الإضاءة الضروریّة</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ضوء هذه الحقائق نتّجه إلی السیّد الیزدی لملاحظة استخدامه للبعد </w:t>
      </w:r>
    </w:p>
    <w:p>
      <w:pPr>
        <w:pStyle w:val="BookText"/>
        <w:rPr/>
      </w:pPr>
      <w:r>
        <w:rPr>
          <w:rFonts w:ascii="IRNazanin" w:hAnsi="IRNazanin" w:eastAsia="IRNazanin"/>
          <w:color w:val="111111"/>
          <w:sz w:val="28"/>
          <w:sz w:val="28"/>
          <w:szCs w:val="28"/>
          <w:rtl w:val="true"/>
          <w:lang w:bidi="fa-IR"/>
        </w:rPr>
        <w:t>اللغوی، حیث نجد عنایة خاصّة منه قد لانجدها عند الآخرین، فهو یدقّق فی المفردة الفقهیّة أو الاُصولیّة وینقّب فی جذورها إلی درجة ملحوظة، حتّی نحسب أنّ بعض ممارساته تحمل القارئ علی الاستفسار عن مدی فائدة هذا الإسهاب أو التغلغل اللغوی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عن ذلک یجدر بنا الاستشهاد بنماذج من ممارساته، وهی نماذج إیجابیة دون أدنی 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مثلاً فی بدایة بحثه الاُصولی فی باب التضارب بین الأخبار، أی التعارض وهو العنوان الّذی انتخبه لبحث الظاهرة المذکورة، حیث صدّرها بهذه الفقرات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المسألة بباب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صنّفنا، وفاقاً لبعضٍ أولی من عنوانها بباب التعادل والتراجح، لما هو واضح من أنـّها من عوارضه وأقسامه، إذ التعارض قد یکون مع التعادل، وقد یکون مع الترجیح، ومن المعلوم أنّ الکلّی المتعارض ـ مع غضّ النظر عن قسیمیه ـ أحکاماً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أولویة الجمع مهما أمکن، وأنّ الأصل فی المتعارضین ماذا؟ وغیرهما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ثمّ یذکر جواباً لمن یجد مسوّغاً للعنوان التقلیدی، ویعترض علی ماورد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القوانین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العنوان القائل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التعارض والتعادل والترجیح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لایخفی أنّ التعبیر بالتراجیح فیه مسامحة من وجوه،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معادل التعادل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التراجح لا التراجیح، إذ هو مأخوذ إمّا من العدل بمعنی الاستواء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یقطع صفحات متعدّدة لمواصلة بحثه عن مفردات المصطلح المذکور بحیث یصل إلی ما یقارب عشر صفحات، وهو أمر قد لا نجد له ضرورة</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بغضّ النظر عمّا تقدّم فإنّ مجرّد انتخاب عنوان شامل ـ کما صنع السیّد الیزدی یظلّ أفضل ـ بلا شک ـ من المفردات الثلاث، ممّا استخدمها الاُصولیون </w:t>
      </w:r>
    </w:p>
    <w:p>
      <w:pPr>
        <w:pStyle w:val="BookText"/>
        <w:rPr/>
      </w:pPr>
      <w:r>
        <w:rPr>
          <w:rFonts w:ascii="IRNazanin" w:hAnsi="IRNazanin" w:eastAsia="IRNazanin"/>
          <w:color w:val="111111"/>
          <w:sz w:val="28"/>
          <w:sz w:val="28"/>
          <w:szCs w:val="28"/>
          <w:rtl w:val="true"/>
          <w:lang w:bidi="fa-IR"/>
        </w:rPr>
        <w:t>القدماء والمتأخّرون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دمنا نتحدّث عن انتخاب العنوان وضرورة شمولیّته وتعبیره عن الموضوع المبحوث عنه، نجد أنّ السیّد الیزدی یتّجه إلی مناقشة کثیر من المفردات الّتی جعلها الفقهاء عنواناً لممارساتهم،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نلاحظه فی کتابه الاستدلالی التعلیقی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حاشیة المکاسب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تعرّض لجملة من المفردات الّتی اعتبرها غیر مفصحة عن طبیعة الموضوعات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کتب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مایحرم لتحریم ما یقصد منه شأناً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سواهما، حیث قال بالنسبة إلی العنوان الأخیر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العنوان إنـّما یحسن إذا جعلنا المناط فی النصوص ذلک، وتعدّینا إلی کلّ ما یکون کذلک وأمّا علی ماهو واقعه من الاقتصار علی مواردها من السلاح أو مطلق آلات الحرب، فالأولی أن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وعدم بیع السلاح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المفروض خصوصیّة الموضع وعدم کون المناط ما ذکر من العنوان، فلا وجه للعنوان بما لیس موضوعاً ومناطاً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 أنّ ملاحظة السیّد الیزدی صائبة مادمنا نعرف جمیعاً أنّ العنوان فی البحوث العلمیّة یحتل أهمیّته الکبیرة من حیث انطواؤه علی موضوع محدد ولیس فضفاضاً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والأمر نفسه یمکننا ملاحظته فی التعقیب علی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حفظ کتب الضلال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یتناول تعقیبه علی العنوان المتقدّم مورداً آخر مضادّاً لسابقه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قصور العنوان عن استیعاب ماهو ضلال حیث لایقتصر حظر الضلال علی الکتب فحسب، بل یتجاوزه إلی المطلق، لذلک ینبغی تبدیله إلی عنوان أشمل من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هذا الصدد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خصوصیّة للکتب فی ذلک، فیحرم حفظ غیرها أیضاً ممّا من شأنه الإضلال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الأولی التعمیم للعنوان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یحاول السیّد الیزدی توجیه العنوان المتقدّم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غرضه المثال لکون الکتب من الأفراد الغالبة لهذا </w:t>
      </w:r>
    </w:p>
    <w:p>
      <w:pPr>
        <w:pStyle w:val="BookText"/>
        <w:rPr/>
      </w:pPr>
      <w:r>
        <w:rPr>
          <w:rFonts w:ascii="IRNazanin" w:hAnsi="IRNazanin" w:eastAsia="IRNazanin"/>
          <w:color w:val="111111"/>
          <w:sz w:val="28"/>
          <w:sz w:val="28"/>
          <w:szCs w:val="28"/>
          <w:rtl w:val="true"/>
          <w:lang w:bidi="fa-IR"/>
        </w:rPr>
        <w:t>العنوان، نعم یمکن الاستدلال علی الخصوصیّة بروایة الحذّاء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علّم باب ضلال کان علیه وزر من 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ونحن أیضاً یمکننا أن نوجّه إلی المؤلف السیّد الیزدی نفس الإشکالیّة بالنسبة إلی الروایة، حیث إنّ التعلیم للضلال لا ینحصر فی الکتاب، بل یشمل مطلق الخطاب الإعلامی من خطبة أو کلام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 فی الحالات جمیعاً ینبغی أن نشیر إلی أنّ اهتمام السیّد الیزدی بالعنوان جعله یُعنی به من زوایا اُخری مصحوبة بجملة نوافذ، ولعلّ تعقیبه أو تصدیر ممارسته لظاهرة الوکالة مثلاً یوضّح لنا منهجه فی التعریف بالظاهرة من جانب، ثمّ مقارنة العنوان بما تماثله أو تخالفه من سوی ذلک، حیث أنّ تعریفه للظاهرة المبحوث عنها تفرض ضرورتها لکی تتبیّن دلالة الوکالة أو الهبة أو الوقف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ولکنّ الأهمّ من ذلک هو المقارنة مع غیرها من الظواهر فی حالة ما إذا کانت ثمّة نقاط مشترکة بین العنوان المبحوث عنه وسواه، وهذا ما نلحظه فی النصّ الآتی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الوکالة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استنابة فی التصرّف فی أمر من الاُمور فی حال حیاته، بخلاف الوصایة فإنـّها بعد الموت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 فی الفرق بینهما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الوصایة إعطاء ولایة، وفی هذا الفرق تأمّل، بل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الفرق بینهما وبین الودیعة فهو إنـّها استنابة فی الحفظ، بل لا یلاحظ فیها الاستنابة وإن استلزمتها، وأمّا بینها وبین العاریة فواضح، وکذا المضاربة إذ حقیقتها لیست استنابة وإن تضمّنتها فی الجملة</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واضح من هذا النصّ أهمیّة هذه الفوارق أو المشترکات بین الظواهر المشار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العاریة، الوصایة، الودیعة، المضاربة، حیث أوضح السیّد الیزدی السمات المشترکة المتمثّلة فی الاستنابة بنحو أو بآخر مع الفوارق بین الاستنابة </w:t>
      </w:r>
    </w:p>
    <w:p>
      <w:pPr>
        <w:pStyle w:val="BookText"/>
        <w:rPr/>
      </w:pPr>
      <w:r>
        <w:rPr>
          <w:rFonts w:ascii="IRNazanin" w:hAnsi="IRNazanin" w:eastAsia="IRNazanin"/>
          <w:color w:val="111111"/>
          <w:sz w:val="28"/>
          <w:sz w:val="28"/>
          <w:szCs w:val="28"/>
          <w:rtl w:val="true"/>
          <w:lang w:bidi="fa-IR"/>
        </w:rPr>
        <w:t>فی مستویاتها وبین الوکالة وبین ماذکره من الظواهر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أیـّة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ندع الآن هذا الجانب اللغوی بصفته مجرّد مقدّمة للدخول إلی الموضوع الرئیسی، وهو الممارسة الاستدلالیة للظاهرة، واستخلاص حکمها، أو دلالتها، حیث نتّجه إلی الخطوط الّتی تنتظم منهج السیّد الیزدی فی ممارساته بنحوٍ عام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بالنسبة إلی الخطوط المنهجیّة الّتی یمکن أن یستخلصها الدارس لممارسة السیّد الیزدی فی تناوله للظاهرة الفقهیّة، تظل متفاوتة من ممارسة إلی اُخری بحسب ما یتطلّبه الموقف، فمثلاً عندما یتناول الظواهر الّتی یعقّب بها علی الشیخ الأنصاری فی حاشیته علی المکاسب، فإنّ تناوله یختلف بطبیعة الحال عن معالجته المستقلّة للظاهرة، کما هو ملاحظ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تکملة العروة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یتناول فیه الظاهرة استدلالیّاً بالقیاس إلی العروة المتمیّزة بفتاواها فحسب، کما یتناول الظاهرة استدلالیّاً فی سائر نتاجه المتمثّل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منجزات المریض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عموماً، مادمنا نستهدف الإشارة إلی خطوط المنهج بحسب تسلسله، نلاحظ أنّ السیّد الیزدی بعد أن یتناول الظاهرة لغویاً، یتقدّم إلی طرح فتواه مصحوبةً بالإشارة الإجمالیة أوّلاً إلی الأدلّة الرئیسة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السنّة، الإجماع، العقل، أو الأدلّة الثانویّة وفی مقدّمتها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بحیث یعنی بها بنحو ملحوظ، أو الدلیل العملی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ولکن ینبغی أن نشیر إلی أنّ السیّد الیزدی عندما یتناول الظاهرة الفقهیّة العامّة، مثل الأبواب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الربا، الوکالة، الوقف، الضرر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آخره فإنـّه لیختلف عن معالجته لتفریعاتها أو مسائلها الجزئیّة، حیث یعنی بالظاهرة العامّة بالتعریف، وبتصدیر ما یتطلّبه الباب من تعقیب أخلاقی، کما هو ملاحظ مثلاً فی معالجته لظاهرة الربا حیث یعرض أوّلاً فتواه الذاهبة إلی </w:t>
      </w:r>
    </w:p>
    <w:p>
      <w:pPr>
        <w:pStyle w:val="BookText"/>
        <w:rPr/>
      </w:pPr>
      <w:r>
        <w:rPr>
          <w:rFonts w:ascii="IRNazanin" w:hAnsi="IRNazanin" w:eastAsia="IRNazanin"/>
          <w:color w:val="111111"/>
          <w:sz w:val="28"/>
          <w:sz w:val="28"/>
          <w:szCs w:val="28"/>
          <w:rtl w:val="true"/>
          <w:lang w:bidi="fa-IR"/>
        </w:rPr>
        <w:t>التحریم، مشیراً إجمالاً إلی الأدلّة الرئیسة علی هذا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الربا المحرّم بالکتاب والسنّة وإجماع المسلمین، بل ضرورة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فمستحقّه داخل فی سلک الکافرین، وأ نّه یُقتل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آخـره، ثمّ یستشهد بروایات کثیرة تحوم جمیعاً علی إبراز العقاب المترتّب علی ممارس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تصوّرنا أنّ تصدیر الباب، بأمثلة هذا البُعد الأخلاقی یُجسِّد ضرورة لاغنیً عنها من حیث أثرها علی القارئ حیث إنّ الهدف أساساً هو حمل الشخصیّة علی معرفة الحکم وترتیب الأثر علیه، وهو عدم ممارسة ما هو محرّم أو مکروه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والآن فإنّ ما یهمّنا بعد الاشارة إلی مقدّمات الممارسة الفقهیّة من تحقیق لغوی وتعریف أخلاقی، مایهمنا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ملاحظة الأدوات الاستدلالیّة الّتی یستخدمها السیّد الیزدی فی معالجته للظاهرة الفقهیّة، حیث تمثّل خطوط ممارسته علی هذا النحو</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تصدیر الفتوی، مصحوبة بالأدلّة الإجمالیة فی الغالب، کما لاحظنا فی تصدیره لظاهرة الربا،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بالکتاب والسنّة وإجماع المسلمین، بل ضرورة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إشارة إلی الأدلّة الرئیسة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جمیعاً الکتاب والسنّة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وقد یکتفی بدلیل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کالإجماع مثلاً، وهو ما یطبع غالبیة نتاجه مثل تصدیره لظاهرة وقف الکافر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لایشترط فی الواقف أن یکون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أو السنّة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صحّة وصیّة من بلغ عشراً للأخبار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بالعقل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بدلیلین کالکتاب والسنّة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المتمتّع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وَالَّذِینَ یُتَوَفَّوْنَ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والصحیح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بثلاثة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والسنّة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خارجاً عن هذه المستویات من الأدلّة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الاستهلالیّة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تتصدّر الفتاوی، فإنّ المهمَّ هو کیفیّة التعامل مع الأدلّة ذاتها،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تعامله مع الکتاب، مع السنّة، مع الإجماع، مع العقل، مع الشهرة، مع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بالإضافة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یستخدمها فی هذه المیادین، وفی مقدّمتها الظواهر اللفظیّة وسواها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ونقف أوّلاً عند تعامله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بخاصّة فیما یتّصل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بصفته هو الغالب فی التوکّؤ علیه بالقیاس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وبصفته هو الغالب من الأدلّة بالقیاس إلی الکتاب،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علی أن نتّجه إلیها فیما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لنتحدّث عن کیفیّة تعامل السیّد الیزدی مع الأخبار، وهی ـ کما قلنا ـ المادّة الغالبة فی التعامل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فیما یتّصل بالأدلّة الرئیسیّة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 السنّة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 أمّا ما یتّصل بالأدلّة الثانویّة من شهرة أو أصل، فإنّ السیّد الیزدی یتوکّأ علیها بطبیعة الحال، إمّا استقلالاً أو ضمناً أو توظیفاً، فمن أمثلته الأخیرة، مثلاً بالنسبة إلی شرائط الواقف إذا بلغ عشر سنین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علی عدم صحّته؛ لعموم ما 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أنّ السیّد الیزدی یوظّف دلیل الشهرة ـ وهو ثانوی ـ لتجلیة دلیل رئیسی وهو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نتحدّث عن‌مستویات تعامله مع الأدلّة المشار لها فی حینه،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کانت متّصلة بالشهرة وأقسامها، أو بالاُصول العملیّة وسواهما، أمّا الآن فقد استهدفنا مجرّد الإشارة إلی أدوات السیّد الیزدی الّتی یستخدمها فی استهلال أدلّته إجمالاً، حیث لاحظنا تفاوت ممارسته من حیث السعة وعدمها بحسب متطلّبات المسألة ذاتها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والآن نتّجه إلی ملاحظة تعامله مفصلاً مع الأخبار، وفی هذا المیدان نقول</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یظلّ التعامل مع النصّ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کما قلنا ـ أهم المحاور الّتی یرکن إلیها الفقهاء، یلیها التعامل مع الأصل فی أبواب بعض المعاملات أو غالبیتها،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ما یعنینا الآن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التعامل مع النصّ،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ما یمکن ملاحظته هنا هو أنّ التعامل مع النصّ یندر أو یضؤل حجمه فی حالة ما إذا کان الأمر مرتبطاً بتفسیره أو تأویله، </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استخلاص دلالته، ولکنّ العکس تماماً یتضخّم حجم التعامل مع النصّ فی حالة تضاربه مع الآخر، وهذا ما یجسّد غالبیة الممارسات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ما لاحظناه بالنسبة إلی السیّد الیزدی فی جعل ممارساته الاُصولیّة منحصرة فی نطاق التألیف فی باب التعارض الّذی قاربت صفحاته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یفسّر لنا أهمیّته ومن ثمّ غالبیته الممارسة لهذا الجانب، لذلک نحاول عرض المنهج الّذی یتعامل السیّد الیزدی من خلاله مع النصّ المتضارب، سواء کان التضارب فی نطاق الظاهر ـ أی التألیف بین الأخبار وهو الجمع العرفی ـ أو نطاق الباطن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المفضی إلی طرح أحد المتضاربین، أو سقوطهما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ونبدأ أوّلاً بملاحظة تعامل السیّد الیزدی مع التضارب الظاهری، المفضی إلی التألیف بین المتضاربین من خلال حمل أحدهما علی الندب أو الکراهة أو التخصیص أو التقیید أو الحکومة أو الورود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هنا، نجد أنّ السیّد الیزدی امتداداً مع وجهة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عَنی عنایةً تامّة بمقولة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العمل بالخبر ما أمکن أولی من الطرح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وصل به الأمر إلی أن یبالغ فی تفسیر أو تأویل المتضارب من النصوص بما قد لا یحتمله النصّ، والمهم أنّ السیّد الیزدی یکاد یشدّد فی هذا الجانب بنحو ملحوظ، وهو ما نلحظه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مقدّمة کتابه الاُصولی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یصرّح بذلک بسفور، أو ما نلحظه ـ وهذا هو الأهمّ ـ فی تطبیقاته للقاعدة، حیث نجد أنّ کثیراً من الممارسین لایسحبون نظریاتهم الاُصولیّة علی الممارسة التطبیقیّة فقهیّاً، وهو ما یحملنا علی دراسة النصّ الفقهی التطبیقی بدلاً من دراسة الخطوط النظریة لهذا المبنی الاُصولی أو ذاک</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ومع عودتنا إلی السیّد الیزدی فی تعامله مع النصّین المتضاربین ظاهریاً، نجده ـ کما هو لدی الغالبیة من الفقهاء ـ یعنی بعملیّة الجمع العرفی ما وجد إلی ذلک </w:t>
      </w:r>
    </w:p>
    <w:p>
      <w:pPr>
        <w:pStyle w:val="BookText"/>
        <w:rPr/>
      </w:pPr>
      <w:r>
        <w:rPr>
          <w:rFonts w:ascii="IRNazanin" w:hAnsi="IRNazanin" w:eastAsia="IRNazanin"/>
          <w:color w:val="111111"/>
          <w:sz w:val="28"/>
          <w:sz w:val="28"/>
          <w:szCs w:val="28"/>
          <w:rtl w:val="true"/>
          <w:lang w:bidi="fa-IR"/>
        </w:rPr>
        <w:t>سبیلاً، وهذا ما یمکننا أن نلاحظه من خلال النماذج الآتیة،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الحمل علی الاستحباب، مثل تألیفه بین الأخبار القائلة بعدم العدّة علی غیر المدخول بها وبین القائل بها، حیث قال عن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وخبر عبید محمول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أمثلة هذا الحمل متوافرة بعدد هائل، إلاّ أنّ مستویات الحمل تظلّ متفاوتة من حیث التوکّؤ علی جملة عوامل،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الحمل بأدلّة ثانویة من نحو العمومات والإطلاقات والأصل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وهذا ما یمکن ملاحظته فی ممارسته الذاهبة إلی عدم وجوب العدّة من السفاح، حیث ذهب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وجوبها بموجب خبرین، فجاء الردّ علی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وحمل الخبرین علی الندب للأصل، وللعمومات، وإطلاق مادلّ علی جواز التزویج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ومن الواضح أنّ إرداف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علی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بأمثلة هذه الأدلّة یمنح الممارسة ثقلاً أکبر من مجرّد الحمل غیر المصحوب بالتعلیل، وإن قلنا بأنّ الحمل العادی رسمه النصّ الشرعی لیس مجرّد مبنیً یعتمده هذا الفقیه أو ذاک من خلال تذوّقه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الحمل علی الندب أیضاً، لکن من خلال التردّد بین محامل متعدّدة، وهذا ما نلحظه فی تألیفه بین الطائفة القائلة بتعدّد العدّة مع تعدّد السبب، والقائلة بالتداخل، حیث ذهب المؤلف إلی التداخل، وحمل الطائفة الاُولی علی متردّدین،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فتحمل علی الندب أو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بید أنّ السؤال هنا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أنّ الحمل علی الندب یحمل مسوّغاته فی هذا المورد؟ بخاصّة أنّ المؤلّف عندما ردّد بین الندب وبین التقیّة رجّح التقیّة علی الندب من خلال استشهاده بحادثة لأحد خلفاء العامّة، کما استشهد بخبرین من خلال تصریح المعصوم علیه‌السلام بالتداخل جواباً علی القائل بتعدّد العدّة</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البیّن أنّ هذه القرائن من حیث وضوح أرجحیّتها ـ وهی التقیّة ـ حینئذٍ </w:t>
      </w:r>
    </w:p>
    <w:p>
      <w:pPr>
        <w:pStyle w:val="BookText"/>
        <w:rPr/>
      </w:pPr>
      <w:r>
        <w:rPr>
          <w:rFonts w:ascii="IRNazanin" w:hAnsi="IRNazanin" w:eastAsia="IRNazanin"/>
          <w:color w:val="111111"/>
          <w:sz w:val="28"/>
          <w:sz w:val="28"/>
          <w:szCs w:val="28"/>
          <w:rtl w:val="true"/>
          <w:lang w:bidi="fa-IR"/>
        </w:rPr>
        <w:t>فإنّ الحمل علی الاستحباب یفقد مسوّغه، إلاّ إذا انسقنا مع الاتّجاه الفقهی الذاهب إلی أنّ التردّد أو تعدّد الأدلّة من رجحان بعضها علی الآخر لا غبار علیه، لأ نّه مجرّد فرضیّة یتطلّبها النقاش، أو مجرّد طرحٍ یحتمل أحد مصادیقه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إمکانیّة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خارجاً عن ذلک، إذا ذهبنا لمتابعة تعامل المؤلّف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علی الندب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مستویاته المتنوّعة، نجد أ نّه یعرض إمکانیّة الحمل علی الندب، ولکنّه مع تحفّظ وهو استبعاده، ففی معالجته لعدّة المتمتّع بها یطرح الأقوال المعروضة فی الظاهرة، وهی أربعة أقوال،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الأوّل حیث رجّحه وأیضاً، القول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وأسقط القولین الآخرین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هو الأوّل، لرجحانه بالشهرة، وشذوذ الثانی، مع أنّ مقتضی الاستصحاب علی فرض التکافؤ هو الأوّل، وإن کان یجوز الجمع بینهما بحمل أخبار الأوّل علی الاستحباب، لکنّه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یهمّنا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فقرته الأخیرة الذاهبة إلی إمکانیّة الحمل علی الاستحباب، واستبعاده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وبغض النظر عن ترجّحه بالشهرة، وطرح الآخر لشذوذه، وذهابه إلی اقتضائیّة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سنتحدّث عن هذه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التردیدات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حینه ـ إن شاء اللّه ـ بغض النظر عن ذلک، فإنّ إمکانیّة حمل الخبر المتضارب مع الآخر علی الندب، وفی نفس الوقت استبعاده یظلّ واحداً من أشکال التعامل مع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العرفی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ومادام هذا النصّ من حیث استبعاده للحمل علی الاستحباب یشکّل تحفّظاً حیال الجمع العرفی المذکور، فإنّ المؤلّف فی سیاقات اُخری یتجاوز التحفّظ إلی الرفض عندما یناقش الأقوال الّتی تحمل الخبر علی الندب فی حالات لایساعد السیاق علی ذلک، ومنه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معالجته للمتوفّی زوجها من حیث العدّة یستشهد بطائفتین، تتحدّث إحداهما عن أنـّها تبدأ مع بلوغ المرأة خبر وفاته، والطائفة </w:t>
      </w:r>
    </w:p>
    <w:p>
      <w:pPr>
        <w:pStyle w:val="BookText"/>
        <w:rPr/>
      </w:pPr>
      <w:r>
        <w:rPr>
          <w:rFonts w:ascii="IRNazanin" w:hAnsi="IRNazanin" w:eastAsia="IRNazanin"/>
          <w:color w:val="111111"/>
          <w:sz w:val="28"/>
          <w:sz w:val="28"/>
          <w:szCs w:val="28"/>
          <w:rtl w:val="true"/>
          <w:lang w:bidi="fa-IR"/>
        </w:rPr>
        <w:t>الاُخری عن غیر ذلک، حیث جمع صاحب المسالک بینهما علی الاستحباب، والحمل علی التقیّة عند ابن الجنید، وآخر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وعقّب المؤلّف علی الروایة الاُخری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شاذّة محمولة علی التقیّة، فلا وجه للعمل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الجمع بین الفرقتین بحمل المتقدّمة علی الاستحباب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یتفاوت المؤلّف فی تعامله مع ظاهرة الجمع العرفی من خلال الحمل علی الندب بین الیقین والتردید والتحفّظ والرفض بحسب متطلّبات السیاق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اتّجهنا إلی الجمع العرفی المقابل للندب وهو الکراهة، حینئذٍ فإنّ العملیّة ذاتها نلحظها فی ممارسات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من نحو ممارسته الّتی تساءل فیها عن جواز أو عدم ذلک بالنسبة إلی الوکیل الّذی أمره موکّله بأن یدفع مالاً إلی عنوان ینطبق علیه، حیث ذکر المؤلّف قولین فی ذلک، کما ذکر روایتین متضاربتین لراوٍ واحد، موضّحاً بأنّ المانعة لا تقاوم المجوِّزة معقّباً علی المانعة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فینبغی أن تُحمل علی الکراهة، بل هو مقتضی الجمع العرفی الدلالی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السیّد الیزدی ینصّ علی کراهة النصّ المضارب فی الممارسة السابقة، فهو یحتملها فی الممارسة القائلة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لاینبغی الإشکال فی عدم جریان الربا فی غیر المکیل والموزون مطلقاً، بل یمکن حمل کلام المفصِّلین أیضاً علی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التردید بینها وبین سواها، فیمکن ملاحظته فی ممارسته فی باب الوکالة القائلة بکراهة بیع ما لدیه من المواد لموکّله، حیث ینقل جواز ذلک للأخبار، ویضیف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الأخبار المانعة محمولة علی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یعلّل ذلک إنّ ذلک یعرّض الوکیل للتهمة والخدیعة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کما یشعر بذلک علی فهم بعض تلک الأخبار، لکنّ الأحوط مع ذلک</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فهنا نجد المؤلّف قد التجأ إلی الحمل علی الکراهة تردیداً بینها وبین </w:t>
      </w:r>
    </w:p>
    <w:p>
      <w:pPr>
        <w:pStyle w:val="BookText"/>
        <w:rPr/>
      </w:pPr>
      <w:r>
        <w:rPr>
          <w:rFonts w:ascii="IRNazanin" w:hAnsi="IRNazanin" w:eastAsia="IRNazanin"/>
          <w:color w:val="111111"/>
          <w:sz w:val="28"/>
          <w:sz w:val="28"/>
          <w:szCs w:val="28"/>
          <w:rtl w:val="true"/>
          <w:lang w:bidi="fa-IR"/>
        </w:rPr>
        <w:t>الاحتیاط، حیث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ترجیح الحرمة لدیه،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هذه الممارسة نلحظ سوی التردید بین استخلاصین، ظاهرة ثالثة أیضاً عندما تحدّثنا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علی الاستحباب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أردف فی بعض ممارساته الحمل بتوضیح الأسباب المفضیة إلی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یردف حمله علی الکراهة،بالرکون إلی الأخبار الاُخری الّتی توحی بدلالة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المؤلّف هنا یتردّد بین استخلاصین، فإنـّه فی الممارسة الآتیة یتردّد بدوره ولکن یتّجه إلی التعلیل لأحد المتردّدین ممّا یشکّل سِمَة سلبیة کما لاحظنا ذلک عند حدیثنا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الحمل علی الاستحباب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یقول المؤلّف عبر بحثه عن إحدی المسائل المتعلّقة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فتحمل علی الکراهة فی النسیئة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علی التقیّة، لأنّ التفصیل مذهب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أنّ التردید هنا ـ کما لاحظنا فی حمله الظاهر علی محمل الندب ـ وتفصیله للآخر بین الکراهة وبین التقیّة، لایجیء لصالح الکراهة بل التقیّة؛ لأنّ التعلیل الّذی قدّمه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التفصیل هو مذهب العامّة یفصح عن تفضیله للتقیّة، کما هو واضح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لذلک لامعنی لحمله علی الکراهة، وهذا ما یُسجّل علی المؤلّف</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نفس الخطوات الّتی قطعها المؤلّف فی تعامله مع الحمل علی الاستحباب یمارسها أیضاً فی تعامله مع الحمل علی الکراهة کما لاحظنا ذلک،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ظاهرة التحفّظ أو الرفض لما یحتمله فقیه آخر فی ممارساته،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المقدّس الأردبیلی فی حمله علی الکراهة فی بعض مسائل الربا، وهی مسألة أنّ المواد الأصلیّة والمتفرّعة من الشیء تتماثل حرمة الربا فیها، کالدقیق والسویق مثلاً، ومطلق ماهو أصل وفرعی، حیث استدلّ علیها بالأخبار مقابل أخبار معارضة، حیث حملها الأردبیلی علی الکراهة،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تحمل الأخبار المذکورة علی الکراهة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هنا عقّب المؤلّف علی الحمل المذکور وسواه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 المراد لیست </w:t>
      </w:r>
    </w:p>
    <w:p>
      <w:pPr>
        <w:pStyle w:val="BookText"/>
        <w:rPr/>
      </w:pPr>
      <w:r>
        <w:rPr>
          <w:rFonts w:ascii="IRNazanin" w:hAnsi="IRNazanin" w:eastAsia="IRNazanin"/>
          <w:color w:val="111111"/>
          <w:sz w:val="28"/>
          <w:sz w:val="28"/>
          <w:szCs w:val="28"/>
          <w:rtl w:val="true"/>
          <w:lang w:bidi="fa-IR"/>
        </w:rPr>
        <w:t>جمیعاً محکومة بهذه السمة، لأنّ الحلیب ومتنوعاته مثلاً لیست کالدقیق والسویق، لذلک فإنّ الأظهر التفصیل بین المادّتین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آخره، وبذلک یکون المؤلّف قد رفض ذلک الحمل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الکراهة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نکتفی بما ذکرناه من الظواهر المتّصلة بحمل أحد المتضاربین من الأخبار علی الکراهة أو الندب بالنحو الّذی تقدّم الحدیث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الآن فنتّجه إلی حلٍّ آخر للتضارب الظاهری بین الأخبار، وهو الحمل المؤدّی بالتألیف بینها من خلال حمل المطلق والعام والمجمل علی المقیّد والخاصّ والمفصّل ،وهو باب واسع من الأبواب البحثیة الّتی یتوفّر الفقهاء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لنلاحظ تعامل السیّد الیزدی مع أمثلة هذه المحامل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طبیعیّاً أنّ الحمل علی المقیّد والخاصّ والمبیّن بالنسبة إلی الخبر المطلق والعام والمجمل یختلف عن الحمل السابق، أی الندب أو الکراهة، من حیث إنـّهما یتفاضلان من خبر إلی آخر، بینما نجد أنّ محامل المقیّد والخاصّ والمبیّن، تقوم علی إلقاء الإضاءة من أحدهما علی الآخر، حیث أنّ المقیّد یلقی بإنارته علی المطلق، وهکذا سواه، فیتمّ التألیف بین المتضاربین علی مستوی الدمج بین الروایتین، ولیس الفصل بین فاضلٍ ومفضول کما هو شأن الحمل علی الندب أو الکراهة</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یجدر بنا أن نستشهد ببعض الممارسات لدی السیّد الیزدی فی هذا المیدان، ومنها مثلاً فی میدان الحمل البسیط للعام علی الخاصّ، ذهابه ـ وهو یناقش الأنصاری فی مکاسبه ـ بالنسبة إلی الأحکام المتّصلة بالأرض من حیث صلتها ـ حالة الفتح ـ بإذن الإمام علیه‌السلام أو عدمه، مستشهداً بروایة خاصّةٍ لابن وهب تذهب إلی أنّ الأرض المفتوحة إذا کانت بإذنه علیه‌السلام یأخذ الإمام علیه‌السلام الخمس، ویأخذ المقاتلون نصیبهم منه،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ویعلّق علی الروایة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فهی صالحة </w:t>
      </w:r>
    </w:p>
    <w:p>
      <w:pPr>
        <w:pStyle w:val="BookText"/>
        <w:rPr/>
      </w:pPr>
      <w:r>
        <w:rPr>
          <w:rFonts w:ascii="IRNazanin" w:hAnsi="IRNazanin" w:eastAsia="IRNazanin"/>
          <w:color w:val="111111"/>
          <w:sz w:val="28"/>
          <w:sz w:val="28"/>
          <w:szCs w:val="28"/>
          <w:rtl w:val="true"/>
          <w:lang w:bidi="fa-IR"/>
        </w:rPr>
        <w:t>لتخصیص الآیة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أی آیة الخمس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 أَنَّمَا غَنِمْتُم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وأمّا فی میدان الممارسة المرکّبة، فیمکننا ملاحظة ذلک فی الممارسة الآتیة الّتی یتوکّأ المؤلف فیها علی حمل المطلق علی المقیّد، والمجمل علی المفصّل، وهی ترتبط بعدّة المرأة الّتی فقد زوجها، یقول السیّد الیزدی بعد نقله للأقوال، وإشارته إلی اختلاف الأقوال من أنـّها راجعة إلی اختلاف الأخبار ذاتها،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یحمـل المطلق منها علی المقیّد، والمجمل علی المفصّل، فیصیر الحاصل أنّ عند انقطاع خبره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نموذج واضح لعملیات التألیف بین النصوص، وتتمیّز هذه الممارسة بأنـّها تجمع بین أخبار متضاربة متنوعة، ولیس بین طائفتین فحسب، لذلک تجسِّد ممارسة مرکّبة ولیست بسیطة لعملیّة التألیف بین النصوص، فهو یقول تعقیباً علی طوائف الأخبار الّتی أوردها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مقتضی الجمع بین الأخبار المذکورة لزوم الطلاق بتقیید خبر سماعة بسائر الأخبار، ولزوم کون العدّة عدّة وفاة بتقیید أخبار الطلاق بخبر سماعة والمرسل، ولزوم رفع الأمر إلی الحاکم وکون ضرب الأجل بتعیینه، وکون ابتداء الأجل من حین ضربه بتقیید خبر الحلبی وخبر أبی الصباح بخبر برید وخبر سماعة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هذه الممارسة الّتی سمّیناها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بالحمل المرکّب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الحمل المفرد أو البسیط الّذی یحمل خبراً مطلقاً علی خبر مقیّد، أو عامّاً علی خاصّ أو مجملاً علی مفصّلٍ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یکشف لنا عن براعة السیّد الیزدی فی تألیفه الموفّق بین نصوص متضاربة</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یحسن بنا أن نقدّم نموذجاً مفرداً بسیطاً لملاحظة ما قلناه من أنّ الحمل الّذی یتوکّأ علی إضاءة خبرین متضاربین بخبر ثالث، حیث یمکننا أن نستشهد بالممارسة الآتیة،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الیزدی بین نصّین متضاربین یؤیّد أحدهما بأنّ المرأة الیائسة هی البالغة خمسین عاماً، والآخر یحدّده بالستّین، حیث یجمع المؤلف بینهما من خلال الإشارة إلی نصٍّ ثالثٍ وهو مرسلة ابن عمیر الّتی رسمت </w:t>
      </w:r>
    </w:p>
    <w:p>
      <w:pPr>
        <w:pStyle w:val="BookText"/>
        <w:rPr/>
      </w:pPr>
      <w:r>
        <w:rPr>
          <w:rFonts w:ascii="IRNazanin" w:hAnsi="IRNazanin" w:eastAsia="IRNazanin"/>
          <w:color w:val="111111"/>
          <w:sz w:val="28"/>
          <w:sz w:val="28"/>
          <w:szCs w:val="28"/>
          <w:rtl w:val="true"/>
          <w:lang w:bidi="fa-IR"/>
        </w:rPr>
        <w:t>الفارق بین المرأة القرشیّة وحدّدها بالستّین، والعامّیة وحدّدها بالخمسین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أمثلة هذه التألیفات بین النصوص من خلال إلقاء أحدهما الإنارة علی الآخر تقتادنا إلی أمثلةٍ اُخری،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یطلق علیه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الحکومة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یعنی الأوّل منهما أن تکون 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الحاکمة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قبالة الاُخری، محدّدةً لموضوعها، والروایة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الواردة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رافعة للموضوع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وهذان المصطلحان یندر التوکؤ علیهما فی الممارسات الفقهیّة حیث یردان علی استحیاء علی ألسنة بعض الفقهاء، ویمکننا بالنسبة إلی الحکومة ملاحظة ما سبق أن استشهدنا به فی ممارسته المرتبطة بالأرض المفتوحة بإذن المعصوم علیه‌السلام أو عدمه، حیث یعقّب ـ بعد تخصیصه عموم الآیة ـ باحتمال آخر هو حکومة الروایة المتحدّثة عن إذن الإمام علیه‌السلام وعدمه، بالقول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یمکن دعوی حکومتها علی العمومات الدالّة علی کون ما اُخذت عنوة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ماتقدّم، یجسّد ملاحظات علی الممارسة الفقهیّة الخاصّة بالتعامل مع الأخبار المتضاربة ظاهریّاً، حیث یتّجه الفقیه إلی الجمع الدلالی ما وجد إلی ذلک سبیلاً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الآن فیمکننا ملاحظة الممارسات الخاصّة بالتعامل مع الأخبار المتضاربة باطنیّاً أو داخلیّاً، حیث یتعادل المتضاربان المتضادّان فی خصائصهما الخبریة بحیث لا یترجّح طرف علی آخر، أو یترجّح أحدهما علی الآخر، بخصیصة أو أکثر، وهذا ما یشکّل ـ کما أشرنا ـ غالبیّة الممارسات الفقهیّة، بخاصّة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النصوص الشرعیّة کما هو واضح رسمت للفقیه طرائق العلاج للخبرین المتضاربین المتضادّین عبر نصوص متنوّعة تتحدّث حیناً عن المتکافئین، فترسم له حلولاً للتخییر أو التوقّف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وترسم حلولاً للراجح منهما من خلال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الأوثقیّة والأشهریّة، ومخالفة العامّة، وموافقة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ما یتوفّر الفقهاء علیه بطبیعة </w:t>
      </w:r>
    </w:p>
    <w:p>
      <w:pPr>
        <w:pStyle w:val="BookText"/>
        <w:rPr/>
      </w:pPr>
      <w:r>
        <w:rPr>
          <w:rFonts w:ascii="IRNazanin" w:hAnsi="IRNazanin" w:eastAsia="IRNazanin"/>
          <w:color w:val="111111"/>
          <w:sz w:val="28"/>
          <w:sz w:val="28"/>
          <w:szCs w:val="28"/>
          <w:rtl w:val="true"/>
          <w:lang w:bidi="fa-IR"/>
        </w:rPr>
        <w:t>الحال، إلاّ أنّ التفاوت فی وجهات النظر من حیث الأرجحیّة لأحد المرجّحات فیما بینها، فیما ذهب بعضهم إلی ترتیب خاصّ ورد فی النصّ، وذهب البعض الآخر إلی عدم الترتیب، ومن ثمّ فإنّ الغالبیّة من الفقهاء تذهب إلی الرأی الثانی بحیث تقرّ بأنّ الفقیه بحسب ما یراه من السیاقات المتنوّعة الّتی یرد فیها الخبران المتضاربان، حیث یتحرّک بحسب خبرته الذوقیّة للنصوص، فربـّما یبدأ بترجیح الأوثقیّة، أو الأشهریّة، أو المخالفة، أو الموافقة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فی تصوّرنا هو الموقف الصائب لسبب واضح وبسیط جدّاً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العلاجیّة لا تقف عند نصَّی ابن حنظلة وزرارة اللذین ورد فیهما ترتیب خاصّ، بل ثمّة نصوص متنوّعة اُخری، لا ترد فیها سلسلة المرجّحات المذکورة فی الروایتین المذکورتین کالاقتصار مثلاً علی مخالفة العامّة، أو غیرها من المرجّحات، ممـّا یکشف ذلک من أنّ الأولویّة لمرجّح دون آخر فی الحالات جمیعاً لایمکن أن یکون صائباً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وبالنسبة إلی السیّد الیزدی نجده یذهب إلی الاتّجاه ذاته من خلال کتابه الاُصولی الکبیر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حیث بحث ذلک نظریاً، من خلال ممارساته الفقهیّة کما بحث ذلک تطبیقیّاً وهذه ـ أی البحوث التطبیقیّة ـ نعتمد علیها الآن فی ملاحظاتنا علی ممارسة السیّد الیزدی، وأمّا کتابه النظری البالغ </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صفحة فلا شغل لنا به لکونه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تطبیقاً ذا ثمرة عملیّة</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ینبغی الإشارة سلفاً إلی أنّ التعادل التامّ یضؤل حصوله بالقیاس إلی الأرجحیّة لخبرٍ دون مقابله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کالأرجحیّة ـ کما هو معروف ـ بأحد الوجوه المشار إلیها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وإذا کان ثمة تفاوت لاحظناه بین الفقهاء بالنسبة إلی أرجحیّة أحد المرجّحات، فی حالة عدم التعادل، فإنّ نظرات الفقهاء تتفاوت بدورها بالنسبة إلی التعادل بین طرفی المتضاربین، حیث یذهب بعضهم إلی التساقط، والآخر إلی </w:t>
      </w:r>
    </w:p>
    <w:p>
      <w:pPr>
        <w:pStyle w:val="BookText"/>
        <w:rPr/>
      </w:pP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ویلاحظ أنّ السیّد الیزدی کما ذکر ذلک فی کتابه الاُصولیّ، وکما لاحظناه فی نصّ ممارساته التطبیقیّة یجنح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التخییر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بما أنّ التعادل ـ کما قلنا ـ یضؤل حصوله بالقیاس إلی عدم التعادل، حینئذٍ فإنّ المهمّ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نتجه إلی هذا الجانب من ممارسات السیّد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فماذا نستخلص؟</w:t>
      </w:r>
    </w:p>
    <w:p>
      <w:pPr>
        <w:pStyle w:val="BookText"/>
        <w:rPr/>
      </w:pPr>
      <w:r>
        <w:rPr>
          <w:rFonts w:ascii="IRNazanin" w:hAnsi="IRNazanin" w:eastAsia="IRNazanin"/>
          <w:color w:val="111111"/>
          <w:sz w:val="28"/>
          <w:sz w:val="28"/>
          <w:szCs w:val="28"/>
          <w:rtl w:val="true"/>
          <w:lang w:bidi="fa-IR"/>
        </w:rPr>
        <w:t>کما قلنا فإنّ السیّد الیزدی لایرجّح مرجّحاً علی آخر إلاّ ما یتطلّبه السیاق حیث لا ترتیب بین المرجّحات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جانب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جانبٍ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یجدر بنا ملاحظة أنّ الترجیح یتکاثر علی سواه فی ممارساته، حیث یبدو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مخالفة العامّة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یطغیان علی المرجّحین الآخرین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الأوثقیّة والموافقة، مع تحفّظنا علی ما استخلصه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الأشهریّة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الفتوی أو الروایة أو کلتیهما</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سبب ندرة الترجیح بموافقة الکتاب، فلأنّ الکتاب الکریم أساساً لایتضمّن جمیع الأحکام وتفصیلاتها حتّی یرکن إلیه فی کلّ حادثة، وهذا ما یتماثل فیه تناول السیّد الیزدی مع سواه،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بالنسبة إلی ضآلة الترجیح بالأوثقیّة، فثمّة تفاوت بین السیّد الیزدی ـ ویشارکه آخرون کثیرون ـ وبین آخرین من حیث التشدّد فی السند وعدمه، ومن حیث الرکون إلی مرجّح الشهرة أو عدمه، حیث یُعدّ السیّد الیزدی من النمط الّذی یعنی بالشهرة فی الفتوی غالباً کما سنلاحظ، ویتوکّأ علیها کثیراً فی ممارساته، ولا یعنی بالأوثقیّة إلاّ فی الدرجة الثانیة، کما أنّ تعامله مع الأکثریّة ـ الشهرة فی الخبر ـ یشکّل الدرجة الأدنی مع أ نّه یستخدمها ـ أی مرجّح الأوثقیّة والأکثریّة ـ فی سیاقات خاصّة،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یتّصل بالاحتیاط مثلاً، أو حتّی فی سیاق سواه إذا کان السیّد الیزدی مناقشاً </w:t>
      </w:r>
    </w:p>
    <w:p>
      <w:pPr>
        <w:pStyle w:val="BookText"/>
        <w:rPr/>
      </w:pPr>
      <w:r>
        <w:rPr>
          <w:rFonts w:ascii="IRNazanin" w:hAnsi="IRNazanin" w:eastAsia="IRNazanin"/>
          <w:color w:val="111111"/>
          <w:sz w:val="28"/>
          <w:sz w:val="28"/>
          <w:szCs w:val="28"/>
          <w:rtl w:val="true"/>
          <w:lang w:bidi="fa-IR"/>
        </w:rPr>
        <w:t>بالتفصیل أقوال الآخرین فی المسألة، حیث یجعل من الأکثریّة والأوثقیّة مرجّحاً مؤیداً وحتّی أصلیّاً فی حالة عدم حصوله علی مرجّح الأشهریّة أو المخالفة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لنتحدّث عن هذا الجانب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 السیّد الیزدی مع ظاهرة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الغالب مع ضمّ مرجّح آخر، کما یتعامل علی مستوی الاحتمال حیالها، ویتعامل ثالثة مع التردّد حیالها، ویتعامل 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رفضٍ لها عند مناقشته الآراء الفقهیّة،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یتعامل مع التقیّة عبر حالتین، إحداهما غیر مشفوعةٍ بالتعلیل، بل لمجرّد مخالفة الخبر الّذی یرجّحه لفتوی العامّة، والاُخری یشفعها بقرینة أو بأکثر ویبرع فیها غالباً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ونستشهد بنماذج فی هذا المیدان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یرتبط بتعامله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مشفوعة بمرجّح آخر، ینتخبه غالباً من خلال الخبر الشاذ حیث إنّ إیمانه بالشهرة یدفعه إلی الثقة فی رفض مقابله، وهو الشذوذ، وهذا ما نلحظه مثلاً فی ممارسةٍ تتّصل بعدّة الأمَة، حیث ینقل طائفتین من الأقوال وأقوالاً حیال ذلک، حیث رفض خبراً عمل به ابن الجنید، ویعقِّب علی الروایة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شاذّة، محمولة علی التقیّة، فلا وجه للعمل بها کما عند ابن الجنید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نلاحظ ممارسة اُخری یحمل خلالها الروایة علی التقیّة، مشفوعة بشذوذها، وهی تتّصل بعدّة المتمتّع بها، والمتوفَّی عنها زوجها، حیث یرفض خبراً یقول بعدم العدّة فی حالة عدم الممارسة،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 عامل به، ومحمول علی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السیّد الیزدی هنا یشفِّع حمل الروایة علی التقیّة بتعلیلٍ یستخلص من روایةٍ اُخری، وهو أمر یُضفی الأهمیّة علی هذا الحمل،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یظهر من خبر عبید، عن زرارة، عن رجل طلّق امرأته قبل أن یدخل بها، أعلیها عدّة؟ 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المتوفَّی عنها زوجها قبل أن یدخل علیها،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أمسک عن هذا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خبرٍ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کفّ عن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إنّ التقیّة من الوضوح فیها بمکان کما قلنا، إنّ أمثلة هذا الاستخلاص یکشف عن البراعة فی الممارسة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کان السیّد الیزدی فی هذه الممارسة الفقهیّة یستخلص لغة التقیّة، فإنـّه فی ممارسات اُخری یکتفی ـ کما أشرنا ـ بمجرّد المخالفة، ولکنّه حیناً یصرّح بتوجیه ذلک من خلال السیاق الّذی ترد فیه فتوی العامّة، حیث نعرف بأنّ الأزمنة والأمکنة تتفاوت من حیث حکامها وقضاتهم ـ فتتکیّف التقیّة تبعاً للسیاق ذاته، فمن ذلک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یجسّد فتاوی بعضٍ من العامّة بالنسبة إلی عدّة الأمَة المتوفَّی عنها زوجها من حیث تضارب الأخبار حیث یعقِّب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القول الأوّل، لأرجحیّة أخباره بموافقتها لعموم الکتاب ومخالفتها للعامّة؛ لأنّ مذهب جماعةٍ منهم علی التفصیل کما ذکر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فهذا التعقیب الأخیر یفصح بوضوح عمّا ذکرناه من أنّ السیاقات المختلفة للموضوع تفرض أمثلة هذا الموقف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 أنّ هذه الممارسة ذکرت إلی جانب مرجّح المخالفة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مرجّح الموافقة للکتاب إلاّ أننا استهدفنا مجرّد الاستشهاد بنماذج من ممارسات السیّد الیزدی بالنسبة إلی التعامل مع التقیّة وسیاقاتها</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وهذا یقتادنا إلی مستویً آخر من الممارسة، هو ـ ما ألمحنا إلیه قبل سطور ـ ضمّ المرجّحات الأخری إلی مرجّح التقیّة، حیث لاحظنا خلال النماذج المتقدّمة ضمّ الشهرة إلیها، وضمّ الموافقة للکتاب، وسنری عند حدیثنا عن الحصیلة العامّة لممارسات السیّد الیزدی من حیث توفّره حیناً علی المسألة من وجوهٍ شتّی بحیث یستخدم أدوات الاستدلال الرئیسیّة والثانویّة وکلّ ما وسعه من الأدلّة فی ظاهرة واحدة، لکن حسبنا أن نشیر الآن إلی مایرتبط بموضوعنا وهو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الأدلّة المتنوعة للظاهرة الّتی یستهدف استخلاص الحکم من خلالها، ولکنّنا نؤجّل </w:t>
      </w:r>
    </w:p>
    <w:p>
      <w:pPr>
        <w:pStyle w:val="BookText"/>
        <w:rPr/>
      </w:pPr>
      <w:r>
        <w:rPr>
          <w:rFonts w:ascii="IRNazanin" w:hAnsi="IRNazanin" w:eastAsia="IRNazanin"/>
          <w:color w:val="111111"/>
          <w:sz w:val="28"/>
          <w:sz w:val="28"/>
          <w:szCs w:val="28"/>
          <w:rtl w:val="true"/>
          <w:lang w:bidi="fa-IR"/>
        </w:rPr>
        <w:t>الحدیث عن ذلک إلی فقرة اُخری من بحثنا، لکن إذا کانت هذه المستویات من الحمل علی التقیة تجسّد مبنی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المبنی الآخر یجسّد احتمالاً فیها، أی الحمل علی التقیّة، وهو أمر نلحظه بوضوح فی ممارسات متنوّعة،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الممارسة الآتیة الّتی تتضمّن ما لاحظناه فی الممارستین السابقتین من استخلاص التقیّة من خلال الإشارة إلی روایة أو قول یشکِّلان قرینةً علی ذلک، ففی الممارسة الآتیة نلحظ الظاهرة ذاتها مع مستویً آخر من مستویات الحمل علی التقیّة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التردّد بین اثنین من المحامل أو أکثر، وهذا من نحو ما ورد فی موضوع الربا من مناقشة جاء فیها التعقیب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فتحمل علی الکراهة فی النسیئة، أو علی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فهنا تردّد بین حملین، بینما لاحظنا فی النصوص السابقة جمعاً من المحامل أو ضمّ بعضها إلی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ونتّجه إلی مستویً آخر من الممارسات، وهو ثمّة مستوی یتعامل مع التقیّة من خلال الاحتمال وهو مبنیً لاحظناه عند المؤلِّف فی تعامله مع الجمع الدلالی للنصوص، والمهمّ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یمکننا أن نستشهد بنموذجٍ هنا، هو ممارسته المتّصلة بباب الربا فی أحد موضوعاته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فتناسب حملها علی الکراهة، ویمکن حملها علی التقیّة، لأنّ المنع مذهب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لاحظنا أنّ مستویات التعامل مع التقیّة تظلّ متفاوتةً من ممارسةٍ إلی اُخری علی النحو الّذی تقدّم الحدیث عنه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ویمکننا أن ننتقل إلی مستوی آخر من تعامله مع التقیّة، وهو أرجحیّة الخبرین کلیهما أحدهما علی الآخر من خلال التقیّة، مع کون الترجیح الآخر احتمالیاً، وهذا ما نلاحظه فی ممارسة سبق أن استشهدنا بها عندما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إنـّه یعلّل فی قسم من ترجیحه لمخالفته العامّة بالإشارة إلی أنّ قسماً من العامّة تتوافق فتاواه مع الخبر، فلذلک رفضه من خلال الحمل علی التقیّة، ولکنـّه من جانب آخر </w:t>
      </w:r>
    </w:p>
    <w:p>
      <w:pPr>
        <w:pStyle w:val="BookText"/>
        <w:rPr/>
      </w:pPr>
      <w:r>
        <w:rPr>
          <w:rFonts w:ascii="IRNazanin" w:hAnsi="IRNazanin" w:eastAsia="IRNazanin"/>
          <w:color w:val="111111"/>
          <w:sz w:val="28"/>
          <w:sz w:val="28"/>
          <w:szCs w:val="28"/>
          <w:rtl w:val="true"/>
          <w:lang w:bidi="fa-IR"/>
        </w:rPr>
        <w:t xml:space="preserve">احتمل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لأنّ البعض الآخر من العامّة تتوافق فتاواه مع الخبر الّذی رجَّحه المؤلِّف، وبهذا نستخلص نمطاً آخر من التعامل، حیث یمکننا أن 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قیمة هذه الممارسة تتحدّد بقدر ما یحمل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ینبغی أن لا نغفل عن ملاحظة مستویً آخر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رفضه للحمل علی التقیّة فی بعض ممارسات الفقهاء، وهو أمر تجدر الإشارة إلیه ،بل لابدّ من الاستشهاد ببعض النماذج لملاحظة المسوّغات الّتی تدفعه إلی الرفض، بخاصّة أنـّنا شاهدنا غالبیّة نماذجه یقرنها بما یتناسب مع الحمل المذکور، کالإشارة إلی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 بعض العامّة، وأنّ التفصیل فی العدّة علی مذهب بعضهم، وأنّ الروایات ذاتها تتضمّن دلالة التقیّة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لنستشهد بما اعترض علیه من ممارسات الفقهاء بالنسبة إلی التقیّة، ومن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دام الحدیث عن مخالفة العامّة یتداعی بالذهن إلی ملازمه وهو موافقة الکتاب، فإنّ الموقف یستلزم المرور علیه سریعاً، لأنّ الترجیح المذکور ذاته ـ کما تمّت الإشارة إلیه ـ یظلّ محدوداً بمحدودیّة آیات الأحکام فی القرآن فی نطاق ما لاحظناه فی ممارسات السیّد الیزدی، فإنّ الموافقة للکتاب تجیء لدیه غالباً مقترنةً بمرجّح آخر، کمخالفة العامّة ذاتها، أو مقترنةً بموافقة السنّة، حیث إنّ الأخبار العلاجیّة ـ کما هو معروف ـ تشیر إلی المرجّح المذکور من خلال کونه سنّةً قطعیّة بالقیاس إلی ما یخالفها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یمکننا أن نستشهد بأمثلة هذه النماذج فی ضوء استشهادنا ببعضها فی فقراتٍ سابقةٍ من هذا البحث، ومنها</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یتّصل بالخلاف الروائی فی عدّة الأمَة المتوفَّی زوجها، حیث رجّح المؤلّف العدّة المتمثِّلة فی الأربعة أشهر وعشرة أیّام مقابل الخمسة والستّین یوماً، </w:t>
      </w:r>
    </w:p>
    <w:p>
      <w:pPr>
        <w:pStyle w:val="BookText"/>
        <w:rPr/>
      </w:pPr>
      <w:r>
        <w:rPr>
          <w:rFonts w:ascii="IRNazanin" w:hAnsi="IRNazanin" w:eastAsia="IRNazanin"/>
          <w:color w:val="111111"/>
          <w:sz w:val="28"/>
          <w:sz w:val="28"/>
          <w:szCs w:val="28"/>
          <w:rtl w:val="true"/>
          <w:lang w:bidi="fa-IR"/>
        </w:rPr>
        <w:t>فیما عقَّب ـ کما لاحظنا سابقاً ـ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القول الأوّل؛ لأرجحیّة أخباره بموافقة 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والأمر نفسه یمکننا ملاحظته بما سبقت الإشارة إلیه، وهی الممارسة المتّصلة الّتی جمعت بین ترجیحات متنوّعة ملفتة للنظر حقّاً، ونعنی بها الممارسة الّتی تحدّثت بالنسبة إلی موضوع منجزات المریض وصلتها بما هو محظور أو مباح من التصرّفات، حیث رجّح أحد طرفی المسألة بجملة مرجّحات، ومنها المرجّح الآتی الّذی یُطلق علیه المرجّح المضمونی متمثّلاً فی موافقة الکتاب، حیث یقول بعد أن یتحدّث عن المرجّحات الاُخری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وأمّا من حیث المضمون فلتأیّدها ـ أی الأخبار الّتی رجّحها المؤلّف ـ بالقاعدة القطعیّة المستفادة من الکتاب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کان السیّد الیزدی فی الممارستین السابقتین یجمع إلی الکتاب مرجّحات اُخری، فإنـّه فی الممارسة الآتیة یکتفی بمرجّح الکتاب، ولکن مع تحفّظٍ فی الدلالات المستخلصة من النصّ القرآنی الموافق لأحد طرفی الأخبار، یقول المؤلّف معقّباً علی روایة تسمح للزوجین بأن یرجع علی الآخر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مقابل ماذهب المؤلّف إلیه من عدم جواز ذلک تبعاً لنصوص تقرِّر ذلک،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روایة صحیحة مقابل الصحیحة المانعة،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ولکنـّه ـ أی أنّ أیّ خبر صحیح ـ لایقاوم الصحیحة السابقة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ذلک یحتمل دلالة خاصّة، ویضیف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 أنّ الصحیحة موافقة للکتاب بناءً علی أنّ المراد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آتَیْتُمُوهُنَّ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 من الصدقة والهبة</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ولعلّ الترجیح بمصطلح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یظلّ من أکثر الترجیحات خلافاً بین الفقهاء، حیث فهم بعض منهم أنّ المقصود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الروائیّة، وفهم البعض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فی الفتوی بنمطیها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الفتوی المستندة إلی نصّ، وغیر المستندة ممـّا </w:t>
      </w:r>
    </w:p>
    <w:p>
      <w:pPr>
        <w:pStyle w:val="BookText"/>
        <w:rPr/>
      </w:pPr>
      <w:r>
        <w:rPr>
          <w:rFonts w:ascii="IRNazanin" w:hAnsi="IRNazanin" w:eastAsia="IRNazanin"/>
          <w:color w:val="111111"/>
          <w:sz w:val="28"/>
          <w:sz w:val="28"/>
          <w:szCs w:val="28"/>
          <w:rtl w:val="true"/>
          <w:lang w:bidi="fa-IR"/>
        </w:rPr>
        <w:t>یُطلق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الشهرة العملیّة فی اصطلاح المعنیین بهذا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بید أنّ الشهرة فی الروایة تظلّ هی الأکثر احتمالاً من غیرها، أو 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الشهرتین الاُخریین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الفتوائیّة والعملیّة من الممکن أن تندرجا ضمن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المصطلح الّذی ورد فی الأخبار العلاجیّة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 حیث أنّ الأمر بالمشهور أو المجمع علیه بین الأصحاب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الراجح علی الخبر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الذهاب إلی أنّ الشهرة فی الروایة تتصدّر الاحتمال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زمن المعصومین علیهم‌السلام لم یکن زمن فقهاء مجتهدین کما هو فی عصر الغیبة، بل زمن رواة عن المعصومین علیهم‌السلام ، حیث إنّ الراوی یسمع من المعصوم علیه‌السلام کلاماً، فیسجلِّه أو ینقله إلی الآخرین، فیکون الکلام المنقول هو المادّة الّتی یتوکّأ علیها المعنیون بهذا الشأن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وبکلمة أکثر وضوحاً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الفتوی عصرئذٍ کانت تعتمد علی متن الروایة، ولیست اجتهاداً بالمعنی الاصطلاحی، صحیح، أنّ بعض المبادی‌ء أو القواعد الفقهیّة قد نثرها المعصوم علیه‌السلام أمام الراوی، کأن یأمر علیه‌السلام أحدهم بأنّ یجلس فی المسجد ویفتی الناس، أو یخاطب أحدهم بأن علینا الاُصول وعلیکم الفروع، أو یُقرِّر لأحدهم قاعدة نفی الحرج وأمثالها، وصحیح أنّ بعض الرواة کتب دراسةً عن الاُصول اللفظیّة کما ینقل المؤرّخون، إلاّ أنّ ذلک جمیعاً لا یشکِّل مبادی‌ء نظریةً کاملةً یعتمد علیها الأصحاب فی استخلاص الحکم الشرعی</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ضوء هذه الحقائق یجیء الحدیث عن الشهرة أو بحسب ماورد من التعبیر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منسحباً علی المعنی المذکور،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الفتوی علی متن الروایة الّتی یتناقلها الأصحاب عن المعصوم علیه‌السلام ، ولیس الفتوی الاجتهادیّة، وهذا أیضاً لایتنافی مع إمکانیّة أن یرتّب بعض الأصحاب أثراً علی ما فهموه من بعض المبادی‌ء النظریّة، بحیث یستخلصون بعض الأحکام فتنتشر </w:t>
      </w:r>
    </w:p>
    <w:p>
      <w:pPr>
        <w:pStyle w:val="BookText"/>
        <w:rPr/>
      </w:pPr>
      <w:r>
        <w:rPr>
          <w:rFonts w:ascii="IRNazanin" w:hAnsi="IRNazanin" w:eastAsia="IRNazanin"/>
          <w:color w:val="111111"/>
          <w:sz w:val="28"/>
          <w:sz w:val="28"/>
          <w:szCs w:val="28"/>
          <w:rtl w:val="true"/>
          <w:lang w:bidi="fa-IR"/>
        </w:rPr>
        <w:t xml:space="preserve">فتاواهم، وحینئذٍ یمکن الذهاب إلی أنّ الشهرة بجمیع أقسامها تظلّ مندرجة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المجمع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عدنا إلی ممارسات السیّد الیزدی فی هذا المیدان نجد 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یطغیان علیها عبر ترجیحه لهذا الخبر أو الطائفة من الأخبار قبالة الخبر أو الأخبار المتضاربة، وبالمقابل، یتضاءل لدیه التوکّؤ علی المرجِّح السندی، أی الأوثقیّة، کما یتضاءل لدیه الاشتهار فی الروایة من حیث کثرة رواتها مقابل الاشتهار فی الفتوی، لذلک یمکن الذهاب إلی أنّ السیّد الیزدی یعتمد فی الدرجة الاُولی شهرة الفتوی دون أن یجهل أنّ شهرة الروایة بقدر ما یرجّح الفتوی علی الثانیة کثرة الرواة عندما یتضاربان فی سیاقات خاصّة کما سنری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ویمکننا أن نستشهد ببعض النماذج الّتی یلحظ فیها ترجیح المؤلّف للخبرین المتضاربین بالشهرة بنمطیها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الفتوائی والروائی،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ذلک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ممارسته الآتیة المتّصلة بعدّة المتمتع بها فی وفاة الزوج، یعقِّب علی خبرین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هو الأوّل لرجحانه بالشهرة، وإن کانت أخباره أزید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الواضح أنّ هذه الفقرة من تعقیب السیّد الیزدی توضّح لنا موضوعین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یرجّح بالشهرة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لیس فی نطاق المرجّحات الاُخری فحسب، بل بالنسبة إلی مصطلح الشهرة بذاته، حیث استهدف بها ـ کما هو واضح ـ الشهرة فی الفتوی، بدلیل أ نّه رجّحها علی الشهرة فی الروایة، حیث إنّ عبارته القائلة بأنّ الخبر الآخر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کان رواته أزید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فإنـّه لایقاوم الشهرة فی الفتوی، وهذا یکشف ـ کما قلنا ـ عن قناعة السیّد الیزدی بأنّ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اشتهر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الخبر العلاجی یشمل الفتوی والروایة، ولکن إذا تعارضت الشهرتان فالأرجحیّة لشهرة الفتوی بحسب ما لاحظناه فی النصِّ المتقدّم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هنا، ینبغی أن نضع فی الاعتبار أنّ الشهرة الّتی یتبنّاها السیّد الیزدی لیس مطلق الشهرة لدی الأجیال الفقهیّة المختلفة، بل یحصرها فی الجیل القدیم فحسب، لذلک نجده فی ممارساته یشیر إلی الظاهرة المذکورة،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ضعیفة السند لا جابر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والشهرة القدمائیّة الصالحة لجبر السند مفقودة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فهذه الأخبار علی تعارض بعضها بنصٍّ واعتضادها بالشهرة القدیمة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قالها تعقیباً علی الموضوع المتّصل بمنجزات المریض ، رادّاً علی القول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ممارسة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الشهرة الجابرة وهی ماکانت عند القدماء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متحقّقة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قالها تعقیباً علی روایة تحف العقول، ولکنـّه مع ذلک رتّب أثراً علیها،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لکنّ مضامینها مطابقة للقواعد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نستهدف الإشارة إلیه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السیّد الیزدی یرجّح الخبر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شهرته الفتوائیّة القدیمة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فحسب، ویرفض الشهرة المتأخّرة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أ نّه قد یرجّح بالشهرة الروائیّة أیضاً، ولکنـّه یجعلها فی درجة ثانیة، وإلاّ إذا تعارض مع الفتوائیّة فیقدّمها علی الروائیّة کما لاحظنا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خارجاً عن ذلک فإنّ الشهرة الروائیّة یرجّحها فی سیاقات متنوّعةٍ معتضدةٍ غالباً بمرجّحات اُخری، مثل ترجیحه للأخبار المجوِّزة للرجوع بالهبة مقابل عدم ذلک، حیث عقَّب علی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 نّه لاتقاوم ما تقدّم من الأخبار لأصحیّتها وأکثریّتها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فالإشارة إلی الأکثر هنا هو تعبیر واضح عن الشهرة الروائیّة</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والآن بالنسبة إلی الترجیح بالسند، ینبغی الإشارة إلی أ نّه یظلّ آخر المرجّحات مرتبةً عند السیّد الیزدی، لجملة اُمورٍ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إیمانه أساساً بالأخبار الضعیفة حالة انجبارها بالعمل، والإرسالیّات الّتی وثّقها الرجالیون، وتصحیح ما </w:t>
      </w:r>
    </w:p>
    <w:p>
      <w:pPr>
        <w:pStyle w:val="BookText"/>
        <w:rPr/>
      </w:pPr>
      <w:r>
        <w:rPr>
          <w:rFonts w:ascii="IRNazanin" w:hAnsi="IRNazanin" w:eastAsia="IRNazanin"/>
          <w:color w:val="111111"/>
          <w:sz w:val="28"/>
          <w:sz w:val="28"/>
          <w:szCs w:val="28"/>
          <w:rtl w:val="true"/>
          <w:lang w:bidi="fa-IR"/>
        </w:rPr>
        <w:t>صحّ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 هذه المبادی‌ء الّتی یقتنع بها ـ کما سنشیر إلی ذلک فی فقرة لاحقة ـ تفسّر لنا دلالة تعامله مع السند الضعیف فی حالة کونه قد اقترن بالانجبار وبغیره عن المبادئ الّتی أشرنا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ملاحظة ممارساته التطبیقیّة تدلّنا بوضوح علی هذا المعنی علی نحو ما سنلاحظه عند حدیثنا عن تعامله مع السند، 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تعامله مع السند قبالة المرجّحات الاُخری، حیث یجیء التوکّؤ علیه ثانویّاً، وهو ما لاحظناه مثلاً فی الممارسة السابقة الّتی رجّح بها أخبار الرجوع بالهبة نظراً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ملاحظة ذلک بوضوح فی ممارسةٍ اُخری طالما استشهدنا بموضوعاتها المتنوّعة،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الممارسة المتّصلة بمنجزات المریض وصلة ذلک بالأصل أو الثلث حیث رجّح بجملة 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جهتیّةٍ ومضمونیّة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آخره، بالإضافة إلی المرجّحات الصدوریّة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السندیّة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حیث المرجّحات الداخلیة، فلأقوائیّتها سنداً من حیث اشتمالها علی الحَسَن، کالصحیح والموثّق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 هذا فحسب، بل إنـّه حشّد سائر مایعتقده من الاعتبارات السندیّة،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والمشتمل علی من أجمع علی صحّة روایته، ومن حیث کون الضعیف منها مجبوراً بالشهرة، بخلاف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ذلک عزّزه بالمرجّح السندی کما لاحظناه</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هنا قبل أن نختم حدیثنا عن تعامل المؤلّف مع المرجّحات بشکل عام نعتزم الإشارة إلی مجالین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نشیر إلی أنّ السیّد الیزدی لم یکتف بالمرجّحات المنصوصة فی الأخبار العلاجیّة، بل یتجاوزها إلی ما یراه مرجّحاً، ومن ذلک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لاحظناه فی الممارسة الّتی ذهب فیها إلی جواز المرجوع فی الهبة، حیث رجّح الأخبار المجوّزة علی المانعة لجملة مرجّحات 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لأصحّیّتها، وأکثریّتها، وأظهریّتها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فالإشارة إلی الأظهریّة تظلّ متّصلة بالتذوق الفقهی من حیث استشفاف هذه الدلالة أو تلک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ونختم حدیثنا عن تعامل المؤلّف مع المرجّحات، بالممارسات المطوّلة الّتی استشهدنا بها قَبلُ أکثر من مرّة، وهی الممارسة المتّصلة بمنجزات المریض، حیث جاء رفضه للأخبار المصرّحة بالثلث بهذه المرجّحات المتنوّعة الّتی حشّد فیها ما یمکن من الأدلّة الترجیحیّة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وهی أرجح بوجوه بجمیع التراجیح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من حیث الدلالة فلأظهریّتها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حیث المرجّحات الداخلیّة فلأقوائیّتها من هذه سنداً، من حیث اشتمالها علی الحَسَن، کالصحیح والموثّق والمشتمل علی من أجمع علی صحّة رواته، ومن حیث الضعیف لها مجبور بالشهرة، بخلاف 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حیث المضمون فلتأیّدها بالقاعدة القطعیّة المستفادة من الکتاب والسنّة، بل العقل والإجماع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من حیث المرجّحات الخارجیّة فلموافقتها الشهرة القدیمة، والإجماعات المنقولة، ومخالفتها لما علیه جمیع العامّة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الواضح أنّ حشد هذه المرجّحات دون أن یترک أحدها بهذا النحو یعدّ ممارسةً موسومةً بالبراعة والدِقّة والشمولیّة للظاهرة بکلّ متطلّباتها</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التعامل مع السند یتّخذ عند السیّد الیزدی منهجاً خاصّاً من حیث اعتماده علی الروایة إلی درجةٍ یطمئنّ خلالها إلی أنّ غالبیّة المأثور من الروایات تتّسم بالاعتبار، بغضّ النظر عن درجة ذلک، حتّی أ نّه انطلاقاً ممـّا ألمحنا إلیه أکثر من مرّة بإنّ السیّد الیزدی یتعامل مع النصّ من خلال المقولة أو المبدأ القائل بأنّ الجمع الدلالی هو أولی من الطرح، غیر أنّ هذا المبدأ ـ کما هو ملاحظ ـ قد یغالی فیه البعض إلی درجة أن یؤوّل الخبر مثلاً علی خلاف الظاهر منه، حتّی أنّ بعض الأخبار نصٌّ واضح فی دلالته، ولیس ظاهراً فحسب، ومع ذلک یُرتکب بشأنه من التأویلات ما لیس بمقبول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بالنسبة إلی فقهاء متنوّعین، ولکن بالنسبة إلی السیّد الیزدی فإنّ الاهتمام الزائد بمبدأ عدم طرح الروایة یقتاده إلی أن یتجاوز مجرّد الدلالة إلی السند، بحیث یصرّح مثلاً فی إحدی ممارساته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الجمع </w:t>
      </w:r>
    </w:p>
    <w:p>
      <w:pPr>
        <w:pStyle w:val="BookText"/>
        <w:rPr/>
      </w:pPr>
      <w:r>
        <w:rPr>
          <w:rFonts w:ascii="IRNazanin" w:hAnsi="IRNazanin" w:eastAsia="IRNazanin"/>
          <w:color w:val="111111"/>
          <w:sz w:val="28"/>
          <w:sz w:val="28"/>
          <w:szCs w:val="28"/>
          <w:rtl w:val="true"/>
          <w:lang w:bidi="fa-IR"/>
        </w:rPr>
        <w:t>الدلالی مقدّم علی الترجیح السندی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بمعنی أنّ الخبرین إذا تضاربا وکان أحدهما ضعیفاً، ولکن یمکن حمله من خلال حمله مثلاً علی الندب أو الکراهة مقدّم علی ترجیح الأوّل المعتمد شهرةً قبالة الثانی المخدوش سنداً، قال ذلک تعقیباً علی الأقوال المختلفة فی باب الربا لبیع الرطب من الأشیاء بالیابس منها، حیث حمل المانعة علی الکراهة بقرائن متنوّعة، وعقّب بکلامه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بید أنّ هذا لایعنی أنّ مطلق الضعیف مقبول عند السیّد الیزدی بقدر ما تفرضه سیاقات متنوّعة، منها السیاق المذکور، ومنها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وهذا هو الأهمّ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السیاقات الّتی یقترن فیها الخبر بأحد مبادی‌ء التوثیق، مثل العمل به عند الأصحاب، ومثل تصحیح ما یصحّ منه، ومثل مراسیل البعض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متوافقاً مع جوهر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ولسوف نستشهد بأمثلة هذه النماذج بعد سطور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ینبغی إن لا نلقی بلومنا کثیراً علی أمثلة هؤلاء المتساهلین فی السند قبالة المتشدّدین منهم قدیماً وحدیثاً، بخاصّة إذا أخذنا بنظر الاعتبار، أنّ المتشدّدین أنفسهم فی نهایة المطاف لایلوون عن الخبر الضعیف إلاّ نادراً، وإلاّ فإنّهم یدخلون إلی مداخل متنوّعةً للعمل به بشکلٍ أو بآخر، ولعلّ فی نهایة المطاف یجعلونه مؤیّداً أو معزِّزاً لروایة معتبرة أو لأصل یعتمدونه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آخره، أو حینما یسقطونه أساساً ویتّجهون 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 الفوقی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أنّ هذا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نفسه یتساوق مع مضمون الخبر الضعیف، وتکون النتیجة هی العمل بالخبر الضعیف حتّی بالنسبة إلی المتشدّد من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فی حالة من عرف باحتیاطاته فی الفتوی، وتشدّده فی السند من خلال رفضه للضعیف، یعمل بدوره فی نهایة المطاف بهذا العمل، متوکّئاً علی الأحوط فی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وهکذا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أنّ الوجدان یحکم بأنّ الثقة وغیر الثقة یشترکان فی إمکانیّة الصدور عن الخبر المعتبر، لأنّ الکاذب مثلاً لایعنی أ نّه کذّاب فی جمیع کلامه </w:t>
      </w:r>
    </w:p>
    <w:p>
      <w:pPr>
        <w:pStyle w:val="BookText"/>
        <w:rPr/>
      </w:pPr>
      <w:r>
        <w:rPr>
          <w:rFonts w:ascii="IRNazanin" w:hAnsi="IRNazanin" w:eastAsia="IRNazanin"/>
          <w:color w:val="111111"/>
          <w:sz w:val="28"/>
          <w:sz w:val="28"/>
          <w:szCs w:val="28"/>
          <w:rtl w:val="true"/>
          <w:lang w:bidi="fa-IR"/>
        </w:rPr>
        <w:t>بقدر ما یتسلّل الکذب إلی قسمٍ منه عدا ما أشار إلیه المعصومون علیهم‌السلام إلی أسمائهم، وأمرونا بعدم الأخذ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إلی التجربة الفقهیّة ذاتها تدلّنا علی الحقیقة المتقدّمة، حیث إنّ عشرات الأخبار الضعیفة متوافقة تماماً مع الأخبار المعتبرة فی مضامینها، ولا نُعدم فقیهاً یرید الاستشهاد بالنصوص علی دعم وجهة نظره الفقهیّة إلاّ یسوق جمیع أو غالبیة الأخبار المتّصلة بموضوع بحثه وفیها المعتبر وغیر المعتبر، وإلاّ لَما حقّ له أن یستشهد بغیر المعتبر، وما هذا إلاّ ویعنی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إمکانیّة أن یکون الضعیف ـ بحسب المعاییر الرجالیة ـ معتبراً بما قدّمناه، أمراً لا ضرورة للتشکیک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أیـّة حال؛ بالنسبة إلی السیّد الیزدی فإنّ عمله بالضعیف من الخبر یظلّ ـ کما أشرنا ـ متوکّأً علی العمل به لدی الفقهاء، وخاصّة إذا کان مشهوراً، أی أ نّه یعمل بالضعیف سواء کان العامل به قلیلین أو کثیرین بحیث یصبح العمل به أو الفتوی المتوکّئة علیه مشهورة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نماذج من ممارسات السیّد الیزدی فی هذا الحقل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هو القول الأوّل؛ للأخبار المتجسّدة بعمل المشهور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أ نّه منجبر بالعمل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المنجبر بالشهرة، وروایة محمّد بن محبوب الّذی هو من أصحاب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المریض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الصحیح إلی صفوان الّذی هو من أصحاب الإجماع عند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المریض</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حسن السلیمانی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الطویل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وفی مرسل محمّد بن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عمل بهما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منجّزات المریض</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هذه النماذج الخمسة عدا السادس تفصح بوضوح عن نمط تعامل السیّد الیزدی مع الأخبار غیر المعتبرة، فحیناً یتوکّأ علی مصطلح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المنجبر بعمل المشهور، وحیناً منجبر بالعمل، وحیناً المنجبر بالشهرة، وحیناً علی أحد أصحاب الإجماع فی مرسل صفوان، وحیناً ـ وهذا ما یلفت النظر ـ یضیف إلی الروایة المرسلة الروایة الحسنة، کما لوحظ فی الممارسة السادسة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طبیعیّاً، أنّ الحَسَن والموثّق لا یمکن بحالٍ أن یکتسبا قوّةً بعمل المشهور بهما؛ لأنّهما مستقلاّن فی الاعتبار کما هو واضح، بل کما ملاحظ فی کثیر من ممارسات السیّد الیزدی ذاته عندما یستشهد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بصفته معتبراً، ولعلّ ذلک ـ أی عدّه الحَسَن منجبراً بالعمل، مجرّد تأکید لإثبات وجهة نظره الفقهیّة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وأیّاً کان فإنّ الضعیف براویه، والضعیف بإرساله، یجد له جابراً من خلال عمل المشهور، وأصحاب الإجماع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هل یعنی هنا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الیزدی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یعمل بالروایة غیر المعتبرة حتّی لو لم تنجبر بالعمل؟ طبعاً لا، إلاّ فی حالات نادرة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 لحظناه بالنسبة إلی إیثاره العمل بالخبرین المتضاربین إذا کان الإمکان إلی جمعهما متاحاً، حینئذٍ إذا کان أحدهما ضعیفاً، فالعمل به متعیّن قبالة عدم ترجیح الآخر الأصحّ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خارجاً عن ذلک یمکننا أن نستشهد بنماذج من ممارساته الّتی یرفض بها الروایة غیر المعتبرة، إمّا من خلال التصریح بالرفض، أو فی حالة السکوت عن التعلیق علیها، مع ملاحظة أنّ الرفض یتّخذ بطبیعة الحال مسارات متنوّعة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جبرانه بالعمل، هذا من نحو تعقیبه علی خبرٍ یقرّر بأنّ المرأة تبین بالوضع الأوّل عن زوجها ولیس بالثانی،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ضعیف، ولا جابر له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اعتباره حتّی لو کان معتبراً، إلاّ أ نّه معرض عنه، وهو المبدأ الحدیثی الّذی یقرّر بأنّ الخبر إذا کان ضعیفاً وعمل به یجبر، وإن کان قویّاً ولم </w:t>
      </w:r>
    </w:p>
    <w:p>
      <w:pPr>
        <w:pStyle w:val="BookText"/>
        <w:rPr/>
      </w:pPr>
      <w:r>
        <w:rPr>
          <w:rFonts w:ascii="IRNazanin" w:hAnsi="IRNazanin" w:eastAsia="IRNazanin"/>
          <w:color w:val="111111"/>
          <w:sz w:val="28"/>
          <w:sz w:val="28"/>
          <w:szCs w:val="28"/>
          <w:rtl w:val="true"/>
          <w:lang w:bidi="fa-IR"/>
        </w:rPr>
        <w:t xml:space="preserve">یُعمل به یُهجر، وهذا ما یمکن ملاحظته فی الممارسة الآتیة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فی صحیح سلیمان بن خالد من أنـّها شهران فشادّ لا عامل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عقّب به علی عدّة الأمة المحدّدة بخمسة وأربعین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المظانّ الروائیّة المشکوک نسبتها إلی أصحابها، مثل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یتفاوت فقهاؤنا فی تقبّله أو عدم ذلک، حیث یبدو أنّ السیّد الیزدی هو من النمط الآخر، وهذا ما نلحظه فی جملة ممارسات،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تعقیبه علی الوصیّة بأکثر من الثلث، حیث قال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وجه للتمسّک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لعدم ثبوت خبریّة الرضوی، فضلاً عن حجّیّته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مکان آخر من الموضوع ذاته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مضافاً إلی أنّ الرضوی غیر ثابت الحجّة، بل لم یثبت کونه خبراً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واضح من هذین التعقیبین أنّ السیّد الیزدی مُعرِض تماماً عن المصدر المذکور، حیث ذهب إلی عدم کونه خبراً، فکیف بحجّیّة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ویقتضینا الإنصاف أن نحتمل بأنّ الفقه الرضوی هو من إملاء الإمام علیه‌السلام ، وتکلّف بصیاغة مضموناته أحد المعنیّین بهذا الشأن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وبغضّ النظر عن ذلک، نتابع ممارسات السیّد الیزدی عبر رفضه العمل بالخبر الضعیف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تشخیصه لنمط الضعیف من حیث الرواة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کالعامّی، أو حتّی الخاصّ مثل واقفیّة الراوی أو فطحیّته 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هذا السیاق یقف مثلاً عند أحد موضوعات الربا، وروایة غیاث بن إبراهیم عن الصادق علیه‌السلام ، ویقف عند خبرٍ نبویٍّ من طرق العامّة فیعقّب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النبوی عامّی ضعیف، ولم یثبت کون غیاث موثّقاً، وهو بتری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ینبغی الانتباه إلی تعقیب السیّد الیزدی بالنسبة إلی خبر غیاث من حیث عدم ثبوت کونه موثّقاً، یتنافی مع قوله من الراوی المذکور عبر استشهاده بالنصوص،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واستدلّ </w:t>
      </w:r>
    </w:p>
    <w:p>
      <w:pPr>
        <w:pStyle w:val="BookText"/>
        <w:rPr/>
      </w:pPr>
      <w:r>
        <w:rPr>
          <w:rFonts w:ascii="IRNazanin" w:hAnsi="IRNazanin" w:eastAsia="IRNazanin"/>
          <w:color w:val="111111"/>
          <w:sz w:val="28"/>
          <w:sz w:val="28"/>
          <w:szCs w:val="28"/>
          <w:rtl w:val="true"/>
          <w:lang w:bidi="fa-IR"/>
        </w:rPr>
        <w:t>علی أصل 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بالنبوی العامّی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وبموثّق غیاث بن إبراهیم عن الصادق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والمفروض هنا أن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وبخبر إبراهیم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یتناسب تشکیکه بوثاقة الراوی مع المصطلح الّذی یستخدمه، وإلاّ کیف یصفه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ویضعفه ببتریّة صاحبه؟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فی حالة کونه یعتقد بأنّ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المعتبر، بخلاف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الموثّق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حیث یعتبرهما 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الضعیف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وهو ما لاحظناه فی ممارسةٍ سابقة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ما تقدّم یجسِّد ممارسات للسیّد الیزدی فی سیاقات تتّصل بالخبر من حیث تضاربه الظاهری والباطنی، ومن حیث سنده، والآن نتّجه إلی تعامله مع الدلالة، فماذا نجد؟</w:t>
      </w:r>
    </w:p>
    <w:p>
      <w:pPr>
        <w:pStyle w:val="BookText"/>
        <w:rPr/>
      </w:pPr>
      <w:r>
        <w:rPr>
          <w:rFonts w:ascii="IRNazanin" w:hAnsi="IRNazanin" w:eastAsia="IRNazanin"/>
          <w:color w:val="111111"/>
          <w:sz w:val="28"/>
          <w:sz w:val="28"/>
          <w:szCs w:val="28"/>
          <w:rtl w:val="true"/>
          <w:lang w:bidi="fa-IR"/>
        </w:rPr>
        <w:t>یتعامل المؤلّف مع دلالة الخبر وفقاً للسیاق الّذی ترد الممارسة خلالها، فقد یتطلّب الأمر مجرّد الاستشهاد بالخبر دون أن یقترن الکلام بتفسیره أو تأویله أو استخلاص کوامنه، وقد یتطلّب ذلک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حاجة بنا إلی الاستشهاد بالممارسات الواضحة فی هذا المیدان بقدر ما یجدر بنا أن نستشهد بإحدی ممارسات السیّد الیزدی المطوّلة، حیث ترشّح النصوص الخبریّة بإمکاناتٍ متنوّعةٍ من التأویل بحیث یخلع علیها الفقیه بحسب خلفیّته الثقافیّة التفسیر الّذی یتناسب وخبرته التذوّقیة</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یحسن بنا أن نستشهد بإحدی ممارسات السیّد الیزدی المتّصلة بالوصیّة التبرّعیّة، حیث یستهلّ الممارسة بهذا النحو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الوصیّة التبرّعیّة فلا إشکال فی أنـّها من الثلث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أن یذکر عدم الخلاف إلاّ ممـّا نسب إلی أحدهم ویناقش ذلک ـ وسنستشهد بهذا بعد قلیل ـ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ویدلّنا علی المطلب ـ مضافاً إلی ما ذکر من النصوص المستفیضة أو المتواترة الّتی یمنعنا عن ذکرها وضوح </w:t>
      </w:r>
    </w:p>
    <w:p>
      <w:pPr>
        <w:pStyle w:val="BookText"/>
        <w:rPr/>
      </w:pPr>
      <w:r>
        <w:rPr>
          <w:rFonts w:ascii="IRNazanin" w:hAnsi="IRNazanin" w:eastAsia="IRNazanin"/>
          <w:color w:val="111111"/>
          <w:sz w:val="28"/>
          <w:sz w:val="28"/>
          <w:szCs w:val="28"/>
          <w:rtl w:val="true"/>
          <w:lang w:bidi="fa-IR"/>
        </w:rPr>
        <w:t>المسألة إلی الغایة، نعم بإزائها نصوص اُخر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فهنا لم یستشهد السیّد الیزدی حتّی بخبرٍ واحدٍ کما لاحظنا، وإن کنّا فی سیاقاتٍ اُخری نجده یستند ربـّما بأکثر من عشرة نصوص لا ضرورة لهذا العدد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نستهدف الإشارة الآن إلی تعامل السیّد الیزدی مع النصوص من خلال عملیّة التذوّق لدلالتها، بخاصّة حینما یرید الردّ علی النصوص المخالفة لوجهة نظره الفقهیّة، ومنها ما نحن الآن فیه، حیث یستشهد بنصوصٍ متنوعةٍ،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رقم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 أحقّ بماله مادام فیه الروح، إن أوصی به کلّه فهو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ویقول عن الخبر رقم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أوصی رجل بترکة متاع وغیر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لأبی محمّد علیه‌السلام ، فکتبتُ إلیه علیه‌السلام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أوصی إلیّ بجمیع ما خلّف لک، وخلّف ابنتَی اُخت له، فرأیک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 ما خلّف وابعث به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واستشهد بخبرٍ ثالث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أوصی بماله کلّه فهو أعلم بما فعله، ویلزم الوصیّ إنفاذ وصیّته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النصوص الثلاثة هی المادّة الّتی یتعامل السیّد الیزدی من خلالها بما تقدّم توضیحه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کیفیّة استخلاصه لدلالاتها، أمّا أحدها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خبر الرضوی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فیدعه لعدم حجّیّته، وأمّا الخبر الأوّل فیقول فیه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قضیّة فی واقعةٍ غیر معلوم الوجه، فیحتمل أن یکون من جهة إجازة الوارث، ویحتمل أن یکون من باب کون الوارث مخالفاً یمکن منعه من الإرث، ویحتمل أنّ الإمام علیه‌السلام طلب المال لأخذ الثلث وردّ الباقی، ویحتمل أن یکون ذلک أخذه من باب الولایة بصفة الوارث، ویحتمل اختصاصه علیه‌السلام بهذا الحکم إلی غیر ذلک</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لنلاحظ بدقّةٍ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الخبر المتقدّم الّذی ترشّح بدلالةٍ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الوصیّة بجمیع المال لا الثلث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لکن السیّد الیزدی وهو یحرص کلّ الحرص علی عدم طرح الخبر کما قلنا فی بدایة حدیثنا عن ممارساته بأنـّه من الفقهاء المعنیین بالعمل </w:t>
      </w:r>
    </w:p>
    <w:p>
      <w:pPr>
        <w:pStyle w:val="BookText"/>
        <w:rPr/>
      </w:pPr>
      <w:r>
        <w:rPr>
          <w:rFonts w:ascii="IRNazanin" w:hAnsi="IRNazanin" w:eastAsia="IRNazanin"/>
          <w:color w:val="111111"/>
          <w:sz w:val="28"/>
          <w:sz w:val="28"/>
          <w:szCs w:val="28"/>
          <w:rtl w:val="true"/>
          <w:lang w:bidi="fa-IR"/>
        </w:rPr>
        <w:t>بالخبر مهما أمکن ولا یطرح إلاّ بعد أن یستنفد الفقیه کلّ إمکانات تأویله أو ائتلافه مع الأخبار الاُخری، حتّی أنّنا لاحظناه ـ کما أشرنا ـ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الجمع بین الخبرین مقدّم علی الترجیح السندی،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حرصه علی أن یبرهن بأنّ الخبر المذکور لایتعارض مع أخبار الثلث، نجده یتقدّم باحتمالاتٍ متنوّعةٍ،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إجازة الوارث،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کونه مخالفاً لا إرث له،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 الإمام علیه‌السلام ثلث المال وردّ الباقی،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أخذه علیه‌السلام من باب الولایة علی الصغیر،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 الإمام علیه‌السلام دون سواه بهذا الحکم، إلی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أمثلة هذه الاحتمالات تصبح ملفتة للأنظار، وهی تحمل قابلیّة الصحّة، کما تحمل قابلیّة استبعاد ذلک، لکنّ الاستخلاص لهذه المحامل أیّاً کان نمطها یظلّ موضع تسجیل للسیّد الیزدی</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یبدو أنّ السیّد الیزدی عبر حرصه علی التعامل مع النصوص من خلال عدم طرحها ما وجد إلی ذلک سبیلاً، قد سحبه أیضاً علی تعامله علی الأقوال الفقهیّة، مع ملاحظة أنّ النصّ الفقهی للفقیه، یختلف عن النصّ للمعصوم علیه‌السلام ، لکن مع ذلک فإنّ السیّد الیزدی یحاول فی سیاقاتٍ خاصّةٍ بطبیعة الحال ولیس مطلقاً أن یتعامل مع الأقوال بنحوٍ عادی، کأن یرفضها أو یقبلها مستدلاًّ علیها بما هو واضح من الأدلّة فی حالة ما إذا کانت الحاجة تستلزم 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نجد ثمّة ضرورة للاستشهاد بنمط تعامل السیّد الیزدی مع الأقوال الفقهیّة، بقدر ما نعتزم تقدیم نموذجٍ من الممارسات الّتی تتّسم بالحرص علی حمل الأقوال حملاً یتوافق مع وجهة نظره الّتی انتهی إلیها فقهیّاً، ویحسن بنا أن نستشهد بنفس الموضوع الخاصّ بالوصیّة التبرّعیّة الّتی استشهدنا بنصوصها المخالفة، ولاحظنا الاحتمالات المتنوّعة الّتی صدر عنها المؤلّف فی توجیه الخبر واستخلاص دلالته</w:t>
      </w:r>
      <w:r>
        <w:rPr>
          <w:rFonts w:eastAsia="IRNazanin" w:cs="IRNazanin"/>
          <w:color w:val="111111"/>
          <w:sz w:val="28"/>
          <w:szCs w:val="28"/>
          <w:rtl w:val="true"/>
          <w:lang w:bidi="fa-IR"/>
        </w:rPr>
        <w:t xml:space="preserve">...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وبالنسبة إلی توجیه القول نجده یبذل طاقةً لیست عادیّةً فی هذا المجال،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 نّه ـ کما لاحظنا فی استهلاله للوصیّة التبرّعیّة ـ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الوصیّة التبرّعیّة فلا إشکال فی أنـّها من الثلث، بل لاخلاف فیه، إلاّ ما یُحکی عن علی بن بابویه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مخالفته غیر محقّقة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لکی یدلّل علی کون مخالفته غیر محقّقه، حیث إنّ السیّد الیزدی استشهد بالإجماع المنقول وبالمحصّل علی أنّ المسألة غیر خلافیّة، وحینئذٍ انطلاقاً من حرصه علی عدم الخلاف فعلاً نجده یقطع مراحل من التوجیه لجعل العبارة الّتی نقلت عنه غیر صائبة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إذن لنقرأ عبارته المحکیّة عنه غیر صریحة،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أوصی بالثلث فهو الغایة من الوصیّة، وإن أوصی بماله کلّه فهو أعلم بما 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یتقدّم السیّد الیزدی بعملیّة التوجیه فیقول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یمکن أن یکون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أوصی بماله کلّه فهو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نّه یردّ وصیّته إلیه ولا یقبل منه، سیّما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الغایة فی الوصیّة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مشیراً به إلی الثلث، وحینئذٍ یکون قوله بإلزام الوصیّ تنفیذ الوصیّة مستأنفاً، ویمکن حمله علی الوصیّة بالواجب المالی، حیث إنـّه یخرج من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والأولی فی توجیه کلامه أن یُقال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مراده صورة الجهل بکون الوصیّة تبرّعیّة، أو لکون ذمّته مشغولة، وحینئذٍ یحمل علی الصحیح وینفّذ فی تمام المال، لإطلاقات أدلّة وجوب العمل بالوصیّة، وأ 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بَعْدَمَا سَمِعَهُ فَإِنَّمَا إِثْمُهُ عَلَی الَّذِینَ یُبَدِّلُونَهُ إِنَّ اللّهَ سَمِیعٌ عَلِیمٌ</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فلا یکون مراده أنّ الوصیّة المعلوم کونها تبرّعیّة أیضاً تنفّذ فی تمام المال، ویؤید هذا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أعلم بما 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وممـّا یؤید عدم إرادته من العبارة المذکورة ما نسب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نقل ولده عن ذلک، وتصریحه بجواز الوصیّة بالزائد عن الثلث من غیر إشارة إلی خلاف والده، بل عنه فی 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نّه روی عن الصادق علیه‌السلام أ نّه سئل عن </w:t>
      </w:r>
    </w:p>
    <w:p>
      <w:pPr>
        <w:pStyle w:val="BookText"/>
        <w:rPr/>
      </w:pPr>
      <w:r>
        <w:rPr>
          <w:rFonts w:ascii="Amiri" w:hAnsi="Amiri" w:eastAsia="Amiri" w:cs="Amiri"/>
          <w:color w:val="111111"/>
          <w:sz w:val="28"/>
          <w:sz w:val="28"/>
          <w:szCs w:val="28"/>
          <w:rtl w:val="true"/>
          <w:lang w:bidi="ar-SA"/>
        </w:rPr>
        <w:t>رجل أوصی بماله فی سبیل اللّه عزّ وجلّ،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إلی من أوصی له به وإن کان یهودیّاً أو نصرانیّاً فإنّ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استشهدنا بهذا النصّ الطویل للتدلیل علی حرص السیّد الیزدی علی جعل کلامه من باب أنّ المسألة إجماعیّة لا خلاف فیها، یستتبع أمثلة ما لاحظناه من المحامل والتوجیهات حتّی وصل الأمر فی ذهابه إلی أنّ ولده ابن بابویه ما دام لم یذکر خلاف والده، فهو دلیل علی عدم صحّة المقولة المذکورة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 نّه لم ینقل خلاف الولد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 فضلاً عمـّا لاحظناه من التوجیهات المتنوّعة لصیاغة الکلام المنقول عن ابن بابویه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تصوّرنا أنّ أمثلة هذا الحرص علی توجیه القول له أهمیّة فی سیاقاتٍ خاصّة، وحیناً لاضرورة له بخاصّة أنّ السیّد الیزدی ذکر فی صدر ممارسته بأنّ الإجماع لاخدشة فیه مع معرفة المخالف وحصره فی الشخصیّة المذکورة وحدها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بالنسبة إلی تعامل المؤلّف مع ظاهرة الاحتیاط تظلّ الظاهرة ظاهرة فی ممارساته بحیث تحفل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وأحیاناً یتجاوز الأحوط إلی الأحوط منه ثانیة، ممـّا یفصح بوضوح عن مدی تحفّظه حیال الحکم إذا کان مصحوباً بعدم الیقین أو الظنّ</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ویمکننا ملاحظة تعدّد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لدیه فی ممارسات متنوعة،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ممارسته لشرط القبول فی الوقف، یشیر إلی أقوال ثلاثة،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الشرط، 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عدمه، والثالث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بین الأوقاف الخاصّة والعامّة، معقّباً علی ذلک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الأحوط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وأحوط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القبول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ملاحظةٍ مهمّةٍ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نّه فی صدر الممارسة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عدم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ولکنـّه بالرغم من ذلک یحتاط تفصیلاً أو الأحوط مطلقاً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ومنها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نجده فی باب الربا یصدّر فتواه بعبارة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الأقوی عدم إلحاق الشرط بالجزء من إیجاب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یتّجه إلی الأحوط 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الأحوط المنع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وأحوط من ذلک إلحاقه به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باب الربا أیضاً بالنسبة إلی الجاهل والعالم بحرمة الربا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الأقوی جواز العمل به، وإن کان الأحوط الردّ مع کونه موجوداً إذا عرف مالکه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وأحوط من ذلک ما ذکره المتأخّرون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 نّـنا إذ نستشهد بهذه الأمثلة مع أنّ أحدها کافٍ لتوضیح الظاهرة، إلاّ أ نّنا استهدفنا لفت النظر إلی حجم احتیاطاته، حیث یعدّدها ولا یکتفی باحتیاط واحد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خارجاً عن ذلک، ینبغی لفت النظر أیضاً إلی أ نّه فی حالات أو سیاقات خاصّة قد یمارس سلوکاً مضادّاً للاحتیاط عندما یناقش أقوال الآخرین، وعندما یجد بعضها یتوکّأ علی الاحتیاط فی غیر محلّه، وهذا ما یمکننا أن نلاحظه فی ردّه علی صاحب الجواهر عبر ذهابه إلی أنّ حِداد المرأة شرط فی صحّة العدّة، وأنّ القاعدة الذاهبة إلی وجوب الشیء فی الشیء تتکیّف کذلک، حیث أجاب السیّد الیزدی علی ذلک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وفیه أنّ الاحتیاط غیر واجب، والتعلیل لایدلّ علی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بقدر ما یتّجه إلی الاحتیاط المتعدّد من الممکن أن لا یقتنع به إذا کان فی غیر ما هو مسوّغ ومقبول</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خارجاً عن هذین النمطین من الاحتیاط من جانب، ورفضه من الجانب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مستویً ثالثاً من التعامل مع الاحتیاط،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اللجوء إلیه حتّی بعد قناعته بما هو أقوی، کما لاحظنا ذلک فی أحد النماذج، وکما نلحظه فی النموذج الآتی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ذکر فی باب القضاء فی إمکانیّة وصیّ الیتیم أن یصبح قاضیاً بمصالحه، ذکر تولّیه أحدها لا یجوّز ذلک، وعقّب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ذکره هو الأحوط، ولکنـّه الأقوی الأوّل من نفوذ حکمه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هنالک نمط رابع من تعامله مع الأحوط قبالة قناعته بمبادئ حدیثیّة تتّصل بالمشهور، الّذی لاحظنا مدی رکونه إلیه، وأمثلة ذلک من أدلّة ثانویة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کالاستصحاب وسواه، حیث نجده ینتخب ما هو أحوط بالرغم من قناعته بأقوائیّة أو أظهریّة مبدئه الاستدلالی، وهذا نحو ما ذکره مثلاً فی مسألة عدّة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المشهور أقوی وإن کان الأحوط ما ذکره الجماعة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فالملاحظ هنا أنّ إیمان السیّد الیزدی بالشهرة أمراً بالغ الوضوح، ولکنّه مع ذلک یخالف المشهور، أو قد یخالفه فی سیاقاتٍ اُخری لاحظناها فی فقرات متقدّمة من البحث، ومن 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یتّجه إلی الأحوط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وهناک نمط آخر من الممارسة المتّصلة بالاحتیاط،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اندماج الأحوط مع المبدأ الاُصولیّ کالاستصحاب مثلاً، وهذا ما یمکن ملاحظته فی مسألة عدّة الأمة أیضاً، حیث یعقّب علی الظاهرة المبحوثة بقوله لکنّ مقتضی الاحتیاط، بل والاستصحاب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العدّة</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المرونة أو الاعتدال أو العنایة بالجوهر، مضافاً إلی ارتیاد السهولة، ونفی الحرج والعسر، تظلّ من الاُمور الّتی یمکن ملاحظتها لدی السیّد الیزدی بالرغم من مشاهدتنا فی مواقف خاصّة أو عامّة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تشدّداً أو قناعة تامـّة إلی الالتزام بالمشهور، أو تشدّداً فی العمل بالخبر بدلاً من طرحه، أو الإیغال اللغوی الّذی لاحظناه فی سطورٍ سابقة،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لکنـّه فی الآن ذاته نجد أنّ هذا الفقیه یتوکّأ علی یُسر الشریعة وسهولتها، أی یتوکّأ ـ علی نطاق الممارسات الفقهیّة ـ علی ما یجسّد </w:t>
      </w:r>
    </w:p>
    <w:p>
      <w:pPr>
        <w:pStyle w:val="BookText"/>
        <w:rPr/>
      </w:pPr>
      <w:r>
        <w:rPr>
          <w:rFonts w:ascii="Amiri" w:hAnsi="Amiri" w:eastAsia="Amiri" w:cs="Amiri"/>
          <w:color w:val="111111"/>
          <w:sz w:val="28"/>
          <w:sz w:val="28"/>
          <w:szCs w:val="28"/>
          <w:rtl w:val="true"/>
          <w:lang w:bidi="ar-SA"/>
        </w:rPr>
        <w:t>مرونةً وجوهراً وبساطةً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آخره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الموقف یمکننا ملاحظته فی مواقع متنوّعة من ممارسات، منها مثلاً فیما یتّصل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الجمع أولی من طرح الخبر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أ نّه فضّل الجمع الدلالی علی الترجیح السندی إیماناً بالمقولة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لنقف عند هذه العبارة الملفتة للنظر بالقیاس إلی طبیعة ممارساته حیث یعقّب علی موضوع فی باب الربا، علی مجموعة ما طرحه الفقهاء من محامل متنوّعة للموضوع، ممـّا دفعه إلی أن یصرخ بوجوههم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طرح الخبر أولی من حمله علی هذه المحامل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أنّ هذه الصرخة قد یتعجّب منها الملاحظ لممارسات السیّد الیزدی بحمل الخبر علی محامل متنوّعة، ولکن ـ کما قلنا ـ عندما یصل الأمر إلی حدوده غیر المعقولة، ینتفض علی مقولة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أوّلی من الطرح بنحوٍ مطلق</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ویمکننا ملاحظة أمثلة هذه الصرخة متحقّقة فی عدّة ممارسات، منها ما طرحه الفقهاء بالنسبة إلی صیغة الکلام فی المعاملات من حیث الفصحی وعدمها، ومن حیث إمکانیّة النطق وعدمه، ومن حیث الاستخدام المجازی للکلام أو الحقیقی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 حیث یعرض هنا هذه الأقوال، ویعقّب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ما ذکره الفقهاء فی المقام من التکلّم فی خصوصیّات الألفاظ تطویل لا طائل تحته، فاستقم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السیّد الیزدی هذا الکلام تعقیباً علی ماذکرناه، والطریف فی الأمر أنّ السیّد الیزدی ـ کما لاحظناه فی حقل اللغویات ـ معنیّاً کلّ العنایة بالألفاظ ومدلولاتها الدقیقة، ولکنـّه هنا ـ والحقّ معه دون أدنی شکِّ ـ یجد أنّ الأمر قد تجاوز حدّه لدرجة أن یبحث الفقهاء خلالها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تؤثّر العبارة المجازیّة علی الحقیقیّة، أو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آخره، مع أنّ النصوص الشرعیّة ساکتة عن هذه المستویات من الأخذ والردّ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إلی آخره، والطریف أیضاً أ نّه استعان بالآیة القرآنیّة الکریمة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فَاسْتَقِمْ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لیعبّر عن ذلک بضرورة أن لا یتجاوز الإنسان حدوده المرسومة له، وأن </w:t>
      </w:r>
    </w:p>
    <w:p>
      <w:pPr>
        <w:pStyle w:val="BookText"/>
        <w:rPr/>
      </w:pPr>
      <w:r>
        <w:rPr>
          <w:rFonts w:ascii="IRNazanin" w:hAnsi="IRNazanin" w:eastAsia="IRNazanin"/>
          <w:color w:val="111111"/>
          <w:sz w:val="28"/>
          <w:sz w:val="28"/>
          <w:szCs w:val="28"/>
          <w:rtl w:val="true"/>
          <w:lang w:bidi="fa-IR"/>
        </w:rPr>
        <w:t>یکتفی بما اُمِرَ به من التوصیات الشرعیّة فی مقام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أخیراً یحسن بنا أن ننقل إلی القارئ نموذجاً ثالثاً ورابعاً لهما أهمیّتهما فی تحدّیه شخصیّات الفقهاء أو أمزجتهم فی صیاغة الأحکام الشرعیّة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ولنستمع إلیه وهو یلوم الفقهاء فی ما یفهم لتضییق الأحکام فی هذا الوقف،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العلماء بالغوا فی تضییق أمر الوقف، علی أ نّه لیس بهذا الضیق، إذ لا یستفاد من الأخبار الدالّة علی عدم جواز بیعه إلاّ عدم جواز ذلک بمثل سائر الأملاک، والقدر المتیقّن من الإجماع أیضاً هو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اختصر السیّد الیزدی المسافة وقرّر بکلّ بساطة أنّ مسألة الوقف وبیعه مثل سائر الظواهر الفقهیّة، وأنّ النصوص المحدّدة للحکم لا تتجاوز الإشارة إلی عدم الجواز فحسب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ترکنا هذه المستویات من اللوم علی الفقهاء المتشدّدین أو المبالغین فی صیاغة الأدلّة والأحکام، نواجه صرخةً جدیدةً هی أشدّ الصرخات حدّةً، حیث یعقّب علی الأبحاث المعروفة فی میدان الإجازة الکاشفة أو الناقلة بالنسبة إلی الفضولی، قائلاً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التشبّث بهذه الوجوه فی الأحکام الشرعیّة مخرّب للفقه، فینبغی عدم الاعتبار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التصریح یجسّد قمّة التصریحات الناعیة علی الفقهاء ـ فی بعض نماذجهم ـ أسالیبهم غیر المتّسمة بالصواب أو البناء، بل متّسمة بالتخریب، کما هو رأی السیّد 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کان بودّنا أن نتحدّث عن تعامل السیّد الیزدی مع سائر أدوات التعامل فی ممارساته الفقهیّة، سواء کان ذلک فی میدان التعامل مع الأدلّة الرئیسة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الکتاب والسنّة والإجماع والعقل، أو الأدلّة الثانویّة وفی مقدّمتها الاُصول العملیّة، إلاّ أنّ المجال لم یسمح لنا بذلک، مکتفین بما لاحظناه من تعامله مع الأخبار دلالةً وسنداً، ونسأله تعالی أن یوفِّقنا لخدمة الإسلام</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محمود البستانی </w:t>
      </w:r>
      <w:bookmarkStart w:id="26" w:name="pg13272_142742"/>
    </w:p>
    <w:p>
      <w:pPr>
        <w:pStyle w:val="Heading2"/>
        <w:numPr>
          <w:ilvl w:val="1"/>
          <w:numId w:val="1"/>
        </w:numPr>
        <w:rPr/>
      </w:pPr>
      <w:bookmarkStart w:id="27" w:name="__RefHeading___Toc1636394_2322387425"/>
      <w:bookmarkStart w:id="28" w:name="_Toc9"/>
      <w:bookmarkEnd w:id="26"/>
      <w:bookmarkEnd w:id="27"/>
      <w:r>
        <w:rPr>
          <w:rtl w:val="true"/>
        </w:rPr>
        <w:t>کتاب الاجتهاد والتقلید</w:t>
      </w:r>
      <w:bookmarkEnd w:id="28"/>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9" w:name="__RefHeading___Toc1636396_2322387425"/>
      <w:bookmarkStart w:id="30" w:name="_Toc10"/>
      <w:bookmarkEnd w:id="29"/>
      <w:r>
        <w:rPr>
          <w:rtl w:val="true"/>
        </w:rPr>
        <w:t>اشارة</w:t>
      </w:r>
      <w:bookmarkEnd w:id="30"/>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1" w:name="pg13272_142744"/>
      <w:bookmarkStart w:id="32" w:name="pg13272_142744"/>
      <w:bookmarkEnd w:id="32"/>
    </w:p>
    <w:p>
      <w:pPr>
        <w:pStyle w:val="BookText"/>
        <w:rPr/>
      </w:pPr>
      <w:bookmarkStart w:id="33" w:name="pg13272_142744"/>
      <w:bookmarkEnd w:id="33"/>
      <w:r>
        <w:rPr>
          <w:rFonts w:eastAsia="Times New Roman" w:cs="Times New Roman" w:ascii="Times New Roman" w:hAnsi="Times New Roman"/>
          <w:color w:val="111111"/>
          <w:sz w:val="28"/>
          <w:szCs w:val="28"/>
          <w:lang w:val="en-US" w:bidi="en-US"/>
        </w:rPr>
        <w:t>225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الحمد للّه ربّ العالمین، وصلّی اللّه علی محمّد خیر خلقه وآله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فیقول المعترف بذنبه، المفتقر إلی رحمة ربّه محمّد کاظم الطباطبائی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جملة مسائل ممّا تعمّ به البلوی</w:t>
      </w:r>
      <w:r>
        <w:rPr>
          <w:rStyle w:val="FootnoteAnchor"/>
          <w:rtl w:val="true"/>
        </w:rPr>
        <w:footnoteReference w:id="124"/>
      </w:r>
      <w:r>
        <w:rPr>
          <w:rFonts w:ascii="IRNazanin" w:hAnsi="IRNazanin" w:eastAsia="IRNazanin"/>
          <w:color w:val="111111"/>
          <w:sz w:val="28"/>
          <w:sz w:val="28"/>
          <w:szCs w:val="28"/>
          <w:rtl w:val="true"/>
          <w:lang w:bidi="fa-IR"/>
        </w:rPr>
        <w:t>وعلیها الفتوی، جمعتُ شتاتها وأحصیتُ متفرّقاتها، عسی أن ینتفع بها إخواننا الموءمنون، وتکون ذخراً لیوم لا ینفع فیه مال ولا بنون، واللّه ولیّ التوفیق</w:t>
      </w:r>
      <w:r>
        <w:rPr>
          <w:rFonts w:eastAsia="IRNazanin" w:cs="IRNazanin"/>
          <w:color w:val="111111"/>
          <w:sz w:val="28"/>
          <w:szCs w:val="28"/>
          <w:rtl w:val="true"/>
          <w:lang w:bidi="fa-IR"/>
        </w:rPr>
        <w:t>.</w:t>
      </w:r>
    </w:p>
    <w:p>
      <w:pPr>
        <w:pStyle w:val="Heading3"/>
        <w:numPr>
          <w:ilvl w:val="2"/>
          <w:numId w:val="1"/>
        </w:numPr>
        <w:rPr/>
      </w:pPr>
      <w:bookmarkStart w:id="34" w:name="__RefHeading___Toc1636398_2322387425"/>
      <w:bookmarkStart w:id="35" w:name="_Toc11"/>
      <w:bookmarkEnd w:id="34"/>
      <w:r>
        <w:rPr>
          <w:rtl w:val="true"/>
        </w:rPr>
        <w:t>یجب التقلید أو الاحتیاط علی غیر المجتهد</w:t>
      </w:r>
      <w:bookmarkEnd w:id="3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w:t>
      </w:r>
      <w:r>
        <w:rPr>
          <w:rStyle w:val="FootnoteAnchor"/>
          <w:rtl w:val="true"/>
        </w:rPr>
        <w:footnoteReference w:id="125"/>
      </w:r>
      <w:r>
        <w:rPr>
          <w:rFonts w:ascii="Amiri" w:hAnsi="Amiri" w:eastAsia="Amiri" w:cs="Amiri"/>
          <w:color w:val="111111"/>
          <w:sz w:val="28"/>
          <w:sz w:val="28"/>
          <w:szCs w:val="28"/>
          <w:rtl w:val="true"/>
          <w:lang w:bidi="ar-SA"/>
        </w:rPr>
        <w:t>علی کلّ مکلّف</w:t>
      </w:r>
      <w:r>
        <w:rPr>
          <w:rStyle w:val="FootnoteAnchor"/>
          <w:rtl w:val="true"/>
        </w:rPr>
        <w:footnoteReference w:id="1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الحکم بالصحّة، وإلاّ ففی جمیع أفعاله غیر الضروریّات یحتاج إلی أحد الاُمور الثلاثة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یخفی أنّ الوجوب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نفسی، أو شرطی، بمعنی کون التقلید مثلاً شرطاً لصحّة العمل، لا دلیل علی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النحل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للإرشاد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الثانی فلا یعتبر فی المباحات، بل ولا یصحّ فی المحرّمات؛ مع منافاته لما سیجیء من صحّة عمل تارک الطریقین إذا طابق الواقع أو فتوی الأعلم، مع تمشّی قصد التقرّب إن کان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بوجوب تخییری عقلی، بل فطری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عباداته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فی مطلق أعماله،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ومعاملاته</w:t>
      </w:r>
      <w:r>
        <w:rPr>
          <w:rStyle w:val="FootnoteAnchor"/>
          <w:rtl w:val="true"/>
        </w:rPr>
        <w:footnoteReference w:id="1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وسائر أفعاله وتروکه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کلّ ما لا یعلم حکمه من الأفعال والتروک المُبتلی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بالمعنی الأعمّ الشامل للسیاسات والعادیّات أیضاً، فالمراد ما یشمل کافة الاختیارات فعلاً وترکاً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وعادیّاته أیضاً، کما سیأتی منه قدس‌سره فی مسألة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جمیع أفعاله وتروکه غیر الضروری والیقینی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فی مطلق أفعاله وتروکه الغیر الضروریّة، کما سیأتی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وفی المسألة </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وسائر أفعاله وتروکه من اقتصادیّة وسیاسیّة واجتماعیّة وعائلیّة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سائر أفعاله وتروکه، إلاّ فی الضروریّات کوجوب الصلاة مثلاً، والیقینیّات إذا حصل له الیقین بالحکم، کما فی بعض الواجبات وکثیر من المستحبّات والمباحات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جمیع شؤونه ممّا یحتمل أن یکون من حدود التکالیف الإلزامیّة المتوجّهة إلیه، ولو بلحاظ حرمة التشریع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وعادیّاته أیضاً کما سیصرّح به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یکون مجتهداً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یعمل علی طبق اجتهاده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 مقلّـداً، أو محتاطاً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 غیر الضروریّات والیقینیّات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أن اجتهد أو قلَّد فی مسألة عدم اعتبار الجزم بالنیّة، وإلاّ لا یتمکّن من الاحتیاط أصلاً إلاّ بالتشریع المحرّم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وعندی أنّ الاحتیاط فی جمیع أبواب الفقه لا ینفکّ عن الاجتهاد غالباً؛ لأنّه فرع تشخیص موارد الاحتیاط، وهو لا ینفکّ عن الاجتهاد کما هو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إحراز کیفیّة الاحتیاط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مستنداً جوازه إلی دلیل من علمه أو تقلیده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6" w:name="pg13272_142746"/>
    </w:p>
    <w:p>
      <w:pPr>
        <w:pStyle w:val="Heading3"/>
        <w:numPr>
          <w:ilvl w:val="2"/>
          <w:numId w:val="1"/>
        </w:numPr>
        <w:rPr/>
      </w:pPr>
      <w:bookmarkStart w:id="37" w:name="__RefHeading___Toc1636400_2322387425"/>
      <w:bookmarkStart w:id="38" w:name="_Toc12"/>
      <w:bookmarkEnd w:id="36"/>
      <w:bookmarkEnd w:id="37"/>
      <w:r>
        <w:rPr>
          <w:rtl w:val="true"/>
        </w:rPr>
        <w:t>جواز العمل بالاحتیاط</w:t>
      </w:r>
      <w:bookmarkEnd w:id="3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w:t>
      </w:r>
      <w:r>
        <w:rPr>
          <w:rStyle w:val="FootnoteAnchor"/>
          <w:rtl w:val="true"/>
        </w:rPr>
        <w:footnoteReference w:id="128"/>
      </w:r>
      <w:r>
        <w:rPr>
          <w:rFonts w:ascii="IRNazanin" w:hAnsi="IRNazanin" w:eastAsia="IRNazanin"/>
          <w:color w:val="111111"/>
          <w:sz w:val="28"/>
          <w:sz w:val="28"/>
          <w:szCs w:val="28"/>
          <w:rtl w:val="true"/>
          <w:lang w:bidi="fa-IR"/>
        </w:rPr>
        <w:t>جواز العمل بالاحتیاط</w:t>
      </w:r>
      <w:r>
        <w:rPr>
          <w:rStyle w:val="FootnoteAnchor"/>
          <w:rtl w:val="true"/>
        </w:rPr>
        <w:footnoteReference w:id="129"/>
      </w:r>
      <w:r>
        <w:rPr>
          <w:rFonts w:ascii="IRNazanin" w:hAnsi="IRNazanin" w:eastAsia="IRNazanin"/>
          <w:color w:val="111111"/>
          <w:sz w:val="28"/>
          <w:sz w:val="28"/>
          <w:szCs w:val="28"/>
          <w:rtl w:val="true"/>
          <w:lang w:bidi="fa-IR"/>
        </w:rPr>
        <w:t>، مجتهداً کان أو لا، لکن یجب</w:t>
      </w:r>
      <w:r>
        <w:rPr>
          <w:rStyle w:val="FootnoteAnchor"/>
          <w:rtl w:val="true"/>
        </w:rPr>
        <w:footnoteReference w:id="130"/>
      </w:r>
      <w:r>
        <w:rPr>
          <w:rFonts w:ascii="IRNazanin" w:hAnsi="IRNazanin" w:eastAsia="IRNazanin"/>
          <w:color w:val="111111"/>
          <w:sz w:val="28"/>
          <w:sz w:val="28"/>
          <w:szCs w:val="28"/>
          <w:rtl w:val="true"/>
          <w:lang w:bidi="fa-IR"/>
        </w:rPr>
        <w:t>أن یکون عارفاً بکیفیّة الاحتیاط</w:t>
      </w:r>
      <w:r>
        <w:rPr>
          <w:rStyle w:val="FootnoteAnchor"/>
          <w:rtl w:val="true"/>
        </w:rPr>
        <w:footnoteReference w:id="131"/>
      </w:r>
      <w:r>
        <w:rPr>
          <w:rFonts w:ascii="IRNazanin" w:hAnsi="IRNazanin" w:eastAsia="IRNazanin"/>
          <w:color w:val="111111"/>
          <w:sz w:val="28"/>
          <w:sz w:val="28"/>
          <w:szCs w:val="28"/>
          <w:rtl w:val="true"/>
          <w:lang w:bidi="fa-IR"/>
        </w:rPr>
        <w:t>بالاجتهاد أو بالتقلید</w:t>
      </w:r>
      <w:r>
        <w:rPr>
          <w:rStyle w:val="FootnoteAnchor"/>
          <w:rtl w:val="true"/>
        </w:rPr>
        <w:footnoteReference w:id="1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بالعلم الوجدانی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یحتاط فی الکیفیّة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9" w:name="pg13272_142747"/>
    </w:p>
    <w:p>
      <w:pPr>
        <w:pStyle w:val="Heading3"/>
        <w:numPr>
          <w:ilvl w:val="2"/>
          <w:numId w:val="1"/>
        </w:numPr>
        <w:rPr/>
      </w:pPr>
      <w:bookmarkStart w:id="40" w:name="__RefHeading___Toc1636402_2322387425"/>
      <w:bookmarkStart w:id="41" w:name="_Toc13"/>
      <w:bookmarkEnd w:id="39"/>
      <w:bookmarkEnd w:id="40"/>
      <w:r>
        <w:rPr>
          <w:rtl w:val="true"/>
        </w:rPr>
        <w:t>الاحتیاط فی الفعل أو فی الترک</w:t>
      </w:r>
      <w:bookmarkEnd w:id="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یکون</w:t>
      </w:r>
      <w:r>
        <w:rPr>
          <w:rStyle w:val="FootnoteAnchor"/>
          <w:rtl w:val="true"/>
        </w:rPr>
        <w:footnoteReference w:id="133"/>
      </w:r>
      <w:r>
        <w:rPr>
          <w:rFonts w:ascii="IRNazanin" w:hAnsi="IRNazanin" w:eastAsia="IRNazanin"/>
          <w:color w:val="111111"/>
          <w:sz w:val="28"/>
          <w:sz w:val="28"/>
          <w:szCs w:val="28"/>
          <w:rtl w:val="true"/>
          <w:lang w:bidi="fa-IR"/>
        </w:rPr>
        <w:t>الاحتیاط فی الفعل کما إذا احتمل کون الفعل واجباً وکان قاطعاً بعدم حرمته، وقد یکون فی الترک کما إذا احتمل حرمة فعل وکان قاطعاً بعدم وجوبه، وقد یکون فی الجمع بین أمرین</w:t>
      </w:r>
      <w:r>
        <w:rPr>
          <w:rStyle w:val="FootnoteAnchor"/>
          <w:rtl w:val="true"/>
        </w:rPr>
        <w:footnoteReference w:id="134"/>
      </w:r>
      <w:r>
        <w:rPr>
          <w:rFonts w:ascii="IRNazanin" w:hAnsi="IRNazanin" w:eastAsia="IRNazanin"/>
          <w:color w:val="111111"/>
          <w:sz w:val="28"/>
          <w:sz w:val="28"/>
          <w:szCs w:val="28"/>
          <w:rtl w:val="true"/>
          <w:lang w:bidi="fa-IR"/>
        </w:rPr>
        <w:t>مع التکرار</w:t>
      </w:r>
      <w:r>
        <w:rPr>
          <w:rStyle w:val="FootnoteAnchor"/>
          <w:rtl w:val="true"/>
        </w:rPr>
        <w:footnoteReference w:id="135"/>
      </w:r>
      <w:r>
        <w:rPr>
          <w:rFonts w:ascii="IRNazanin" w:hAnsi="IRNazanin" w:eastAsia="IRNazanin"/>
          <w:color w:val="111111"/>
          <w:sz w:val="28"/>
          <w:sz w:val="28"/>
          <w:szCs w:val="28"/>
          <w:rtl w:val="true"/>
          <w:lang w:bidi="fa-IR"/>
        </w:rPr>
        <w:t>کما إذا لم یعلم أنّ وظیفته القصر أو التمام</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2" w:name="__RefHeading___Toc1636404_2322387425"/>
      <w:bookmarkStart w:id="43" w:name="_Toc14"/>
      <w:bookmarkEnd w:id="42"/>
      <w:r>
        <w:rPr>
          <w:rtl w:val="true"/>
        </w:rPr>
        <w:t>جواز الاحتیاط ولو استلزم التکرار</w:t>
      </w:r>
      <w:bookmarkEnd w:id="4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w:t>
      </w:r>
      <w:r>
        <w:rPr>
          <w:rStyle w:val="FootnoteAnchor"/>
          <w:rtl w:val="true"/>
        </w:rPr>
        <w:footnoteReference w:id="1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إمکان الاقتصار علیه فی مقام الامتثال، لا الجواز فی مقابل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الاحتیاط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ولو کان مستلزماً للتکرار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یخرج عن الامتثال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صدق علیه الإطاعة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یخرج عن صدق الإطاعة والامتثال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غیر العبادات ممّا لا إشکال فیه، وأمّا فیها مع استلزام التکرار فالأولی بل الأحوط ترک الاحتیاط فی الفرض المذکور، وهو إمکان الاجتهاد أو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صدق الامتثال علی ما هو المقرّر عند العقلاء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الإطاعة علیه، وعدم لزوم أحد المحاذیر الّتی مرّ ذکرها فی الحواشی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یخرج عن طور الامتثال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التحفّظ علی جهة الإضافة التذلّلیّة إذا کان عبادیّاً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وأمکن الاجتهاد أو التقلید</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مسألة جواز الاحتیاط یلزم أن یکون مجتهداً</w:t>
      </w:r>
      <w:r>
        <w:rPr>
          <w:rStyle w:val="FootnoteAnchor"/>
          <w:rtl w:val="true"/>
        </w:rPr>
        <w:footnoteReference w:id="139"/>
      </w:r>
      <w:r>
        <w:rPr>
          <w:rFonts w:ascii="Amiri" w:hAnsi="Amiri" w:eastAsia="Amiri" w:cs="Amiri"/>
          <w:color w:val="111111"/>
          <w:sz w:val="28"/>
          <w:sz w:val="28"/>
          <w:szCs w:val="28"/>
          <w:rtl w:val="true"/>
          <w:lang w:bidi="ar-SA"/>
        </w:rPr>
        <w:t>أو مقلِّداً</w:t>
      </w:r>
      <w:r>
        <w:rPr>
          <w:rStyle w:val="FootnoteAnchor"/>
          <w:rtl w:val="true"/>
        </w:rPr>
        <w:footnoteReference w:id="1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لو أدرک عقله حجّیّة رأی الغیر إذا کان من أهل الخبرة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لأنّ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المسألة خلافیّة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مساغ لهذا التعلیل بعد انتقاضه طرداً وعکساً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التعبیر بأنّ جواز الاحتیاط لیس من الضروریّات ولا من الیقینیّات، فلابدّ فیه من الاجتهاد أو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44" w:name="pg13272_142749"/>
    </w:p>
    <w:p>
      <w:pPr>
        <w:pStyle w:val="Heading3"/>
        <w:numPr>
          <w:ilvl w:val="2"/>
          <w:numId w:val="1"/>
        </w:numPr>
        <w:rPr/>
      </w:pPr>
      <w:bookmarkStart w:id="45" w:name="__RefHeading___Toc1636406_2322387425"/>
      <w:bookmarkStart w:id="46" w:name="_Toc15"/>
      <w:bookmarkEnd w:id="44"/>
      <w:bookmarkEnd w:id="45"/>
      <w:r>
        <w:rPr>
          <w:rtl w:val="true"/>
        </w:rPr>
        <w:t>لا حاجة إلی التقلید فی الضروریات و الیقینیات</w:t>
      </w:r>
      <w:bookmarkEnd w:id="4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الضروریّات لا حاجة إلی التقلید</w:t>
      </w:r>
      <w:r>
        <w:rPr>
          <w:rStyle w:val="FootnoteAnchor"/>
          <w:rtl w:val="true"/>
        </w:rPr>
        <w:footnoteReference w:id="1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کانت الضروریّة محرزة لدی المکلّف لا معنی للتقلید فیها، لا أنّه لا حاجة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التعبیر مسامحة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الاعتماد فی تشخیصها علی قول من یوثق بقوله فی ذلک، ولا تعتبر فیه الشرائط المعتبرة فی مرجع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کوجوب الصلاة والصوم ونحوهما، وکذا فی الیقینیّات إذا حصل له الیقین، وفی غیرهما یجب التقلید إن لم یکن مجتهداً إذا لم یمکن الاحتیاط، وإن أمکن تخیّر بینه وبین التقلید</w:t>
      </w:r>
      <w:r>
        <w:rPr>
          <w:rFonts w:eastAsia="IRNazanin" w:cs="IRNazanin"/>
          <w:color w:val="111111"/>
          <w:sz w:val="28"/>
          <w:szCs w:val="28"/>
          <w:rtl w:val="true"/>
          <w:lang w:bidi="fa-IR"/>
        </w:rPr>
        <w:t>.</w:t>
      </w:r>
    </w:p>
    <w:p>
      <w:pPr>
        <w:pStyle w:val="Heading3"/>
        <w:numPr>
          <w:ilvl w:val="2"/>
          <w:numId w:val="1"/>
        </w:numPr>
        <w:rPr/>
      </w:pPr>
      <w:bookmarkStart w:id="47" w:name="__RefHeading___Toc1636408_2322387425"/>
      <w:bookmarkStart w:id="48" w:name="_Toc16"/>
      <w:bookmarkEnd w:id="47"/>
      <w:r>
        <w:rPr>
          <w:rtl w:val="true"/>
        </w:rPr>
        <w:t>عمل العامی بلا تقلید ولا احتیاط باطل</w:t>
      </w:r>
      <w:bookmarkEnd w:id="4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العامّی بلا تقلید ولا احتیاط باطل</w:t>
      </w:r>
      <w:r>
        <w:rPr>
          <w:rStyle w:val="FootnoteAnchor"/>
          <w:rtl w:val="true"/>
        </w:rPr>
        <w:footnoteReference w:id="1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تحقّق القربة والمطابقة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خالف الواقع، أو کان عبادة ولم یتمکّن من قصد القربة لتزلزله وجهله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مطابقاً لرأی من یتّبع قوله تعییناً، وإلاّ فلا وجه لبطلانه بعد حجّیة رأیه فی حقّه، کذلک بلا اعتبار البناء علی اتّباع قوله فی حجّیته، کما هو الشأن فی سائر الحجج الشرعیّة؛ ولذا نلتزم بعدم وجوب الموافقة الالتزامیّة فیها، نعم مع عدم تعیین اتّباع رأیه لا محیص من دخل الالتزام والبناء علی اتّباعه فی حجّیة رأیه، ومن هذا البناء أیضاً ینتزع التقلید وإن لم یعمل فسقاً، ولا اختصاص لهذه الجهة فی المقام، بل فی جمیع موارد التخییر فی المسألة الاُصولیّة یعتبر البناء علی الأخذ بأحدهما فی حجّیته، فقبل البناء المزبور لا یکون فی البَین مُلزم شرعی، وإنّما یلزم العقل بالأخذ المزبور بمناط وجوب تحصیل الحجّة عند التمکّن کما هو ظاهر،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مخالفاً للواقع، أو کان عبادة ولم یحصل منه قصد القربة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الصحّة فیما إذا انکشفت مطابقته للمأمور به اجتهاداً أو تقلیداً مع حصول قصد القربة فی التعبّدات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خالف الواقع، أو کان عبادة ولم یتأتَّ منه قصد القربة، وإلاّ صحّ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إذا طابق الواقع وتحقّق القربة فیما تُعتبر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یحصل به یقین البراءة، فلو انکشف مطابقته للواقع وکان من المعاملات، أو الإیقاعات، أو الواجبات التوصلیّة بل والتعبّدیّة إذا حصلت منه نیّة القربة صحّ علی الأقوی، بل لا إشکال فی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خالف الواقع، أو کان عبادة، ولم یتمشّ منه قصد القربة لتزلزله کما سیجیء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ینکشف مطابقته لتکلیفه واقعاً أو ظاهراً بالاجتهاد أو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یطابق الواقع، أو فتوی من یجب علیه تقلیده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أنّه لا یجتزئ به حتّی یعلم أ نّه صحیح بنظر المجتهد الّذی یقلِّده بعد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خالف الواقع، أو کانت عبادة ولم یتمکّن من قصد القربة، بخلاف ما إذا تمشّی منه قصد القربة، وکان العمل مطابقاً للفتوی الفعلیّة حین العمل لمن یقلِّده بعد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مخالفاً للواقع، أو لم یتمشّ منه قصد القربة إذا کان عمله عبادة، ومرادنا بالواقع أعمّ من فتوی المجتهد القابل للتقلید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اختلّ شیء ممّا یُعتبر فیه، وإلاّ فلو وافق الواقع وکان قد قصد القربة فی العبادة فالأقوی 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مطابقاً للواقع أو کان عبادة ولم یحصل قصد القربة، وطریق تشخیص مطابقته للواقع هو القطع، أو موافقته لرأی من یجب أو یجوز تقلیده فعلاً، ویحتمل أن یکون مطابقته لرأی من کان یجب أو یجوز تقلیده حین العمل کافیاً، وإن کان لا یخلو من إشکال فی هذه الصورة؛ لأنّ تشخیص المطابقة لابدّ وأن یکون بحجّة من علم أو علمی، والمفروض أنّ رأی من کان یجب أو یجوز تقلیده حین العمل الآن لیس بحجّة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خالف الواقع، وأمّا إذا اعتمد علی قول من یجوّز الرجوع إلیه فیحکم بالصحّة وإن خالف الواقع، لکن مع الاعتماد علی قوله، ومع عدم الاعتماد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مخالفاً للواقع، أو کان مخالفاً لقول من کان واجباً علیه الرجوع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مطابقاً للواقع، أو لفتوی من یجب علیه تقلیده، وحصل منه قصد القربة إذا کان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یطابق الواقع أو فتوی من یجوز تقلیده حال العمل أو حال الرجوع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طابق رأی من یتّبع رأیه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ظاهراً بنظر العقل فی مقام الامتثال، فلا یجوز الاکتفاء به والاقتصار علیه فی الاطمئنان بالبراءة والأمن من العقوبة ما لم تنکشف صحّة العمل، وأمّا لو انکشفت مطابقة عمله مع الواقع أو مع فتوی من یجوز تقلیده فلا ریب فی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أنّه لا یجوز الاقتصار علیه فی مقام الامتثال ما لم تنکشف صحّته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مطابقاً لرأی من یتّبع رأیه تعیّناً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یأتی تفصیله إن شاء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یحرز مطابقته لرأی من یصحّ الاعتماد علی رأیه، وسیأتی التفصیل فی المسألة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عقلاً إلاّ إذا طابق الواقع، أو فتوی المجتهد الّذی کان یجب علیه تقلیده حین العمل، أو المجتهد الّذی یجب علیه تقلیده فی الحال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یجتزئ به ما لم تنکشف مطابقته لما هو وظیفته الفعلیّة، وحتّی فی عباداته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یعلم مطابقته للواقع، أو لفتوی من یجب علیه تقلیده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أنّه لا یقتصر علیه فی مقام الامتثال ما لم یحرز صحّته بالمطابقة للواقع، أو لفتوی من یجب علیه تقلیده کما 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فلا یجوز له الاجتزاء به إلاّ أن یعلم بمطابقته للواقع، أو موافقة عمله لفتوی من یجب علیه تقلیده فعلاً، مع تحقّق القربة منه إذا کان عبادة، والأولی والأحوط مع ذلک مطابقته لفتوی المجتهد الّذی کان تقلیده واجباً حین عمله هذا کلّه إذا ترک التقلید والاحتیاط عالماً بوجوبهما عامداً فی ترکهما، أی ترک التقلید والاحتیاط، وأمّا الجاهل فسیأتی حکمه فی المسألة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أنّه لیس له ترتیب الأثر المرغوب فیه المترتّب علیه علی فرض کونه صحیحاً ما لم تقم حجّة علی صحّته، سواء کان ممّا یؤتی به بداعی تفریغ الذمّة، أو کان ممّا یتسبّب به إلی الحکم الشرعی، کالمعاملات وأسباب الطهارة الحدثیّة والخبثیّة والذبح، لا بمعنی أنّه باطل واقعاً أو تنزیلاً بلحاظ جمیع الآثار، فإنّه لیس له ترتیب الأثر الترخیصی الثابت علی تقدیر کونه فاسداً، مثلاً إذا باع شیئاً مع الشکّ فی صحّة البیع لم یجز له التصرّف فی المثمن، کما لیس له التصرّف فی الثمن، فعلیه الاحتیاط إن أمکن، أو تعلّم فتوی من یکون قوله حجّة فی حقّه حین النظر فی العمل المفروض، وعلی أساسه یبنی علی صحّته أو فساده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سیأتی المراد من البطلان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 w:name="pg13272_142753"/>
      <w:bookmarkStart w:id="50" w:name="pg13272_142753"/>
      <w:bookmarkEnd w:id="50"/>
    </w:p>
    <w:p>
      <w:pPr>
        <w:pStyle w:val="Heading3"/>
        <w:numPr>
          <w:ilvl w:val="2"/>
          <w:numId w:val="1"/>
        </w:numPr>
        <w:rPr/>
      </w:pPr>
      <w:bookmarkStart w:id="51" w:name="pg13272_142753"/>
      <w:bookmarkStart w:id="52" w:name="__RefHeading___Toc1636410_2322387425"/>
      <w:bookmarkStart w:id="53" w:name="_Toc17"/>
      <w:bookmarkEnd w:id="51"/>
      <w:bookmarkEnd w:id="52"/>
      <w:r>
        <w:rPr>
          <w:rtl w:val="true"/>
        </w:rPr>
        <w:t>تعریف التقلید</w:t>
      </w:r>
      <w:bookmarkEnd w:id="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التقلید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هـو الالتزام</w:t>
      </w:r>
      <w:r>
        <w:rPr>
          <w:rStyle w:val="FootnoteAnchor"/>
          <w:rtl w:val="true"/>
        </w:rPr>
        <w:footnoteReference w:id="1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التقلید عبارة عن تطبیق العمل علی رأی الغیر، فالعمل محقّقه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العمل بقول الغیر، ولا یلزم اتحاده ولا تعیّنه تفصیلاً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التقلید عبارة عن أخذ فتوی الغیر للعمل، لأنّه طریق العامّی إلی الواقع، والعمل عبارة عن التطبیق الخارجی معه، وهذا لیس من باب دخل الالتزام فی صحّة العمل، نعم مجرّد أخذ الرسالة بدون تعلّم مسائلها لیس من التقلید فی شیء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العمل المستند إلی فتواه، نعم موضوع جواز البقاء وحرمة العدول هی مطابقة العمل لفتوی من یتّبع رأیه تعیّناً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العمل اعتماداً علی فتوی المجتهد، ولا یتحقّق بغیره، سواء التزم المقلِّد بذلک أم لم یلتزم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العمل استناداً إلی رأی الغیر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التقلید هو العمل عن استناد، ولا دلیل علی وجوب الالتزام علی العامّی، ولا علی مدخلیّته فی ترتّب شیء من الأحکام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لا یبعد کون التقلید عبارة عن متابعة المجتهد فی العمل بأن یکون معتمداً علی رأیه فی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الأخذ للعمل، وهذا هو التقلید المصحّح للعمل، وأمّا ما هو الموضوع لجواز البقاء علی تقلید المیّت وعدم جواز العدول من الحیّ إلی الحیّ فهو الالتزام والأخذ مع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الظاهـر أ نّه لا دخل للعمل فی أصل تحقّق التقلید ، بل یتحقّق بتعلّم الفتوی وأخذها والالتزام بالعمل بها ، عمل بها أم لم یعمل ، نعم لا یتحقّق بأخذ الرسالة والالتزام بالعمل بها مع عدم تعلّم مسائلها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المقدار إنّما یکون کافیاً فی صحّة العمل، وأمّا بالنسبة إلی سائر الآثار مثل عدم جواز العدول من الحیّ إلی الحیّ، وجواز البقاء علی تقلید المیّت ففی کفایته بدون العمل تأمّل، فلا ینبغی ترک الاحتیاط بعدم البقاء وعدم العدول فی موارد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هو نفس العمل ، ولا مدخلیّة للالتزام فی شیء من الأحکام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کونه العمل عن استناد لا یخلو من قوّة، والاحتیاط ـ بمعنی عدم العدول من الحیّ إلی الحیّ بعد الالتزام وقبل العمل، وعدم البقاء إذا مات المجتهد قبل العمل ـ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العمل اعتماداً علی فتوی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تحقّقه بالعمل بفتواه، وفی تحقّقه بتعلّم الفتوی للعمل إشکال، وأمّا الالتزام وعقد القلب وأخذ الرسالة، فالظاهر عدم تحقّقه بشیء من ذلک، لکنّ الأحوط عدم العدول ما لم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تفسیره بالالتزام أو بأخذ قول الغیر بعید؛ لأنّ التقلید فی 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محلّ القلادة فی العنق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3/541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قلّد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کما فی الإشعار والتقلید فی الحجّ، ومعناه العرفی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نفس العمل علی طبق رأی الغیر، فکون العمل علی طبق رأی المجتهد هو التقلید، ولا یلزم اعتبار الالتزام قبل العمل حتّی یصحّ العمل، بل العمل إذا کان علی طبق رأی المجتهد فهو واجد لشرط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التعلّم لأجل العمل، وما ذکر من الالتزام وأخذ الرسالة من مقدّماته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التقلید عبارة عن تطبیق العمل علی رأی المقلّد، لا صرف الالتزام بالعمل برأیه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تحقّق التقلید إلاّ بالالتزام مع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تطبیق العمل لقول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الاستناد إلی رأی المجتهد فی مقام العمل، ولعلّه مراد مَن فسّره بالعمل، فلا یرد علیه إشکال الدور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العمل مستنداً إلی فتوی المجتهد، ولا یلزم نشووءه عن عنوان التقلید، ولا یکون مجرّد الالتزام والأخذ للعمل محقّقاً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التقلید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العمل المستند إلی فتوی الغیر، أو الاستناد إلیه فی مقام العمل، أو تطبیق عمله علی فتواه، فما شئت فعبّر، وعلی أیّ حال ما لم یتحقّق العمل لم یتحقّق التقلید، فهو عنوان للعمل؛ فبالعمل الأوّل یتحقّق التقلید مقارناً ولا إشکال فیه، وأمّا ما قیل فی معناه من الوجوه ککونه الالتزام بالعمل بفتاویه، أو أخذها للعمل أو تعلّمها للعمل أو غیرها فکلّها مدخولة، والتفصیل موکولٌ إلی محلّه، والإشکال بکونه قسیماً للاجتهاد المتقدّم علی العمل مندفعٌ بأدنی تأمّل، ثمّ قد ظهر ممّا ذکرنا أنّ المکلّف 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المقلِّد؛ لتقلیده عمله علی عنق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الاستناد إلی فتوی الغیر فی العمل، ولکنّه مع ذلک یکفی فی جواز البقاء علی التقلید أو وجوبه تعلّم الفتوی للعمل وکونه ذاکراً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ویجزی مطابقة العمل لرأی من یصحّ الاعتماد علی رأیه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الاستناد إلی فتوی مرجع التقلید فی العمل، وینبغی مراعاة الاحتیاط فی مسألة البقاء علی تقلید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التقلید فی الأحکام هو قبول فتوی المجتهد من دون مطالبة الدلیل بالعمل بفتواه أو تعلّم فتواه مع الالتزام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التقلید هـو العمـل استناداً إلی رأی المجتهد، ولا یتحقّق بمجـرّد تعلّم فتـوی المجتهد ولا بالالتزام بها مـن دون عمل، لکن مـع ذلـک یکفی الالتزام فی مسألة جواز البقاء علی تقلید المیّت فی المسائل الّتی لم یعمل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تبعد کفایة ما ذکره قدس‌سره فی مسألة البقاء، وأمّا الحکم بالاجتزاء فیعتبر فیه العمل مطابقاً مع فتوی المجتهد الّذی یکون قوله حجّة فی حقّه فعلاً مع إحراز مطابقته لها، ولا یعتبر فیه الاستناد، نعم عدم جواز العدول من الحیّ إلی المیّت الآتی فی المسألة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یختصّ بفرض التقلید بمعنی العمل استناداً إلی فتوی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بقول</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مجتهد</w:t>
      </w:r>
      <w:r>
        <w:rPr>
          <w:rStyle w:val="FootnoteAnchor"/>
          <w:rtl w:val="true"/>
        </w:rPr>
        <w:footnoteReference w:id="144"/>
      </w:r>
      <w:r>
        <w:rPr>
          <w:rFonts w:ascii="Amiri" w:hAnsi="Amiri" w:eastAsia="Amiri" w:cs="Amiri"/>
          <w:color w:val="111111"/>
          <w:sz w:val="28"/>
          <w:sz w:val="28"/>
          <w:szCs w:val="28"/>
          <w:rtl w:val="true"/>
          <w:lang w:bidi="ar-SA"/>
        </w:rPr>
        <w:t>معیّن</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المراد أنّه یعتبر فی التقلید الاستناد إلی شخصٍ مُعیّن فالأظهر عدم اعتبار ذلک، فیجوز العمل علی فتوی توافق فیها المجتهدان أو أکثر من غیر استناد إلی واحدٍ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التقلید بالتعیین لا وجـه له فی صورة اتّحاد المجتهد لعدم التعدّد، ولا فی صورة التعدّد مـع إتفاق الفتاوی لمکان حجّیّة الجامع بینهما، ولا فی صورة التعدّد والاختلاف لو قیل بالسقوط عند التعارض وکون المرجع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التعدّد والاختلاف فی الفتوی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التعیین فیما توافق فیه أنظار المجتهدین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یعمل بعدُ، بل ولو لم یأخذ</w:t>
      </w:r>
    </w:p>
    <w:p>
      <w:pPr>
        <w:pStyle w:val="BookText"/>
        <w:rPr/>
      </w:pPr>
      <w:r>
        <w:rPr>
          <w:rFonts w:ascii="IRNazanin" w:hAnsi="IRNazanin" w:eastAsia="IRNazanin"/>
          <w:color w:val="111111"/>
          <w:sz w:val="28"/>
          <w:sz w:val="28"/>
          <w:szCs w:val="28"/>
          <w:rtl w:val="true"/>
          <w:lang w:bidi="fa-IR"/>
        </w:rPr>
        <w:t>فتواه</w:t>
      </w:r>
      <w:r>
        <w:rPr>
          <w:rStyle w:val="FootnoteAnchor"/>
          <w:rtl w:val="true"/>
        </w:rPr>
        <w:footnoteReference w:id="146"/>
      </w:r>
      <w:r>
        <w:rPr>
          <w:rFonts w:ascii="IRNazanin" w:hAnsi="IRNazanin" w:eastAsia="IRNazanin"/>
          <w:color w:val="111111"/>
          <w:sz w:val="28"/>
          <w:sz w:val="28"/>
          <w:szCs w:val="28"/>
          <w:rtl w:val="true"/>
          <w:lang w:bidi="fa-IR"/>
        </w:rPr>
        <w:t>، فإذا أخذ رسالته والتزم بالعمل بما فیها</w:t>
      </w:r>
      <w:r>
        <w:rPr>
          <w:rStyle w:val="FootnoteAnchor"/>
          <w:rtl w:val="true"/>
        </w:rPr>
        <w:footnoteReference w:id="147"/>
      </w:r>
      <w:r>
        <w:rPr>
          <w:rFonts w:ascii="IRNazanin" w:hAnsi="IRNazanin" w:eastAsia="IRNazanin"/>
          <w:color w:val="111111"/>
          <w:sz w:val="28"/>
          <w:sz w:val="28"/>
          <w:szCs w:val="28"/>
          <w:rtl w:val="true"/>
          <w:lang w:bidi="fa-IR"/>
        </w:rPr>
        <w:t>کفی</w:t>
      </w:r>
      <w:r>
        <w:rPr>
          <w:rStyle w:val="FootnoteAnchor"/>
          <w:rtl w:val="true"/>
        </w:rPr>
        <w:footnoteReference w:id="1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کونه متابعة المجتهد فی العمل؛ بأن یکون مستنداً فی عمله إلی رأی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الأراکی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تحقّق التقلید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مدخل لأخذ الرسالة، والاحتیاط لا یُترک فی غیر صورة التعلّم والعمل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الّذی یناط به صحّة العمل ابتداءً، أمّا فی البقاء وحرمة العدول فاعتبار العمل فیه لا یخلو عن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الالتزام بالعمل بفتاویه، فإنّ التقلید کالبیعة والعهد یتحقّق بإنشاء الالتزام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54" w:name="pg13272_142758"/>
    </w:p>
    <w:p>
      <w:pPr>
        <w:pStyle w:val="Heading3"/>
        <w:numPr>
          <w:ilvl w:val="2"/>
          <w:numId w:val="1"/>
        </w:numPr>
        <w:rPr/>
      </w:pPr>
      <w:bookmarkStart w:id="55" w:name="__RefHeading___Toc1636412_2322387425"/>
      <w:bookmarkStart w:id="56" w:name="_Toc18"/>
      <w:bookmarkEnd w:id="54"/>
      <w:bookmarkEnd w:id="55"/>
      <w:r>
        <w:rPr>
          <w:rtl w:val="true"/>
        </w:rPr>
        <w:t>حکم البقاء علی تقلید المیت</w:t>
      </w:r>
      <w:bookmarkEnd w:id="5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مسـألة </w:t>
      </w:r>
      <w:r>
        <w:rPr>
          <w:rFonts w:eastAsia="IRNazanin" w:cs="IRNazanin"/>
          <w:color w:val="111111"/>
          <w:sz w:val="28"/>
          <w:szCs w:val="28"/>
          <w:lang w:bidi="fa-IR"/>
        </w:rPr>
        <w:t>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الأقـوی</w:t>
      </w:r>
      <w:r>
        <w:rPr>
          <w:rStyle w:val="FootnoteAnchor"/>
          <w:rtl w:val="true"/>
        </w:rPr>
        <w:footnoteReference w:id="149"/>
      </w:r>
      <w:r>
        <w:rPr>
          <w:rFonts w:ascii="IRNazanin" w:hAnsi="IRNazanin" w:eastAsia="IRNazanin"/>
          <w:color w:val="111111"/>
          <w:sz w:val="28"/>
          <w:sz w:val="28"/>
          <w:szCs w:val="28"/>
          <w:rtl w:val="true"/>
          <w:lang w:bidi="fa-IR"/>
        </w:rPr>
        <w:t>جـواز البقـاء</w:t>
      </w:r>
      <w:r>
        <w:rPr>
          <w:rStyle w:val="FootnoteAnchor"/>
          <w:rtl w:val="true"/>
        </w:rPr>
        <w:footnoteReference w:id="1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عمل به من المسائل بشرط کون المیّت أعلم من الحیّ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الأحوط إذا کان المیّت أعلم، نعم لو ظهر فی الأحیاء مَنْ هو أعلم منه أو صار بعد ذلک أعلـم، فالأحوط الرجوع إلیه فی الموارد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الأولی والأحوط الأخذ بأحوط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جوازه مطلقاً ولو مع العمل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المسائل الّتی عمل فیها برأی المیّت لا مطلقاً، ولکنّ هذا القید فی الحقیقة یرجع إلی تحقّق موضوع البقاء، بناءً علی ما ذکرنا فی معنی التقلید من أنّه تطبیق العمل علی فتوی من یقلّده، لإطلاق بناء العقلاء وسیرة المتشرّعة واستصحاب الحجّیّة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هو الاقتصار فی المسائل الّتی عمل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صدقه عرفاً، بأن عمل ببعض فتاواه فی الجملة، وقد یجب ذلک لو کان المیّت أعلم من الأحیاء، ولکن یشترط فی جواز البقاء مطلق عدم عروض ما یوجب اختلال الحواسّ قبل الموت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عمل به من المسائل، أو لم یعمل ولکن کان بانیاً علی العمل فی الباقی برأیه، فله أن یبقی علی تقلیده فی جمیع المسائل مطلقاً وإن کان المیّت أعلم من الحیّ، وأمّا لو کان الحیّ أعلم وجب العدول إلیه، وإن تساویا فی العلم أو لم یحرز الأعلمیّة منهما ولم یحتمل أعلمیّة أحدهما المعیّن یتخیّر بین العدول والبقاء حتّی لو کان أحدهما أعدل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بمعنی أنّ موته لا یوجب خللاً فی حجّیّة فتواه بالنسبة إلی من قلَّده سابقاً، فلا ینافی وجوب البقاء علی تقلیده؛ لتعیّنه علی تقدیر حیاته، ولا وجوب العدول عنه فیما إذا صار الحیّ أفضل منه، وغیرهما من الأحکام الثابتة لصور دوران الأمر بین تقلید مجتهدین، الّتی سیأتی بیانها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تقلید المیّـت</w:t>
      </w:r>
      <w:r>
        <w:rPr>
          <w:rStyle w:val="FootnoteAnchor"/>
          <w:rtl w:val="true"/>
        </w:rPr>
        <w:footnoteReference w:id="1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عدم جوازه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ولو من جهة استصحاب وجوب تطبیق العمل علی قوله، أو استصحاب بقاء الأحکام الناشئة من قبل حجّیّة رأیه علیه تعییناً ولو من جهة احتمال بقاء حجّیّة رأیه السابق علیه فعلاً، فیصیر موجباً للیقین بالحدوث والشکّ فی البقاء؛ لاحتمال قیام حجّة اُخری، فلا ینتقض بالجنون والفسق المجمع علی عدم قیام شیء فی بقاء الحکم الظاهری، نعم لا یتمّ استصحاب نفس حجّیّة الرأی؛ إذْ یرد علیه إشکال عدم بقاء الموضوع فی مثله، نعم الأحوط حینئذٍ هو الأخذ بأحوط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المسائل الّتی عمل بها، وإن کان الأولی العدول فیها إلی الحیّ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یشکل العدول عنه إلی الحیّ إذا کان المیّت أعلم منه، ویلزم الأخذ بأحوط القولین فی المسألة لو اختلفت فتوی الحیّ الّذی قلَّده فی مسألة البقاء مع فتوی المیّت فی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المسائل الّتی عمل بها المقلِّد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عمل به من المسائل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وجوبه إذا کان المیّت أعلم، ووجوب العدول إذا کان الحیّ أعلم، أمّا مع التساوی فیتخیّر وإن کان العدول أولی وأحوط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لاستصحاب الأحکام السابقة فی حقّ المقلِّد، بل لاستصحاب حجّیّة قول المجتهد بعد موته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المیّت أعلم من الحیّ وجب البقاء، وإن تساویا تخیّر، وإن کان الحیّ أعلم وجب العدول إلیه، نعم ذلک علی تفصیل نذکره فی وجوب تقلید الأعلم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البقاء، إلاّ أن یکون الحیّ أعلم من المیّت ولم یکن قول المیّت مطابقاً للأعلم من الأموات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المسائل الّتی عمل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وجوبه فیما تعیّن تقلید المیّت علی تقدیر حیاته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عمل بفتوی المیّت فی حیاته مقداراً معتدّاً به بانیاً علی العمل فیما بقی من المسائل، فالظاهر جواز البقاء علی فتواه فیما عمل وفیما لم یعمل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وجوبه مع العلم باختلاف فتوی المجتهدین فی المسائل المبتلی بها، وکان المیّت أعلم، کما أنّ الأحوط مع العلم بالاختلاف الرجوع إلی الحیّ إذا کان الحیّ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الکلّی أنّ فتوی المیّت إن کانت مخالفة مع فتوی الحیّ، وکانت فتوی الحیّ مطابقة مع الاحتیاط یجب الرجوع إلی الحیّ والعمل بفتواه احتیاطاً، وإن کان المیّت أعلم، أو کانا متساویین، أو لم یتمیّز الأعلم من غیره، یحتاط بالأخذ بالأحوط من القولین، وإن لم یعلم بالاختلاف بینهما فلا مانع من الرجوع إلی الحیّ، وممّا ذکرنا یعلم حکم کثیر من الفروع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التساوی، وإلاّ فیتعیّن البقاء أو العدول من غیر فرق فی الجمیع بین ما عَمِل بها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ولا یجوز تقلید المیّت</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ابتداءً</w:t>
      </w:r>
      <w:r>
        <w:rPr>
          <w:rStyle w:val="FootnoteAnchor"/>
          <w:rtl w:val="true"/>
        </w:rPr>
        <w:footnoteReference w:id="1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لم یکن فی الأحیاء من یجوّز تقلیده، فیجوز تقلید المیّـت ابتداءً بلا کلام، ثمّ إنّه لمّا کان لکلّ حکم تقلید غیر مرتبط بسائر الأحکام الّتی لم یعمل بها فی زمان حیـاة مجتهده لـو قلّده فیها بعد موته کان من تقلید المیّت ابتداءً، ومن هذا یشترط فی جواز البقاء العمل سابقاً بما یبقی فیه علی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کان أعلم من المجتهدین الأحیاء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w:t>
      </w:r>
      <w:r>
        <w:rPr>
          <w:rStyle w:val="FootnoteAnchor"/>
          <w:rtl w:val="true"/>
        </w:rPr>
        <w:footnoteReference w:id="153"/>
      </w:r>
      <w:r>
        <w:rPr>
          <w:rFonts w:ascii="IRNazanin" w:hAnsi="IRNazanin" w:eastAsia="IRNazanin"/>
          <w:color w:val="111111"/>
          <w:sz w:val="28"/>
          <w:sz w:val="28"/>
          <w:szCs w:val="28"/>
          <w:rtl w:val="true"/>
          <w:lang w:bidi="fa-IR"/>
        </w:rPr>
        <w:t>عن المیّت إلی الحیّ لا یجوز</w:t>
      </w:r>
      <w:r>
        <w:rPr>
          <w:rStyle w:val="FootnoteAnchor"/>
          <w:rtl w:val="true"/>
        </w:rPr>
        <w:footnoteReference w:id="15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المیّت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الکلّی فی هذه الموارد ظهر ممّا ذکرناه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له العود إلی المیّت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مساویاً أو أعلم، وإلاّ فلا بأس به بعد صدق الشکّ فی بقاء أحکامه الظاهریّة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لو کان الحیّ یری جواز البقاء؛ إذْ العود یکون حینئذٍ کتقلید المیّت ابتداءً؛ لمکان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صورة أعلمیّة المیّت أو مساواتهما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إذا تبیّن أنّه أعلم ممّن عدل إلیه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المیلانی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آنفاً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لو أفتی بجواز البقاء، سواء کان المیّت أعلم من الحیّ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إطلاقه محلّ نظر، کما یُعلم ممّا سیأتی فی التعلیق علی المسألة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1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 عبد الهادی الشیرازی، الشاهرودی، الفانی، محمّدرضا الگلپایگانی،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المسألة الّتی عمل بها، وفی غیرها 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 العدول وکونه استمراریّاً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المسائل الّتی عَمِل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إذا علم باختلاف فتوی المجتهدین فی المسائل المبتلی بها، وإلاّ فیجوز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حکم هذه المسألة ممّا علّقنا علی المسألة التاسعة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عن الحیّ إلی الحیّ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یجوز فیما لم یعلم الاختلاف بینهما تفصیلاً أو إجمالاً حتّی من الأعلم إلی غیره، وأمّا معه فلابُدّ من الرجوع إلی الأرجح، وسیأتی حکم صورة التساوی فی المسألة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إذا کان</w:t>
      </w:r>
      <w:bookmarkStart w:id="57" w:name="pg13272_142763"/>
    </w:p>
    <w:p>
      <w:pPr>
        <w:pStyle w:val="BookText"/>
        <w:rPr/>
      </w:pPr>
      <w:bookmarkEnd w:id="57"/>
      <w:r>
        <w:rPr>
          <w:rFonts w:ascii="IRNazanin" w:hAnsi="IRNazanin" w:eastAsia="IRNazanin"/>
          <w:color w:val="111111"/>
          <w:sz w:val="28"/>
          <w:sz w:val="28"/>
          <w:szCs w:val="28"/>
          <w:rtl w:val="true"/>
          <w:lang w:bidi="fa-IR"/>
        </w:rPr>
        <w:t>الثانی أعلم</w:t>
      </w:r>
      <w:r>
        <w:rPr>
          <w:rStyle w:val="FootnoteAnchor"/>
          <w:rtl w:val="true"/>
        </w:rPr>
        <w:footnoteReference w:id="1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مساویاً لکون التخییر استمراریّاً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العلم بالمخالفة ولو إجمالاً فی المسائل المبتلی بها، فمعه یأخذ بما یوافق الاحتیاط من فتاویهما، ومع عدمه یبقی علی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فیجب حینئِذٍ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للرجوع إلی قول الأعلم مع مطابقة قول غیر الأعلم مع الأعلم من الأموات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مساویاً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وذلک علی مبنی الماتن، حیث لا یکون قول المعدول عنه مطابقاً لقول من کان من الأموات أعلم من المعدول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یأتی من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فیجب العدول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فیجب، أو مساویاً فیجوز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8" w:name="__RefHeading___Toc1636414_2322387425"/>
      <w:bookmarkStart w:id="59" w:name="_Toc19"/>
      <w:bookmarkEnd w:id="58"/>
      <w:r>
        <w:rPr>
          <w:rtl w:val="true"/>
        </w:rPr>
        <w:t>وجوب تقلید الأعلم مع الإمکان</w:t>
      </w:r>
      <w:bookmarkEnd w:id="59"/>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w:t>
      </w:r>
      <w:r>
        <w:rPr>
          <w:rStyle w:val="FootnoteAnchor"/>
          <w:rtl w:val="true"/>
        </w:rPr>
        <w:footnoteReference w:id="1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مع العلم بالاختلاف فیجب، وأمّا فی غیره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 الأعلم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الاختلاف فی الفتوی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ولو إجمالاً بوجوده، والاختلاف فی الفتوی بینه وبین غیره فی المسائل المبتلی بها، وعدم العلم بموافقة فتوی غیر الأعلم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عن شوب الإشکال، والوجوه الّتی اُقیمت علی لزومه، من بناء العقلاء، وأصالة التعیین، والمقبوله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18/220</w:t>
      </w:r>
      <w:r>
        <w:rPr>
          <w:rFonts w:ascii="IRNazanin" w:hAnsi="IRNazanin" w:eastAsia="IRNazanin"/>
          <w:color w:val="111111"/>
          <w:sz w:val="28"/>
          <w:sz w:val="28"/>
          <w:szCs w:val="28"/>
          <w:rtl w:val="true"/>
          <w:lang w:bidi="fa-IR"/>
        </w:rPr>
        <w:t xml:space="preserve">، کتاب القضاء، باب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کیفیّة الحکم، ح</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وکلام الإمام علی علیه‌السلام فی کتابه إلی الأشتر، وأقربیّة قوله إلی الواقع، وغیرها کلّها مدخولة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وعلی فرض تسلیم الاشتراط تشخیصه فی کلّ المسائل من عوائص الدهر ومشکلاته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یذکره من الفروع الآتیة مبنیٌّ علیاشتراط الأعلمیّة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اختلاف الفتوی تفصیلاً أو إجمالاً فی الشبهة المحصورة فلا یجوز، وإلاّ فیجوز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إذا اُحرزت الأعلمیّة مع إحراز مخالفة فتوی غیر الأعلم ولو إجمالاً، مع عدم کون فتوی غیر الأعلم موافقةً للاحتیاط، وإن لم یعلم الاختلاف بینهما فی الفتوی تخیّر، ویصحّ التبعیض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الإمکان علی الأحوط</w:t>
      </w:r>
      <w:r>
        <w:rPr>
          <w:rStyle w:val="FootnoteAnchor"/>
          <w:rtl w:val="true"/>
        </w:rPr>
        <w:footnoteReference w:id="1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جواز تقلید المفضول مطلقاً، لا سیّما مع عدم العلم بمخالفته لفتوی الأفضل فضلاً عن صورة الموافقة، وعلیه فیسقط الکلام فی الفروع الآتیة المتعلّقة بتقلید الأعلم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کونه أحوط مطلقاً حتّی فیما إذا تخالفا فی الفتوی ولم تکن فتوی الأعلم موافقة للاحتیاط بالإضافة إلی فتوی غیره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الآملی،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إذا علم باختلاف المجتهدین فی الفتاوی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إذا علم تفصیلاً أو إجمالاً بوجوده، وبأنّه یخالف غیره، ویفتی بالوجوب أو التحریم فی المسائل المبتلی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إذا علم اختلاف الآراء ولو إجمالاً، أو کانت فی مظانّه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ما کان الأخذ بقوله أوفق بالاحتیاط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وجوبه مع العلم بالمخالفة ولو إجمالاً فیما تعمّ به البلوی هو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بمخالفة فتواه لفتوی غیر الأعلم تفصیلاً أو إجمالاً فی المسائل المبتلی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إحرازه وإحراز مخالفة فتواه مع غیره فی المسائل الابتلائیّة، وعدم موافقة فتوی غیره للاحتیاط، ولکن لو عمل بفتوی المفضول وأخذ بفتوی الأفضل فی مورد المخالفة لصحّ وکفی، فیمکن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لیست الأعلمیّة شرطاً فی صحّة التقلید، وإنّما یجب الأخذ بقول الأعلم عند مخالفة قوله لقول غیره، وعدم موافقة قول غیره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فیما إذا علم ولو إجمالاً بالمخالفة بینهما فی المسائل المبتلی بها، وإلاّ فیجوز له الأخذ بقول کلّ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ویجب</w:t>
      </w:r>
      <w:r>
        <w:rPr>
          <w:rStyle w:val="FootnoteAnchor"/>
          <w:rtl w:val="true"/>
        </w:rPr>
        <w:footnoteReference w:id="159"/>
      </w:r>
      <w:r>
        <w:rPr>
          <w:rFonts w:ascii="IRNazanin" w:hAnsi="IRNazanin" w:eastAsia="IRNazanin"/>
          <w:color w:val="111111"/>
          <w:sz w:val="28"/>
          <w:sz w:val="28"/>
          <w:szCs w:val="28"/>
          <w:rtl w:val="true"/>
          <w:lang w:bidi="fa-IR"/>
        </w:rPr>
        <w:t>الفحص عنه</w:t>
      </w:r>
      <w:r>
        <w:rPr>
          <w:rStyle w:val="FootnoteAnchor"/>
          <w:rtl w:val="true"/>
        </w:rPr>
        <w:footnoteReference w:id="16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بوجوده ومخالفته مع غیره فیما هو محلّ الابتلاء، وعدم موافقة فتوی غیره للاحتیاط بالإضافة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هناک صورٌ شتّی مختلفة الحکم بناءً علی اشتراط الأعلمیّة، فإطلاق الحکم بالوجوب لا یخلو عن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هناک مجتهدان متساویان فی الفضیلة یتخیّر</w:t>
      </w:r>
      <w:r>
        <w:rPr>
          <w:rStyle w:val="FootnoteAnchor"/>
          <w:rtl w:val="true"/>
        </w:rPr>
        <w:footnoteReference w:id="1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الاختلاف لا دلیل علی التخییر، فیجب الأخذ بأحوط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بینهمــا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یعمل بما توافقا علیه من غیر استناد، نعم لو اختلفا تخیّر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لا یعلم مخالفتهما فی الفتوی، وإلاّ فالأقرب الأخذ بأحوط القولین إن کان أحدهما کذلک وإن کان صاحبه غیر أورع، وإلاّ فالتخییر کما أفاد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العلم بالمخالفة، وإلاّ فیأخذ بأحوط القولین، ولو فیما کان أحدهما أورع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العلم بالمخالفة فی الفتوی فیما هو محلّ الابتلاء، وإلاّ فالأحوط الأخذ بأحوط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أنّه یأخذ قول أحدهما حجّةً وطریقاً مع عدم العلم بالمخالفة، وأمّا مع العلم بها وعدم کون أحدهما أورع من الآخر، فعلیه الاحتیاط بین القولین علی الأحوط مطلقاً، وإن کان الأظهر کونه فی سعةٍ؛ عملاً فی تطبیق العمل علی فتوی أیٍّ منهما ما لم یکن مقروناً بعلم إجمالی منجّز، أو حجّة إجمالیّة کذلک فی خصوص المسألة، کما إذا أفتی أحدهما بوجوب القصر والآخر بوجوب الإتمام، فیجب علیه الجمع بینهما، أو أفتی أحدهما بصحّة معاوضةٍ والآخر ببطلانها، فإنّه یعلم بحرمة التصرّف فی أحد العوضین، فیجب علیه الاحتیاط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إلاّ إذا کان أحدهما</w:t>
      </w:r>
    </w:p>
    <w:p>
      <w:pPr>
        <w:pStyle w:val="BookText"/>
        <w:rPr/>
      </w:pPr>
      <w:r>
        <w:rPr>
          <w:rFonts w:ascii="IRNazanin" w:hAnsi="IRNazanin" w:eastAsia="IRNazanin"/>
          <w:color w:val="111111"/>
          <w:sz w:val="28"/>
          <w:sz w:val="28"/>
          <w:szCs w:val="28"/>
          <w:rtl w:val="true"/>
          <w:lang w:bidi="fa-IR"/>
        </w:rPr>
        <w:t>أورع</w:t>
      </w:r>
      <w:r>
        <w:rPr>
          <w:rStyle w:val="FootnoteAnchor"/>
          <w:rtl w:val="true"/>
        </w:rPr>
        <w:footnoteReference w:id="1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أکثر تثبّتاً واحتیاطاً فی الجهات الدخیلة فی الإفتاء، وأمّا الأورعیّة فیما لا یرتبط بها أصلاً فلا أثر لها فی هذا الباب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فیختار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الأورع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 عبداللّه الشیرازی، الخمینی، محمّدرضا الگلپایگانی، محمّد الشیرازی،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 عبد الهادی الشیرازی، الشاهرودی، أحمد الخونساری، السبزواری، حسن القمّی،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وجوبه نظر؛ لأنّ مناط حکم العقل فی باب رجوع الجاهل إلی العالم لیس إلاّ لأقربیّته إلی الواقع، وفی هذه الجهة لا یکون لجهة الورع والعدالة دخل البتّة، غایة الأمر حیث کان حکم العقل تعلیقیّاً، لابدّ من الرفع عنه بمقدار ما ثبت من قبل الشرع اتّباعه، ولیس هو إلاّ اعتبار طبیعة العدالة فی المفتی لیس إلاّ، ومن هذه الجهة نلتزم بأنّ الأعلم العادل مقدّم علی الأعدل العالم، وإلاّ فلیس فی البَین إطلاق یستکشف منه هذه الجهة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الأورعیّة لا توجب التعیین فی باب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علیه فی باب الفتوی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اختیار الأورع وإن کان هو الأولی والأحوط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الأورعیّة لا توجب التعیّن فی باب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مقام العمل بالتجنّب عن المشتبهات أو الأخذ بالاحتیاط فی الخلافیّات لا فی مقام الاستنباط، بأن یکون منفقاً وسعه باذلاً جهده فی البحث والتنقیب عن مستند الأحکام، فإنّه لعلّه آئل إلی الأعلمیّة المفروض عدمها فی صورة التساوی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أورع فی الفتوی، وأمّا الأورعیّة فی العمل فهی لا توجب التعیین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للأعلم فتوی</w:t>
      </w:r>
      <w:r>
        <w:rPr>
          <w:rStyle w:val="FootnoteAnchor"/>
          <w:rtl w:val="true"/>
        </w:rPr>
        <w:footnoteReference w:id="163"/>
      </w:r>
      <w:r>
        <w:rPr>
          <w:rFonts w:ascii="IRNazanin" w:hAnsi="IRNazanin" w:eastAsia="IRNazanin"/>
          <w:color w:val="111111"/>
          <w:sz w:val="28"/>
          <w:sz w:val="28"/>
          <w:szCs w:val="28"/>
          <w:rtl w:val="true"/>
          <w:lang w:bidi="fa-IR"/>
        </w:rPr>
        <w:t>فی مسألة من المسائل، یجـوز</w:t>
      </w:r>
      <w:r>
        <w:rPr>
          <w:rStyle w:val="FootnoteAnchor"/>
          <w:rtl w:val="true"/>
        </w:rPr>
        <w:footnoteReference w:id="164"/>
      </w:r>
      <w:r>
        <w:rPr>
          <w:rFonts w:ascii="IRNazanin" w:hAnsi="IRNazanin" w:eastAsia="IRNazanin"/>
          <w:color w:val="111111"/>
          <w:sz w:val="28"/>
          <w:sz w:val="28"/>
          <w:szCs w:val="28"/>
          <w:rtl w:val="true"/>
          <w:lang w:bidi="fa-IR"/>
        </w:rPr>
        <w:t>فی تلک المسألة</w:t>
      </w:r>
      <w:r>
        <w:rPr>
          <w:rStyle w:val="FootnoteAnchor"/>
          <w:rtl w:val="true"/>
        </w:rPr>
        <w:footnoteReference w:id="165"/>
      </w:r>
      <w:r>
        <w:rPr>
          <w:rFonts w:ascii="IRNazanin" w:hAnsi="IRNazanin" w:eastAsia="IRNazanin"/>
          <w:color w:val="111111"/>
          <w:sz w:val="28"/>
          <w:sz w:val="28"/>
          <w:szCs w:val="28"/>
          <w:rtl w:val="true"/>
          <w:lang w:bidi="fa-IR"/>
        </w:rPr>
        <w:t>الأخذ مـن غیر الأعلم</w:t>
      </w:r>
      <w:r>
        <w:rPr>
          <w:rStyle w:val="FootnoteAnchor"/>
          <w:rtl w:val="true"/>
        </w:rPr>
        <w:footnoteReference w:id="1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الأعلم فالأعلم؛ لأنّه المتیقّن بالإضافة عند التنزّل من الأعلم بقولٍ 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تقدیم الأفضل فالأفضل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الأعلم منهم فالأعلم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رعایة الأعلم فالأعلم علی النحو الّذی مرّ فی المسألة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ویجب الفحص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الأعلم فالأعلم إذا علم باختلاف الفتاوی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الأعلم فالأعلم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عدم إفتاء الأعلم من جهة عدم المراجعة بمدرک المسألة، وأمّا إذا کان عدم الإفتاء من جهة الخدشة والإشکال فی المدرک وعدم تمامیّة المدرک عنده فی المسألة، فلا وجه للرجوع إلی غیر الأعلم؛ لأنّ مدرک فتواه فی المسألة مخدوش فی نظر الأعلم، فالمتعیّن حینئذٍ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الأعلم فالأعلم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الأعلم منهم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الأعلم فالأعلم بناءً علی الاشتراط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ما ذکره قدس‌سره یتمّ إذا لم یکن مدرک غیر الأعلم ومستنده فی الفتوی مخدوشاً عند الأعلم، وإلاّ فالأحوط الرجوع إلی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علی ما یأتی من التفصیل فی المسألة </w:t>
      </w:r>
      <w:r>
        <w:rPr>
          <w:rFonts w:eastAsia="IRNazanin" w:cs="IRNazanin"/>
          <w:color w:val="111111"/>
          <w:sz w:val="28"/>
          <w:szCs w:val="28"/>
          <w:rtl w:val="true"/>
          <w:lang w:bidi="fa-IR"/>
        </w:rPr>
        <w:t>(</w:t>
      </w:r>
      <w:r>
        <w:rPr>
          <w:rFonts w:eastAsia="IRNazanin" w:cs="IRNazanin"/>
          <w:color w:val="111111"/>
          <w:sz w:val="28"/>
          <w:szCs w:val="28"/>
          <w:lang w:bidi="fa-IR"/>
        </w:rPr>
        <w:t>63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مراعاة الأعلم فالأعلم، کما 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61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الأعلم فالأعلم عند العلم بالمخالفة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w:t>
      </w:r>
    </w:p>
    <w:p>
      <w:pPr>
        <w:pStyle w:val="BookText"/>
        <w:rPr/>
      </w:pPr>
      <w:r>
        <w:rPr>
          <w:rFonts w:ascii="IRNazanin" w:hAnsi="IRNazanin" w:eastAsia="IRNazanin"/>
          <w:color w:val="111111"/>
          <w:sz w:val="28"/>
          <w:sz w:val="28"/>
          <w:szCs w:val="28"/>
          <w:rtl w:val="true"/>
          <w:lang w:bidi="fa-IR"/>
        </w:rPr>
        <w:t>أمکن</w:t>
      </w:r>
      <w:r>
        <w:rPr>
          <w:rStyle w:val="FootnoteAnchor"/>
          <w:rtl w:val="true"/>
        </w:rPr>
        <w:footnoteReference w:id="167"/>
      </w:r>
      <w:r>
        <w:rPr>
          <w:rFonts w:ascii="IRNazanin" w:hAnsi="IRNazanin" w:eastAsia="IRNazanin"/>
          <w:color w:val="111111"/>
          <w:sz w:val="28"/>
          <w:sz w:val="28"/>
          <w:szCs w:val="28"/>
          <w:rtl w:val="true"/>
          <w:lang w:bidi="fa-IR"/>
        </w:rPr>
        <w:t xml:space="preserve">الاحتیاط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قلّد مجتهداً کان یجوِّز البقاء علی تقلید المیّت فمات ذلک المجتهد، لا یجوز</w:t>
      </w:r>
      <w:r>
        <w:rPr>
          <w:rStyle w:val="FootnoteAnchor"/>
          <w:rtl w:val="true"/>
        </w:rPr>
        <w:footnoteReference w:id="168"/>
      </w:r>
      <w:r>
        <w:rPr>
          <w:rFonts w:ascii="IRNazanin" w:hAnsi="IRNazanin" w:eastAsia="IRNazanin"/>
          <w:color w:val="111111"/>
          <w:sz w:val="28"/>
          <w:sz w:val="28"/>
          <w:szCs w:val="28"/>
          <w:rtl w:val="true"/>
          <w:lang w:bidi="fa-IR"/>
        </w:rPr>
        <w:t>البقاء علی تقلیده فی هذه المسألة</w:t>
      </w:r>
      <w:r>
        <w:rPr>
          <w:rStyle w:val="FootnoteAnchor"/>
          <w:rtl w:val="true"/>
        </w:rPr>
        <w:footnoteReference w:id="1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الاتّکال علی فتوی ذلک المیّت والاستناد إلیه من دون مدخلیّة الحیّ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الرجوع إلی الحیّ</w:t>
      </w:r>
      <w:bookmarkStart w:id="60" w:name="pg13272_142770"/>
    </w:p>
    <w:p>
      <w:pPr>
        <w:pStyle w:val="BookText"/>
        <w:rPr/>
      </w:pPr>
      <w:bookmarkEnd w:id="60"/>
      <w:r>
        <w:rPr>
          <w:rFonts w:ascii="IRNazanin" w:hAnsi="IRNazanin" w:eastAsia="IRNazanin"/>
          <w:color w:val="111111"/>
          <w:sz w:val="28"/>
          <w:sz w:val="28"/>
          <w:szCs w:val="28"/>
          <w:rtl w:val="true"/>
          <w:lang w:bidi="fa-IR"/>
        </w:rPr>
        <w:t>الأعلم</w:t>
      </w:r>
      <w:r>
        <w:rPr>
          <w:rStyle w:val="FootnoteAnchor"/>
          <w:rtl w:val="true"/>
        </w:rPr>
        <w:footnoteReference w:id="170"/>
      </w:r>
      <w:r>
        <w:rPr>
          <w:rFonts w:ascii="IRNazanin" w:hAnsi="IRNazanin" w:eastAsia="IRNazanin"/>
          <w:color w:val="111111"/>
          <w:sz w:val="28"/>
          <w:sz w:val="28"/>
          <w:szCs w:val="28"/>
          <w:rtl w:val="true"/>
          <w:lang w:bidi="fa-IR"/>
        </w:rPr>
        <w:t>فی جواز البقاء وعدمه</w:t>
      </w:r>
      <w:r>
        <w:rPr>
          <w:rFonts w:eastAsia="IRNazanin" w:cs="IRNazanin"/>
          <w:color w:val="111111"/>
          <w:sz w:val="28"/>
          <w:szCs w:val="28"/>
          <w:rtl w:val="true"/>
          <w:lang w:bidi="fa-IR"/>
        </w:rPr>
        <w:t>.</w:t>
      </w:r>
    </w:p>
    <w:p>
      <w:pPr>
        <w:pStyle w:val="Heading3"/>
        <w:numPr>
          <w:ilvl w:val="2"/>
          <w:numId w:val="1"/>
        </w:numPr>
        <w:rPr/>
      </w:pPr>
      <w:bookmarkStart w:id="61" w:name="__RefHeading___Toc1636416_2322387425"/>
      <w:bookmarkStart w:id="62" w:name="_Toc20"/>
      <w:bookmarkEnd w:id="61"/>
      <w:r>
        <w:rPr>
          <w:rtl w:val="true"/>
        </w:rPr>
        <w:t>عمل الجاهل المقصر الملتفت باطل</w:t>
      </w:r>
      <w:bookmarkEnd w:id="6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عمـل الجاهـل المقصّر الملتفت</w:t>
      </w:r>
      <w:r>
        <w:rPr>
          <w:rStyle w:val="FootnoteAnchor"/>
          <w:rtl w:val="true"/>
        </w:rPr>
        <w:footnoteReference w:id="171"/>
      </w:r>
      <w:r>
        <w:rPr>
          <w:rFonts w:ascii="IRNazanin" w:hAnsi="IRNazanin" w:eastAsia="IRNazanin"/>
          <w:color w:val="111111"/>
          <w:sz w:val="28"/>
          <w:sz w:val="28"/>
          <w:szCs w:val="28"/>
          <w:rtl w:val="true"/>
          <w:lang w:bidi="fa-IR"/>
        </w:rPr>
        <w:t>باطـل</w:t>
      </w:r>
      <w:r>
        <w:rPr>
          <w:rStyle w:val="FootnoteAnchor"/>
          <w:rtl w:val="true"/>
        </w:rPr>
        <w:footnoteReference w:id="1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ما تقدّم من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یأتی بالعمل بقصد الرجاء، ویحرز مطابقته للوظیفة بعد العمل، فالأقوی الصحّة، ویجب علیه تحقیق ذلک بعد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تعتبر فیه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العبادات مع عدم حصول قصد القربة، وأمّا إذا حصل أو کان غیر عبادة فلا بطلان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المراد منه، وأنّه إذا کان صحیحاً بنظر المجتهد الّذی یقلّده بعد ذلک کان مجزیاً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مطلقاً، بل علی التفصیل المتقدّم من المطابقة للفتوی الفعلیّة حین العمل لمن اختاره ویقلّده بعد العمل وعدم مطابقته له، أو عدم تمشّی قصد القربة منه إن کان عبادیّاً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لاوجه لبطلانه بعد تطابقه مع الواقع أو فتوی من یجوز تقلیده؛ لأنّ المطلوب منه لیس إلاّ الواقع، نعم ذلک مشروط بتمشّی قصد القربة منه فی العبادات کما هو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عبادیّاً؛ لعدم موافقته للواقع مع اعتبار قصد التقرّب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یطابق الواقع ولا فتوی من یجوز تقلیده، ولم یتمشّ منه قصد القربة، کما فرض فی المتن، وإلاّ فالأقوی الصحّة خصوصاً فی المعاملات والتوصّلیّات الّتی یترتّب علیها أثر عملی، نعم لا مؤمّن له ظاهراً ما لم تنکشف المطابقة، کما أشرنا إلیه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فیه التفصیل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بیانه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هی الصحّة فی صورة المطابقة للواقع إذا حصل منه قصد القربة، أو کان العمل ممّا لا یعتبر فیه القربة، وفی صورة المطابقة لفتوی من یجب الرجوع إلیه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بمطابقته مع الواقع أو مع فتوی من یجب تقلیده حین النظر اجتزأ به، بل وکذا إذا شکّ فی المطابقة معها للشکّ فی کیفیة العمل الصادر منه، إلاّ فی بعض الموارد، کما إذا کان بانیاً علی مانعیّة جزء أو شرط واحتمل الإتیان به غفلة، بل فی هذا المورد أیضاً إذا لم یترتّب علی المخالفة أثر غیر وجوب القضاء، فإنّه لا یحکم بوجوبه کما سیأتی، وما ذکر یجری فی جمیع ما ذکره قدس‌سره من أقسام الجاهل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المراد بالبطلان ما هو ظاهره فلا وجه له مع المطابقة للواقع، وإن کان المراد به عدم جواز الاقتصار علی العبادة الّتی لا یعلم حکمها، فهو صحیح مع عدم إحراز المطابقة، ولا وجه له 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w:t>
      </w:r>
    </w:p>
    <w:p>
      <w:pPr>
        <w:pStyle w:val="BookText"/>
        <w:rPr/>
      </w:pPr>
      <w:r>
        <w:rPr>
          <w:rFonts w:ascii="Amiri" w:hAnsi="Amiri" w:eastAsia="Amiri" w:cs="Amiri"/>
          <w:color w:val="111111"/>
          <w:sz w:val="28"/>
          <w:sz w:val="28"/>
          <w:szCs w:val="28"/>
          <w:rtl w:val="true"/>
          <w:lang w:bidi="ar-SA"/>
        </w:rPr>
        <w:t xml:space="preserve">کان مطابقاً </w:t>
      </w:r>
      <w:r>
        <w:rPr>
          <w:rStyle w:val="FootnoteAnchor"/>
          <w:rtl w:val="true"/>
        </w:rPr>
        <w:footnoteReference w:id="1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هذا فیما لم یکن مطابقاً للواقع، أو کان عبادة ولم یحصل قصد القربة، ولا فرق بین المقصِّر والقاصر فی ذلک، نعم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المقصِّر الملتفت ربّما لا یحصل منه قصد القربة، ولکن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إتیانه برجاء أن یکون هو المأمور به ومطلوباً للمولی یکفی فی تحقّق العبادة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عبادیّاً؛ لعدم حصول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للبطلان مع فرض المطابقة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للواقع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عبادة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العمل من العبادات؛ لعدم حصول قصد القربة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غیر العبادی فی هذه الصورة، بل والعبادی مع حصول قصد القربة، وفی حکم المطابقة ما لو قلّد من یکتفی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عبادة ولم یتمشّ منه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أنّه لو علم بعد العمل بمطابقته للواقع أو لفتوی من یقلّده ویستند إلیه، وکان فی عباداته قد قصد القربة بنی علی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التوصّلیّات فالظاهر عدم الإشکال فیها، وأمّا العبادات فالظاهر تحقّق قصد القربة فیها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بطلان عمل الجاهل قاصراً کان أو مقصّراً، غافلاً أو ملتفتاً، کان العمل توصّلیّاً أو عبادیّاً، حتّی من جهة عدم کفایة الرجاء فی قصد القربة إذا کان شاکّاً، هو عدم مطابقته للواقع أو لفتوی من کان یجب علیه الرجوع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هوالصحّة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عبادیّاً ولم تتمشّ منه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ویحرز ذلک بمطابقته لرأی من وجب علیه تقلیده فعلاً أو حین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الصحّة فی هذا الفرض فی غیر العبادة، وفیها مع حصول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وقد مرّ فی المسألة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العامّی باطل من الحاشیة، ومخلص الکلام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العامّی سواء کان قاصراً أو مقصّراً، ملتفتاً أو غیر ملتفت، واجداً لجمیع الشرائط أو فاقداً للبعض، صحیح إذا طابق الواقع مستجمعاً لجمیع الأجزاء والشرائط، مع تحقّق قصد القربة منه إذا کان عبادة، ولا فرق فی ذلک بین القاصر والمقصّر إلاّ فی العذر والإثم، فلا إثم للقاصر بخلاف المقصّر، ویبطل عملهما مع المخالفة للواقع حتّی فی القاصر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أشرنا إلی أنّه لا موضوعیّة لهذه الطرق الثلاثة، بل هی طرق إلی إتیان العمل صحیحاً فی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الجاهل القاصر أو المقصّر الّذی کان</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غافلاً</w:t>
      </w:r>
      <w:r>
        <w:rPr>
          <w:rStyle w:val="FootnoteAnchor"/>
          <w:rtl w:val="true"/>
        </w:rPr>
        <w:footnoteReference w:id="174"/>
      </w:r>
      <w:r>
        <w:rPr>
          <w:rFonts w:ascii="IRNazanin" w:hAnsi="IRNazanin" w:eastAsia="IRNazanin"/>
          <w:color w:val="111111"/>
          <w:sz w:val="28"/>
          <w:sz w:val="28"/>
          <w:szCs w:val="28"/>
          <w:rtl w:val="true"/>
          <w:lang w:bidi="fa-IR"/>
        </w:rPr>
        <w:t>حین العمل وحصل منه</w:t>
      </w:r>
      <w:r>
        <w:rPr>
          <w:rStyle w:val="FootnoteAnchor"/>
          <w:rtl w:val="true"/>
        </w:rPr>
        <w:footnoteReference w:id="175"/>
      </w:r>
      <w:r>
        <w:rPr>
          <w:rFonts w:ascii="IRNazanin" w:hAnsi="IRNazanin" w:eastAsia="IRNazanin"/>
          <w:color w:val="111111"/>
          <w:sz w:val="28"/>
          <w:sz w:val="28"/>
          <w:szCs w:val="28"/>
          <w:rtl w:val="true"/>
          <w:lang w:bidi="fa-IR"/>
        </w:rPr>
        <w:t>قصد القربة ، فإن کان مطابقاً لفتوی</w:t>
      </w:r>
      <w:r>
        <w:rPr>
          <w:rStyle w:val="FootnoteAnchor"/>
          <w:rtl w:val="true"/>
        </w:rPr>
        <w:footnoteReference w:id="176"/>
      </w:r>
      <w:r>
        <w:rPr>
          <w:rFonts w:ascii="Amiri" w:hAnsi="Amiri" w:eastAsia="Amiri" w:cs="Amiri"/>
          <w:color w:val="111111"/>
          <w:sz w:val="28"/>
          <w:sz w:val="28"/>
          <w:szCs w:val="28"/>
          <w:rtl w:val="true"/>
          <w:lang w:bidi="ar-SA"/>
        </w:rPr>
        <w:t>المجتهد الّذی قلَّده</w:t>
      </w:r>
      <w:r>
        <w:rPr>
          <w:rStyle w:val="FootnoteAnchor"/>
          <w:rtl w:val="true"/>
        </w:rPr>
        <w:footnoteReference w:id="1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المعیار مطابقة عمله للواقع، والطریق إلیه فتوی المجتهد الّذی یجوز تقلیده، سواء کان من قلّده أم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کان صحیحاً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الاتّکال، ومع عدم الاتّکال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العبرة فی الصحّة بمطابقة العمل للواقع، والطریق إلیها هو فتوی من یجب الرجوع إلیه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فی صحّة العمل مطابقته للواقع، وفتوی المجتهد الّذی یجب تقلیده فعلاً طریق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63" w:name="pg13272_142774"/>
    </w:p>
    <w:p>
      <w:pPr>
        <w:pStyle w:val="BookText"/>
        <w:rPr/>
      </w:pPr>
      <w:bookmarkEnd w:id="63"/>
      <w:r>
        <w:rPr>
          <w:rFonts w:ascii="IRNazanin" w:hAnsi="IRNazanin" w:eastAsia="IRNazanin"/>
          <w:color w:val="111111"/>
          <w:sz w:val="28"/>
          <w:sz w:val="28"/>
          <w:szCs w:val="28"/>
          <w:rtl w:val="true"/>
          <w:lang w:bidi="fa-IR"/>
        </w:rPr>
        <w:t>والأحوط</w:t>
      </w:r>
      <w:r>
        <w:rPr>
          <w:rStyle w:val="FootnoteAnchor"/>
          <w:rtl w:val="true"/>
        </w:rPr>
        <w:footnoteReference w:id="1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أحد الأمرین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لزوم رعایة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مع المخالفة صحّته مع مطابقته لفتوی من یجب تقلیده فعلاً، وفی صحّته مع مطابقته لفتوی من وجب تقلیده حال العمل وجه قویّ؛ حیث لم یکن له طریق إلی الواقع حین العمل إلاّ فتواه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ذلک مطابقته لفتوی المجتهد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الّذی کان یجب علیه تقلیده حین العمل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4" w:name="__RefHeading___Toc1636418_2322387425"/>
      <w:bookmarkStart w:id="65" w:name="_Toc21"/>
      <w:bookmarkEnd w:id="64"/>
      <w:r>
        <w:rPr>
          <w:rtl w:val="true"/>
        </w:rPr>
        <w:t>تعریف الأعلم</w:t>
      </w:r>
      <w:bookmarkEnd w:id="6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w:t>
      </w:r>
      <w:r>
        <w:rPr>
          <w:rStyle w:val="FootnoteAnchor"/>
          <w:rtl w:val="true"/>
        </w:rPr>
        <w:footnoteReference w:id="179"/>
      </w:r>
      <w:r>
        <w:rPr>
          <w:rFonts w:ascii="IRNazanin" w:hAnsi="IRNazanin" w:eastAsia="IRNazanin"/>
          <w:color w:val="111111"/>
          <w:sz w:val="28"/>
          <w:sz w:val="28"/>
          <w:szCs w:val="28"/>
          <w:rtl w:val="true"/>
          <w:lang w:bidi="fa-IR"/>
        </w:rPr>
        <w:t>من الأعلم</w:t>
      </w:r>
      <w:r>
        <w:rPr>
          <w:rStyle w:val="FootnoteAnchor"/>
          <w:rtl w:val="true"/>
        </w:rPr>
        <w:footnoteReference w:id="1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کان أجود استنباطاً للوظیفة الفعلیّة للمکلّف، وأحذق فی تفریع الفروع علی الاُصول المتلقّاة، وتطبیق الأدلّة والمبادئ الکبرویّة علیها، وإلیه یؤول ما أفاده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والحاصل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الأجود فهماً والأقدر علی استنباط الأحکام، وذلک بأن یکون أکثر إحاطة بالمدارک، وبتطبیقاتها من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عمدة ما یلاحظ فیه الأعلمیّة اُمور 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العلم بطرق إثبات صدور الروایة، والدخیل فیه علم الرجال، وعلم الحدیث بما له من الشؤون، کمعرفة الکتب ومعرفة الروایة المدسوسة بالاطّلاع علی دواعی الوضع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ومعرفة النُسخ المختلفة وتمییز الأصحّ عن غیره، والخلط الواقع بین متن الحدیث وکلام المصنفین ونحو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المراد من النصّ بتشخیص القوانین العامّة للمحاورة، وخصوص طریقة الأئمّة علیهم‌السلام فی بیان الأحکام، ولعلم الاُصول والعلوم الأدبیّة، والاطّلاع علی أقوال من عاصرهم من فقهاء العامّة دخالة تامّة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استقامة النظر فی مرحلة تفریع الفروع علی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یکون أعرف بالقواعد</w:t>
      </w:r>
    </w:p>
    <w:p>
      <w:pPr>
        <w:pStyle w:val="BookText"/>
        <w:rPr/>
      </w:pPr>
      <w:r>
        <w:rPr>
          <w:rFonts w:ascii="IRNazanin" w:hAnsi="IRNazanin" w:eastAsia="IRNazanin"/>
          <w:color w:val="111111"/>
          <w:sz w:val="28"/>
          <w:sz w:val="28"/>
          <w:szCs w:val="28"/>
          <w:rtl w:val="true"/>
          <w:lang w:bidi="fa-IR"/>
        </w:rPr>
        <w:t>والمدارک للمسألة، وأکثر اطّلاعاً</w:t>
      </w:r>
      <w:r>
        <w:rPr>
          <w:rStyle w:val="FootnoteAnchor"/>
          <w:rtl w:val="true"/>
        </w:rPr>
        <w:footnoteReference w:id="181"/>
      </w:r>
      <w:r>
        <w:rPr>
          <w:rFonts w:ascii="IRNazanin" w:hAnsi="IRNazanin" w:eastAsia="IRNazanin"/>
          <w:color w:val="111111"/>
          <w:sz w:val="28"/>
          <w:sz w:val="28"/>
          <w:szCs w:val="28"/>
          <w:rtl w:val="true"/>
          <w:lang w:bidi="fa-IR"/>
        </w:rPr>
        <w:t>لنظائرها</w:t>
      </w:r>
      <w:r>
        <w:rPr>
          <w:rStyle w:val="FootnoteAnchor"/>
          <w:rtl w:val="true"/>
        </w:rPr>
        <w:footnoteReference w:id="182"/>
      </w:r>
      <w:r>
        <w:rPr>
          <w:rFonts w:ascii="IRNazanin" w:hAnsi="IRNazanin" w:eastAsia="IRNazanin"/>
          <w:color w:val="111111"/>
          <w:sz w:val="28"/>
          <w:sz w:val="28"/>
          <w:szCs w:val="28"/>
          <w:rtl w:val="true"/>
          <w:lang w:bidi="fa-IR"/>
        </w:rPr>
        <w:t>وللأخبار، وأجود فهماً للأخبار</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أجود استنباطاً</w:t>
      </w:r>
      <w:r>
        <w:rPr>
          <w:rStyle w:val="FootnoteAnchor"/>
          <w:rtl w:val="true"/>
        </w:rPr>
        <w:footnoteReference w:id="1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التفسیر للأعلم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بحدّ یوجب صرف الریبة الحاصلة من العلم بالمخالفة إلی قول المفضول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والمرجع فی</w:t>
      </w:r>
    </w:p>
    <w:p>
      <w:pPr>
        <w:pStyle w:val="BookText"/>
        <w:rPr/>
      </w:pPr>
      <w:r>
        <w:rPr>
          <w:rFonts w:ascii="IRNazanin" w:hAnsi="IRNazanin" w:eastAsia="IRNazanin"/>
          <w:color w:val="111111"/>
          <w:sz w:val="28"/>
          <w:sz w:val="28"/>
          <w:szCs w:val="28"/>
          <w:rtl w:val="true"/>
          <w:lang w:bidi="fa-IR"/>
        </w:rPr>
        <w:t>تعیینه</w:t>
      </w:r>
      <w:r>
        <w:rPr>
          <w:rStyle w:val="FootnoteAnchor"/>
          <w:rtl w:val="true"/>
        </w:rPr>
        <w:footnoteReference w:id="185"/>
      </w:r>
      <w:r>
        <w:rPr>
          <w:rFonts w:ascii="Amiri" w:hAnsi="Amiri" w:eastAsia="Amiri" w:cs="Amiri"/>
          <w:color w:val="111111"/>
          <w:sz w:val="28"/>
          <w:sz w:val="28"/>
          <w:szCs w:val="28"/>
          <w:rtl w:val="true"/>
          <w:lang w:bidi="ar-SA"/>
        </w:rPr>
        <w:t>أهل الخبرة والاستنباط</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ینحصر فی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الأحوط</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محصّل لهذا الاحتیاط علماً وعملاً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الاحتیاط کما یظهر بأدنی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تقلید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المفضول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جوازه مع عدم العلم بالمخالفة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الجواز؛ لأنّ التقلید طریق لا موضوعیّة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هذا الاحتیاط وإن کان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لزومه محلّ إشکال، سیّما بعد المصیر إلی ثبوت الحجّیّة لصرف الوجود عن الفتوی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الجواز مع العلم بالموافقة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حتّی فی</w:t>
      </w:r>
    </w:p>
    <w:p>
      <w:pPr>
        <w:pStyle w:val="BookText"/>
        <w:rPr/>
      </w:pPr>
      <w:r>
        <w:rPr>
          <w:rFonts w:ascii="Amiri" w:hAnsi="Amiri" w:eastAsia="Amiri" w:cs="Amiri"/>
          <w:color w:val="111111"/>
          <w:sz w:val="28"/>
          <w:sz w:val="28"/>
          <w:szCs w:val="28"/>
          <w:rtl w:val="true"/>
          <w:lang w:bidi="ar-SA"/>
        </w:rPr>
        <w:t>المسألة</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إنّه فی صورة الموافقة یکون تقلید المفضول تقلیداً للأفضل، فیجوز تقلید المفضول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الجواز فی هذه الصورة؛ لأنَّ الأعلمیّة مرجّحة عند التعارض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الجواز فی صورة الموافقة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توافق فتواه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عند عدم العلم بالاختلاف الجواز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فتوی الأفضل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تقلید المفضول فی هذه الصورة، بل الظاهر أنّه بعینه تقلید الأفضل، ولا یخرج بقصد الغیر عن کونه تقلیداً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الجواز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تقلید المفضول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الجواز فی هذه الصورة، بل ما لم یعلم المخالفة بینهما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الجواز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جوازه فی هذه الصورة، نعم ما ذکره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سقوط فتوی المفضول عن الحجّیّة لمعارضته لفتوی الأفضل الّتی هی أقوی الأمارتین، أمّا إذا لم تکن معارضة فی البین، بل کان مؤیّداً بفتوی الأفضل فلا وجه لسقوطه، مضافاً إلی أنّ العمل بهذه الفتوی فی الحقیقة عمل بفتوی الأفضل أیضاً؛ لما ذکرنا من أنّ التقلید تطبیق العمل علی الفتوی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مانع من تقلیده فی المسألة المتوافق علیها، وتظهر الثمرة فی صورة ثبوت الأعلم إن قلنا بعدم جواز البقاء علی تقلید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هو الجواز مع الموافقة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بأس بترکه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الجواز فی هذه المسألة، بل ومع الجهل بالمخالفة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هو الجواز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66" w:name="pg13272_142778"/>
    </w:p>
    <w:p>
      <w:pPr>
        <w:pStyle w:val="BookText"/>
        <w:rPr/>
      </w:pPr>
      <w:bookmarkEnd w:id="66"/>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w:t>
      </w:r>
      <w:r>
        <w:rPr>
          <w:rStyle w:val="FootnoteAnchor"/>
          <w:rtl w:val="true"/>
        </w:rPr>
        <w:footnoteReference w:id="189"/>
      </w:r>
      <w:r>
        <w:rPr>
          <w:rFonts w:ascii="IRNazanin" w:hAnsi="IRNazanin" w:eastAsia="IRNazanin"/>
          <w:color w:val="111111"/>
          <w:sz w:val="28"/>
          <w:sz w:val="28"/>
          <w:szCs w:val="28"/>
          <w:rtl w:val="true"/>
          <w:lang w:bidi="fa-IR"/>
        </w:rPr>
        <w:t>تقلید غیر المجتهد وإن کان من أهل العلم، کما أنّه یجب</w:t>
      </w:r>
      <w:r>
        <w:rPr>
          <w:rStyle w:val="FootnoteAnchor"/>
          <w:rtl w:val="true"/>
        </w:rPr>
        <w:footnoteReference w:id="1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یرد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غیر المجتهد التقلید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 محمّدرضا الگلپایگانی، محمّد الشیرازی، 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یعمل بالاحتیاط أو لم یتمکّن منه، کما إذا تردّد مال بین صغیرین أو مجنونین أو صغیر ومجنون، فإنّ الاحتیاط فی مثل ذلک متعذّر، فلابدّ له من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من أهل العلم</w:t>
      </w:r>
      <w:r>
        <w:rPr>
          <w:rFonts w:eastAsia="IRNazanin" w:cs="IRNazanin"/>
          <w:color w:val="111111"/>
          <w:sz w:val="28"/>
          <w:szCs w:val="28"/>
          <w:rtl w:val="true"/>
          <w:lang w:bidi="fa-IR"/>
        </w:rPr>
        <w:t>.</w:t>
      </w:r>
    </w:p>
    <w:p>
      <w:pPr>
        <w:pStyle w:val="Heading3"/>
        <w:numPr>
          <w:ilvl w:val="2"/>
          <w:numId w:val="1"/>
        </w:numPr>
        <w:rPr/>
      </w:pPr>
      <w:bookmarkStart w:id="67" w:name="__RefHeading___Toc1636420_2322387425"/>
      <w:bookmarkStart w:id="68" w:name="_Toc22"/>
      <w:bookmarkEnd w:id="67"/>
      <w:r>
        <w:rPr>
          <w:rtl w:val="true"/>
        </w:rPr>
        <w:t>ما یعرف به اجتهاد المجتهد</w:t>
      </w:r>
      <w:bookmarkEnd w:id="6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یُعرف اجتهاد المجتهد بالعلم الوجدانی</w:t>
      </w:r>
      <w:r>
        <w:rPr>
          <w:rStyle w:val="FootnoteAnchor"/>
          <w:rtl w:val="true"/>
        </w:rPr>
        <w:footnoteReference w:id="19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ما هو بمنزلته من العلم العادی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إذا کان المقلِّد من أهل الخبرة وعلم باجتهاد شخص، وکذا یُعرف بشهادة</w:t>
      </w:r>
    </w:p>
    <w:p>
      <w:pPr>
        <w:pStyle w:val="BookText"/>
        <w:rPr/>
      </w:pPr>
      <w:r>
        <w:rPr>
          <w:rFonts w:ascii="IRNazanin" w:hAnsi="IRNazanin" w:eastAsia="IRNazanin"/>
          <w:color w:val="111111"/>
          <w:sz w:val="28"/>
          <w:sz w:val="28"/>
          <w:szCs w:val="28"/>
          <w:rtl w:val="true"/>
          <w:lang w:bidi="fa-IR"/>
        </w:rPr>
        <w:t>عدلین</w:t>
      </w:r>
      <w:r>
        <w:rPr>
          <w:rStyle w:val="FootnoteAnchor"/>
          <w:rtl w:val="true"/>
        </w:rPr>
        <w:footnoteReference w:id="1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ثبوته بشهادة عدل واحد، بل بشهادة ثقة أیضاً مع فقد المعارض، وکذا الأعلمیّة والعدالة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یحتمل الاکتفاء فیه وفیما بعده بشهادة عدل واحد، بل شهادة ثقة وإن لم یکن عادلاً، ویراعی ما هو مقتضی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بثقة واحد فی کلا الموردین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العدل الواحد، وکذا الأعلمیّة تعرف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أهل الخبرة إذا لم تکن معارضة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بشهادة آخرین مـن أهل الخبرة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ینفیان عنه الاجتهاد، وکذا یُعرف بالشیاع المفید للعلم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جعله قسیماً للأوّل نوع تساهلٍ من قلمه الشریف السیّال، والخطب سهلٌ بعد وضوح المراد، ثمّ الأقوی کفایة الوثوق الحاصل بالشیاع، ولکن للتأمّل فی کفایة الشیاع لإثبات هذه الشؤون مجالاً متّسعاً ورحباً فسیحاً بعد ما تری من مناشئه فی هذا العصر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یجزی الاطمئنان العقلائی فی جمیع ذلک، ولکن لا یعتمد علی کلّ شیاع، بل لابدّ من التأمّل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الاطمئنان فی کلا الموردین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وکذا الأعلمیّة تُعرف</w:t>
      </w:r>
      <w:r>
        <w:rPr>
          <w:rStyle w:val="FootnoteAnchor"/>
          <w:rtl w:val="true"/>
        </w:rPr>
        <w:footnoteReference w:id="193"/>
      </w:r>
      <w:r>
        <w:rPr>
          <w:rFonts w:ascii="IRNazanin" w:hAnsi="IRNazanin" w:eastAsia="IRNazanin"/>
          <w:color w:val="111111"/>
          <w:sz w:val="28"/>
          <w:sz w:val="28"/>
          <w:szCs w:val="28"/>
          <w:rtl w:val="true"/>
          <w:lang w:bidi="fa-IR"/>
        </w:rPr>
        <w:t>بالعلم أو البیّنة غیر المعارضَة، أو الشیاع المفید للعلم</w:t>
      </w:r>
      <w:r>
        <w:rPr>
          <w:rStyle w:val="FootnoteAnchor"/>
          <w:rtl w:val="true"/>
        </w:rPr>
        <w:footnoteReference w:id="1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یتوجّه إلیه جمیع ما أشرنا إلیه فی ثبوت الاجتهاد به حرفاً بحرف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ثبوتهما بشهادة رجل واحد من أهل الخبرة إذا کان ثقة، ومع التعارض یؤخذ بقول من کان منهما أکثر خبرة، وهذا لا ینافی ما لو قلنا بعدم حجّیّة قول العادل؛ لأنّ الشخص قد یکون محکوماً بالعدالة ظاهراً، ولکن لا یحصل الاطمئنان والوثوق بقوله، وقد یکون اجتهاد مجتهد أو أعلمیّته متسالماً علیه عند کثیر من الناس، بحیث یحصل له الیقین أو الاطمئنان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کان مجتهدان</w:t>
      </w:r>
      <w:r>
        <w:rPr>
          <w:rStyle w:val="FootnoteAnchor"/>
          <w:rtl w:val="true"/>
        </w:rPr>
        <w:footnoteReference w:id="1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المسألة صورٌ تظهر هی وحکمها بالتأمّل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یمکن تحصیل العلـم بأعلمیّة أحدهما ولا البیّنة ، فإن حصل الظنّ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بأعلمیّة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أثر للظنّ، والظاهر أنّ احتمال التساوی فی حکم القطع به، وقدمرّ حکمه، وأمّا مع العلم بأعلمیّة أحدهما فسیأتی حکمه فی المسألة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Style w:val="FootnoteAnchor"/>
          <w:rtl w:val="true"/>
        </w:rPr>
        <w:footnoteReference w:id="196"/>
      </w:r>
      <w:r>
        <w:rPr>
          <w:rFonts w:ascii="IRNazanin" w:hAnsi="IRNazanin" w:eastAsia="IRNazanin"/>
          <w:color w:val="111111"/>
          <w:sz w:val="28"/>
          <w:sz w:val="28"/>
          <w:szCs w:val="28"/>
          <w:rtl w:val="true"/>
          <w:lang w:bidi="fa-IR"/>
        </w:rPr>
        <w:t>تعیّن تقلیده</w:t>
      </w:r>
      <w:r>
        <w:rPr>
          <w:rStyle w:val="FootnoteAnchor"/>
          <w:rtl w:val="true"/>
        </w:rPr>
        <w:footnoteReference w:id="1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الابتداء، أمّا العدول إلی من ظنّ أو احتمل أعلمیّته فالاحتیاط فی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احتمال أعلمیّة غیره، وإلاّ فاتّباع الظنّ بالترجیح نظر، بل العقل یحکم بالتخییر فی الأخذ بأیّ واحد منهما، اللهمّ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یدّعی بأنّ مظنون الأعلمیّة رأیه أقرب إلی الواقع ما لم یکن قول غیره مطابقاً للاحتیاط فیتبع حینئذٍ أحوطهما، فتأمّل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بالشروط المتقدّمة فی تقلید الأعلم، وکذلک فی الصورة التالیة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حجیّة الظنّ، بل الظاهر لزوم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مساغ للعمل بالظنّ، بل الأحوط لو لم یکن الأقوی الأخذ بأحوط الأقوال فی صورة مخالفتها، والتخییر فی صورة التساوی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 مع عدم العلم بالمخالفة یتخیّر فی تقلید أیّهما شاء، ومع العلم بها ولو إجمالاً یأخذ بأحوط القولین، ولا اعتبار بالظنّ بالأعلمیّة فضلاً عن احتمالها، هذا فیما إذا أمکن الأخذ بأحوطهما، وإلاّ وجب تقلید من یظنّ أعلمیّته أو یختصّ باحتمال الأعلمیّة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احتمال أعلمیّة الآخر، وإلاّ فالأحوط الأخذ بأحوط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قول أحدهما موافقاً للاحتیاط یؤخذ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لو کان فی أحدهما احتمال الأعلمیّة</w:t>
      </w:r>
      <w:bookmarkStart w:id="69" w:name="pg13272_142782"/>
    </w:p>
    <w:p>
      <w:pPr>
        <w:pStyle w:val="BookText"/>
        <w:rPr/>
      </w:pPr>
      <w:bookmarkEnd w:id="69"/>
      <w:r>
        <w:rPr>
          <w:rFonts w:ascii="Amiri" w:hAnsi="Amiri" w:eastAsia="Amiri" w:cs="Amiri"/>
          <w:color w:val="111111"/>
          <w:sz w:val="28"/>
          <w:sz w:val="28"/>
          <w:szCs w:val="28"/>
          <w:rtl w:val="true"/>
          <w:lang w:bidi="ar-SA"/>
        </w:rPr>
        <w:t>یُقدّم</w:t>
      </w:r>
      <w:r>
        <w:rPr>
          <w:rStyle w:val="FootnoteAnchor"/>
          <w:rtl w:val="true"/>
        </w:rPr>
        <w:footnoteReference w:id="198"/>
      </w:r>
      <w:r>
        <w:rPr>
          <w:rFonts w:ascii="IRNazanin" w:hAnsi="IRNazanin" w:eastAsia="IRNazanin"/>
          <w:color w:val="111111"/>
          <w:sz w:val="28"/>
          <w:sz w:val="28"/>
          <w:szCs w:val="28"/>
          <w:rtl w:val="true"/>
          <w:lang w:bidi="fa-IR"/>
        </w:rPr>
        <w:t>، کما إذا علم أنّهما إمّا متساویان أو هذا المعیّن أعلم، ولا یحتمل أعلمیّة الآخر</w:t>
      </w:r>
      <w:r>
        <w:rPr>
          <w:rStyle w:val="FootnoteAnchor"/>
          <w:rtl w:val="true"/>
        </w:rPr>
        <w:footnoteReference w:id="199"/>
      </w:r>
      <w:r>
        <w:rPr>
          <w:rFonts w:ascii="IRNazanin" w:hAnsi="IRNazanin" w:eastAsia="IRNazanin"/>
          <w:color w:val="111111"/>
          <w:sz w:val="28"/>
          <w:sz w:val="28"/>
          <w:szCs w:val="28"/>
          <w:rtl w:val="true"/>
          <w:lang w:bidi="fa-IR"/>
        </w:rPr>
        <w:t>، فالأحوط</w:t>
      </w:r>
      <w:r>
        <w:rPr>
          <w:rStyle w:val="FootnoteAnchor"/>
          <w:rtl w:val="true"/>
        </w:rPr>
        <w:footnoteReference w:id="2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موافقة قوله للاحتیاط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فی صورة العلم بالمخالفة فیأخذ بأحوط القولین، وأمّا فی غیر هذه الصورة فیتخیّر بینهما فی جمیع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لکن ما ذُکر کلّه فیما لم یعلم إجمالاً بأعلمیّة أحدهما، وإلاّ فلو کانا مختلفین فی الفتوی فی المسائل المبتلی بها وجب أن یحتاط بین قولیهما، ولا أثر لتعیینه بالظنّ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عند اختلاف الرأی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یحتمل أعلمیّته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 w:name="__RefHeading___Toc1636422_2322387425"/>
      <w:bookmarkStart w:id="71" w:name="_Toc23"/>
      <w:bookmarkEnd w:id="70"/>
      <w:r>
        <w:rPr>
          <w:rtl w:val="true"/>
        </w:rPr>
        <w:t>یشترط فی المجتهد أمور</w:t>
      </w:r>
      <w:bookmarkEnd w:id="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یشترط</w:t>
      </w:r>
      <w:r>
        <w:rPr>
          <w:rStyle w:val="FootnoteAnchor"/>
          <w:rtl w:val="true"/>
        </w:rPr>
        <w:footnoteReference w:id="201"/>
      </w:r>
      <w:r>
        <w:rPr>
          <w:rFonts w:ascii="IRNazanin" w:hAnsi="IRNazanin" w:eastAsia="IRNazanin"/>
          <w:color w:val="111111"/>
          <w:sz w:val="28"/>
          <w:sz w:val="28"/>
          <w:szCs w:val="28"/>
          <w:rtl w:val="true"/>
          <w:lang w:bidi="fa-IR"/>
        </w:rPr>
        <w:t>فی المجتهد اُمور</w:t>
      </w:r>
      <w:r>
        <w:rPr>
          <w:rStyle w:val="FootnoteAnchor"/>
          <w:rtl w:val="true"/>
        </w:rPr>
        <w:footnoteReference w:id="2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اشتراط هذه الاُمور بأجمعها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اعتبار بعض تلک الاُمور تأمّلٌ، ثمّ إنّ هناک اُموراً اُخر قیل باعتبارها فیه، کعدم کونه کثیر التبدّل فی الرأی، وعدم کونه حسن الظنّ بعلمه، معجباً بنفسه فی العلمیّات بحیث یصدّه ذلک عن البحث والتنقیب والغور والدقّة وإعمال النظر فی مستند الحکم، وعدم کونه بلیداً غیر متفطّن بمعاضل المسائل، وعدم کونه معوجّ السلیقة، وعدم کونه متسرّعاً إلی الفتوی، وعدم کونه لجوجاً عنوداً، وعدم کونه مفرطاً مِکثاراً فی الاحتیاطات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غیر ذلک، وتفصیل هذه الشروط وما یتوجّه علی القول باعتبارها موکولٌ إلی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مضافاً إلی ما ذکره الماتن یشترط الضبط، بمعنی أن لا یقل ضبطه عن المتعارف، وأن لا یعرف بفسقٍ سابق وإن صار عادلاً حال تقلیده، نعم إذا تاب وصار عادلاً یجوز تقلیده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أی فی حجّیّة فتواه لغیره، واعتبار بعض هذه الاُمور مبنیٌّ علی الاحتیاط، وقد ظهر الأمر فی بعضها ممّا سبق، ومنه یظهر الحال فی المسألة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البلوغ</w:t>
      </w:r>
      <w:r>
        <w:rPr>
          <w:rStyle w:val="FootnoteAnchor"/>
          <w:rtl w:val="true"/>
        </w:rPr>
        <w:footnoteReference w:id="2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یصحّ التقلید من الصبیّ الممیّز، فإذا مات المجتهد الّذی قلّده الصبیّ قبل بلوغه جاز له البقاء علی تقلیده، بل لا یجوز له أن یعدل عنه إلی غیره إلاّ إذا کان الثانی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والعقل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والإیمان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وأن یکون اثنی عشریّاً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والعدالة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والرجولیّة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والحرّیّة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لاعتبارها إلاّ بعض الوجوه الاستحسانیّة الّتی لا اعتبار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اعتبارها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مستند لها سوی بعض الوجوه الاستحسانیّة الّتی لا اعتداد بها فی الفقاهة، فالأقوی عدم اعتبارها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قول</w:t>
      </w:r>
      <w:r>
        <w:rPr>
          <w:rStyle w:val="FootnoteAnchor"/>
          <w:rtl w:val="true"/>
        </w:rPr>
        <w:footnoteReference w:id="2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ذلک القول ضعیف؛ إذْ لا دلیل علی اعتبارها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غیر 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مستند إلی دلیلٍ معتبر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وکونه مجتهداً 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یجوز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تقلید المتجزّی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جواز تقلیده فیما اجتهد فیه مـع فقد المجتهد المطلق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الجواز فیما إذا عرف مقداراً معتدّاً به من الأحکام، ولم یحرز مخالفة فتواه لفتوی الأعلم، أو لم یکن غیره أعلم منه فی ذلک المقدار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وجود المجتهد المطلق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منع تقلید المتجزّی، خصوصاً إذا کان فی الباب الّذی اجتهد فیه أعلم من غیره فی غایة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تقلیده، بل وجوبه فیما لو کان أعلم من غیره فی ذلک المقدار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المطلق موجوداً ولم یکن المتجزّی فی نفس هذا البعض أعلم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تقلیده فیما اجتهد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تقلیده فیما استنبطه، کما هو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تقلید المتجزّی إذا کان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مانع من تقلیده فیما اجتهد، بل هو الأحوط إن کان فیه أعلم أو لم یوجد المطلق، نعم لا یحصل العلم بأعلمیّته غالباً، بل وصحّة اجتهاده فی قبال المجتهد المطلق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الإطلاق 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الّذی یقدر علی استنباط الحکم الشرعی فی بعض الفروع دون بعضها، بخلاف المطلق وهو الّذی یتمکّن من الاستنباط فی جمیع أبواب الفقه، نعم یجوز للمتجزّی أن یعمل بفتوی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والحیاة، فلا یجوز تقلید المیّت</w:t>
      </w:r>
      <w:r>
        <w:rPr>
          <w:rStyle w:val="FootnoteAnchor"/>
          <w:rtl w:val="true"/>
        </w:rPr>
        <w:footnoteReference w:id="205"/>
      </w:r>
      <w:r>
        <w:rPr>
          <w:rFonts w:ascii="IRNazanin" w:hAnsi="IRNazanin" w:eastAsia="IRNazanin"/>
          <w:color w:val="111111"/>
          <w:sz w:val="28"/>
          <w:sz w:val="28"/>
          <w:szCs w:val="28"/>
          <w:rtl w:val="true"/>
          <w:lang w:bidi="fa-IR"/>
        </w:rPr>
        <w:t>ابتداءً، نعم یجوز البقاء</w:t>
      </w:r>
      <w:r>
        <w:rPr>
          <w:rStyle w:val="FootnoteAnchor"/>
          <w:rtl w:val="true"/>
        </w:rPr>
        <w:footnoteReference w:id="2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فی بعض الصور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مرَّ منّا عدم الجواز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تقی الخونساری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الأظهر عدم الجواز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فی المسائل الّتی عمل بها أم لم یعمل وسواء تعلّم فتواه أم لم یتعلّم، وسواء کان ذاکراً لها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وأن یکون أعلم</w:t>
      </w:r>
      <w:r>
        <w:rPr>
          <w:rStyle w:val="FootnoteAnchor"/>
          <w:rtl w:val="true"/>
        </w:rPr>
        <w:footnoteReference w:id="2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لیست الأعلمیّة شرطاً فی جواز تقلید المجتهد المطلق، بل الشرط أن لا یکون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فتواه مخالفاً لفتوی من هو أعلم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أنّه فی صورة العلم باختلافهما فی ذلک الحکم الّذی یقلِّد فیه، نعم إذا احتمل اختلافهما فالأحوط تقلید الأعلم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اختلاف فتواه فتوی المفضول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التأمّل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لیست الأعلمیّة شرطاً للتقلید، نعم الأحوط الأخذ بقول الأعلم إذا خالف قوله قول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فلا یجوز 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علی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الأقوی وجوب تقلید الأفضل، ومع وجوده لا یجوز تقلید المفضول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الأظهر مع العلم بالمخالفة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مع العلم بالمخالفة أو احتمالها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المفضول مع التمکّن من الأفضل ، وأن لا یکون متولّداً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مـن الزنا ، وأن لا یکون مقبلاً</w:t>
      </w:r>
      <w:r>
        <w:rPr>
          <w:rStyle w:val="FootnoteAnchor"/>
          <w:rtl w:val="true"/>
        </w:rPr>
        <w:footnoteReference w:id="2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لزوم مراعاة هذا الشرط وإن کان أحوط، لإفضاء الأفعال المذکورة‌إلی الفسق غالباً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الدنیا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أعثر علی دلیل اعتبار الورع فی المقلَّد زائداً علی العدالة، والروایة المذکورة لا یستفاد منها أکثر من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من ذلک هو المقدار الّذی یعتبر فی العدالة، والخبر لا یدلّ علی أزید من ذلک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الصفات المذکورة فی روایة الاحتجاج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لیست إلاّ عبارة عن عدالته وتقواه، لا شرطاً زائداً علی العدالة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الظاهر من الآیات والأخبار أنّ المراد بالهوی هوی العصیان، لا مطلق المیل إلی المشتهیات وإن کانت مباحة، وحینئذٍ فالمعتبر المستفاد من الخبر هو العدالة، وما ذکره قدس‌سره هو الزهد ولیس بمعتبر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کلامه قدس‌سره أنّ هذا شرط آخر غیر العدالة، مع أنّ الخبر لا یدلّ علی أکثر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اعتباره زائداً علی العدالة إشکال، والروایة بصدد بیان مرتبة کاملة من العدالة، ومعلوم أنّها مقولة بالتشکیک کغالب الصفات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الصفات المذکورة فی الخبر عبارة اُخری عن العدالة، فیغنی اعتبار العدالة عن اعتبارها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بحیث ینسیه هول المطَّلَع ویوقعه فی المهالک، فلا وجه لذکره بعد اعتبار العدالة واشتراطها، وإن کان المراد به شیئاً زائداً علی العدالة کالزهد البالغ والورع الأکید فلا دلیل علی اعتباره، سوی ما توهّم من الخبر المرویّ فی التفسیر المنسوب إلی الإمام علیه‌السلام ،وسبیل الخدشة إلیه مفتوح سنداً ودلالةً، کما بُیّن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یضرّ بعدالته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بما ینافی العدالة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وجه یکون مضرّاً بعدالته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یوجب سلب عدالته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والاتّصاف بهذه العناوین أمرٌ زائد علی العدالة، والأحوط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وطالباً لها</w:t>
      </w:r>
      <w:r>
        <w:rPr>
          <w:rStyle w:val="FootnoteAnchor"/>
          <w:rtl w:val="true"/>
        </w:rPr>
        <w:footnoteReference w:id="209"/>
      </w:r>
      <w:r>
        <w:rPr>
          <w:rFonts w:ascii="Amiri" w:hAnsi="Amiri" w:eastAsia="Amiri" w:cs="Amiri"/>
          <w:color w:val="111111"/>
          <w:sz w:val="28"/>
          <w:sz w:val="28"/>
          <w:szCs w:val="28"/>
          <w:rtl w:val="true"/>
          <w:lang w:bidi="ar-SA"/>
        </w:rPr>
        <w:t>، مکبّاً علیها</w:t>
      </w:r>
      <w:r>
        <w:rPr>
          <w:rStyle w:val="FootnoteAnchor"/>
          <w:rtl w:val="true"/>
        </w:rPr>
        <w:footnoteReference w:id="2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والمکبّ علی الدنیا والمقبل علیها ولو بنحو الحلال، بحیث یری الناس الإقبال علی الدنیا منافیاً لتولّی المناصب الدینیّة والزعامة الشرعیّة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مجدّاً فی تحصیلها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ففی</w:t>
      </w:r>
      <w:bookmarkStart w:id="72" w:name="pg13272_142789"/>
    </w:p>
    <w:p>
      <w:pPr>
        <w:pStyle w:val="BookText"/>
        <w:rPr/>
      </w:pPr>
      <w:bookmarkEnd w:id="72"/>
      <w:r>
        <w:rPr>
          <w:rFonts w:ascii="IRNazanin" w:hAnsi="IRNazanin" w:eastAsia="IRNazanin"/>
          <w:color w:val="111111"/>
          <w:sz w:val="28"/>
          <w:sz w:val="28"/>
          <w:szCs w:val="28"/>
          <w:rtl w:val="true"/>
          <w:lang w:bidi="fa-IR"/>
        </w:rPr>
        <w:t>الخبر</w:t>
      </w:r>
      <w:r>
        <w:rPr>
          <w:rStyle w:val="FootnoteAnchor"/>
          <w:rtl w:val="true"/>
        </w:rPr>
        <w:footnoteReference w:id="2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الخبر لیس فی التقلید فی الفروع، ولا یدلّ علی أکثر من اعتبار 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رجوع هذه الصفات إلی معنی العدالة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الفقهاء صائناً لنفسه، حافظاً لدینه، مخالفاً لهواه، مطیعاً لأمر مولاه، فللعوام أن یقلّدوه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المصدر السابق وانظر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27/131</w:t>
      </w:r>
      <w:r>
        <w:rPr>
          <w:rFonts w:ascii="IRNazanin" w:hAnsi="IRNazanin" w:eastAsia="IRNazanin"/>
          <w:color w:val="111111"/>
          <w:sz w:val="28"/>
          <w:sz w:val="28"/>
          <w:szCs w:val="28"/>
          <w:rtl w:val="true"/>
          <w:lang w:bidi="fa-IR"/>
        </w:rPr>
        <w:t xml:space="preserve">، أبواب صفات القاضی، الباب،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Heading3"/>
        <w:numPr>
          <w:ilvl w:val="2"/>
          <w:numId w:val="1"/>
        </w:numPr>
        <w:rPr/>
      </w:pPr>
      <w:bookmarkStart w:id="73" w:name="__RefHeading___Toc1636424_2322387425"/>
      <w:bookmarkStart w:id="74" w:name="_Toc24"/>
      <w:bookmarkEnd w:id="73"/>
      <w:r>
        <w:rPr>
          <w:rtl w:val="true"/>
        </w:rPr>
        <w:t>تعریف العدالة</w:t>
      </w:r>
      <w:bookmarkEnd w:id="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العـدالة عبـارة</w:t>
      </w:r>
      <w:r>
        <w:rPr>
          <w:rStyle w:val="FootnoteAnchor"/>
          <w:rtl w:val="true"/>
        </w:rPr>
        <w:footnoteReference w:id="212"/>
      </w:r>
      <w:r>
        <w:rPr>
          <w:rFonts w:ascii="IRNazanin" w:hAnsi="IRNazanin" w:eastAsia="IRNazanin"/>
          <w:color w:val="111111"/>
          <w:sz w:val="28"/>
          <w:sz w:val="28"/>
          <w:szCs w:val="28"/>
          <w:rtl w:val="true"/>
          <w:lang w:bidi="fa-IR"/>
        </w:rPr>
        <w:t>عـن ملکـة</w:t>
      </w:r>
      <w:r>
        <w:rPr>
          <w:rStyle w:val="FootnoteAnchor"/>
          <w:rtl w:val="true"/>
        </w:rPr>
        <w:footnoteReference w:id="2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الحریّ بالقبول بعد التدبّر فی الکتاب والسنّة وموارد استعمالها فیهما وانتفاء الحقیقة الشرعیّة فیها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الاستقامة الراسخة العملیّة فی طریقة الشرع الغیر المتخطّی منها، الباعثة المستمرّة علی ترک المحرّمات وإتیان الواجبات، المنبعثة عن الرادع الإلهی والخوف منه سبحانه أو رجاء مثوباته، لا المنبعث عن الفضائل النفسانیّة المعبّر عنه عند علماء الأخلاق بتعدیل القوی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الإدراک والغضب والشهوة تارةً، وبانقیاد العقل العملی للقوّة العاقلة فی إعمال القوّتین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الشهوة والغضب اُخری، إذ هی درجة فی غایة الشموخ وفوق العدالة، ولا المنبعث عن إحدی الدواعی النفسانیّة والهواجس الشیطانیّة، کالریاء وأخواتها، نعوذ باللّه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الداعی لإتیان المأمور به وترک المنهیّ عنه إحدی هذه الرذائل، وعدم کون الفعل والترک کذلک من العدالة من البدیهیّات، إذا دریت هذا علمت أنّ الاستقامة المؤقّتة لانبعاثها عن الخوف الاتّفاقی لیست من مصادیق العدالة، کما أنّ ارتکاب المنهیّ أو ترک المأمور به اتفاقاً إذا ندم وتاب فوراً غیر منافٍ لعود تلک الاستقامة الراسخة الّتی ذکرناها؛ لإمکان غلبة مزاحمها من القوّتین، وقد ظهر بالتأمّل فی مطاوی ما حرّرناه وجود الواسطة بین العدالة والفسق، کما ظهر عدم مدخلیة ترک منافیات المروّة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عُدّ الإتیان بها موجباً لصدق المعصیة ولو بالعناوین الثانویّة، لکان المخالف عاصیاً للّه تعالی، وأمّا الصغائر فیعلم حکمها فی صورتی الإصرار وعدمه من التأمّل فیما أسلفناه، وستأتی الإشارة منّا إلی بعض هذه المباحث فی کتاب الصلاة فی شرائط إمام الجماعة إن شاء اللّه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الاستقامة فی الدین بباعث دینی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عبارة عن کون الشخص علی الجادّة المستقیمة الشرعیّة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عن ملکة ثابتة راسخة موجبة لملازمة التقوی بإتیان الواجبات وترک المحرّمات، فهی مقتضیة للمنع عن صدور المعاصی صغیرة کانت أو کبیرة غالباً، فلا یضرّ فی وجودها وقوع المعصیة نادراً لأجل غلبة الشهوة والغضب، ولعلّ تعبیر بعضهم بالاستقامة فی الدین بباعث دینی ناظر إلی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هی الاستقامة العملیّة فی جادّة الشریعة المقدّسة الناشئة غالباً عن خوف راسخ فی النفس، وینافیها ترک واجب أو فعل حرام من دون 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إتیـان الواجبات</w:t>
      </w:r>
    </w:p>
    <w:p>
      <w:pPr>
        <w:pStyle w:val="BookText"/>
        <w:rPr/>
      </w:pPr>
      <w:r>
        <w:rPr>
          <w:rFonts w:ascii="IRNazanin" w:hAnsi="IRNazanin" w:eastAsia="IRNazanin"/>
          <w:color w:val="111111"/>
          <w:sz w:val="28"/>
          <w:sz w:val="28"/>
          <w:szCs w:val="28"/>
          <w:rtl w:val="true"/>
          <w:lang w:bidi="fa-IR"/>
        </w:rPr>
        <w:t>وترک المحرّمات</w:t>
      </w:r>
      <w:r>
        <w:rPr>
          <w:rStyle w:val="FootnoteAnchor"/>
          <w:rtl w:val="true"/>
        </w:rPr>
        <w:footnoteReference w:id="2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أنّها عبارة عن القیام بالوظائف الدینیّة من الإتیان بالواجبات وترک المحرّمات، وعدم التعدّی عن حدود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عبارة عن الاستقامة العملیّة علی جادّة الشرع وعدم الانحراف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وتُعرف بحسن الظاهر الکاشف</w:t>
      </w:r>
      <w:r>
        <w:rPr>
          <w:rStyle w:val="FootnoteAnchor"/>
          <w:rtl w:val="true"/>
        </w:rPr>
        <w:footnoteReference w:id="2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أحرز الحُسن بالمعاشرة أم بغیرها، ثمّ الحسن کذلک أمارة تکشف عن حسن الباطن والعدالة الواقعیّة تعبّداً، ولو لم یحصل العلم ولا الوثوق؛ وإن کان الأحوط إفادتها 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یعتبر فی أماریّة حسن الظاهر الکشف الظنّی فضلاً عن العلمی، بل الظاهر أنّها أمارة تعبّدیّة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علماً أو ظنّاً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وکون حسن الظاهر کاشفاً تعبّدیّاً غیر بعید،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حُسن الظاهر طریق تعبّدی إلی ثبوت الملکة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اطمئنانیّاً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الظنّ، بل لابدّ من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الظنّ لا دلیل علیه، نعم الظنّ الاطمئنانی البالغ إلی سکون النفس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کفایة حسن الظاهر، ولو لم یفد العلم أو 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کون حسن الظاهر کاشفاً تعبّدیّاً عن العدالة، ولا یعتبر فیه حصول الظنّ فضلاً عن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اطمئنانیّاً علی الأقوی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حسن الظاهر علی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حُسن الظاهر کاشف عن العدالة وطریق مجعول شرعاً إلیها، وإن لم یفد 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حسن الظاهر ولو لم یفد العلم أو الظنّ، ویکفی ثبوته بالبیّنة أو العلم أو الاطمئنان کأصل العدالة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وتثبت</w:t>
      </w:r>
    </w:p>
    <w:p>
      <w:pPr>
        <w:pStyle w:val="BookText"/>
        <w:rPr/>
      </w:pPr>
      <w:r>
        <w:rPr>
          <w:rFonts w:ascii="IRNazanin" w:hAnsi="IRNazanin" w:eastAsia="IRNazanin"/>
          <w:color w:val="111111"/>
          <w:sz w:val="28"/>
          <w:sz w:val="28"/>
          <w:szCs w:val="28"/>
          <w:rtl w:val="true"/>
          <w:lang w:bidi="fa-IR"/>
        </w:rPr>
        <w:t>وعلی هذا حسن الظنّ یکفی فی الاعتماد علیه، سواء کان نوعیّاً أو شخصیّاً، ولکن یشکل ترتیب الأثر لمن حصل له حسن الظنّ علی نحوٍ لو التفت إلیه متعارف الناس لا یحصل لهم حسن الظنّ، والمراد به حسن المعاشرة والسلوک الدینی، بحیث صار معروفاً بالدیانة والصلاح، فلو سُئل الغیر عن حاله لأجاب بأنّه لم یُـرَ منه إلاّ خیراً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فیه إذا بلغ حدّ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بشهادة العدلین</w:t>
      </w:r>
      <w:r>
        <w:rPr>
          <w:rStyle w:val="FootnoteAnchor"/>
          <w:rtl w:val="true"/>
        </w:rPr>
        <w:footnoteReference w:id="2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أنّه لا یبعد ثبوتها بشهادة عدل واحد، بل بمطلق الثقة، وإن لم یکن عدلاً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تثبت أیضاً بالثقة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والعدل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ثبوته بقول شخصٍ یوجب قوله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وبالشیاع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المفید للعلم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الوثوق والاطمئنان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والمفید للظنّ کذلک إذا کان اطمئنانیّاً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أو الاطمئنان والوثوق لما مـرّ أ نّه یطلق علیه العلم العادی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 للمجتهد ما یوجب فقده للشرائط یجب</w:t>
      </w:r>
      <w:r>
        <w:rPr>
          <w:rStyle w:val="FootnoteAnchor"/>
          <w:rtl w:val="true"/>
        </w:rPr>
        <w:footnoteReference w:id="2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أفاده تام بالنسبة إلی ما یکون شرطاً حدوثاً وبقاءً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المقلِّد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العدول إلی غیره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یجوز البقاء علی رأیه فی فقدان أکثر الشرائط، أمّا فی فقدان الحیاة یجوز البقاء؛ لما مرّ من صحّة البقاء علی تقلید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من لم یکن</w:t>
      </w:r>
      <w:r>
        <w:rPr>
          <w:rStyle w:val="FootnoteAnchor"/>
          <w:rtl w:val="true"/>
        </w:rPr>
        <w:footnoteReference w:id="218"/>
      </w:r>
      <w:r>
        <w:rPr>
          <w:rFonts w:ascii="IRNazanin" w:hAnsi="IRNazanin" w:eastAsia="IRNazanin"/>
          <w:color w:val="111111"/>
          <w:sz w:val="28"/>
          <w:sz w:val="28"/>
          <w:szCs w:val="28"/>
          <w:rtl w:val="true"/>
          <w:lang w:bidi="fa-IR"/>
        </w:rPr>
        <w:t>جامعاً، ومضی علیه بُرهة من الزمان کان کمن لم یقلِّد</w:t>
      </w:r>
      <w:r>
        <w:rPr>
          <w:rStyle w:val="FootnoteAnchor"/>
          <w:rtl w:val="true"/>
        </w:rPr>
        <w:footnoteReference w:id="219"/>
      </w:r>
      <w:r>
        <w:rPr>
          <w:rFonts w:ascii="IRNazanin" w:hAnsi="IRNazanin" w:eastAsia="IRNazanin"/>
          <w:color w:val="111111"/>
          <w:sz w:val="28"/>
          <w:sz w:val="28"/>
          <w:szCs w:val="28"/>
          <w:rtl w:val="true"/>
          <w:lang w:bidi="fa-IR"/>
        </w:rPr>
        <w:t>أصلاً، فحاله</w:t>
      </w:r>
      <w:r>
        <w:rPr>
          <w:rStyle w:val="FootnoteAnchor"/>
          <w:rtl w:val="true"/>
        </w:rPr>
        <w:footnoteReference w:id="220"/>
      </w:r>
      <w:r>
        <w:rPr>
          <w:rFonts w:ascii="IRNazanin" w:hAnsi="IRNazanin" w:eastAsia="IRNazanin"/>
          <w:color w:val="111111"/>
          <w:sz w:val="28"/>
          <w:sz w:val="28"/>
          <w:szCs w:val="28"/>
          <w:rtl w:val="true"/>
          <w:lang w:bidi="fa-IR"/>
        </w:rPr>
        <w:t>حال الجاهل القاصر</w:t>
      </w:r>
      <w:r>
        <w:rPr>
          <w:rStyle w:val="FootnoteAnchor"/>
          <w:rtl w:val="true"/>
        </w:rPr>
        <w:footnoteReference w:id="22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المعذوریّة، وقد مرّ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المقصّر</w:t>
      </w:r>
      <w:r>
        <w:rPr>
          <w:rStyle w:val="FootnoteAnchor"/>
          <w:rtl w:val="true"/>
        </w:rPr>
        <w:footnoteReference w:id="2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حکم المسألة فی مسألة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نعم لو قلّده لأجل قیام البیّنة علی کونه جامعاً للشرائط ، فالحکم بعدم الإجزاء فی هذا المورد محلّ نظر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والأوّل فیما إذا کان تقلیده عن طریق شرعی تبیّن خطأه ، والثانی بخلافه ، ویختلفان فی المعذوریّة وعدمها ، وفی الإجزاء وعدمه ، فالأوّل یحکم بصحّة عمله فی بعـض مـوارد المخالفة ، وذلـک فیما إذا کان الإخلال بما لا یضرّ الإخلال به لعذر شرعیّ ، کالإخلال بغیر الأرکان من الصلاة ، والثانی لا یحکم بصحّة عمله عند المخالفة إلاّ إذا کان الإخلال بما لا یوجب البطلان ، إلاّ عن عمد کالجهر والإخفات فی الصلاة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السیستانی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w:t>
      </w:r>
      <w:r>
        <w:rPr>
          <w:rStyle w:val="FootnoteAnchor"/>
          <w:rtl w:val="true"/>
        </w:rPr>
        <w:footnoteReference w:id="223"/>
      </w:r>
      <w:r>
        <w:rPr>
          <w:rFonts w:ascii="Amiri" w:hAnsi="Amiri" w:eastAsia="Amiri" w:cs="Amiri"/>
          <w:color w:val="111111"/>
          <w:sz w:val="28"/>
          <w:sz w:val="28"/>
          <w:szCs w:val="28"/>
          <w:rtl w:val="true"/>
          <w:lang w:bidi="ar-SA"/>
        </w:rPr>
        <w:t>من یُحرِّم البقاء علی تقلید المیّت فمات، وقلَّد من یجوّز البقاء، له أن یبقی</w:t>
      </w:r>
      <w:r>
        <w:rPr>
          <w:rStyle w:val="FootnoteAnchor"/>
          <w:rtl w:val="true"/>
        </w:rPr>
        <w:footnoteReference w:id="224"/>
      </w:r>
      <w:r>
        <w:rPr>
          <w:rFonts w:ascii="IRNazanin" w:hAnsi="IRNazanin" w:eastAsia="IRNazanin"/>
          <w:color w:val="111111"/>
          <w:sz w:val="28"/>
          <w:sz w:val="28"/>
          <w:szCs w:val="28"/>
          <w:rtl w:val="true"/>
          <w:lang w:bidi="fa-IR"/>
        </w:rPr>
        <w:t>علی تقلید الأوّل فی جمیع المسائل إلاّ مسألة حرمة البقاء</w:t>
      </w:r>
      <w:r>
        <w:rPr>
          <w:rStyle w:val="FootnoteAnchor"/>
          <w:rtl w:val="true"/>
        </w:rPr>
        <w:footnoteReference w:id="225"/>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لاستلزام صحّـة بقائـه علی التقـلیـد الأوّل عـدم صحّتـه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 ..</w:t>
      </w:r>
      <w:bookmarkStart w:id="75" w:name="pg13272_142795"/>
    </w:p>
    <w:p>
      <w:pPr>
        <w:pStyle w:val="Heading3"/>
        <w:numPr>
          <w:ilvl w:val="2"/>
          <w:numId w:val="1"/>
        </w:numPr>
        <w:rPr/>
      </w:pPr>
      <w:bookmarkStart w:id="76" w:name="__RefHeading___Toc1636426_2322387425"/>
      <w:bookmarkStart w:id="77" w:name="_Toc25"/>
      <w:bookmarkEnd w:id="75"/>
      <w:bookmarkEnd w:id="76"/>
      <w:r>
        <w:rPr>
          <w:rtl w:val="true"/>
        </w:rPr>
        <w:t>وجوب العلم بأجزاء العبادات و شرائطها و موانعها و مقدماتها</w:t>
      </w:r>
      <w:bookmarkEnd w:id="7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2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بالمقدار الّذی یکون محلّ ابتلائه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شرط لإحراز الامتثال، لا لصحّة العمل، وممّا ذکرنا یظهر الحال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المکلّف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الوجوب طریقی وإرشادی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العلم بأجزاء العبادات وشرائطها وموانعها ومقدّماتها، ولو لم یعلمها لکن علم إجمالاً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 أیضاً مع مطابقته للواقع أو لرأی مجتهده، وحصول قصد القربة، ولو لم یعلم إجمالاً بالواجدیّة للأجزاء والشرائط والفاقدیّة للموانع حین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ولـو لـم یعلم إجمالاً أیضاً، وأتی رجاءً وطابق الواقع 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أتی به رجاءً وطابق الواقع صحّ، ولو لم یعلم إجمالاً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عمله واجد لجمیع الأجزاء والشرائط وفاقد للموانع صحّ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ما هو المختار من جواز مثل هذا الامتثال مع التمکّن من الامتثال التفصیلی، وعدم اعتبار غیر قصد القربة المتمشّی منه من قصد الوجه ونحوه، وکفایة کون العمل منتسباً إلی الباری تعالی شأنه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 إذا قصد القربة، ولو لم یعلمه إجمالاً، نعم إحراز الصحّة یحتاج إلی العلم ولو إجمالاً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أنّ له الاجتزاء به، وأمّا الصحّة الواقعیّة فلا تتوقّف علی ذلک، بل تکفی فیها بمطابقة العمل مع الواقع إذا تمشّی منه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یعلمها</w:t>
      </w:r>
      <w:bookmarkStart w:id="78" w:name="pg13272_142796"/>
    </w:p>
    <w:p>
      <w:pPr>
        <w:pStyle w:val="BookText"/>
        <w:rPr/>
      </w:pPr>
      <w:bookmarkEnd w:id="78"/>
      <w:r>
        <w:rPr>
          <w:rFonts w:ascii="Amiri" w:hAnsi="Amiri" w:eastAsia="Amiri" w:cs="Amiri"/>
          <w:color w:val="111111"/>
          <w:sz w:val="28"/>
          <w:sz w:val="28"/>
          <w:szCs w:val="28"/>
          <w:rtl w:val="true"/>
          <w:lang w:bidi="ar-SA"/>
        </w:rPr>
        <w:t>تفصیلاً</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 w:name="__RefHeading___Toc1636428_2322387425"/>
      <w:bookmarkStart w:id="80" w:name="_Toc26"/>
      <w:bookmarkEnd w:id="79"/>
      <w:r>
        <w:rPr>
          <w:rtl w:val="true"/>
        </w:rPr>
        <w:t>وجوب تعلم مسائل الشک و السهو</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228"/>
      </w:r>
      <w:r>
        <w:rPr>
          <w:rFonts w:ascii="Amiri" w:hAnsi="Amiri" w:eastAsia="Amiri" w:cs="Amiri"/>
          <w:color w:val="111111"/>
          <w:sz w:val="28"/>
          <w:sz w:val="28"/>
          <w:szCs w:val="28"/>
          <w:rtl w:val="true"/>
          <w:lang w:bidi="ar-SA"/>
        </w:rPr>
        <w:t>تعلّـم</w:t>
      </w:r>
      <w:r>
        <w:rPr>
          <w:rStyle w:val="FootnoteAnchor"/>
          <w:rtl w:val="true"/>
        </w:rPr>
        <w:footnoteReference w:id="229"/>
      </w:r>
      <w:r>
        <w:rPr>
          <w:rFonts w:ascii="IRNazanin" w:hAnsi="IRNazanin" w:eastAsia="IRNazanin"/>
          <w:color w:val="111111"/>
          <w:sz w:val="28"/>
          <w:sz w:val="28"/>
          <w:szCs w:val="28"/>
          <w:rtl w:val="true"/>
          <w:lang w:bidi="fa-IR"/>
        </w:rPr>
        <w:t>مسائل</w:t>
      </w:r>
      <w:r>
        <w:rPr>
          <w:rStyle w:val="FootnoteAnchor"/>
          <w:rtl w:val="true"/>
        </w:rPr>
        <w:footnoteReference w:id="230"/>
      </w:r>
      <w:r>
        <w:rPr>
          <w:rFonts w:ascii="IRNazanin" w:hAnsi="IRNazanin" w:eastAsia="IRNazanin"/>
          <w:color w:val="111111"/>
          <w:sz w:val="28"/>
          <w:sz w:val="28"/>
          <w:szCs w:val="28"/>
          <w:rtl w:val="true"/>
          <w:lang w:bidi="fa-IR"/>
        </w:rPr>
        <w:t>الشکّ والسهو بالمقدار الّذی هو محلّ الابتلاء غالباً</w:t>
      </w:r>
      <w:r>
        <w:rPr>
          <w:rStyle w:val="FootnoteAnchor"/>
          <w:rtl w:val="true"/>
        </w:rPr>
        <w:footnoteReference w:id="231"/>
      </w:r>
      <w:r>
        <w:rPr>
          <w:rFonts w:ascii="IRNazanin" w:hAnsi="IRNazanin" w:eastAsia="IRNazanin"/>
          <w:color w:val="111111"/>
          <w:sz w:val="28"/>
          <w:sz w:val="28"/>
          <w:szCs w:val="28"/>
          <w:rtl w:val="true"/>
          <w:lang w:bidi="fa-IR"/>
        </w:rPr>
        <w:t>، نعم لو اطمأنّ</w:t>
      </w:r>
      <w:r>
        <w:rPr>
          <w:rStyle w:val="FootnoteAnchor"/>
          <w:rtl w:val="true"/>
        </w:rPr>
        <w:footnoteReference w:id="2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لم یطمئنّ وقصد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ولو لم یطمئنّ إذا حصل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طابق عمله الواقع ولو مع الإتیان بوظائف الشکّ والسهو لصحّ وکفی، وإن لم یطمئنّ بأن لا یبتلی، نعم لو کان عدم الاطمئنان موجباً لفقد قصد القربة یبطل من هذه الجهة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نفسه أنّه</w:t>
      </w:r>
    </w:p>
    <w:p>
      <w:pPr>
        <w:pStyle w:val="BookText"/>
        <w:rPr/>
      </w:pPr>
      <w:r>
        <w:rPr>
          <w:rFonts w:ascii="Amiri" w:hAnsi="Amiri" w:eastAsia="Amiri" w:cs="Amiri"/>
          <w:color w:val="111111"/>
          <w:sz w:val="28"/>
          <w:sz w:val="28"/>
          <w:szCs w:val="28"/>
          <w:rtl w:val="true"/>
          <w:lang w:bidi="ar-SA"/>
        </w:rPr>
        <w:t>لا یُبتلی بالشکّ والسهو</w:t>
      </w:r>
      <w:r>
        <w:rPr>
          <w:rStyle w:val="FootnoteAnchor"/>
          <w:rtl w:val="true"/>
        </w:rPr>
        <w:footnoteReference w:id="233"/>
      </w:r>
      <w:r>
        <w:rPr>
          <w:rFonts w:ascii="Amiri" w:hAnsi="Amiri" w:eastAsia="Amiri" w:cs="Amiri"/>
          <w:color w:val="111111"/>
          <w:sz w:val="28"/>
          <w:sz w:val="28"/>
          <w:szCs w:val="28"/>
          <w:rtl w:val="true"/>
          <w:lang w:bidi="ar-SA"/>
        </w:rPr>
        <w:t>صحّ عمله</w:t>
      </w:r>
      <w:r>
        <w:rPr>
          <w:rStyle w:val="FootnoteAnchor"/>
          <w:rtl w:val="true"/>
        </w:rPr>
        <w:footnoteReference w:id="2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أیضاً ولو لم یکن له الاطمئنان المذکور إذا أتی بما هو موجب الشکّ أو السهو واقعاً، أو بحسب ما بحکمه مع تحقّق قصد القربة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فی صورة عدم اطمئنان الصحّة لو أتی به رجاءً وطابق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عمله إذا وافق الواقع أو فتوی من یقلِّده إذا حصل منه قصد التقرّب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صحّة عمله فی صورة احتمال الابتلاء أیضاً ، بل الصحّة غیر بعیدة لو أتی بالعمل مع الرجاء فی حال عدم الاطمئنان وطابق الواقع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مع احتمال الابتلاء أیضاً إذا لم یتحقّق الابتلاء به خارجاً، أو تحقّق ولکنّه قد أتی بوظیفة الشکّ أو السهو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لم یطمئنّ، لکن أتی برجاء عدم الشکّ فلم یتّفق، أو اتّفق وعمل بوظیفته برجاء المطابقة فاتّفق التطابق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لمطابقة عمله الواقع مع حصول قصد القربة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دخالة للاطمئنان المذکور فی الصحّة، بل یحکم بها إن لم یتحقّق الابتلاء، أو تحقّق مع عدم الإخلال بما یکون معتبراً فی الصحّة بلحاظ حاله من أحکام الشکّ والسهو دون ما لا دخل لها فیها، کالإتیان بسجدتَی السَهو فإنّ وجوبهما استقلالی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لم یحصّل العلم</w:t>
      </w:r>
      <w:bookmarkStart w:id="81" w:name="pg13272_142798"/>
    </w:p>
    <w:p>
      <w:pPr>
        <w:pStyle w:val="BookText"/>
        <w:rPr/>
      </w:pPr>
      <w:bookmarkEnd w:id="81"/>
      <w:r>
        <w:rPr>
          <w:rFonts w:ascii="IRNazanin" w:hAnsi="IRNazanin" w:eastAsia="IRNazanin"/>
          <w:color w:val="111111"/>
          <w:sz w:val="28"/>
          <w:sz w:val="28"/>
          <w:szCs w:val="28"/>
          <w:rtl w:val="true"/>
          <w:lang w:bidi="fa-IR"/>
        </w:rPr>
        <w:t>بأحکامهما</w:t>
      </w:r>
      <w:r>
        <w:rPr>
          <w:rStyle w:val="FootnoteAnchor"/>
          <w:rtl w:val="true"/>
        </w:rPr>
        <w:footnoteReference w:id="2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بالصحّة أیضاً مع احتمال الابتلاء ولم یتحقّق الابتلاء فی الخارج، أو تحقّق ولکنّه أتی بوظیفة السهو والشکّ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Heading3"/>
        <w:numPr>
          <w:ilvl w:val="2"/>
          <w:numId w:val="1"/>
        </w:numPr>
        <w:rPr/>
      </w:pPr>
      <w:bookmarkStart w:id="82" w:name="__RefHeading___Toc1636430_2322387425"/>
      <w:bookmarkStart w:id="83" w:name="_Toc27"/>
      <w:bookmarkEnd w:id="82"/>
      <w:r>
        <w:rPr>
          <w:rtl w:val="true"/>
        </w:rPr>
        <w:t>وجول التقلید فی المستحبات</w:t>
      </w:r>
      <w:bookmarkEnd w:id="8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مسـألـة </w:t>
      </w:r>
      <w:r>
        <w:rPr>
          <w:rFonts w:eastAsia="IRNazanin" w:cs="IRNazanin"/>
          <w:color w:val="111111"/>
          <w:sz w:val="28"/>
          <w:szCs w:val="28"/>
          <w:lang w:bidi="fa-IR"/>
        </w:rPr>
        <w:t>29</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کـمـا یـجـب التقلیـد</w:t>
      </w:r>
      <w:r>
        <w:rPr>
          <w:rStyle w:val="FootnoteAnchor"/>
          <w:rtl w:val="true"/>
        </w:rPr>
        <w:footnoteReference w:id="2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فـی الواجبـات والمحرّمات یجب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فـی المستحبّات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الضروریّات والیقینیّات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التقلید فی جمیع أفعاله وأعماله، إلاّ فی القطعیّات والضروریّات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ذکره قویّ، ولا وجه لاعتراض البعض فی المباحات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التقلید فیما لم یکن أحد أطراف الاحتمال حکماً إلزامیّاً محلّ إشکال من حیث العمل، وإن کان صحیحاً من حیث الالتزام والتشریع، ولیعلم أنّ الضروریّات والیقینیّات من الاُمور الثلاثة المذکورة خارجة عن محلّ الکلام، کخروجها فی الواجبات والمحرّمات، فراجع ما أسلفناه فی الحواشی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بیان الضابط فی المسألة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المستحبّات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الکتاب، لمّا کان ثبوتها یبتنی علی قاعدة التسامح فی أدلّة السنن، فلا بُدّ من عدم قصد الورود فی إتیانها، وکذا الحال فی المکروهات، وقد ترکنا التعلیق علی کثیر منها اختصاراً، کما لم نعلّق علی کثیر من أحکام العبید والإماء؛ لعدم الابتلاء بها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والمکروهات</w:t>
      </w:r>
    </w:p>
    <w:p>
      <w:pPr>
        <w:pStyle w:val="BookText"/>
        <w:rPr/>
      </w:pPr>
      <w:r>
        <w:rPr>
          <w:rFonts w:ascii="IRNazanin" w:hAnsi="IRNazanin" w:eastAsia="IRNazanin"/>
          <w:color w:val="111111"/>
          <w:sz w:val="28"/>
          <w:sz w:val="28"/>
          <w:szCs w:val="28"/>
          <w:rtl w:val="true"/>
          <w:lang w:bidi="fa-IR"/>
        </w:rPr>
        <w:t>والمباحات</w:t>
      </w:r>
      <w:r>
        <w:rPr>
          <w:rStyle w:val="FootnoteAnchor"/>
          <w:rtl w:val="true"/>
        </w:rPr>
        <w:footnoteReference w:id="2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دلیل علی الوجوب إذا علم بعدم الوجوب والحرمة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أحمد الخونساری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فی إحراز عدم وجوبها وحرمتها کسابقتیها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الاقتضائیّة منها علی الأقوی، وفی اللا اقتضائیّة منها 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وجوبه فیما أحرز عدم وجوبه، وعدم حرمته غیر معلوم، نعم یجب فی إحراز ذلک عند احتماله کما یحرم التشریع مع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کلّ ذلک إن لم یحصل له العلم والیقین بها، کما مرّ فی المسألة </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احتمل الوجوب أو 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یجب تعلّم حکم کلّ فعل یصدر منه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سواء کان من</w:t>
      </w:r>
    </w:p>
    <w:p>
      <w:pPr>
        <w:pStyle w:val="BookText"/>
        <w:rPr/>
      </w:pPr>
      <w:r>
        <w:rPr>
          <w:rFonts w:ascii="IRNazanin" w:hAnsi="IRNazanin" w:eastAsia="IRNazanin"/>
          <w:color w:val="111111"/>
          <w:sz w:val="28"/>
          <w:sz w:val="28"/>
          <w:szCs w:val="28"/>
          <w:rtl w:val="true"/>
          <w:lang w:bidi="fa-IR"/>
        </w:rPr>
        <w:t>العبادات أو المعاملات</w:t>
      </w:r>
      <w:r>
        <w:rPr>
          <w:rStyle w:val="FootnoteAnchor"/>
          <w:rtl w:val="true"/>
        </w:rPr>
        <w:footnoteReference w:id="238"/>
      </w:r>
      <w:r>
        <w:rPr>
          <w:rFonts w:ascii="IRNazanin" w:hAnsi="IRNazanin" w:eastAsia="IRNazanin"/>
          <w:color w:val="111111"/>
          <w:sz w:val="28"/>
          <w:sz w:val="28"/>
          <w:szCs w:val="28"/>
          <w:rtl w:val="true"/>
          <w:lang w:bidi="fa-IR"/>
        </w:rPr>
        <w:t>أو العادیّات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علم أنّ الفعل الفلانی لیس حراماً ، ولم یعلم أنّه واجب أو مباح أو مستحبّ أو مکروه ، یجوز له</w:t>
      </w:r>
      <w:r>
        <w:rPr>
          <w:rStyle w:val="FootnoteAnchor"/>
          <w:rtl w:val="true"/>
        </w:rPr>
        <w:footnoteReference w:id="2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یجب تعلّم الحکم، لکن ذلک حیث اُختیر جواز الامتثال الإجمالی فی العبادات مع التمکّن من التفصیلی، وإلاّ فیجب علیه الاجتهاد أو التقلید، ومع العجز عنهما یأتی به رجاءً کما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یأتی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أن یحتاط بإتیانه فی هذه الصورة، وبترکه فی الصورة الثانیة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به هو التخییر بین ذلک وبین الاستعلام،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علیه احتیاطاً ما لم یستعلم الحکم من المفتی، کما یتعیّن علیه الترک احتیاطاً فی الفرع الثانی قبل الاستعلام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لاحتمال کونه مطلوباً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وبرجاء الثواب ، وإذا علم أنّه لیس بواجب ولم یعلم أنّه حرام أو مکروه أو مباح له أن یترکه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لاحتمال کونه مبغوضاً </w:t>
      </w:r>
      <w:r>
        <w:rPr>
          <w:rFonts w:eastAsia="IRNazanin" w:cs="IRNazanin"/>
          <w:color w:val="111111"/>
          <w:sz w:val="28"/>
          <w:szCs w:val="28"/>
          <w:rtl w:val="true"/>
          <w:lang w:bidi="fa-IR"/>
        </w:rPr>
        <w:t>.</w:t>
      </w:r>
      <w:bookmarkStart w:id="84" w:name="pg13272_142801"/>
    </w:p>
    <w:p>
      <w:pPr>
        <w:pStyle w:val="Heading3"/>
        <w:numPr>
          <w:ilvl w:val="2"/>
          <w:numId w:val="1"/>
        </w:numPr>
        <w:rPr/>
      </w:pPr>
      <w:bookmarkStart w:id="85" w:name="__RefHeading___Toc1636432_2322387425"/>
      <w:bookmarkStart w:id="86" w:name="_Toc28"/>
      <w:bookmarkEnd w:id="84"/>
      <w:bookmarkEnd w:id="85"/>
      <w:r>
        <w:rPr>
          <w:rtl w:val="true"/>
        </w:rPr>
        <w:t>إذا تبدل رأی المجتهد</w:t>
      </w:r>
      <w:bookmarkEnd w:id="8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تبدّل رأی المجتهد</w:t>
      </w:r>
      <w:r>
        <w:rPr>
          <w:rStyle w:val="FootnoteAnchor"/>
          <w:rtl w:val="true"/>
        </w:rPr>
        <w:footnoteReference w:id="240"/>
      </w:r>
      <w:r>
        <w:rPr>
          <w:rFonts w:ascii="IRNazanin" w:hAnsi="IRNazanin" w:eastAsia="IRNazanin"/>
          <w:color w:val="111111"/>
          <w:sz w:val="28"/>
          <w:sz w:val="28"/>
          <w:szCs w:val="28"/>
          <w:rtl w:val="true"/>
          <w:lang w:bidi="fa-IR"/>
        </w:rPr>
        <w:t>لا یجوز</w:t>
      </w:r>
      <w:r>
        <w:rPr>
          <w:rStyle w:val="FootnoteAnchor"/>
          <w:rtl w:val="true"/>
        </w:rPr>
        <w:footnoteReference w:id="2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الرأی الأوّل موافقاً للاحتیاط، فیجوز البقاء بعنوانه لا بعنوان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للمقلِّد البقاء علی رأیه الأوّل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1636434_2322387425"/>
      <w:bookmarkStart w:id="88" w:name="_Toc29"/>
      <w:bookmarkEnd w:id="87"/>
      <w:r>
        <w:rPr>
          <w:rtl w:val="true"/>
        </w:rPr>
        <w:t>یجوز التبعیض فی المسائل</w:t>
      </w:r>
      <w:bookmarkEnd w:id="8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عدل المجتهد عن الفتوی إلی التوقّف والتردّد یجب علی المقلِّد</w:t>
      </w:r>
      <w:r>
        <w:rPr>
          <w:rStyle w:val="FootnoteAnchor"/>
          <w:rtl w:val="true"/>
        </w:rPr>
        <w:footnoteReference w:id="242"/>
      </w:r>
      <w:r>
        <w:rPr>
          <w:rFonts w:ascii="IRNazanin" w:hAnsi="IRNazanin" w:eastAsia="IRNazanin"/>
          <w:color w:val="111111"/>
          <w:sz w:val="28"/>
          <w:sz w:val="28"/>
          <w:szCs w:val="28"/>
          <w:rtl w:val="true"/>
          <w:lang w:bidi="fa-IR"/>
        </w:rPr>
        <w:t>الاحتیاط ، أو العدول إلی الأعلم</w:t>
      </w:r>
      <w:r>
        <w:rPr>
          <w:rStyle w:val="FootnoteAnchor"/>
          <w:rtl w:val="true"/>
        </w:rPr>
        <w:footnoteReference w:id="2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وجوب تقلید الأعلم بنحو الإطلاق، کما مرّ تفصیل ذلک فی المسألة التاسعة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المجتهد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علی تفصیلٍ تقدّم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هناک مجتهدان متساویان</w:t>
      </w:r>
      <w:r>
        <w:rPr>
          <w:rStyle w:val="FootnoteAnchor"/>
          <w:rtl w:val="true"/>
        </w:rPr>
        <w:footnoteReference w:id="244"/>
      </w:r>
      <w:r>
        <w:rPr>
          <w:rFonts w:ascii="IRNazanin" w:hAnsi="IRNazanin" w:eastAsia="IRNazanin"/>
          <w:color w:val="111111"/>
          <w:sz w:val="28"/>
          <w:sz w:val="28"/>
          <w:szCs w:val="28"/>
          <w:rtl w:val="true"/>
          <w:lang w:bidi="fa-IR"/>
        </w:rPr>
        <w:t>فی العلم کان</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للمقلِّد تقلید أیّهما شاء</w:t>
      </w:r>
      <w:r>
        <w:rPr>
          <w:rStyle w:val="FootnoteAnchor"/>
          <w:rtl w:val="true"/>
        </w:rPr>
        <w:footnoteReference w:id="2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العمل بما توافقا علیه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حکم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الاختلاف فی الفتوی، وأمّا فی صورة الاتفاق فیها فیجوز التقلید عن أحدهما أو عنهما معاً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حکم هذه المسألة بجمیع محتویاتها ممّا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ویجوز التبعیض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العمل الواحد لو کان کلّ منهما یری ما أفتی به الآخر مبطلاً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اختلافهما فی الفتوی، وإلاّ فیؤخذ بأحوط القولین إذا لم توجب فتوی کلّ واحدٍ منهما إبطال هیئة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المسائل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یستلزم البطلان فی العمل الواحد علی رأی کلٍّ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لم ینتهِ إلی مخالفتهما فی عملٍ واحدٍ علی الأحوط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الهادی الشیرازی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أجزاء العمل الواحد لو لم یلزم محذوراً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والاحتیاط لا یُترک، بل الأظهر عدم الجواز فی المرتبطین إذا لزم منه مخالفة العمل لرأیهما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ینتهِ إلی مخالفتهما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وإذا کان أحدهما أرجح من الآخر فی العدالة أو الورع أو نحو ذلک، فالأولی بل</w:t>
      </w:r>
    </w:p>
    <w:p>
      <w:pPr>
        <w:pStyle w:val="BookText"/>
        <w:rPr/>
      </w:pPr>
      <w:r>
        <w:rPr>
          <w:rFonts w:ascii="IRNazanin" w:hAnsi="IRNazanin" w:eastAsia="IRNazanin"/>
          <w:color w:val="111111"/>
          <w:sz w:val="28"/>
          <w:sz w:val="28"/>
          <w:szCs w:val="28"/>
          <w:rtl w:val="true"/>
          <w:lang w:bidi="fa-IR"/>
        </w:rPr>
        <w:t>الأحوط</w:t>
      </w:r>
      <w:r>
        <w:rPr>
          <w:rStyle w:val="FootnoteAnchor"/>
          <w:rtl w:val="true"/>
        </w:rPr>
        <w:footnoteReference w:id="2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السبزواری،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حکم هذا الفرع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اختیاره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عبد الهادی الشیرازی، الحکیم،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إن اختلفا فی الفتوی، وأفتی الأرجح بالإیجاب أو التحریم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ذلک لا یوجب التعیّن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الأورعیّة ببعض محتملاتها لا توجب تقدیم المتّصف بها علی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یلزم رعایة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قلّد من یقول بحرمة العـدول حتّی إلی الأعلـم</w:t>
      </w:r>
      <w:r>
        <w:rPr>
          <w:rStyle w:val="FootnoteAnchor"/>
          <w:rtl w:val="true"/>
        </w:rPr>
        <w:footnoteReference w:id="248"/>
      </w:r>
      <w:r>
        <w:rPr>
          <w:rFonts w:ascii="IRNazanin" w:hAnsi="IRNazanin" w:eastAsia="IRNazanin"/>
          <w:color w:val="111111"/>
          <w:sz w:val="28"/>
          <w:sz w:val="28"/>
          <w:szCs w:val="28"/>
          <w:rtl w:val="true"/>
          <w:lang w:bidi="fa-IR"/>
        </w:rPr>
        <w:t>، ثـمّ وجـد أعلـم مـن ذلـک المجتهـد ، فالأحوط</w:t>
      </w:r>
      <w:r>
        <w:rPr>
          <w:rStyle w:val="FootnoteAnchor"/>
          <w:rtl w:val="true"/>
        </w:rPr>
        <w:footnoteReference w:id="2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صورة المخالفة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لکنّ المقلِّد إذا لم یحرز جواز الرجوع لابدّ له من الأخذ بأحوط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الأقوی إذا کان الأعلم قائلاً بتعیّن تقلید الأعلم، ولا وجه للاحتیاط بناءً علی مختار الماتن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الـعــدول</w:t>
      </w:r>
      <w:r>
        <w:rPr>
          <w:rStyle w:val="FootnoteAnchor"/>
          <w:rtl w:val="true"/>
        </w:rPr>
        <w:footnoteReference w:id="2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ولکن یشکل الأمر بالنسبة إلی المقلِّد، إلاّ إذا تیقّن وجوب الرجوع إلی الأعلم حتّی فی هذا الحال مع إیجاب الأعلم للعدول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إن أوجبه الأعلم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بناءً علی وجوب تقلید الأعلم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إذا جزم المقلِّد بوجوب الرجوع إلی الأعلم، حتّی فی مثل هذه الصورة مع فتوی الأعلم بوجوب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علی تفصیل مرَّ فی المسألة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 إن أفتی الأعلم بوجوب العدول بعد تحقّق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العدول إلیه فی هذا المسألة، وفی غیرها یعمل بما یقتضیه رأیه من العدول وعدمه، وقد مرّ أنّ المختار وجوب العدول إلی الأعلم مطلقاً مع العلم بالمخالفة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ذلــک الأعـلــم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کذلک ما لم یکن آخذاً بهذه الفتوی منه، وإلاّ فلا وجه لهذا الاحتیاط؛ لاحتمال تنجّز هذا التکلیف فی حقّه، ومع هذا الاحتیاط کیف یکون احتیاطه بالعدول؟ بل علیه البقاء علی تقلیده هذا، ولازمه عدم جواز العدول فی غیره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ذلک الأعلم یوجب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لکنّ المقلِّد المتردّد لا مناصَ له إلاّ الأخذ بالأحوط من قولیهما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بالشروط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الأعلم یوجب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الأخذ بأحوط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 مع العلم بالمخالفة علی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ذلک الأعلم أفتی بوجوب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قـال الأوّل بـعـدم</w:t>
      </w:r>
    </w:p>
    <w:p>
      <w:pPr>
        <w:pStyle w:val="BookText"/>
        <w:rPr/>
      </w:pPr>
      <w:r>
        <w:rPr>
          <w:rFonts w:ascii="IRNazanin" w:hAnsi="IRNazanin" w:eastAsia="IRNazanin"/>
          <w:color w:val="111111"/>
          <w:sz w:val="28"/>
          <w:sz w:val="28"/>
          <w:szCs w:val="28"/>
          <w:rtl w:val="true"/>
          <w:lang w:bidi="fa-IR"/>
        </w:rPr>
        <w:t>جوازه</w:t>
      </w:r>
      <w:r>
        <w:rPr>
          <w:rStyle w:val="FootnoteAnchor"/>
          <w:rtl w:val="true"/>
        </w:rPr>
        <w:footnoteReference w:id="2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یقل ذلک الأعلم أیضاً بالعدم، بل کان فتواه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قلَّـد شخصـاً بتخیّل أ نّـه زیـد فبـان عمـراً ، فـإن کانـا متساویین فی الفضیلة</w:t>
      </w:r>
      <w:r>
        <w:rPr>
          <w:rStyle w:val="FootnoteAnchor"/>
          <w:rtl w:val="true"/>
        </w:rPr>
        <w:footnoteReference w:id="2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التفصیل بین صورة عدم العلم بمخالفتهما فی الفتوی، فیصحّ التقلید بناءً علی کونه العمل ولا محذور، وبین ما لو علم المخالفة فی الفتوی فلابدّ للمقلِّد أن یأخذ حینئذٍ بأحوط القولین، سواء کان هناک تقیید أم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ولـم یکـن علی وجـه التقیید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کان علی وجه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علی وجه 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حتّی مع التقیید فیستمر علی تقلیده، ویبنی علی صحّة ما مضی من عمله؛ لکفایة الاستناد ولو بعد العمل، نعم إن کان زید هو الأفضل فعلیه أن یعدل إلیه، ویراعی فی صحّة أعماله المتقدّمة مطابقتها لفتواه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التقیید، وقد عرفت أن التقلید عبارة عن تطبیق العمل علی رأیه من دون احتیاج إلی معرفة شخص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صحّ مطلقاً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التقیید والتوصیف فی الصحّة بعد کون المدار علی تطابق العمل مع فتوی من یجوز تقلیده حال العمل، لا تطبیقه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مع التقیّد، ولا أثر فی التقیید فی باب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وإن کان علی وجهه فلا یترتب الأثر علی التقیید فی المقام؛ لأنّ معرفة شخص الفقیه غیر لازم، فإذا کان عمله مستنداً إلی قول الشخص الجامع لشرائط الفتوی فقد تحقق تقلیده، فتخیّله أنّه زید علی وجه التوصیف أو التقیید غیر ضائر فی تقلیده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صـحّ</w:t>
      </w:r>
      <w:r>
        <w:rPr>
          <w:rStyle w:val="FootnoteAnchor"/>
          <w:rtl w:val="true"/>
        </w:rPr>
        <w:footnoteReference w:id="2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صحّ وإن کان علی التقیید إذا لم یعلم اختلافهما فی الفتوی، ومع العلم بالمخالفة ولو إجمالاً، فإن کان العمل مطابقاً لأحوط القولین صحّ أیضاً، وإلاّ فمشکل إلاّ فی صورة کون عمرو 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عدم الاختلاف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علی وجه التقیید أو لا، نعم بناءً علی أنّ التقلید هو الالتزام، وکان بناؤه عدم تقلیده عن هذا الشخص أصلاً لا یتحقّق منه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عدم العلم بالمخالفة بینهما؛ إذْ مع العلم بها لا حجّیّة لرأیهما فلا یصحّ التقلید، لکنّه یجتزی بما عمله ما لم یکن مقروناً بعلم إجمالی منجّز أو حجّة إجمالیّة کذلک حسبما مرّ فی التعلیق علی المسألة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وإلاّ فمشکل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فیما إذا توافقا، بل فیما إذا تخالفا أیضاً؛ لتحقّق القربة والمطابقة، أی مطابقة العمل للطریق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عمرو أعلم بقولٍ مطلق علی وجه یکون رأیه فی حقّه حجّة تعیّنیّة، علی وجه لا یعتبر فی اتّباع رأیه الالتزام بقوله والبناء علی أخذه کما أسلفنا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الصحّة مطلقاً،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یبعد الصحّة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 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الصحّة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جریان حکم العمل بلا 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لما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المقام من باب تعارض الوصف والإشارة، والمدار علی من توجّه إلیه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اختلف رأیهما ولم یأخذ بالأحوط منهما، وکانا مختلفَین فی الفضیلة، وإلاّ یصحّ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أنّه لا أثر للتقیید فی المقام وأضرابه من الخارجیّات الّتی لا إطلاق لها حتّی یمکن التقیید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إذْ لا أثر للتقیید فی أمثال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الصحّة ولو کان علی وجه التقیید إن لم یوجب إخلالاً من جهة اُخری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إذْ لا أثر للتقیید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انتفی القید الأوّل ـ بأن کان أحدهما أفضل من الآخر ـ فمع عدم العلم بالمخالفة بینهما یصحّ تقلید عمرو مطلقاً، وإن کان زید أفضل منه، وإلاّ فلا یصحّ تقلیده إلاّ إذا کان هو الأفضل، وإذا انتفی القید الثانی ـ بأن کان التزامه بالعمل بقوله معلّقاً علی کونه زیداً ـ لم یتحقّق منه التقلید بهذا المعنی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89" w:name="pg13272_142807"/>
    </w:p>
    <w:p>
      <w:pPr>
        <w:pStyle w:val="Heading3"/>
        <w:numPr>
          <w:ilvl w:val="2"/>
          <w:numId w:val="1"/>
        </w:numPr>
        <w:rPr/>
      </w:pPr>
      <w:bookmarkStart w:id="90" w:name="__RefHeading___Toc1636436_2322387425"/>
      <w:bookmarkStart w:id="91" w:name="_Toc30"/>
      <w:bookmarkEnd w:id="89"/>
      <w:bookmarkEnd w:id="90"/>
      <w:r>
        <w:rPr>
          <w:rtl w:val="true"/>
        </w:rPr>
        <w:t>ما یعلم به فتوی المجتهد</w:t>
      </w:r>
      <w:bookmarkEnd w:id="91"/>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فتوی المجتهد تُعلم بأحد اُمور</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یسمع منه شفاهاً</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یخبر بها عدلان</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إخبار عدل واحد</w:t>
      </w:r>
      <w:r>
        <w:rPr>
          <w:rStyle w:val="FootnoteAnchor"/>
          <w:rtl w:val="true"/>
        </w:rPr>
        <w:footnoteReference w:id="25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مع حصول الاطمئنان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کفایته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یکفی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إخبار شخص موثّق یوجب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قوله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الاطمئنان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النوعی، وأمّا الشخصی فلیس بلازم بعد فرض حجّیّة خبر الثقة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أنّه یثبت بخبر الثقة وإن لم یفد الاطمئنان، وبالاطمئنان إذا لم یکن من خبر الثقة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الوجدان فی رسالته</w:t>
      </w:r>
      <w:r>
        <w:rPr>
          <w:rStyle w:val="FootnoteAnchor"/>
          <w:rtl w:val="true"/>
        </w:rPr>
        <w:footnoteReference w:id="258"/>
      </w:r>
      <w:r>
        <w:rPr>
          <w:rFonts w:ascii="IRNazanin" w:hAnsi="IRNazanin" w:eastAsia="IRNazanin"/>
          <w:color w:val="111111"/>
          <w:sz w:val="28"/>
          <w:sz w:val="28"/>
          <w:szCs w:val="28"/>
          <w:rtl w:val="true"/>
          <w:lang w:bidi="fa-IR"/>
        </w:rPr>
        <w:t>، ولابدّ أن تکون مأمونة من الغلط</w:t>
      </w:r>
      <w:r>
        <w:rPr>
          <w:rStyle w:val="FootnoteAnchor"/>
          <w:rtl w:val="true"/>
        </w:rPr>
        <w:footnoteReference w:id="2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ثابتة استنادها إلیه ولو اطمئناناً، ولیعلم أنّه قد تثبت فتواه بالشیاع، فإن أغمض عمّا أشرنا إلیه سابقاً فی الشیاعات، فهو طریقٌ خامسٌ للعلم بالفتوی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یحصل له الاطمئنان المعتبر عند العقلاء ویعبّر عنه بالعلم العادی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92" w:name="pg13272_142809"/>
    </w:p>
    <w:p>
      <w:pPr>
        <w:pStyle w:val="Heading3"/>
        <w:numPr>
          <w:ilvl w:val="2"/>
          <w:numId w:val="1"/>
        </w:numPr>
        <w:rPr/>
      </w:pPr>
      <w:bookmarkStart w:id="93" w:name="__RefHeading___Toc1636438_2322387425"/>
      <w:bookmarkStart w:id="94" w:name="_Toc31"/>
      <w:bookmarkEnd w:id="92"/>
      <w:bookmarkEnd w:id="93"/>
      <w:r>
        <w:rPr>
          <w:rtl w:val="true"/>
        </w:rPr>
        <w:t>من قلد غیر الأعلم أو من لیس أهلاً للفتوی</w:t>
      </w:r>
      <w:bookmarkEnd w:id="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قلَّد من لیس</w:t>
      </w:r>
      <w:r>
        <w:rPr>
          <w:rStyle w:val="FootnoteAnchor"/>
          <w:rtl w:val="true"/>
        </w:rPr>
        <w:footnoteReference w:id="260"/>
      </w:r>
      <w:r>
        <w:rPr>
          <w:rFonts w:ascii="IRNazanin" w:hAnsi="IRNazanin" w:eastAsia="IRNazanin"/>
          <w:color w:val="111111"/>
          <w:sz w:val="28"/>
          <w:sz w:val="28"/>
          <w:szCs w:val="28"/>
          <w:rtl w:val="true"/>
          <w:lang w:bidi="fa-IR"/>
        </w:rPr>
        <w:t>له أهلیّة الفتوی ، ثمّ التفت وجب علیه العدول</w:t>
      </w:r>
      <w:r>
        <w:rPr>
          <w:rStyle w:val="FootnoteAnchor"/>
          <w:rtl w:val="true"/>
        </w:rPr>
        <w:footnoteReference w:id="2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إلی من هو أهل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وحال الأعمال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السابقة حال عمل الجاهل غیر المقلِّد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وکذا إذا قلَّد غیر الأعلم 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فیه وفیما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فی صورة اشتراط الأعلمیّة والعلم بالمخالفة، وفی غیر هذه الصورة لا یخلو من تأمّل، خصوصاً مع وجود القول بحرمة العدول، وإن کان الأقوی عندنا جوازه مطلقاً کما مرّ، ولعلّ الأقرب حینئذٍ الأخذ بأحوطهما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الأظهر فیه وفیما بعده مع العلم بالمخالفة علی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الروحانی،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فیه وفیما بعده علی ما مرّ من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الوجوبی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العدول</w:t>
      </w:r>
      <w:r>
        <w:rPr>
          <w:rStyle w:val="FootnoteAnchor"/>
          <w:rtl w:val="true"/>
        </w:rPr>
        <w:footnoteReference w:id="262"/>
      </w:r>
      <w:r>
        <w:rPr>
          <w:rFonts w:ascii="IRNazanin" w:hAnsi="IRNazanin" w:eastAsia="IRNazanin"/>
          <w:color w:val="111111"/>
          <w:sz w:val="28"/>
          <w:sz w:val="28"/>
          <w:szCs w:val="28"/>
          <w:rtl w:val="true"/>
          <w:lang w:bidi="fa-IR"/>
        </w:rPr>
        <w:t>إلی الأعلم</w:t>
      </w:r>
      <w:r>
        <w:rPr>
          <w:rStyle w:val="FootnoteAnchor"/>
          <w:rtl w:val="true"/>
        </w:rPr>
        <w:footnoteReference w:id="2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قلَّد الأعلم، ثمّ صار بعد ذلک غیره أعلم وجب العدول إلی الثانی علی الأحوط</w:t>
      </w:r>
      <w:r>
        <w:rPr>
          <w:rStyle w:val="FootnoteAnchor"/>
          <w:rtl w:val="true"/>
        </w:rPr>
        <w:footnoteReference w:id="2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فی الصورتین ما تقدّم من أنّ المدار علی العلم بالمخالفة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الحال علی المنوال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کان الأعلم منحصراً فی شخصین</w:t>
      </w:r>
      <w:r>
        <w:rPr>
          <w:rStyle w:val="FootnoteAnchor"/>
          <w:rtl w:val="true"/>
        </w:rPr>
        <w:footnoteReference w:id="2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وکانا یختلفان فی الفتوی ولم یمکن تعیین أحدهما بالظنّ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لم یعلم بالمخالفة بینهما تخیّر ابتداءً، وإلاّ فإن أمکن الاحتیاط أخذ بأحوط القولین، وإلاّ قلَّد مظنون الأعلمیّة، ومع عدم الظنّ تخیّر بینهما إن احتمل الأعلمیّة فی کلٍّ منهما، وإلاّ قلَّد من یحتمل أعلمیّته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یحتمل تساویهما، وإلاّ فمخیّر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ولم یمکن التعیین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یحتمل أعلمیّة أحدهما المعیّن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أعلمیّة أحدهما محتملة دون الآخر، فالأحوط تعیّن من یحتمل أعلمیّته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رجحان احتمال أعلمیّة أحدهما المعیّن، وإلاّ تعیّن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یحتمل أعلمیّة أحدهما المعیّن، وإلاّ فهو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احتمل أعلمیّة أحدهما دون الآخر تعیّن تقلیده، وإلاّ کان مخیّراً فی الرجوع إلی أیّهما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یحتمل أعلمیّة أحدهما، وإلاّ فهو 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اندراج المقام فی کبری اشتباه الحجّة باللاحجّة فی کلّ مسألة یختلفان فیها فی الرأی، ولا إشکال فی وجوب الاحتیاط فیها مع اقترانه بالعلم الإجمالی المنجّز، کما لا محلّ له فیما إذا کان من قبیل دوران الأمر بین المحذورین الّذی یحکم فیه بالتخییر مع تساوی احتمال الأعلمیّة فی حقّ کلیهما، وإلاّ تعیّن العمل علی وفق فتوی من یکون احتمال أعلمیّته أقوی من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غیر الموردین فالأحوط مراعاة الاحتیاط بین قولیهما مطلقاً، وإن کان الأقوی هو التفصیل ووجوب الاحتیاط فیما إذا کان من قبیل اشتباه الحجّة باللاحجّة فی الأحکام الإلزامیّة، سواء کان فی مسألة واحدة کما إذا أفتی أحدهما بوجوب الظهر والآخر بوجوب الجمعة مع احتمال الوجوب التخییری، أم فی مسألتین، کما إذا أفتی أحدهما بالحکم الترخیصی فی مسألة، والآخر بالحکم الإلزامی فیها وانعکس الأمر فی مسألة اُخری، وأمّا إذا لم یکن کذلک فالظاهر عدم وجوب الاحتیاط، کما إذا لم یعلم الاختلاف بینهما علی هذا النحو إلاّ فی مسألة واحدة، أو علم به فی أزید منها مع کون المفتی بالحکم الإلزامی فی الجمیع واحداً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کان کلّ واحد منهما محتمل الأعلمیّة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فـإن أمکـن</w:t>
      </w:r>
      <w:r>
        <w:rPr>
          <w:rStyle w:val="FootnoteAnchor"/>
          <w:rtl w:val="true"/>
        </w:rPr>
        <w:footnoteReference w:id="266"/>
      </w:r>
      <w:r>
        <w:rPr>
          <w:rFonts w:ascii="IRNazanin" w:hAnsi="IRNazanin" w:eastAsia="IRNazanin"/>
          <w:color w:val="111111"/>
          <w:sz w:val="28"/>
          <w:sz w:val="28"/>
          <w:szCs w:val="28"/>
          <w:rtl w:val="true"/>
          <w:lang w:bidi="fa-IR"/>
        </w:rPr>
        <w:t>الاحتیـاط بیـن القـولیـن فهـو الأحـوط</w:t>
      </w:r>
      <w:r>
        <w:rPr>
          <w:rStyle w:val="FootnoteAnchor"/>
          <w:rtl w:val="true"/>
        </w:rPr>
        <w:footnoteReference w:id="2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أعلمیّة أحدهما المعیّن مظنوناً أو محتملاً، وإلاّ تعیّن الأخذ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لیس واجباً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للزوم الاحتیاط، بل الحکم فیه هو التخییر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وإلاّ</w:t>
      </w:r>
      <w:bookmarkStart w:id="95" w:name="pg13272_142812"/>
    </w:p>
    <w:p>
      <w:pPr>
        <w:pStyle w:val="BookText"/>
        <w:rPr/>
      </w:pPr>
      <w:bookmarkEnd w:id="95"/>
      <w:r>
        <w:rPr>
          <w:rFonts w:ascii="IRNazanin" w:hAnsi="IRNazanin" w:eastAsia="IRNazanin"/>
          <w:color w:val="111111"/>
          <w:sz w:val="28"/>
          <w:sz w:val="28"/>
          <w:szCs w:val="28"/>
          <w:rtl w:val="true"/>
          <w:lang w:bidi="fa-IR"/>
        </w:rPr>
        <w:t>کـان</w:t>
      </w:r>
      <w:r>
        <w:rPr>
          <w:rStyle w:val="FootnoteAnchor"/>
          <w:rtl w:val="true"/>
        </w:rPr>
        <w:footnoteReference w:id="268"/>
      </w:r>
      <w:r>
        <w:rPr>
          <w:rFonts w:ascii="Amiri" w:hAnsi="Amiri" w:eastAsia="Amiri" w:cs="Amiri"/>
          <w:color w:val="111111"/>
          <w:sz w:val="28"/>
          <w:sz w:val="28"/>
          <w:szCs w:val="28"/>
          <w:rtl w:val="true"/>
          <w:lang w:bidi="ar-SA"/>
        </w:rPr>
        <w:t>مخیّراً بینهما</w:t>
      </w:r>
      <w:r>
        <w:rPr>
          <w:rStyle w:val="FootnoteAnchor"/>
          <w:rtl w:val="true"/>
        </w:rPr>
        <w:footnoteReference w:id="2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ظنّ أعلمیّة أحدهما، أو کان الاحتمال فی أحدهما أقوی من الآخر فیتعیّن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أحدهما مظنون الأعلمیّة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6" w:name="__RefHeading___Toc1636440_2322387425"/>
      <w:bookmarkStart w:id="97" w:name="_Toc32"/>
      <w:bookmarkEnd w:id="96"/>
      <w:r>
        <w:rPr>
          <w:rtl w:val="true"/>
        </w:rPr>
        <w:t>إذا شک فی موت المجتهد أو فی تبدل رأیه</w:t>
      </w:r>
      <w:bookmarkEnd w:id="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موت المجتهد، أو فی تبدّل رأیه، أو عروض ما یوجب عدم جواز تقلیده، یجوز</w:t>
      </w:r>
      <w:r>
        <w:rPr>
          <w:rStyle w:val="FootnoteAnchor"/>
          <w:rtl w:val="true"/>
        </w:rPr>
        <w:footnoteReference w:id="270"/>
      </w:r>
      <w:r>
        <w:rPr>
          <w:rFonts w:ascii="IRNazanin" w:hAnsi="IRNazanin" w:eastAsia="IRNazanin"/>
          <w:color w:val="111111"/>
          <w:sz w:val="28"/>
          <w:sz w:val="28"/>
          <w:szCs w:val="28"/>
          <w:rtl w:val="true"/>
          <w:lang w:bidi="fa-IR"/>
        </w:rPr>
        <w:t>له البقاء</w:t>
      </w:r>
      <w:r>
        <w:rPr>
          <w:rStyle w:val="FootnoteAnchor"/>
          <w:rtl w:val="true"/>
        </w:rPr>
        <w:footnoteReference w:id="271"/>
      </w:r>
      <w:r>
        <w:rPr>
          <w:rFonts w:ascii="IRNazanin" w:hAnsi="IRNazanin" w:eastAsia="IRNazanin"/>
          <w:color w:val="111111"/>
          <w:sz w:val="28"/>
          <w:sz w:val="28"/>
          <w:szCs w:val="28"/>
          <w:rtl w:val="true"/>
          <w:lang w:bidi="fa-IR"/>
        </w:rPr>
        <w:t>إلی أن یتبیّن الحال</w:t>
      </w:r>
      <w:r>
        <w:rPr>
          <w:rFonts w:eastAsia="IRNazanin" w:cs="IRNazanin"/>
          <w:color w:val="111111"/>
          <w:sz w:val="28"/>
          <w:szCs w:val="28"/>
          <w:rtl w:val="true"/>
          <w:lang w:bidi="fa-IR"/>
        </w:rPr>
        <w:t>.</w:t>
      </w:r>
    </w:p>
    <w:p>
      <w:pPr>
        <w:pStyle w:val="Heading3"/>
        <w:numPr>
          <w:ilvl w:val="2"/>
          <w:numId w:val="1"/>
        </w:numPr>
        <w:rPr/>
      </w:pPr>
      <w:bookmarkStart w:id="98" w:name="__RefHeading___Toc1636442_2322387425"/>
      <w:bookmarkStart w:id="99" w:name="_Toc33"/>
      <w:bookmarkEnd w:id="98"/>
      <w:r>
        <w:rPr>
          <w:rtl w:val="true"/>
        </w:rPr>
        <w:t>إذا عمل بلا تقلید مدة من الزمن</w:t>
      </w:r>
      <w:bookmarkEnd w:id="9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أنّه کان فی عباداته بلا تقلید مدّة من الزمان ولم یعلم مقداره، فإن علم</w:t>
      </w:r>
      <w:r>
        <w:rPr>
          <w:rStyle w:val="FootnoteAnchor"/>
          <w:rtl w:val="true"/>
        </w:rPr>
        <w:footnoteReference w:id="2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احتمل موافقتها للواقع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بکیفیّـتها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احتمل موافقتها للواقع أو لرأی من کان علیه أن یقلّده أو یجب فعلاً الرجوع إلیه، فلا یجب علیه القضاء؛ لأنّه شکّ فی تکلیف جدید، والأصل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احتمل موافقتها للواقع أو المجتهد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وموافقتها للواقع أو لفتوی</w:t>
      </w:r>
    </w:p>
    <w:p>
      <w:pPr>
        <w:pStyle w:val="BookText"/>
        <w:rPr/>
      </w:pPr>
      <w:r>
        <w:rPr>
          <w:rFonts w:ascii="IRNazanin" w:hAnsi="IRNazanin" w:eastAsia="IRNazanin"/>
          <w:color w:val="111111"/>
          <w:sz w:val="28"/>
          <w:sz w:val="28"/>
          <w:szCs w:val="28"/>
          <w:rtl w:val="true"/>
          <w:lang w:bidi="fa-IR"/>
        </w:rPr>
        <w:t>المجتهد الّذی یکون</w:t>
      </w:r>
      <w:r>
        <w:rPr>
          <w:rStyle w:val="FootnoteAnchor"/>
          <w:rtl w:val="true"/>
        </w:rPr>
        <w:footnoteReference w:id="273"/>
      </w:r>
      <w:r>
        <w:rPr>
          <w:rFonts w:ascii="Amiri" w:hAnsi="Amiri" w:eastAsia="Amiri" w:cs="Amiri"/>
          <w:color w:val="111111"/>
          <w:sz w:val="28"/>
          <w:sz w:val="28"/>
          <w:szCs w:val="28"/>
          <w:rtl w:val="true"/>
          <w:lang w:bidi="ar-SA"/>
        </w:rPr>
        <w:t xml:space="preserve">مکلَّفاً </w:t>
      </w:r>
      <w:r>
        <w:rPr>
          <w:rStyle w:val="FootnoteAnchor"/>
          <w:rtl w:val="true"/>
        </w:rPr>
        <w:footnoteReference w:id="274"/>
      </w:r>
      <w:r>
        <w:rPr>
          <w:rFonts w:ascii="IRNazanin" w:hAnsi="IRNazanin" w:eastAsia="IRNazanin"/>
          <w:color w:val="111111"/>
          <w:sz w:val="28"/>
          <w:sz w:val="28"/>
          <w:szCs w:val="28"/>
          <w:rtl w:val="true"/>
          <w:lang w:bidi="fa-IR"/>
        </w:rPr>
        <w:t>بالرجوع إلیه</w:t>
      </w:r>
      <w:r>
        <w:rPr>
          <w:rStyle w:val="FootnoteAnchor"/>
          <w:rtl w:val="true"/>
        </w:rPr>
        <w:footnoteReference w:id="2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کان مکلّفاً بالرجوع إلیه فی زمان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کان مکلّفاً بالرجوع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کان فی زمان العمل مکلّفاً بالرجوع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من کان هو المرجع حین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لفتوی من کان یجب علیه حین العمل الرجوع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الاتّکال، ومع عدم الاتّکال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والأولی الأحوط مراعاة رأی مرجعه حین العمل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لم یحفظ صورة العمل واحتمل وقوعه مطابقاً للواقع، أو کان الإخلال بما لا یوجب القضاء، والمرجع فی تشخیصهما فتوی المجتهد حین النظر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وإلاّ فیقضی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وجوب القضاء إلاّ فیما علم بمخالفة عمله للواقع، أو لفتوی من یجب علیه تقلیده سابقاً أو لاحقاً، فیأتی بالقدر المتیقّن، وإن کان الأحوط الإتیان بمقدار یقطع معه بالبراءة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بمخالفة عمله للواقع، فحینئذٍ یقضی بمقدار المتیقّن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الأوجه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عباداته إن کانت مؤقّتة وقد خرج وقتها فمع الشکّ فی مخالفتها للواقع أو لفتوی من یقلّده فعلاً لیس علیه شیء، ومع العلم إجمالاً بالمخالفة یجوز أن یکتفی بالقدر المتیقّن، وإن کان قد بقی وقتها أو لم تکن هی مؤقّتة، فعلیه أن یعیدها حتّی یعلم بالبراءة، سواء علم بالمخالفة أو شکّ فیها، نعم ذلک فیما لا یجری شیء من القواعد المقتضیة لعدم الإعادة والقضاء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احتمال الموافقة للواقع فی عدم القضاء، وإن کان الاحتیاط فی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القضاء ینحصر بموارد العلم بمخالفة المأتیّ به للواقع، وکون تلک المخالفة موجبة للقضاء بنظر من یجب الرجوع إلیه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بمخالفة عمله للواقع وموجباً للقضاء بنظر من یجب الرجوع إلیه فعلاً، فحینئذٍ یقضی بالمقدار المتیقّن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المسألة 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یحتمل مطابقة المأتیّ به للمأمور به الواقعی، ویحتمل رعایة الواقع حین العمل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یکون غافلاً حین العمل ومع ذلک یحتمل مطابقته للواقع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یعلم بمخالفة جملة من أعماله مع الواقع، أو مع فتوی المجتهد الّذی یکون مکلّفاً بالرجوع إلیه</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فی الصورة الاُولی فلا یجب القضاء، وأمّا فی الثانیة فیجب القضاء بالمقدار الّذی یعلم معه بالبراءة، وکذا فی الثالثة إذا لم یحتمل رعایة وظیفته حین العمل، وأمّا فیما إن احتمل ذلک فیجوز له الاکتفاء بالمقدار المتیقّن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المقدار</w:t>
      </w:r>
      <w:r>
        <w:rPr>
          <w:rStyle w:val="FootnoteAnchor"/>
          <w:rtl w:val="true"/>
        </w:rPr>
        <w:footnoteReference w:id="27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العلم بالمخالفة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یعلم معه بالبراءة علی الأحوط، وإن کان</w:t>
      </w:r>
    </w:p>
    <w:p>
      <w:pPr>
        <w:pStyle w:val="BookText"/>
        <w:rPr/>
      </w:pPr>
      <w:r>
        <w:rPr>
          <w:rFonts w:ascii="IRNazanin" w:hAnsi="IRNazanin" w:eastAsia="IRNazanin"/>
          <w:color w:val="111111"/>
          <w:sz w:val="28"/>
          <w:sz w:val="28"/>
          <w:szCs w:val="28"/>
          <w:rtl w:val="true"/>
          <w:lang w:bidi="fa-IR"/>
        </w:rPr>
        <w:t>لا یبعد</w:t>
      </w:r>
      <w:r>
        <w:rPr>
          <w:rStyle w:val="FootnoteAnchor"/>
          <w:rtl w:val="true"/>
        </w:rPr>
        <w:footnoteReference w:id="2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عدم وجوب القضاء أصلاً، إذا کان حین العمل غافلاً وحصل منه قصد القربة، ولم یعلم الکیفیّة، واحتمل مصادفة جمیعها للواقع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عدم القضاء مطلقاً فیما لم یعلم مخالفته للواقع منها وکان واثقاً من صحّته حین العمل، وإن کان لا یخلو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عدم وجوب القضاء فیما کان عند إتیانه غافلاً وحصل منه قصد القربة ولم یعلم الکیفیّة، واحتمل مصادفته للواقع، بل ولو احتمل مصادفته لرأی من کان یجب علیه تقلیده فی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 الاکتفاء بالقدر المتیقّن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أن لا یکون علیه قضاء أصلاً، فیما إذا کان غافلاً حین العمل وصدر منه مع قصد القربة، ولو لم یعلم بالکیفیّة واحتمل موافقة الجمیع للواقع أو ما بحکمه، وإن کان الأحوط القضاء فی هذه الصورة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البطلان للعلم بمخالفته لما کان وظیفته دون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إجمالاً مخالفة عمله للواقع، وأمّا إذا لم یعلم بالمخالفة أصلاً، بل احتمل الموافقة وتمشّی منه قصد القربة، فلا یبعد عدم وجوب القضاء رأساً، ولکنّ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بمخالفة عمله للواقع إجمالاً ولم یعلم مقدار المخالف، وإذا لم یعلم المخالفة أصلاً واحتمل المصادفة فی جمیع أعماله، وتحقّق نیّة التقرّب فی عباداته، فالأظهر عدم وجوب القضاء بالکلّیّة، ولکنّ الاحتیاط لا ینبغی ترکة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وجوب القضاء بهذا المقدار مع اقتضاء المخالفة للقضاء بحسب نظر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علم أنّ أعماله السابقة کانت مع التقلید، لکن لا یعلم أنّها کانت عن تقلید صحیح</w:t>
      </w:r>
      <w:r>
        <w:rPr>
          <w:rStyle w:val="FootnoteAnchor"/>
          <w:rtl w:val="true"/>
        </w:rPr>
        <w:footnoteReference w:id="278"/>
      </w:r>
      <w:r>
        <w:rPr>
          <w:rFonts w:ascii="IRNazanin" w:hAnsi="IRNazanin" w:eastAsia="IRNazanin"/>
          <w:color w:val="111111"/>
          <w:sz w:val="28"/>
          <w:sz w:val="28"/>
          <w:szCs w:val="28"/>
          <w:rtl w:val="true"/>
          <w:lang w:bidi="fa-IR"/>
        </w:rPr>
        <w:t>أم لا، بنی علی الصحّة</w:t>
      </w:r>
      <w:r>
        <w:rPr>
          <w:rStyle w:val="FootnoteAnchor"/>
          <w:rtl w:val="true"/>
        </w:rPr>
        <w:footnoteReference w:id="2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فیجری فیه التفصیل الآنف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أعماله السابقة دون نفس التقلید، فلا یبنی علی صحّته بالإضافة إلی الأعمال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الشکّ من جهة عدم التفاته بالحکم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صحّة التقلید وعدمها منشأً للأثر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علی صحّة التقلید المستلزمة لصحّة الأعمال السابقة، وإن کان فی الاستلزام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00" w:name="pg13272_142817"/>
    </w:p>
    <w:p>
      <w:pPr>
        <w:pStyle w:val="Heading3"/>
        <w:numPr>
          <w:ilvl w:val="2"/>
          <w:numId w:val="1"/>
        </w:numPr>
        <w:rPr/>
      </w:pPr>
      <w:bookmarkStart w:id="101" w:name="__RefHeading___Toc1636444_2322387425"/>
      <w:bookmarkStart w:id="102" w:name="_Toc34"/>
      <w:bookmarkEnd w:id="100"/>
      <w:bookmarkEnd w:id="101"/>
      <w:r>
        <w:rPr>
          <w:rtl w:val="true"/>
        </w:rPr>
        <w:t>إذا قلد مجتهداً ثم شک فی أنه جامع للشرائط أم لا</w:t>
      </w:r>
      <w:bookmarkEnd w:id="1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قلَّد مجتهداً ، ثمّ شکّ فی أنّه جامع</w:t>
      </w:r>
      <w:r>
        <w:rPr>
          <w:rStyle w:val="FootnoteAnchor"/>
          <w:rtl w:val="true"/>
        </w:rPr>
        <w:footnoteReference w:id="2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علم أنّه کان جامعاً لها سابقاً، ثمّ شکّ فی زوال بعضها کالعدالة والاجتهاد یبقی علی تقلیده ولا یجب علیه الفحص، وإن لم یعلم به وجب علیه الفحص، فإن تبیّن له أنّه جامع بقی علی تقلیده، وإن تبیّن أنّه فاقد لها، أو لم یتبیّن له شیء عدل إلی غیره، وأمّا أعماله السابقة، فإن عرف کیفیّتها رجع فی الاجتزاء بها إلی المجتهد الّذی یجب علیه تقلیده فعلاً، وإن لم یعرف کیفیّتها بنی علی الصحّة، سواء کان الوقت باقیاً أو لا، وسواء کان الخلل المحتمل ممّا لا یوجب البطلان عن عمدٍ أو 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للشرائط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أم لا ، وجب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 الفحص</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بسبق اجتماعها فیه، وإلاّ یبنی علی بقائها، ولا یجب الفحص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سبق اجتماعها فیه، وإلاّ بنی علی بقائها من غیر 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یحرز حین التقلید اجتماعه للشرائط بالطریق المعتبر شرعاً، وإلاّ فلا یجب علیه الفحص وإن شکّ فعلاً فی اجتماعه للشرائط من الأوّل، وأمّا إذا احتمل زوالها بعد ذلک فیبنی علی البقاء من غیر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تصحیح أعماله السابقة بأصالة الصحّة، أمّا اللاحقة فلابدّ من الفحص، إلاّ إذا سبق العلم بجامعیّته للشرائط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بسبق اجتماعها فیه، وإلاّ یبنی علی بقائها، ولا یجب الفحص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بجامعیّته لها سابقاً أو علم بها، ولکن کان الشکّ ساریاً، وأمّا إذا علم بها سابقاً وکان الشکّ طارئاً فیبنی علی بقائها بحکم الاستصحاب، ولا یجب الفحص وإن کان أولی وأحوط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الشکّ فی جامعیّته لها من أوّل الأمر، وأمّا إن شکّ فی بقائها بعد تحقّقها فالأقوی عدم الوجوب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یحرز اجتماع الشرائط فیه سابقاً، کما هو ظاهر الفرع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یعلم بسبق اجتماعها فیه، أو یعلم وکان الشکّ ساریاً، وإلاّ فیستصحب فلا یجب الفحص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تقلیده بعد قیام الحجّة علی أنّه جامع للشرائط، فیبنی علیه حتّی یعلم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رجع الشکّ إلیه من أوّل الأمر، وإلاّ فیبقی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شکّ فی جامعیّته للشرائط من الأوّل، أمّا لو شکّ فی بقاء الشرائط فیجری الاستصحاب، ولا یجب الفحص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کان الشکّ ساریاً، وإلاّ فالأحوط ذلک وإن کان الأقوی عدم وجوبه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الشکّ الساری، وأمّا مع الشکّ فی بقاء الشرائط فلا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سری الشکّ إلی جامعیّته لها من أوّل الأمر، وأمّا إذا طرأ الشکّ فی بقائها مع الجزم بتحقّقها سابقاً فلا یجب الفحص، بل یکفی 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الشکّ فی جامعیّته لها من أوّل الأمر، وأمّا إذا کان الشکّ فی بقائها فالأقوی عدم وجوب الفحص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لتقلیده فعلاً دون أعماله السابقة، فإنّها محکومة بالصحّة مع احتمالها بلا فحص، کما أنّه لو کان الشکّ فی بقاء الشرائط تستصحب بلا 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سبق التحقّق، هذا بالنسبة إلی تقلیده فعلاً، وأمّا أعماله السابقة فالظاهر کونها محکومة بالصحّة مع احتمالها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شکّ فی جامعیّته لها من أوّل الأمر، ولم یکن الطریق المعتبر المثبت لجامعیّته لها باقیاً، وإلاّ فلا یجب الفحص ویبنی علی البقاء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شکّه فی کونه جامعاً للشرائط من أوّل الأمر، وأمّا لو شکّ فی بقائها بعد تحقّقها فعندئذٍ الفحص غیر واجب، فیبنی علی بقائها وإن کان الأولی والأحوط الفحص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3" w:name="pg13272_142819"/>
      <w:bookmarkStart w:id="104" w:name="pg13272_142819"/>
      <w:bookmarkEnd w:id="104"/>
    </w:p>
    <w:p>
      <w:pPr>
        <w:pStyle w:val="Heading3"/>
        <w:numPr>
          <w:ilvl w:val="2"/>
          <w:numId w:val="1"/>
        </w:numPr>
        <w:rPr/>
      </w:pPr>
      <w:bookmarkStart w:id="105" w:name="pg13272_142819"/>
      <w:bookmarkStart w:id="106" w:name="__RefHeading___Toc1636446_2322387425"/>
      <w:bookmarkStart w:id="107" w:name="_Toc35"/>
      <w:bookmarkEnd w:id="105"/>
      <w:bookmarkEnd w:id="106"/>
      <w:r>
        <w:rPr>
          <w:rtl w:val="true"/>
        </w:rPr>
        <w:t>یحرم الافتاء والقضاء علی من لیس أهلاً لهما</w:t>
      </w:r>
      <w:bookmarkEnd w:id="107"/>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43</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مـن لیـس أهلاً للفتـوی</w:t>
      </w:r>
      <w:r>
        <w:rPr>
          <w:rStyle w:val="FootnoteAnchor"/>
          <w:rtl w:val="true"/>
        </w:rPr>
        <w:footnoteReference w:id="281"/>
      </w:r>
      <w:r>
        <w:rPr>
          <w:rFonts w:ascii="IRNazanin" w:hAnsi="IRNazanin" w:eastAsia="IRNazanin"/>
          <w:color w:val="111111"/>
          <w:sz w:val="28"/>
          <w:sz w:val="28"/>
          <w:szCs w:val="28"/>
          <w:rtl w:val="true"/>
          <w:lang w:bidi="fa-IR"/>
        </w:rPr>
        <w:t>یحـرم</w:t>
      </w:r>
      <w:r>
        <w:rPr>
          <w:rStyle w:val="FootnoteAnchor"/>
          <w:rtl w:val="true"/>
        </w:rPr>
        <w:footnoteReference w:id="282"/>
      </w:r>
      <w:r>
        <w:rPr>
          <w:rFonts w:ascii="IRNazanin" w:hAnsi="IRNazanin" w:eastAsia="IRNazanin"/>
          <w:color w:val="111111"/>
          <w:sz w:val="28"/>
          <w:sz w:val="28"/>
          <w:szCs w:val="28"/>
          <w:rtl w:val="true"/>
          <w:lang w:bidi="fa-IR"/>
        </w:rPr>
        <w:t>علیه الإفتاء</w:t>
      </w:r>
      <w:r>
        <w:rPr>
          <w:rStyle w:val="FootnoteAnchor"/>
          <w:rtl w:val="true"/>
        </w:rPr>
        <w:footnoteReference w:id="2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عمل الغیر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بقصد عمل غیره بها مطلقاً، أی سواء کان عدم أهلیّته لعدم اجتهاده أو لعدم عدالته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مـن لیس أهلاً للقضاء یحرم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علیه القضاء بیـن</w:t>
      </w:r>
    </w:p>
    <w:p>
      <w:pPr>
        <w:pStyle w:val="BookText"/>
        <w:rPr/>
      </w:pPr>
      <w:r>
        <w:rPr>
          <w:rFonts w:ascii="IRNazanin" w:hAnsi="IRNazanin" w:eastAsia="IRNazanin"/>
          <w:color w:val="111111"/>
          <w:sz w:val="28"/>
          <w:sz w:val="28"/>
          <w:szCs w:val="28"/>
          <w:rtl w:val="true"/>
          <w:lang w:bidi="fa-IR"/>
        </w:rPr>
        <w:t>النـاس ، وحکمـه لیـس بنافـذ ، ولا یجـوز الترافـع إلیه</w:t>
      </w:r>
      <w:r>
        <w:rPr>
          <w:rStyle w:val="FootnoteAnchor"/>
          <w:rtl w:val="true"/>
        </w:rPr>
        <w:footnoteReference w:id="284"/>
      </w:r>
      <w:r>
        <w:rPr>
          <w:rFonts w:ascii="Amiri" w:hAnsi="Amiri" w:eastAsia="Amiri" w:cs="Amiri"/>
          <w:color w:val="111111"/>
          <w:sz w:val="28"/>
          <w:sz w:val="28"/>
          <w:szCs w:val="28"/>
          <w:rtl w:val="true"/>
          <w:lang w:bidi="ar-SA"/>
        </w:rPr>
        <w:t>، ولا الشهادة عنده</w:t>
      </w:r>
      <w:r>
        <w:rPr>
          <w:rStyle w:val="FootnoteAnchor"/>
          <w:rtl w:val="true"/>
        </w:rPr>
        <w:footnoteReference w:id="2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مقدّمة لفصل الخصومة بحکمه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لتکون مقدّمة لحکمه وفصله الخصومة بین المترافعین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حرمتها فی نفسها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والمال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شخصیّاً لا وجه للحرمة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الّـذی یوءخـذ بحکمـه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العین الشخصیّة، وفی الکلّی یرجع إلی المجتهد القابل، فیأذن له فی تعیین الحقّ فی ضمن الفرد الخارجی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حـرام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شخص المال للآخذ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عین ماله، وإلاّ فهو ماله وملکه وإن عصی فی طریق الوصول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دَیناً أو مثله لا عیناً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حرمة الأخذ، وأمّا المأخوذ فإن کان عین مال الآخذ فلا، وکذا ما لو کان دیناً مؤجّلاً حلّ أجله أو معجّلاً بخلاف ما لو کان دیناً مؤجّلاً غیر حالّ الأجل وکان المتصدّی لتعیینه وتشخیصه الحاکم المذکور مباشرةً أو تسبیباً بأن یأمر الدائن بالتعیین، فحینئذٍ کان المأخوذ محرّماً کالآخذ، هاهنا صورٌ یعلم حکمها ممّا ذکرنا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کلّیاً وتوقّف التعیین علی حکمه دون ما إذا کان عیناً خارجیّاً وکان الآخذ محقّاً، فإنّ المأخوذ حلال ؛ وإن کان التوسّل به إلی الأخذ حرام، هذا فی حکّام الجور، وأمّا فی غیرهم فیکون الأخذ مطلقاً حلالاً إن کان الآخذ محقّاً؛ وإن کان التوسّل به حراماً مع إمکان التوسّل بحاکمٍ جامعٍ للشرائط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یکن شخصیّاً أو مشخّصاً بطریقٍ شرعیّ، وإلاّ فهو حلال حتّی فیما إذا لم ینحصر استنقاذ الحقّ فی الترافع عنده، وإن عصی فی طریق الوصول إلیه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کان الآخذ محقّاً </w:t>
      </w:r>
      <w:r>
        <w:rPr>
          <w:rStyle w:val="FootnoteAnchor"/>
          <w:rtl w:val="true"/>
        </w:rPr>
        <w:footnoteReference w:id="2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عیناً خارجیّة، وأمّا إذا کان کلّیاً فی الذمّة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المحرّم فی المحقّ هو الأخذ لا المال المأخوذ، نعم إن کان حقّه علیه کلّیاً وکان تعیینه فی المأخوذ بإعطاء الحاکم قهراً کان المأخوذ أیضاً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عین ماله، وإلاّ فالأخذ حرام، والمأخوذ حلال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المال عیناً شخصیّة لا تحرم علی المحقّ، وإن کان الترافع عنده والأخذ بوسیلته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المال کلّیاً فی الذمّة ولم یکن للمحکوم له حقّ تعیینه خارجاً، وأمّا إذا کان عیناً خارجیّة أو کان کلّیاً وکان له حقّ التعیین فلا یکون أخذه حراماً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الحقّ کلّیاً، وکان تعیّنه فی المأخوذ بإعطاء الحاکم، وإلاّ فالظاهر أنّ الحرام فی الحقّ هو نفس الأخذ، لا العین المأخوذة، والقول بحرمة التصرّف فیها 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المأخوذ عین ماله، وإلاّ فالظاهر أنّ الحرام هو الأخذ بحکمه، لا المال المأخوذ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کان الحقّ المأخوذ عیناً شخصیّاً ففی حرمته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حقّه دیناً وکلّیاً فی ذمّته، فالآخذ والمأخوذ بحکم هذا القاضی محرّمان، إلاّ إذا کان بعنوان التقاصّ وکانت شرائط التقاصّ موجودة، فحینئذٍ المأخوذ لا یکون حراماً، ومع عدم إحراز شرائط التقاصّ لا یصحّ التصرّف فی المأخوذ، وإن کان عیناً شخصیّاً فحرمة المال المأخوذ بحکمه محلّ نظر، والظاهر أنّ المحرّم هو الأخذ، لا المال المأخوذ بحکمه فإنّه لیس بحرام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إلاّ إذا</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انحصر</w:t>
      </w:r>
      <w:r>
        <w:rPr>
          <w:rStyle w:val="FootnoteAnchor"/>
          <w:rtl w:val="true"/>
        </w:rPr>
        <w:footnoteReference w:id="287"/>
      </w:r>
      <w:r>
        <w:rPr>
          <w:rFonts w:ascii="IRNazanin" w:hAnsi="IRNazanin" w:eastAsia="IRNazanin"/>
          <w:color w:val="111111"/>
          <w:sz w:val="28"/>
          <w:sz w:val="28"/>
          <w:szCs w:val="28"/>
          <w:rtl w:val="true"/>
          <w:lang w:bidi="fa-IR"/>
        </w:rPr>
        <w:t>استنقاذ حقّه</w:t>
      </w:r>
      <w:r>
        <w:rPr>
          <w:rStyle w:val="FootnoteAnchor"/>
          <w:rtl w:val="true"/>
        </w:rPr>
        <w:footnoteReference w:id="288"/>
      </w:r>
      <w:r>
        <w:rPr>
          <w:rFonts w:ascii="IRNazanin" w:hAnsi="IRNazanin" w:eastAsia="IRNazanin"/>
          <w:color w:val="111111"/>
          <w:sz w:val="28"/>
          <w:sz w:val="28"/>
          <w:szCs w:val="28"/>
          <w:rtl w:val="true"/>
          <w:lang w:bidi="fa-IR"/>
        </w:rPr>
        <w:t>بالترافع عنده</w:t>
      </w:r>
      <w:r>
        <w:rPr>
          <w:rFonts w:eastAsia="IRNazanin" w:cs="IRNazanin"/>
          <w:color w:val="111111"/>
          <w:sz w:val="28"/>
          <w:szCs w:val="28"/>
          <w:rtl w:val="true"/>
          <w:lang w:bidi="fa-IR"/>
        </w:rPr>
        <w:t xml:space="preserve">. </w:t>
      </w:r>
      <w:bookmarkStart w:id="108" w:name="pg13272_142823"/>
    </w:p>
    <w:p>
      <w:pPr>
        <w:pStyle w:val="Heading3"/>
        <w:numPr>
          <w:ilvl w:val="2"/>
          <w:numId w:val="1"/>
        </w:numPr>
        <w:rPr/>
      </w:pPr>
      <w:bookmarkStart w:id="109" w:name="__RefHeading___Toc1636448_2322387425"/>
      <w:bookmarkStart w:id="110" w:name="_Toc36"/>
      <w:bookmarkEnd w:id="108"/>
      <w:bookmarkEnd w:id="109"/>
      <w:r>
        <w:rPr>
          <w:rtl w:val="true"/>
        </w:rPr>
        <w:t>تثبت عدالة المفتی و القاضی بأمور</w:t>
      </w:r>
      <w:bookmarkEnd w:id="110"/>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44</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یجب فی المفتی</w:t>
      </w:r>
      <w:r>
        <w:rPr>
          <w:rStyle w:val="FootnoteAnchor"/>
          <w:rtl w:val="true"/>
        </w:rPr>
        <w:footnoteReference w:id="289"/>
      </w:r>
      <w:r>
        <w:rPr>
          <w:rFonts w:ascii="IRNazanin" w:hAnsi="IRNazanin" w:eastAsia="IRNazanin"/>
          <w:color w:val="111111"/>
          <w:sz w:val="28"/>
          <w:sz w:val="28"/>
          <w:szCs w:val="28"/>
          <w:rtl w:val="true"/>
          <w:lang w:bidi="fa-IR"/>
        </w:rPr>
        <w:t>والقاضی العدالة ، وتثبت العدالة</w:t>
      </w:r>
      <w:r>
        <w:rPr>
          <w:rStyle w:val="FootnoteAnchor"/>
          <w:rtl w:val="true"/>
        </w:rPr>
        <w:footnoteReference w:id="290"/>
      </w:r>
      <w:r>
        <w:rPr>
          <w:rFonts w:ascii="IRNazanin" w:hAnsi="IRNazanin" w:eastAsia="IRNazanin"/>
          <w:color w:val="111111"/>
          <w:sz w:val="28"/>
          <w:sz w:val="28"/>
          <w:szCs w:val="28"/>
          <w:rtl w:val="true"/>
          <w:lang w:bidi="fa-IR"/>
        </w:rPr>
        <w:t>بشهادة عدلین</w:t>
      </w:r>
      <w:r>
        <w:rPr>
          <w:rStyle w:val="FootnoteAnchor"/>
          <w:rtl w:val="true"/>
        </w:rPr>
        <w:footnoteReference w:id="2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سابقاً ما له ربط تامّ بالمقام،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مـرّ أنّ الأظهر ثبوتها بشهادة عـدل واحـد ، بـل بمطلق الثقة أیضاً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الخوئی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تثبت بالثقة الواحد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أنّها تثبت أیضاً بخبر العدل الواحد وبحسن الظاهر وإن لم یفد الظنّ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معارضة لشهادة عدلین آخرین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وبالمعاشرة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أنّها من طرق حُسن الظاهر الّتی هی أمارة تعبّدیّة مطلقاً، کما عرفت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المفیدة للعلم</w:t>
      </w:r>
    </w:p>
    <w:p>
      <w:pPr>
        <w:pStyle w:val="BookText"/>
        <w:rPr/>
      </w:pPr>
      <w:r>
        <w:rPr>
          <w:rFonts w:ascii="IRNazanin" w:hAnsi="IRNazanin" w:eastAsia="IRNazanin"/>
          <w:color w:val="111111"/>
          <w:sz w:val="28"/>
          <w:sz w:val="28"/>
          <w:szCs w:val="28"/>
          <w:rtl w:val="true"/>
          <w:lang w:bidi="fa-IR"/>
        </w:rPr>
        <w:t>بالملکة</w:t>
      </w:r>
      <w:r>
        <w:rPr>
          <w:rStyle w:val="FootnoteAnchor"/>
          <w:rtl w:val="true"/>
        </w:rPr>
        <w:footnoteReference w:id="2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قـد مـرّ أنّ حسـن الظاهر کاشف عنها ولـو مـع عـدم حصول الظنّ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أو الاطمئنان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الناشئ من حُسن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الظنّ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وبالشیاع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المفید للعلم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الاطمئنان العقلائی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الاطمئنان ، وقـد مرّ بالنسبة إلی الشیاع ما له نفع فی المقام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یکفی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الاطمئنان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مضت مدّة من بلوغه، وشکّ بعد ذلک فی أنّ أعماله کانت عن تقلید صحیح أم لا؟ یجوز له البناء</w:t>
      </w:r>
      <w:r>
        <w:rPr>
          <w:rStyle w:val="FootnoteAnchor"/>
          <w:rtl w:val="true"/>
        </w:rPr>
        <w:footnoteReference w:id="2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والفرق فی هذه المسألة والمسألة السابقة یظهر بأدنی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بالتفصیل الّذی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تأمّل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الصحّة فی أعماله</w:t>
      </w:r>
    </w:p>
    <w:p>
      <w:pPr>
        <w:pStyle w:val="BookText"/>
        <w:rPr/>
      </w:pPr>
      <w:r>
        <w:rPr>
          <w:rFonts w:ascii="Amiri" w:hAnsi="Amiri" w:eastAsia="Amiri" w:cs="Amiri"/>
          <w:color w:val="111111"/>
          <w:sz w:val="28"/>
          <w:sz w:val="28"/>
          <w:szCs w:val="28"/>
          <w:rtl w:val="true"/>
          <w:lang w:bidi="ar-SA"/>
        </w:rPr>
        <w:t>السابقة</w:t>
      </w:r>
      <w:r>
        <w:rPr>
          <w:rStyle w:val="FootnoteAnchor"/>
          <w:rtl w:val="true"/>
        </w:rPr>
        <w:footnoteReference w:id="294"/>
      </w:r>
      <w:r>
        <w:rPr>
          <w:rFonts w:ascii="IRNazanin" w:hAnsi="IRNazanin" w:eastAsia="IRNazanin"/>
          <w:color w:val="111111"/>
          <w:sz w:val="28"/>
          <w:sz w:val="28"/>
          <w:szCs w:val="28"/>
          <w:rtl w:val="true"/>
          <w:lang w:bidi="fa-IR"/>
        </w:rPr>
        <w:t>، وفی اللاحقة یجب علیه التصحیح فعلاً</w:t>
      </w:r>
      <w:r>
        <w:rPr>
          <w:rStyle w:val="FootnoteAnchor"/>
          <w:rtl w:val="true"/>
        </w:rPr>
        <w:footnoteReference w:id="2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ولا ملازمة بین صحّة ما مضی وما سیأتی ، سواء ثبتت الصحّة فی السابق بالأصـل أم بقاعدة الفـراغ أو بغیرهما ؛ لعدم دلالة دلیل حجّیّتها علی ترتیب تمام اللوازم علی الأرجح ؛ والتفصیل موکول إلی محلّه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طریق التصحیح بالنسبة إلی الأعمال اللاحقة رجوعه برأی مرجع تقلیده، أو العمل بالاحتیاط الجامع لشرائط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2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یظهر حکم هذه المسألة وما بعدها ممّا ذکرنا فی المسألة التاسعة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علی العامّی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أن یقلّد الأعلم فی مسألة وجوب تقلید الأعلم أو عدم وجوبه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یجوز</w:t>
      </w:r>
      <w:r>
        <w:rPr>
          <w:rStyle w:val="FootnoteAnchor"/>
          <w:rtl w:val="true"/>
        </w:rPr>
        <w:footnoteReference w:id="297"/>
      </w:r>
      <w:r>
        <w:rPr>
          <w:rFonts w:ascii="IRNazanin" w:hAnsi="IRNazanin" w:eastAsia="IRNazanin"/>
          <w:color w:val="111111"/>
          <w:sz w:val="28"/>
          <w:sz w:val="28"/>
          <w:szCs w:val="28"/>
          <w:rtl w:val="true"/>
          <w:lang w:bidi="fa-IR"/>
        </w:rPr>
        <w:t>أن یقلّد غیر الأعلم إذا أفتی بعدم وجوب تقلید الأعلم، بل لو أفتی الأعلم بعدم وجوب تقلید الأعلم یشکل</w:t>
      </w:r>
      <w:r>
        <w:rPr>
          <w:rStyle w:val="FootnoteAnchor"/>
          <w:rtl w:val="true"/>
        </w:rPr>
        <w:footnoteReference w:id="2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الاعتماد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مجال للإشکال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الاعتماد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لأنّه أیضاً من الفروع لا من الاُصول کأصل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جواز الاعتماد علیه من جهة کونه آخذاً بالقدر المتیقّن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w:t>
      </w:r>
      <w:r>
        <w:rPr>
          <w:rStyle w:val="FootnoteAnchor"/>
          <w:rtl w:val="true"/>
        </w:rPr>
        <w:footnoteReference w:id="2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أری وجهاً لهذا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الأقوی جوازه؛ إذ لا فرق فی وجوب رجوع الجاهل إلی العالم بین المسألة الفرعیّة أو الاُصولیّة بحسب الوجدان والارتکاز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البروجردی، عبد الهادی الشیرازی،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الجواز؛ لکون فتوی الأعلم بذلک طریقاً حاکماً علی الاحتیاط والأخذ بالقدر المتیقّن المشار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الإشکال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ما لم یعتقد العامّی أنّه أخطأ فی إفتائه بذلک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لهذا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نری وجهاً للإشکال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لذلک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بعد البناء علی ثبوت طریقیّة فتوی الأعلم دون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أصلاً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کان المقلِّد شاکّاً، وأمّا مع عدم شکّه فلا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الشکّ فی حجّیّة رأی الأعلم فی هذه المسألة، وإلاّ فلا إشکال فی جواز الاعتماد فی مورد التقلید، وهو مورد المخالفة بین فتوی الأعلم وفتوی غیر الأعلم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فالقدر المتیقّن للعامّی تقلید الأعلم فی الفرعیّات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مجتهدان أحدهما أعلم فی أحکام العبادات، </w:t>
      </w:r>
    </w:p>
    <w:p>
      <w:pPr>
        <w:pStyle w:val="BookText"/>
        <w:rPr/>
      </w:pPr>
      <w:r>
        <w:rPr>
          <w:rFonts w:ascii="IRNazanin" w:hAnsi="IRNazanin" w:eastAsia="IRNazanin"/>
          <w:color w:val="111111"/>
          <w:sz w:val="28"/>
          <w:sz w:val="28"/>
          <w:szCs w:val="28"/>
          <w:rtl w:val="true"/>
          <w:lang w:bidi="fa-IR"/>
        </w:rPr>
        <w:t>والآخر أعلم فی المعاملات، فالأحوط</w:t>
      </w:r>
      <w:r>
        <w:rPr>
          <w:rStyle w:val="FootnoteAnchor"/>
          <w:rtl w:val="true"/>
        </w:rPr>
        <w:footnoteReference w:id="3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یتعیّن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مع العلم بالمخالفة علی ما مرّ، ویجری هذا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تبعیض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التقلید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للزوم تقلید الأعلم فی کلّ واحد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ذلک فی صورة العلم بالمخالفة والاشتراط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مع العلم بالمخالفة علی ما مرّ، وکذا الحال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علی ما مرّ من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مورد التقلید، وهو وجود مخالفة بین فتوی الأعلم وغیر الأعلم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أحدهما أعلم فی بعض العبادات مثلاً، والآخر فی البعض الآخر</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نقل شخص فتوی المجتهد خطأً یجب</w:t>
      </w:r>
      <w:r>
        <w:rPr>
          <w:rStyle w:val="FootnoteAnchor"/>
          <w:rtl w:val="true"/>
        </w:rPr>
        <w:footnoteReference w:id="301"/>
      </w:r>
      <w:r>
        <w:rPr>
          <w:rFonts w:ascii="IRNazanin" w:hAnsi="IRNazanin" w:eastAsia="IRNazanin"/>
          <w:color w:val="111111"/>
          <w:sz w:val="28"/>
          <w:sz w:val="28"/>
          <w:szCs w:val="28"/>
          <w:rtl w:val="true"/>
          <w:lang w:bidi="fa-IR"/>
        </w:rPr>
        <w:t>علیه إعلام من تعلّم منه</w:t>
      </w:r>
      <w:r>
        <w:rPr>
          <w:rStyle w:val="FootnoteAnchor"/>
          <w:rtl w:val="true"/>
        </w:rPr>
        <w:footnoteReference w:id="302"/>
      </w:r>
      <w:r>
        <w:rPr>
          <w:rFonts w:ascii="IRNazanin" w:hAnsi="IRNazanin" w:eastAsia="IRNazanin"/>
          <w:color w:val="111111"/>
          <w:sz w:val="28"/>
          <w:sz w:val="28"/>
          <w:szCs w:val="28"/>
          <w:rtl w:val="true"/>
          <w:lang w:bidi="fa-IR"/>
        </w:rPr>
        <w:t xml:space="preserve">، وکذا إذا أخطأ المجتهد فی بیان فتواه یجب علیه </w:t>
      </w:r>
    </w:p>
    <w:p>
      <w:pPr>
        <w:pStyle w:val="BookText"/>
        <w:rPr/>
      </w:pPr>
      <w:r>
        <w:rPr>
          <w:rFonts w:ascii="IRNazanin" w:hAnsi="IRNazanin" w:eastAsia="IRNazanin"/>
          <w:color w:val="111111"/>
          <w:sz w:val="28"/>
          <w:sz w:val="28"/>
          <w:szCs w:val="28"/>
          <w:rtl w:val="true"/>
          <w:lang w:bidi="fa-IR"/>
        </w:rPr>
        <w:t>الإعلام</w:t>
      </w:r>
      <w:r>
        <w:rPr>
          <w:rStyle w:val="FootnoteAnchor"/>
          <w:rtl w:val="true"/>
        </w:rPr>
        <w:footnoteReference w:id="3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أفتی بإباحة الواجب أو الحرام، وکذلک فی النقل لا فیما إذا أفتی بإباحة المستحّب أو المکروه مثلاً، أو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 الوجوب إذا أفتی بجواز فعل المحرّم أو ترک الواجب جزماً لمکان التسبیب، وأمّا لو أفتی بالوجوب أو الحرمة فیما هو مباحٌ أو مستحبّ أو مکروه، فالأظهر ذلک، وهل فرق فی الفرضین بین الجاهل القاصر وبین المقصّر؟ 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التفصیل بین ما إذا نقل فتواه بإباحة شیء ثمّ بان أنّ فتواه هی الوجوب أو الحرمة، وبین ما إذا نقل فتواه بالوجوب أو الحرمة ثمّ بان أنّ فتواه کانت الإباحة، فعلی الأوّل یجب الإعلام دون الثانی، وکذا الحال بالإضافة إلی المجتهد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الإلزامیّات دون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 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فی أثناء الصلاة مسألة لا یعلم حکمها</w:t>
      </w:r>
      <w:r>
        <w:rPr>
          <w:rStyle w:val="FootnoteAnchor"/>
          <w:rtl w:val="true"/>
        </w:rPr>
        <w:footnoteReference w:id="304"/>
      </w:r>
      <w:r>
        <w:rPr>
          <w:rFonts w:ascii="IRNazanin" w:hAnsi="IRNazanin" w:eastAsia="IRNazanin"/>
          <w:color w:val="111111"/>
          <w:sz w:val="28"/>
          <w:sz w:val="28"/>
          <w:szCs w:val="28"/>
          <w:rtl w:val="true"/>
          <w:lang w:bidi="fa-IR"/>
        </w:rPr>
        <w:t>یجوز له</w:t>
      </w:r>
      <w:r>
        <w:rPr>
          <w:rStyle w:val="FootnoteAnchor"/>
          <w:rtl w:val="true"/>
        </w:rPr>
        <w:footnoteReference w:id="30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فیما یمکن الاحتیاط فیتعیّن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یبنی علی أحد الطرفین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یمکنه الاحتیاط، وإلاّ 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أحدهما أحوط تعیّن البناء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ویجوز له رفع الید عنها للفحص عن حکم المسألة، والأحوط البناء علی أحوط الطرفین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موافقة أحد الطرفین للاحتیاط فالأحوط العمل علی طبقه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رجاءً لا بنحو التشریع لو لم یمکن الاحتیاط، وإلاّ فیحتاط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لو بنی بحکم العقل علی أحد المحتملین وأتمّ العمل، فعلیه أن یحصّل الجزم بالبراءة باستکشاف أنّه هل هو مطابق لوظیفته من تطبیق العمل للواقع، أو فتوی مجتهد جاز تقلیده فیحکم علیه بالصحّة، أو لیس بمطابق لها فیعید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یجوز له قطع الصلاة واستئنافها من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لم یمکن الاحتیاط، وإلاّ فهو المتعیّن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bookmarkStart w:id="111" w:name="pg13272_142830"/>
    </w:p>
    <w:p>
      <w:pPr>
        <w:pStyle w:val="BookText"/>
        <w:rPr/>
      </w:pPr>
      <w:bookmarkEnd w:id="111"/>
      <w:r>
        <w:rPr>
          <w:rFonts w:ascii="IRNazanin" w:hAnsi="IRNazanin" w:eastAsia="IRNazanin"/>
          <w:color w:val="111111"/>
          <w:sz w:val="28"/>
          <w:sz w:val="28"/>
          <w:szCs w:val="28"/>
          <w:rtl w:val="true"/>
          <w:lang w:bidi="fa-IR"/>
        </w:rPr>
        <w:t>بقصد</w:t>
      </w:r>
      <w:r>
        <w:rPr>
          <w:rStyle w:val="FootnoteAnchor"/>
          <w:rtl w:val="true"/>
        </w:rPr>
        <w:footnoteReference w:id="306"/>
      </w:r>
      <w:r>
        <w:rPr>
          <w:rFonts w:ascii="IRNazanin" w:hAnsi="IRNazanin" w:eastAsia="IRNazanin"/>
          <w:color w:val="111111"/>
          <w:sz w:val="28"/>
          <w:sz w:val="28"/>
          <w:szCs w:val="28"/>
          <w:rtl w:val="true"/>
          <w:lang w:bidi="fa-IR"/>
        </w:rPr>
        <w:t>أن یسأل عن الحکم بعد الصلاة</w:t>
      </w:r>
      <w:r>
        <w:rPr>
          <w:rStyle w:val="FootnoteAnchor"/>
          <w:rtl w:val="true"/>
        </w:rPr>
        <w:footnoteReference w:id="307"/>
      </w:r>
      <w:r>
        <w:rPr>
          <w:rFonts w:ascii="IRNazanin" w:hAnsi="IRNazanin" w:eastAsia="IRNazanin"/>
          <w:color w:val="111111"/>
          <w:sz w:val="28"/>
          <w:sz w:val="28"/>
          <w:szCs w:val="28"/>
          <w:rtl w:val="true"/>
          <w:lang w:bidi="fa-IR"/>
        </w:rPr>
        <w:t>، وأنّه إذا کان ما أتی به علی خلاف الواقع یعید صلاته، فلو فعل ذلک وکان ما فعله مطابقاً للواقع</w:t>
      </w:r>
      <w:r>
        <w:rPr>
          <w:rStyle w:val="FootnoteAnchor"/>
          <w:rtl w:val="true"/>
        </w:rPr>
        <w:footnoteReference w:id="30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لفتوی من یقلّده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لرأی مجتهده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یجب علیه الإعادة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إحراز مطابقته للواقع وإن لم یکن من قصده السؤال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1636450_2322387425"/>
      <w:bookmarkStart w:id="113" w:name="_Toc37"/>
      <w:bookmarkEnd w:id="112"/>
      <w:r>
        <w:rPr>
          <w:rtl w:val="true"/>
        </w:rPr>
        <w:t>وجوب العمل بالاحتیاط فی زمان الفحص عن المجتهد</w:t>
      </w:r>
      <w:bookmarkEnd w:id="1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w:t>
      </w:r>
      <w:r>
        <w:rPr>
          <w:rStyle w:val="FootnoteAnchor"/>
          <w:rtl w:val="true"/>
        </w:rPr>
        <w:footnoteReference w:id="30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الأحوط، وقد لا یستبعد جواز تقلید فقیه عادل، خصوصاً إذا کان الاحتیاط تعلّمه أو عمله حرجاً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العامّی فی زمان الفحص عن المجتهد أو</w:t>
      </w:r>
    </w:p>
    <w:p>
      <w:pPr>
        <w:pStyle w:val="BookText"/>
        <w:rPr/>
      </w:pPr>
      <w:r>
        <w:rPr>
          <w:rFonts w:ascii="IRNazanin" w:hAnsi="IRNazanin" w:eastAsia="IRNazanin"/>
          <w:color w:val="111111"/>
          <w:sz w:val="28"/>
          <w:sz w:val="28"/>
          <w:szCs w:val="28"/>
          <w:rtl w:val="true"/>
          <w:lang w:bidi="fa-IR"/>
        </w:rPr>
        <w:t>عن الأعلم أن یحتاط</w:t>
      </w:r>
      <w:r>
        <w:rPr>
          <w:rStyle w:val="FootnoteAnchor"/>
          <w:rtl w:val="true"/>
        </w:rPr>
        <w:footnoteReference w:id="31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العمل بأحوط أقوال الموجودین، بل یکفی العمل بالأحوط من أقوال من یحتمل أعلمیتهم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یعمل بأحوط الأقوال، بل فی الثانیة یجوز تقلید غیر الأعلم مع عدم العلم أو الظنّ باختلاف الآراء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العمل علی أحوط فتاوی الموجودین من المجتهدین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الأخذ بأحوط أقوال من یحتمل أعلمیّـتهم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أعماله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یعمل بأحوط الأقوال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تقلید غیر الأعلم فی الصورة الثانیة مع عدم العلم بالمخالفة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فیه الأخذ بأحوط القولین أو الأقوال من علماء عصره المعلوم جامعیّة بعضهم لشرائط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بالأخذ بأحوط الفتاوی ممّن یحتمل اجتهاده أو أعلمیّته فی عصره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التقلید الابتدائی، أمّا لو قلّد شخصاً ومات ففی زمان الفحص عمّن یرجع إلیه له أن یبقی علی تقلیده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بالأخذ بأحوط أقوال الموجودین فی زمانه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فیه العمل بالأحوط من أقوال من یحتمل أعلمیّتهم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بالعمل بأحوط الأقوال من الموجودین، هذا إذا علم بوجود الأعلم ومخالفة فتواه لغیره وعدم موافقة فتوی الغیر للاحتیاط کما مرّ، وإلاّ فیکتفی بالعمل بفتوی أحد المجتهدین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الأخذ بأحوط أقوال من یتردّد الأعلم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یأخذ بأحوط الأقوال ممّن یعلم إجمالاً أنّ فیهم من یجوز تقلیده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کفایة الأخذ بأحوط الأقوال ممّن یحتمل أعلمیّتهم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یعمل علی أحوط أقوال من یکون فی طرف شبهة الأعلمیّة فی الصورة الثانیة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یعمل بأحوط أقوال الموجودین ممّن یحتمل اجتهاده أو أعلمیّته مع العلم بالمخالفة بینهم فی الرأی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فیه أن یأخذ بأحوط الأقوال فی الأطراف المحتملة إذا علم بوجود من یجوز تقلیده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یعمل بأحوط الأقوال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ویجزیه العمل بأحوط أقوال المجتهدین فی الأوّل، وأحوط أقوال من یحتمل أعلمیّته فی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یعمل بأحوط الأقوال إذا علم بوجود من یجوز تقلیده فیها، وفی صورة عدم العلم بالأعلم یجوز تقلید غیر الأعلم إذا لم یعلم باختلاف المجتهدین فی الفتوی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بأن یعمل بأحوط الأقوال ممّن یحتمل وجود الأعلم فیهم من الموجودین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بالعمل بأحوط أقوال الموجودین، هذا بناءً علی أن تقلید الأعلم لازم مطلقاً حتّی فی زمان الفحص، وأمّا لو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أدلّة تقلید الأعلم مخصوصة فی فرض وجود الأعلم خارجاً ولو بین الاثنین فلا یجب تقلیده فی زمان الفحص عنه، ولا یجب علیه الاحتیاط فیجوز له تقلید غیر الأعلم فی هذا الزمان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ویکفی فی الصورة الاُولی الاحتیاط النسبی من أقوال من یعلم بوجود المجتهد بینهم ، وأمّا فی الصورة الثانیة فإن احتمل التساوی اندرج فی المسألة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وإن لم یحتمله اندرج فی المسألة </w:t>
      </w:r>
      <w:r>
        <w:rPr>
          <w:rFonts w:eastAsia="IRNazanin" w:cs="IRNazanin"/>
          <w:color w:val="111111"/>
          <w:sz w:val="28"/>
          <w:szCs w:val="28"/>
          <w:rtl w:val="true"/>
          <w:lang w:bidi="fa-IR"/>
        </w:rPr>
        <w:t>(</w:t>
      </w:r>
      <w:r>
        <w:rPr>
          <w:rFonts w:eastAsia="IRNazanin" w:cs="IRNazanin"/>
          <w:color w:val="111111"/>
          <w:sz w:val="28"/>
          <w:szCs w:val="28"/>
          <w:lang w:bidi="fa-IR"/>
        </w:rPr>
        <w:t>38</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4" w:name="pg13272_142833"/>
      <w:bookmarkStart w:id="115" w:name="pg13272_142833"/>
      <w:bookmarkEnd w:id="115"/>
    </w:p>
    <w:p>
      <w:pPr>
        <w:pStyle w:val="Heading3"/>
        <w:numPr>
          <w:ilvl w:val="2"/>
          <w:numId w:val="1"/>
        </w:numPr>
        <w:rPr/>
      </w:pPr>
      <w:bookmarkStart w:id="116" w:name="pg13272_142833"/>
      <w:bookmarkStart w:id="117" w:name="__RefHeading___Toc1636452_2322387425"/>
      <w:bookmarkStart w:id="118" w:name="_Toc38"/>
      <w:bookmarkEnd w:id="116"/>
      <w:bookmarkEnd w:id="117"/>
      <w:r>
        <w:rPr>
          <w:rtl w:val="true"/>
        </w:rPr>
        <w:t>المأذون و الوکیل عن المجتهد ینعزل بموت المجتهد</w:t>
      </w:r>
      <w:bookmarkEnd w:id="1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المأذون والوکیل عن المجتهد فی التصرّف فی الأوقاف أو فی أموال القُصّر ینعزل</w:t>
      </w:r>
      <w:r>
        <w:rPr>
          <w:rStyle w:val="FootnoteAnchor"/>
          <w:rtl w:val="true"/>
        </w:rPr>
        <w:footnoteReference w:id="311"/>
      </w:r>
      <w:r>
        <w:rPr>
          <w:rFonts w:ascii="IRNazanin" w:hAnsi="IRNazanin" w:eastAsia="IRNazanin"/>
          <w:color w:val="111111"/>
          <w:sz w:val="28"/>
          <w:sz w:val="28"/>
          <w:szCs w:val="28"/>
          <w:rtl w:val="true"/>
          <w:lang w:bidi="fa-IR"/>
        </w:rPr>
        <w:t>بموت المجتهد</w:t>
      </w:r>
      <w:r>
        <w:rPr>
          <w:rStyle w:val="FootnoteAnchor"/>
          <w:rtl w:val="true"/>
        </w:rPr>
        <w:footnoteReference w:id="312"/>
      </w:r>
      <w:r>
        <w:rPr>
          <w:rFonts w:ascii="IRNazanin" w:hAnsi="IRNazanin" w:eastAsia="IRNazanin"/>
          <w:color w:val="111111"/>
          <w:sz w:val="28"/>
          <w:sz w:val="28"/>
          <w:szCs w:val="28"/>
          <w:rtl w:val="true"/>
          <w:lang w:bidi="fa-IR"/>
        </w:rPr>
        <w:t>، بخلاف المنصوب</w:t>
      </w:r>
      <w:r>
        <w:rPr>
          <w:rStyle w:val="FootnoteAnchor"/>
          <w:rtl w:val="true"/>
        </w:rPr>
        <w:footnoteReference w:id="3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النصب لمقام ثبوت الولایة له، والأحوط تحصیل النصب من المجتهد الحیّ فی هذا الفرض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قبله، کما إذا نصبه متولّیاً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للوقف، أو قیّماً علی القصّر فإنّه لا تبطل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بتحصیل النصب الجدید من المجتهد الحیّ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فلابُدّ من تجدید نصبه من قبل المجتهد الحیّ ولو بالإمضاء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صحّة النصب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بتجدید الإذن مـن المجتهد الحیّ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فلا یُترک الاحتیاط بالاستئذان من الحیّ أو النصب من قبله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بالتجدید ولو إمضاءً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فی صحّة النصب من أوّل الأمر إشکال قویّ، فکیف ببقائه بعد موته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bookmarkStart w:id="119" w:name="pg13272_142834"/>
    </w:p>
    <w:p>
      <w:pPr>
        <w:pStyle w:val="BookText"/>
        <w:rPr/>
      </w:pPr>
      <w:bookmarkEnd w:id="119"/>
      <w:r>
        <w:rPr>
          <w:rFonts w:ascii="IRNazanin" w:hAnsi="IRNazanin" w:eastAsia="IRNazanin"/>
          <w:color w:val="111111"/>
          <w:sz w:val="28"/>
          <w:sz w:val="28"/>
          <w:szCs w:val="28"/>
          <w:rtl w:val="true"/>
          <w:lang w:bidi="fa-IR"/>
        </w:rPr>
        <w:t>تولیته</w:t>
      </w:r>
      <w:r>
        <w:rPr>
          <w:rStyle w:val="FootnoteAnchor"/>
          <w:rtl w:val="true"/>
        </w:rPr>
        <w:footnoteReference w:id="3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بطلان القیمومة کالوکالة بموت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الرجوع إلی المجتهد الحیّ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وقیمومته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الأظهر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 بنصبٍ جدید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وإن کان الاحتیاط بالرجوع إلی المجتهد الحیّ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ومع ذلک لا ینبغی ترک الاحتیاط بتحصیل التنصیب الجدید من المجتهد الحیّ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1636454_2322387425"/>
      <w:bookmarkStart w:id="121" w:name="_Toc39"/>
      <w:bookmarkEnd w:id="120"/>
      <w:r>
        <w:rPr>
          <w:rtl w:val="true"/>
        </w:rPr>
        <w:t>فی من بقی علی تقلید المیت، دون أن یقلد الحی</w:t>
      </w:r>
      <w:bookmarkEnd w:id="1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بقی علی تقلید المیّت من دون أن یقلّد الحیّ فی هذه المسألة کان کمن عمل</w:t>
      </w:r>
      <w:r>
        <w:rPr>
          <w:rStyle w:val="FootnoteAnchor"/>
          <w:rtl w:val="true"/>
        </w:rPr>
        <w:footnoteReference w:id="3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کان کمن قلّد بلا تقلید، فلو کان البقاء مطابقاً لفتوی مرجعه الحیّ صحّ جمیع أعماله، وإلاّ کان کمن عمل بلا تقلید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رضا الگلپایگانی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من غیر تقلید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فقد مرّ أنّ أعماله إذا کانت مطابقة للاحتیاط أو لرأی من یصحّ الاعتماد علی رأیه من الأحیاء تکون محکومة بالصحّة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2" w:name="pg13272_142835"/>
    </w:p>
    <w:p>
      <w:pPr>
        <w:pStyle w:val="Heading3"/>
        <w:numPr>
          <w:ilvl w:val="2"/>
          <w:numId w:val="1"/>
        </w:numPr>
        <w:rPr/>
      </w:pPr>
      <w:bookmarkStart w:id="123" w:name="__RefHeading___Toc1636456_2322387425"/>
      <w:bookmarkStart w:id="124" w:name="_Toc40"/>
      <w:bookmarkEnd w:id="122"/>
      <w:bookmarkEnd w:id="123"/>
      <w:r>
        <w:rPr>
          <w:rtl w:val="true"/>
        </w:rPr>
        <w:t>فی من قلد من یفتی بخلاف مجتهده الأول</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w:t>
      </w:r>
      <w:r>
        <w:rPr>
          <w:rStyle w:val="FootnoteAnchor"/>
          <w:rtl w:val="true"/>
        </w:rPr>
        <w:footnoteReference w:id="3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مراعاة التقلید الثانی بالنسبة إلی الآثار الفعلیّة لا یخلو من وجه قویّ، نعم له علاج المشکلة بالبقاء علی تقلید الأوّل فی مورد الاختلاف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یکتفی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المسألة بما لها من الصور ممّا ذُکر وما لم یُذکر لا تخلو من نظر، إلاّ أنّ الصلاة یبنی علی صحّتها فیما عدا الطهور والوقت والقبلة والرکوع والسجود، أمّا فی هذه الخمسة وفی سائر العبادات والمعاملات فإن قلّد فعلاً من یجوّز البقاء علی تقلید المیّت فهو، وإلاّ فلا یُترک ما یقتضیه الاحتیاط، بل الأقوی فی مورد الحکم الوضعی أن لایُرتّب الأثر علی ما یخالف فتوی مَن یقلّده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فروع هذه المسألة لا یُترک الاحتیاط إذا لم یکن حرجیّاً، إلاّ فیما یستلزم إعادة الصلاة فإنّها لا تعاد، لکن فی غیر ما استلزم بطلانها ببطلان مثل الطهور،بل الاحتیاط فیه أشدّ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بالمرّة مثلاً فی التسبیحات الأربع واکتفی بها، أو قلّد من یکتفی فی التیمّم بضربة واحدة، ثمّ مات ذلک المجتهد فقلّد من یقـول بوجـوب التعـدّد، لا یجـب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علیه‌إعادة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الاجتزاء بالأعمال الماضیة ـ فی مفروض المسألة ـ وإن کان هو الأوجه مطلقاً، إلاّ أنّ الأحوط الاقتصار فیه علی الأعمال الّتی وقع الإخلال فیها بما لا یوجب بُطلانها فی حال الجهل قصوراً حسب رأی المجتهد اللاحق، والمختار أنّ من هذا القبیل الإخلال بغیر الأرکان فی الصلاة کالمثال الأوّل المذکور فی المتن</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الإخلال ببعض ما یعتبر فی الطهارات الثلاث کالمثال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الإخلال بالغسل من الأعلی إلی الأسفل فی غسل الوجه علی القول باعتباره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الإخلال ببعض ما یعتبر فی الصوم، کالاجتناب عن الارتماس والکذب علی اللّه ورسوله صلی‌الله‌علیه‌و‌آله علی القول بمفطّریّتهما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الإخلال ببعض الشرائط فی باب العقود والإیقاعات وما یشابههما، کمثال الذبیحة المذکورة فی المتن، وللتعرّض لسائر صغریات هذه الکبری مقام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الأعمال السابقة</w:t>
      </w:r>
      <w:r>
        <w:rPr>
          <w:rStyle w:val="FootnoteAnchor"/>
          <w:rtl w:val="true"/>
        </w:rPr>
        <w:footnoteReference w:id="3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الأقوی ـ بالنظر إلی قاعدة عدم اقتضاء الأمر الظاهری للإجزاء ـ کون المدار فی الأعمال السابقة علی فتوی الثانی، إلاّ فی الصلاة بالنسبة إلی أجزائها وشرائطها الغیر الرکنیّة، وأمّا بالنسبة إلیها فیمکن المصیر إلی الإجزاء من جهة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الإخلال فیها زیادةً ونقیصةً منتهیة إلی سهوه ولو فی مقدّمات حفظه،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وکذا فی الفروع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الفروع المذکورة فی هذه المسألة غیر صافیة عن شوب الإشکال إلاّ فیما قام الدلیل علی صحّتها، کموارد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شموله موارد الجهل، فلا ینبغی ترک الاحتیاط فیها، وتفصیل الماتن قدس‌سره 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الضابط فی هذا المقام أنّ العمل الواقع علی طبق فتوی المجتهد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یکون النقص فیه نقصاً لا یضرّ مع السهو أو الجهل بصحّته، وإمّا أن یکون نقصاً یضرّ بصحّته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ففی الأوّل لا تجب الإعادة، وأمّا الثانی ففیه تفصیل، فإذا قلّد من یقول بعدم وجوب السورة فی الصلاة، ثمّ قلّد من یقول بوجوبها فیها، لم تجب علیه إعادة الصلاة الّتی صلاّها بغیر سورة فی الوقت فضلاً عن خارجه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فی الثانی کالطهور فإن کان الاجتهاد الثانی من باب الأخذ بالمتیقّن وقاعدة الاحتیاط وجبت الإعادة فی الوقت لا فی خارجه، وإن کان من جهة التمسّک بالدلیل فالظاهر وجوب الإعادة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فیه نظر، نعم لا تُعاد الصلاة فی مثل مسألة التسبیحات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وکذا</w:t>
      </w:r>
      <w:r>
        <w:rPr>
          <w:rStyle w:val="FootnoteAnchor"/>
          <w:rtl w:val="true"/>
        </w:rPr>
        <w:footnoteReference w:id="318"/>
      </w:r>
      <w:r>
        <w:rPr>
          <w:rFonts w:ascii="IRNazanin" w:hAnsi="IRNazanin" w:eastAsia="IRNazanin"/>
          <w:color w:val="111111"/>
          <w:sz w:val="28"/>
          <w:sz w:val="28"/>
          <w:szCs w:val="28"/>
          <w:rtl w:val="true"/>
          <w:lang w:bidi="fa-IR"/>
        </w:rPr>
        <w:t>لو أوقع عقداً أو إیقاعاً بتقلید مجتهد یحکم بالصحّة، ثمّ مات وقلَّد من یقول بالبطلان یجوز</w:t>
      </w:r>
      <w:r>
        <w:rPr>
          <w:rStyle w:val="FootnoteAnchor"/>
          <w:rtl w:val="true"/>
        </w:rPr>
        <w:footnoteReference w:id="319"/>
      </w:r>
      <w:r>
        <w:rPr>
          <w:rFonts w:ascii="IRNazanin" w:hAnsi="IRNazanin" w:eastAsia="IRNazanin"/>
          <w:color w:val="111111"/>
          <w:sz w:val="28"/>
          <w:sz w:val="28"/>
          <w:szCs w:val="28"/>
          <w:rtl w:val="true"/>
          <w:lang w:bidi="fa-IR"/>
        </w:rPr>
        <w:t>له البناء علی الصحّة</w:t>
      </w:r>
      <w:r>
        <w:rPr>
          <w:rStyle w:val="FootnoteAnchor"/>
          <w:rtl w:val="true"/>
        </w:rPr>
        <w:footnoteReference w:id="3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لا یُترک معه الاحتیاط فیما إذا أدّی التقلید اللاحق إلی فساد عقد أو إیقاع أو نجاسة شیء أو حرمته مع الابتلاء بمورده فعلاً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الأحوط إن لم یکن أقوی تجدید العقد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أدّی التقلید اللاحق إلی فساد عقدٍ أو إیقاع، وکذا نجاسة شیء أو حرمته أو عدم ملکیّة مال ونحو ذلک، فمع الابتلاء بمورده یقوی لزوم رعایته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ترتیب آثار الصحّة بالنسبة إلی ذلک العقد أو الإیقاع فی الأعمال الآتیة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أیضاً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العقد أو الإیقاع السابق ممّا یترتّب علیه الأثر فعلاً فالظاهر عدم جواز البناء علی صحّته فی مفروض المسألة، وکذا الحال فی بقیّة موارد الأحکام الوضعیّة من الطهارة والملکیّة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والأحوط ترتیب الآثار الفعلیّة للبطلان من غیر فرق بین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فیما سیأتی یجب علیه العمل بمقتضی فتوی المجتهد الثانی، وأمّا إذا قلَّد من یقول بطهارة شیء کالغسالة</w:t>
      </w:r>
      <w:r>
        <w:rPr>
          <w:rStyle w:val="FootnoteAnchor"/>
          <w:rtl w:val="true"/>
        </w:rPr>
        <w:footnoteReference w:id="3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بین مثال الغسالة ومثال الحیوان المذبوح الموجود، وبین الزوجة المعقود علیها بالفارسیّة الباقیة علی الحلّیّة بعد العدول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ثمّ مات وقلَّد من یقول بنجاسته فالصلوات والأعمال السابقة محکومة بالصحّة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بما هو حکم النجاسة حین العمل علی الأحوط، وکذا الحلّیة والحرمة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کانت مع</w:t>
      </w:r>
    </w:p>
    <w:p>
      <w:pPr>
        <w:pStyle w:val="BookText"/>
        <w:rPr/>
      </w:pPr>
      <w:r>
        <w:rPr>
          <w:rFonts w:ascii="IRNazanin" w:hAnsi="IRNazanin" w:eastAsia="IRNazanin"/>
          <w:color w:val="111111"/>
          <w:sz w:val="28"/>
          <w:sz w:val="28"/>
          <w:szCs w:val="28"/>
          <w:rtl w:val="true"/>
          <w:lang w:bidi="fa-IR"/>
        </w:rPr>
        <w:t>استعمال ذلک الشیء، وأمّا نفس ذلک الشیء إذا کان باقیاً فلا یحکم بعد ذلک بطهارته</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الحلّیّة والحرمة</w:t>
      </w:r>
      <w:r>
        <w:rPr>
          <w:rStyle w:val="FootnoteAnchor"/>
          <w:rtl w:val="true"/>
        </w:rPr>
        <w:footnoteReference w:id="3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فإذا أفتی المجتهد الأوّل بجواز الذبح بغیر الحدید مثلاً، فذبح حیواناً کذلک، فمات المجتهد وقلَّد من یقول بحرمته، فإن باعه أو أکله حکم بصحّة البیـع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وإباحة الأکل، وأمّا إذا کان الحیوان المذبوح موجوداً فلا یجوز بیعه ولا أکله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بینه وبین ما حکم بترتیب آثار الصحّة علیه 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وهکذا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الفرق بینه وبین العقود والإیقاعات السابقة، فإنّ حلّیّة الحیوان من آثار الذبح السابق، کما أنّ حلّیّة المرأة من آثار العقد السابق، نعم فیما کان الأثر مرتّباً علی وجود الموضوع حدوثاً وبقاءً، ولم یکن من آثار السبب السابق یجب العمل علی تقلید الثانی، کنجاسة عرق الجنب من الحرام إذا فرض بقاؤه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5" w:name="pg13272_142840"/>
    </w:p>
    <w:p>
      <w:pPr>
        <w:pStyle w:val="Heading3"/>
        <w:numPr>
          <w:ilvl w:val="2"/>
          <w:numId w:val="1"/>
        </w:numPr>
        <w:rPr/>
      </w:pPr>
      <w:bookmarkStart w:id="126" w:name="__RefHeading___Toc1636458_2322387425"/>
      <w:bookmarkStart w:id="127" w:name="_Toc41"/>
      <w:bookmarkEnd w:id="125"/>
      <w:bookmarkEnd w:id="126"/>
      <w:r>
        <w:rPr>
          <w:rtl w:val="true"/>
        </w:rPr>
        <w:t>الوکیل والوصی یعملان بمقتضی تقلید الموکل والموصی</w:t>
      </w:r>
      <w:bookmarkEnd w:id="12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الوکیل فی عمل عن الغیر، کإجراء عقد أو إیقاع أو إعطاء خمس أو زکاة أو کفّارة أو نحو ذلک، یجب</w:t>
      </w:r>
      <w:r>
        <w:rPr>
          <w:rStyle w:val="FootnoteAnchor"/>
          <w:rtl w:val="true"/>
        </w:rPr>
        <w:footnoteReference w:id="324"/>
      </w:r>
      <w:r>
        <w:rPr>
          <w:rFonts w:ascii="IRNazanin" w:hAnsi="IRNazanin" w:eastAsia="IRNazanin"/>
          <w:color w:val="111111"/>
          <w:sz w:val="28"/>
          <w:sz w:val="28"/>
          <w:szCs w:val="28"/>
          <w:rtl w:val="true"/>
          <w:lang w:bidi="fa-IR"/>
        </w:rPr>
        <w:t>أن یعمل</w:t>
      </w:r>
      <w:r>
        <w:rPr>
          <w:rStyle w:val="FootnoteAnchor"/>
          <w:rtl w:val="true"/>
        </w:rPr>
        <w:footnoteReference w:id="3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عیّن الموکِّل أو الموصی أو المؤجر طور العمل أو انصرف إلی نحو خاصّ، إلاّ إذا کان العمل عبادیّاً ورأی الفاعل فساده، ولم یتمکّن من التقرّب به فیعمل بمقتضی تقلید نفسه، وکذا فی فرض عدم التعیین وعدم الانصراف قضاءً لحقّ الإطلاق، وأمّا عند الشکّ فالأحوط مراعاة أحوط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بمقتضی تقلید الموکِّل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وکیلاً فی العمل الصحیح عند المؤکِّل، کما هو المنصرف إلیه من إطلاق الوکالة، ومثله الأجیر بل الوصیّ، وإن کان وکیلاً فی العمل الصحیح عنده أو فی الواقع وجب علیه مراعاة تقلید نفسه، وکذا الأجیر والوصیّ، والأحوط فیهما مراعاة التقلیدین، وأمّا فی الولیّ ونحوه فیجب علیه مراعاة تقلید نفسه، والاحتیاط 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لا یکون الوکیل مأخوذاً فیه بالواقع، وإلاّ وجب أن یعمل بمقتضی التقلیدین کالحقوق المالیّة، وکذا الوصیّ والعامل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نحو یتوافقان علی صحّته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کفایة رأی مجتهد المؤکِّل إذا وکّله علی إتیان الواقع فیما إذا کان رأی مجتهد الوکیل أوفق بالاحتیاط، أمّا فی الوصیّة فالظاهر أنّه وظیفة الأجیر، وهو یراعی تقلید نفسه، وإن کان الأحوط مراعاة التقلیدین فی الصورتین، نعم لو علم الوصیّ أنّ عمله مخالف للواقع ولو لأجل مخالفته لرأی مجتهده ـ أی الوصیّ ـ فلابدّ أن یطالبه بموافقة الواقع أو مراعاة فتوی مجتهده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قیّد الموکِّل ، وإذا أطلق الوکالة فالظاهر توکیله فیما یراه صحیحاً بنظره أو نظر مجتهده ، وهذا الظهور فی باب الوصایا أقوی ، حیث إنّها تولیة بالاستیجار والتسبیب فی إیجاد متعلّقها فی الخارج ، فهی نظیر النیابة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وجود قرینة علیه، وإلاّ فیکفی العمل بمقتضی تکلیف نفسه إن کان مورد الوکالة العمل الصحیح شرعاً، کما أنّ الولیّ یراعی تکلیف نفسه، وکذا الوصیّ فی الاستیجار فی کیفیّة الاستیجار، وأمّا العمل المستأَجَر علیه فیأتی حکمه فی المسألة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صلاة الاستیجار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أخذ الموصی أو المؤجر خصوصیّة فی العمـل فلا یجـوز التخلّف عـن تلک الخصوصیّة ، وأمّا لو أطلق فللأجیر والوصیّ العمل بوظیفة نفسة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الأراکی</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 xml:space="preserve">لا تقلید نفسه </w:t>
      </w:r>
      <w:r>
        <w:rPr>
          <w:rStyle w:val="FootnoteAnchor"/>
          <w:rtl w:val="true"/>
        </w:rPr>
        <w:footnoteReference w:id="3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فیما لو وکّله فی إیجاد ما اعتقده صحیحاً، ولو وکّله فی إیجاد ما هو الصحیح واقعاً فیجب علی الوکیل العمل علی طبق اعتقاده صحّته فی حقّ موکِّله، وإن لا یجدی فی حقّه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فی عمل الوصیّ تجدی فی الحکم بتفریغ ذمّة المیّت، کما أنّ عمل الوکیل أیضاً یجدی فی الحکم بفراغ ذمّة الموکِّل بعد موته علی وجه لا یجب علی الولیّ قضاوءه لو کان اعتقاده علی وفق اعتقاد وکیله، ووجه الجمیع واضح ظاهر، نعم لو آجر مثل هذا الموکِّل مثل هذا الوکیل ربّما یکون العقد بنظر الموکِّل فاسداً؛ لِلَغویّة العمل بنظره، بخلافه لدی الوکیل فیترتّب علی العقد آثار الصحّة، ولا یضرّ التفکیک فی هذا المقام ظاهراً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لو کان البائع معتقداً بصحّة المعاملة والمشتری معتقداً بفسادها، وحینئذٍ لا یستحقّ الأجیر إلاّ اُجرة المثل، والموکِّل یری استحقاقه اُجرة المثل، فکلّ یعمل بوظیفته الظاهریّة، کما لا یخفی، ومن هنا ظهر حال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یصحّ 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المسألة </w:t>
      </w:r>
      <w:r>
        <w:rPr>
          <w:rFonts w:eastAsia="IRNazanin" w:cs="IRNazanin"/>
          <w:color w:val="111111"/>
          <w:sz w:val="28"/>
          <w:szCs w:val="28"/>
          <w:rtl w:val="true"/>
          <w:lang w:bidi="fa-IR"/>
        </w:rPr>
        <w:t>(</w:t>
      </w:r>
      <w:r>
        <w:rPr>
          <w:rFonts w:eastAsia="IRNazanin" w:cs="IRNazanin"/>
          <w:color w:val="111111"/>
          <w:sz w:val="28"/>
          <w:szCs w:val="28"/>
          <w:lang w:bidi="fa-IR"/>
        </w:rPr>
        <w:t>55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یعمل بالأحوط منهما علی الأحوط، وسیأتی حکم الوصیّ فی القضاء عن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من رأیه فساد ما أوقعه علی رأی موکِّله، ولکنّ ذلک فی غیر العبادات؛ لعدم تمکّنه من قصد القربة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تقلید نفسه، إلاّ أن تکون قرینة علی خلاف ذلک فیعمل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العمل علی طبق اجتهاد نفسه أو تقلیده إذا لم یکن هناک ما یقیّد إطلاق وکالته بأن یعمل علی طبق الاجتهاد أو تقلید موکِّله، وإن کان الأحوط مراعاة کلتا الوظیفتین، ولا فرق فیما ذکرنا بین الوکیل والوصیّ إذا کان وصیّاً فی مثل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لو کان المورد باطلاً بنظر الوکیل أو الوصیّ والنائب فکیف یصحّ العمل علی طبق تقلیده؟ وأمّا لو کان صحیحاً بنظرهم فإن قُیِّد علی نحوٍ خاصّ یجب رعایته، وإلاّ یعمل علی رأی مقلّده أو اجتهاد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وکیلاً فی العمل الصحیح عند الموکِّل، وأمّا إن کان وکیلاً فی العمل الصحیح فی الواقع أو عنده لزم مراعاة تقلید نفسه، وبه یظهر حال الأجیر والوصیّ، والأحوط مراعاة التقلیدین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الوکیل فی عملٍ عن الغیر، کإجراء عقد أو إیقاع أو إعطاء خمس أو زکاة أو کفّارة، الظاهر أنـّه یعمل بمقتضی تقلیده إن کان وکیلاً فی العمل الصحیح، أی فیما یراه صحیحاً بنظره أو نظر مجتهده، لا تقلید الموکِّل، نعم لو کان وکیلاً فی العمل الصحیح عند الموکّل أو قامت القرینة علی لزوم العمل بتقلید الموکِّل یجب العمل علی طبق تقلیده، ولا یضرّه بعمله مع مخالفة رأیه، نعم الأحوط رعایة تکلیفه نفسه وموکِّله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فیما لا یکون مأخوذاً بالواقع بلحاظ نفس العمل أو آثاره، وإلاّ فاللازم مراعاة کلا التقلیدین، وکذا الحال فی الوصیّ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کانا مختلفین</w:t>
      </w:r>
      <w:r>
        <w:rPr>
          <w:rStyle w:val="FootnoteAnchor"/>
          <w:rtl w:val="true"/>
        </w:rPr>
        <w:footnoteReference w:id="3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برعایة کلا التقلیدین، خصوصاً فیما إذا کان من مذهبه بطلان العمل إذا أتی به علی مذهب المؤکِّل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مراعاة کلا التقلیدین، وکذلک فی الوصیّ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وکذلک</w:t>
      </w:r>
    </w:p>
    <w:p>
      <w:pPr>
        <w:pStyle w:val="BookText"/>
        <w:rPr/>
      </w:pPr>
      <w:r>
        <w:rPr>
          <w:rFonts w:ascii="Amiri" w:hAnsi="Amiri" w:eastAsia="Amiri" w:cs="Amiri"/>
          <w:color w:val="111111"/>
          <w:sz w:val="28"/>
          <w:sz w:val="28"/>
          <w:szCs w:val="28"/>
          <w:rtl w:val="true"/>
          <w:lang w:bidi="ar-SA"/>
        </w:rPr>
        <w:t>الوصیّ</w:t>
      </w:r>
      <w:r>
        <w:rPr>
          <w:rStyle w:val="FootnoteAnchor"/>
          <w:rtl w:val="true"/>
        </w:rPr>
        <w:footnoteReference w:id="3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الوصیّ والأجیر یعملان علی وفق تقلید نفسهما، ولا یجب مراعاة تقلید المیّت علیهما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إذ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وظیفة الوصیّ الاستیجار فقط، وأمّا العبادة الّتی هی مورد الإجارة؛ وهی الّتی یُؤتی بها عن المیّت المنوب عنه، فهو العمل الواجب علی الأجیر وفعله نفسه، فلابدّ أن یأتی به بما یراه صحیحاً ومبرئاً لذمّة المیّت، نعم الأحوط هناک مراعاة التقلیدین إن أمکن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الوصیّ والأجیر یعملان علی وفق تقلید أنفسهما، مع عدم التقیید فی الوصیّة أو الإجارة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وما ذکرنا فی خصوص الوکیل من التفصیل یجری فی الوصیّ والولیّ، فلو کان وصیّاً فی استئجار الصلاة عن المیّت مثلاً فیجب أن یستأجر علی طبق فتوی مرجع تقلیده، لا علی وفق فتوی المرجع المیّت، وأمّا وظیفة الأجیر فیأتی ـ إن شاء اللّه ـ مراعاة تقلید نفسه، وإن کان الأحوط أیضاً مراعاة التقلیدین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الأجیر والمیّت، وأمّا وظیفة المتبرّع فهی کوظیفة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فی مثل ما لو کان وصیّاً</w:t>
      </w:r>
    </w:p>
    <w:p>
      <w:pPr>
        <w:pStyle w:val="BookText"/>
        <w:rPr/>
      </w:pPr>
      <w:r>
        <w:rPr>
          <w:rFonts w:ascii="IRNazanin" w:hAnsi="IRNazanin" w:eastAsia="IRNazanin"/>
          <w:color w:val="111111"/>
          <w:sz w:val="28"/>
          <w:sz w:val="28"/>
          <w:szCs w:val="28"/>
          <w:rtl w:val="true"/>
          <w:lang w:bidi="fa-IR"/>
        </w:rPr>
        <w:t>فی استئجار الصلاة عنه یجب أن یکون</w:t>
      </w:r>
      <w:r>
        <w:rPr>
          <w:rStyle w:val="FootnoteAnchor"/>
          <w:rtl w:val="true"/>
        </w:rPr>
        <w:footnoteReference w:id="3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رعایة الوصیّ والنائب العمل بما یقتضیه تقلیدهما، وعدم لزوم رعایة تقلید المیّت مع عدم الوصیّة بها وإن کان له وجه قویّ، إلاّ أنّ الاحتیاط لا ینبغی ترکه، بل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أن یکون علی وفق فتوی مجتهده، لکن فی الفرق بینه وبین الوکیل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وفق فتوی مجتهد المیّت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الوصیّ وکذا الأجیر أن یراعی أحوط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الوصیّ یراعی مذهب مجتهده لا مجتهد الموصی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الوصیّ والنائب یعملان بمقتضی تقلیدهما، لا تقلید المنوب عنه والموصی، وکذا الولیّ کالولد الأکبر والمتبرّع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للوصیّ هنا عمل سوی الاستئجار، وأمّا الصلاة الّتی یوءتی بها عن المیّت فهو فعل الأجیر، والواجب علیه فیها هو رعایة تقلید نفسه، لا المیّت علی الأقوی، کسائر النوّاب عنه، نعم الأحوط رعایة التقلیدین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رعایتهما أحوط التقلیدین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عدمه، فإنّ الأجیر وکلّ من ینوب عن المیّت إنّما یعمل علی وفق تقلید نفسه، بل العمل علی وفق مجتهد المیّت لو کان بنظر النائب باطلاً لم یمکنه قصد القُربة، کما أنّه لو کان کذلک بنظر الوصیّ لم یمکنه الاستیجار، نعم إن اختلف تقلید الوصیّ والأجیر فالأحوط الاستیجار علی ما یتوافقان علیه، لکن لیس علی الوصیّ الفحص عن تقلید الأجیر، بل یحمل عمله علی الصحیح ویستأجره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یعمل الوصیّ بمقتضی تقلید نفسه فی نفس الاستئجار الّذی هو عمله، وأمّا الأعمال الّتی یأتی بها الأجیر فیأتی علی وفق تقلیده، والأحوط مراعاة تقلید المیّت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وصّی باستئجار عمل مخصوص فلا یجوز التخلّف عنه، وکذا فی الأجیر، وأمّا لو أوصی بالعمل بلا خصوصیّة فالوصیّ یعمل بتکلیف نفسه، وکذا الأجیر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لزوم کون العمل المستأجر علیه صحیحاً عنده ولو مع الإخلال عن حجّة بما لا یکون الإخلال به کذلک منافیاً للصحّة حسب فتواه، وهکذا الحال فی سائر الموارد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28" w:name="pg13272_142846"/>
    </w:p>
    <w:p>
      <w:pPr>
        <w:pStyle w:val="Heading3"/>
        <w:numPr>
          <w:ilvl w:val="2"/>
          <w:numId w:val="1"/>
        </w:numPr>
        <w:rPr/>
      </w:pPr>
      <w:bookmarkStart w:id="129" w:name="__RefHeading___Toc1636460_2322387425"/>
      <w:bookmarkStart w:id="130" w:name="_Toc42"/>
      <w:bookmarkEnd w:id="128"/>
      <w:bookmarkEnd w:id="129"/>
      <w:r>
        <w:rPr>
          <w:rtl w:val="true"/>
        </w:rPr>
        <w:t>اختلاف المتعاملین فی التقلید</w:t>
      </w:r>
      <w:bookmarkEnd w:id="13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البائع</w:t>
      </w:r>
      <w:r>
        <w:rPr>
          <w:rStyle w:val="FootnoteAnchor"/>
          <w:rtl w:val="true"/>
        </w:rPr>
        <w:footnoteReference w:id="330"/>
      </w:r>
      <w:r>
        <w:rPr>
          <w:rFonts w:ascii="Amiri" w:hAnsi="Amiri" w:eastAsia="Amiri" w:cs="Amiri"/>
          <w:color w:val="111111"/>
          <w:sz w:val="28"/>
          <w:sz w:val="28"/>
          <w:szCs w:val="28"/>
          <w:rtl w:val="true"/>
          <w:lang w:bidi="ar-SA"/>
        </w:rPr>
        <w:t xml:space="preserve">مقلِّداً </w:t>
      </w:r>
      <w:r>
        <w:rPr>
          <w:rStyle w:val="FootnoteAnchor"/>
          <w:rtl w:val="true"/>
        </w:rPr>
        <w:footnoteReference w:id="331"/>
      </w:r>
      <w:r>
        <w:rPr>
          <w:rFonts w:ascii="IRNazanin" w:hAnsi="IRNazanin" w:eastAsia="IRNazanin"/>
          <w:color w:val="111111"/>
          <w:sz w:val="28"/>
          <w:sz w:val="28"/>
          <w:szCs w:val="28"/>
          <w:rtl w:val="true"/>
          <w:lang w:bidi="fa-IR"/>
        </w:rPr>
        <w:t>لمن یقول بصحّة المعاطاة مثلاً أو العقد بالفارسیّ، والمشتری مقلِّداً لمن یقول بالبطلان، لا یصحّ</w:t>
      </w:r>
      <w:r>
        <w:rPr>
          <w:rStyle w:val="FootnoteAnchor"/>
          <w:rtl w:val="true"/>
        </w:rPr>
        <w:footnoteReference w:id="3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الأقرب الصحّة، وعلی کلٍّ منهما العمل وفق تکلیف نفسه، وهکذا الحکم فی کلّ ما یرتبط بطرفین من عقد أو إیقاع أو غیرهما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والوجه المذکور لا یصلح للتعلیل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بالنسبة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مهدی الشیرازی،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صحّة البیع بالنسبة إلی البائع، إذ تَقَوُّم البیع بالطرفین واقعاً لا یلازم عدم التفکیک فی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 یصحّ بالإضافة إلیه، ولا مانع من التفکیک فی الأحکام الظاهریّة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بالنسبة إلی البائع أیضاً</w:t>
      </w:r>
      <w:r>
        <w:rPr>
          <w:rStyle w:val="FootnoteAnchor"/>
          <w:rtl w:val="true"/>
        </w:rPr>
        <w:footnoteReference w:id="3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وما ذکر له من الوجه غیر وجیه، بل لا یبعد الصحّة بالنسبة إلیه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وله أن یرتّب علیه الأثر علی تقدیر أن یُنشئ المشتری قبوله قاصداً للشراء، وإن لم یمکنه أن یرتّب الأثر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صحّته لمن یری صحّة مثل هـذا العقـد اجتهاداً أو تقلیداً ، واعتقاد الطرف الآخر بالبطلان لا یضرّ بالصحّة الظاهریّة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الصحّة بالنسبة إلیه، والتعلیل المزبور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ظاهراً، وملازمتهما فی الواقع لا تمنع من التفکیک فی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والأقوی ترتّب الصحّة بالنسبة إلی البائع ظاهراً، وعدم ترتّبها بالنسبة إلی المشتری کذلک، والتلازم بین الصحّتین واقعاً لا یستلزم التلازم بینهما فی الأحکام الظاهریّة، والانفکاک بینهما غیر عزیز فی أبواب الفقه، فالبائع فی الفرض لا یجوز له التصرّف فی المثمن، ویجوز تصرّفه فی الثمن، والمشتری بالعکس، ولکنّ ذلک کلّه مع تحقّق قصد الإنشاء المعاملی من الذاهب إلی الفساد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الصحّة بالنسبة إلیه أیضاً موافقة للدلیل، وما ذکره من التعلیل علیل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بالنسبة إلیه، والتعلیل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هی الصحّة بالنسبة إلیه، إذ تلازمهما إنّما یکون فی الحکم الواقعی دون الظاهری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لأ نّه متقوّم بطرفین</w:t>
      </w:r>
      <w:r>
        <w:rPr>
          <w:rStyle w:val="FootnoteAnchor"/>
          <w:rtl w:val="true"/>
        </w:rPr>
        <w:footnoteReference w:id="3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الصحّة بالنسبة إلیه، والتعلیل المزبور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والتعلیل کما 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بالنسبة إلی من یقول بالصحّة وإن خالف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ولکلٍّ منهما العمل بمقتضی تکلیف نفسه، وکذا الحکم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التلازم بحسب الواقع لا ینافی عدم التلازم بحسب الظاهر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یستفاد من هذا التعلیل بطلان البیع بالنسبة إلی البائع القائل بصحّته من الطرفین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صحّته بالنسبة إلیه، وکذا سائر المعاملات مع تمشّی قصد المعاملة ممّن یری بطلانها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بالنسبة إلیه، وتَقَوُّم البیع بالطرفین إنّما هو بالإضافة إلی الحکم الواقعی دون الظاهری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یصحّ بالنسبة إلیه، والتعلیل علیل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ریب فی أنّ العقد متقوّم بهما، کما أنّه لا ریب فی تلازم ما یقوّم بهما فیالحکم الواقعی صحّةً وفساداً، فالعقد الواحد بحسب الحکم الواقعی لایمکن‌أن یکون صحیحاً وفاسداً معاً، ولکنّ هذا التلازم لا یستلزم التلازم فیالحکم الظاهری، فلا مانع من القول بأنّ لکلّ واحد منهما ترتیب آثار ما یعتقده اجتهاداً أو تقلیداً من الصحّة والفساد، وفی صورة التنازع والتخاصم یرجع إلی الحاکم الشرعی لرفع الخصومة، سواء کان الترافع عند أحد المرجعین أو مرجع آخر فیحکم بینهما علی حسب فتواه، وینفذ حکمه علی المقلِّدین، وکذا الأمر فیما إذا وقع إیقاع متعلّق بشخصین کالطلاق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فاللازم أن یکون صحیحاً</w:t>
      </w:r>
      <w:bookmarkStart w:id="131" w:name="pg13272_142849"/>
    </w:p>
    <w:p>
      <w:pPr>
        <w:pStyle w:val="BookText"/>
        <w:rPr/>
      </w:pPr>
      <w:bookmarkEnd w:id="131"/>
      <w:r>
        <w:rPr>
          <w:rFonts w:ascii="IRNazanin" w:hAnsi="IRNazanin" w:eastAsia="IRNazanin"/>
          <w:color w:val="111111"/>
          <w:sz w:val="28"/>
          <w:sz w:val="28"/>
          <w:szCs w:val="28"/>
          <w:rtl w:val="true"/>
          <w:lang w:bidi="fa-IR"/>
        </w:rPr>
        <w:t>من الطرفین</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فی کلّ عقد کان مذهب أحد الطرفین بطلانه، ومذهب الآخر صحّته</w:t>
      </w:r>
      <w:r>
        <w:rPr>
          <w:rFonts w:eastAsia="IRNazanin" w:cs="IRNazanin"/>
          <w:color w:val="111111"/>
          <w:sz w:val="28"/>
          <w:szCs w:val="28"/>
          <w:rtl w:val="true"/>
          <w:lang w:bidi="fa-IR"/>
        </w:rPr>
        <w:t>.</w:t>
      </w:r>
    </w:p>
    <w:p>
      <w:pPr>
        <w:pStyle w:val="Heading3"/>
        <w:numPr>
          <w:ilvl w:val="2"/>
          <w:numId w:val="1"/>
        </w:numPr>
        <w:rPr/>
      </w:pPr>
      <w:bookmarkStart w:id="132" w:name="__RefHeading___Toc1636462_2322387425"/>
      <w:bookmarkStart w:id="133" w:name="_Toc43"/>
      <w:bookmarkEnd w:id="132"/>
      <w:r>
        <w:rPr>
          <w:rtl w:val="true"/>
        </w:rPr>
        <w:t>فی المرافعات اختیار الحکم بید المدعی</w:t>
      </w:r>
      <w:bookmarkEnd w:id="1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المرافعات اختیار تعیین الحاکم بید المدّعی</w:t>
      </w:r>
      <w:r>
        <w:rPr>
          <w:rStyle w:val="FootnoteAnchor"/>
          <w:rtl w:val="true"/>
        </w:rPr>
        <w:footnoteReference w:id="3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مطلقاً، نعم الأحوط له الرجوع إلی الأعلم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فی صورة التداعی منهما لا اختیار لواحدٍ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عدم ثبوت هذا الحقّ، والاحتیاط المذکور استحبابی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إلاّإذا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المدّعی علیه أعلم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حتّی إذا کان کذلک ما لم یکن الترافع لأجل تنازعهما فیما هو الحکم شرعاً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حتّی إذا کان کذلک علی الأقوی، والاحتیاط بعده یجوز ترکه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هذه الصورة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مع وجود الأعلم وإمکان الترافع</w:t>
      </w:r>
    </w:p>
    <w:p>
      <w:pPr>
        <w:pStyle w:val="BookText"/>
        <w:rPr/>
      </w:pPr>
      <w:r>
        <w:rPr>
          <w:rFonts w:ascii="IRNazanin" w:hAnsi="IRNazanin" w:eastAsia="IRNazanin"/>
          <w:color w:val="111111"/>
          <w:sz w:val="28"/>
          <w:sz w:val="28"/>
          <w:szCs w:val="28"/>
          <w:rtl w:val="true"/>
          <w:lang w:bidi="fa-IR"/>
        </w:rPr>
        <w:t>إلیه</w:t>
      </w:r>
      <w:r>
        <w:rPr>
          <w:rStyle w:val="FootnoteAnchor"/>
          <w:rtl w:val="true"/>
        </w:rPr>
        <w:footnoteReference w:id="337"/>
      </w:r>
      <w:r>
        <w:rPr>
          <w:rFonts w:ascii="IRNazanin" w:hAnsi="IRNazanin" w:eastAsia="IRNazanin"/>
          <w:color w:val="111111"/>
          <w:sz w:val="28"/>
          <w:sz w:val="28"/>
          <w:szCs w:val="28"/>
          <w:rtl w:val="true"/>
          <w:lang w:bidi="fa-IR"/>
        </w:rPr>
        <w:t>الأحـوط</w:t>
      </w:r>
      <w:r>
        <w:rPr>
          <w:rStyle w:val="FootnoteAnchor"/>
          <w:rtl w:val="true"/>
        </w:rPr>
        <w:footnoteReference w:id="3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الشبهات الحکمیّة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إذا کان منشأ النزاع اختلاف فتوی الحاکمَین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رضاالگلپایگانی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 لعدم الدلیل علی اعتبار قضاء غیر الأعلم مع وجوده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الرجوع إلیه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ذلک، إلاّ أن یکون ترافعهما من أجل التنازع فی الحکم الشرعی، وکانا یتّفقان علی أعلمیّة الأعلم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کانت الشبهة حکمیّة ووجب علی المتخاصمین تقلیده فهو الأقوی، وفی غیره لا بأس بترک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مطلقاً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کان منشأ النزاع هو الاختلاف فی الحکم الشرعی،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للاحتیاط فی غیر ما کان منشأ الاختلاف الشبهة الحکمیّة، وکانا مستفتیَین أو کانا متداعیَین، وقد حکم کلّ من الحاکمَین بخلاف الآخر ولو فی الشبهة الموضوعیّة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التنازع من جهة الاختلاف فی الحکم الشرعی،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منشأ النزاع هو الشبهة الحکمیّة لا الموضوعیّة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 الترافع مستنداً إلی النزاع فی الحکم الکلّی، وإن کان الأقوی فیه أیضاً عدم اللزوم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الأظهر فیما إذا کانت الشبهة حکمیّة، وکان منشأ النزاع الاختلاف فی الفتوی، وإلاّ فلا یجب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التخاصم فی الحکم الشرعی، وکان المتخاصمین ممّن وجب علیهما تقلید الأعلم یُرجع إلی الأعلم، وإلاّ یجوز الرجوع إلی مطلق المجتهد فی القضاوة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4" w:name="pg13272_142851"/>
    </w:p>
    <w:p>
      <w:pPr>
        <w:pStyle w:val="Heading3"/>
        <w:numPr>
          <w:ilvl w:val="2"/>
          <w:numId w:val="1"/>
        </w:numPr>
        <w:rPr/>
      </w:pPr>
      <w:bookmarkStart w:id="135" w:name="__RefHeading___Toc1636464_2322387425"/>
      <w:bookmarkStart w:id="136" w:name="_Toc44"/>
      <w:bookmarkEnd w:id="134"/>
      <w:bookmarkEnd w:id="135"/>
      <w:r>
        <w:rPr>
          <w:rtl w:val="true"/>
        </w:rPr>
        <w:t>لا یجوز نقض حکم الحاکم الجامع للشرائط</w:t>
      </w:r>
      <w:bookmarkEnd w:id="13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الحاکم الجامع للشرائط لا یجوز نقضه</w:t>
      </w:r>
      <w:r>
        <w:rPr>
          <w:rStyle w:val="FootnoteAnchor"/>
          <w:rtl w:val="true"/>
        </w:rPr>
        <w:footnoteReference w:id="339"/>
      </w:r>
      <w:r>
        <w:rPr>
          <w:rFonts w:ascii="IRNazanin" w:hAnsi="IRNazanin" w:eastAsia="IRNazanin"/>
          <w:color w:val="111111"/>
          <w:sz w:val="28"/>
          <w:sz w:val="28"/>
          <w:szCs w:val="28"/>
          <w:rtl w:val="true"/>
          <w:lang w:bidi="fa-IR"/>
        </w:rPr>
        <w:t>ولو لمجتهد آخر، إلاّ</w:t>
      </w:r>
      <w:r>
        <w:rPr>
          <w:rStyle w:val="FootnoteAnchor"/>
          <w:rtl w:val="true"/>
        </w:rPr>
        <w:footnoteReference w:id="340"/>
      </w:r>
      <w:r>
        <w:rPr>
          <w:rFonts w:ascii="IRNazanin" w:hAnsi="IRNazanin" w:eastAsia="IRNazanin"/>
          <w:color w:val="111111"/>
          <w:sz w:val="28"/>
          <w:sz w:val="28"/>
          <w:szCs w:val="28"/>
          <w:rtl w:val="true"/>
          <w:lang w:bidi="fa-IR"/>
        </w:rPr>
        <w:t>إذا تبیّن خطوءه</w:t>
      </w:r>
      <w:r>
        <w:rPr>
          <w:rStyle w:val="FootnoteAnchor"/>
          <w:rtl w:val="true"/>
        </w:rPr>
        <w:footnoteReference w:id="3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واقعاً، أو بحسب فتوی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مورد إشکال، والبحث فیه موکول إلی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بمخالفته للواقع تبیّناً بیّناً، أو کون حکمه مستنداً إلی اجتهادٍ باطل، من غیر فرق بین کون مستنده فی حکمه الیمین أو البیّنة، وفی المسألة تفصیل ووجوه تُطلب من کتاب القضاء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الإطلاق مشکل جدّاً، وفیه تفصیل لا یسعه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بأن علم مخالفته للواقع، أو کان صادراً عن تقصیر فی مقدّماته، فللعالم بالخطأ أن یعمل علی وفق علمه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ومخالفته لما ثبت قطعاً من الکتاب والسنّة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37" w:name="pg13272_142852"/>
    </w:p>
    <w:p>
      <w:pPr>
        <w:pStyle w:val="Heading3"/>
        <w:numPr>
          <w:ilvl w:val="2"/>
          <w:numId w:val="1"/>
        </w:numPr>
        <w:rPr/>
      </w:pPr>
      <w:bookmarkStart w:id="138" w:name="__RefHeading___Toc1636466_2322387425"/>
      <w:bookmarkStart w:id="139" w:name="_Toc45"/>
      <w:bookmarkEnd w:id="137"/>
      <w:bookmarkEnd w:id="138"/>
      <w:r>
        <w:rPr>
          <w:rtl w:val="true"/>
        </w:rPr>
        <w:t>فی من نقل فتوی المجتهد، ثم تبدل رأیه، أو نقلها خطأً</w:t>
      </w:r>
      <w:bookmarkEnd w:id="13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نقل ناقل فتوی المجتهد لغیره، ثمّ تبدّل رأی المجتهد فی تلک المسألة لا یجب</w:t>
      </w:r>
      <w:r>
        <w:rPr>
          <w:rStyle w:val="FootnoteAnchor"/>
          <w:rtl w:val="true"/>
        </w:rPr>
        <w:footnoteReference w:id="342"/>
      </w:r>
      <w:r>
        <w:rPr>
          <w:rFonts w:ascii="IRNazanin" w:hAnsi="IRNazanin" w:eastAsia="IRNazanin"/>
          <w:color w:val="111111"/>
          <w:sz w:val="28"/>
          <w:sz w:val="28"/>
          <w:szCs w:val="28"/>
          <w:rtl w:val="true"/>
          <w:lang w:bidi="fa-IR"/>
        </w:rPr>
        <w:t>علی الناقل</w:t>
      </w:r>
      <w:r>
        <w:rPr>
          <w:rStyle w:val="FootnoteAnchor"/>
          <w:rtl w:val="true"/>
        </w:rPr>
        <w:footnoteReference w:id="343"/>
      </w:r>
      <w:r>
        <w:rPr>
          <w:rFonts w:ascii="IRNazanin" w:hAnsi="IRNazanin" w:eastAsia="IRNazanin"/>
          <w:color w:val="111111"/>
          <w:sz w:val="28"/>
          <w:sz w:val="28"/>
          <w:szCs w:val="28"/>
          <w:rtl w:val="true"/>
          <w:lang w:bidi="fa-IR"/>
        </w:rPr>
        <w:t>إعلام من سمع منه</w:t>
      </w:r>
      <w:r>
        <w:rPr>
          <w:rStyle w:val="FootnoteAnchor"/>
          <w:rtl w:val="true"/>
        </w:rPr>
        <w:footnoteReference w:id="344"/>
      </w:r>
      <w:r>
        <w:rPr>
          <w:rFonts w:ascii="IRNazanin" w:hAnsi="IRNazanin" w:eastAsia="IRNazanin"/>
          <w:color w:val="111111"/>
          <w:sz w:val="28"/>
          <w:sz w:val="28"/>
          <w:szCs w:val="28"/>
          <w:rtl w:val="true"/>
          <w:lang w:bidi="fa-IR"/>
        </w:rPr>
        <w:t>الفتوی الاُولی</w:t>
      </w:r>
      <w:r>
        <w:rPr>
          <w:rStyle w:val="FootnoteAnchor"/>
          <w:rtl w:val="true"/>
        </w:rPr>
        <w:footnoteReference w:id="345"/>
      </w:r>
      <w:r>
        <w:rPr>
          <w:rFonts w:ascii="IRNazanin" w:hAnsi="IRNazanin" w:eastAsia="IRNazanin"/>
          <w:color w:val="111111"/>
          <w:sz w:val="28"/>
          <w:sz w:val="28"/>
          <w:szCs w:val="28"/>
          <w:rtl w:val="true"/>
          <w:lang w:bidi="fa-IR"/>
        </w:rPr>
        <w:t>وإن کان أحوط</w:t>
      </w:r>
      <w:r>
        <w:rPr>
          <w:rStyle w:val="FootnoteAnchor"/>
          <w:rtl w:val="true"/>
        </w:rPr>
        <w:footnoteReference w:id="34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 لمکان حکم العقل بإرشاد الجاهل وتنبیهه، کما مرّ فی الحواشی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سیّما فی الطریق المنحصر عادةً، مثل المتصدّی المنحصر لنقل الفتوی فی بلد أو قریة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بخلاف ما إذا تبیّن له خطوءه فی النقل، فإنّه یجب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الإعلام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فی الإلزامیّات، وأمّا حکم المجتهد الّذی تبدّل رأیه فسیأتی فی المسألة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إعلام من سمع منه ذلک، فإذا نقل فتواه بإباحة الشیء ثمّ تبیّن أنّ فتواه الوجوب أو الحرمة، وأمّا لو نقل فتواه بالوجوب أو الحرمة، ثمّ بان أنّ فتواه کانت للإباحة، فوجوب الإعلام علی الناقل محلّ نظر، بل منع، وکذا فی غیر الإلزامیّات، کما لو نقل إباحة المستحب أو المکروه خطأً، ومثل ما تقدّم من التفصیل إذا أخطأ المجتهد فی بیان فتواه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40" w:name="pg13272_142853"/>
    </w:p>
    <w:p>
      <w:pPr>
        <w:pStyle w:val="Heading3"/>
        <w:numPr>
          <w:ilvl w:val="2"/>
          <w:numId w:val="1"/>
        </w:numPr>
        <w:rPr/>
      </w:pPr>
      <w:bookmarkStart w:id="141" w:name="__RefHeading___Toc1636468_2322387425"/>
      <w:bookmarkStart w:id="142" w:name="_Toc46"/>
      <w:bookmarkEnd w:id="140"/>
      <w:bookmarkEnd w:id="141"/>
      <w:r>
        <w:rPr>
          <w:rtl w:val="true"/>
        </w:rPr>
        <w:t>إذا تعارض الناقلان فی نقل الفتوی</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تعارض الناقلان</w:t>
      </w:r>
      <w:r>
        <w:rPr>
          <w:rStyle w:val="FootnoteAnchor"/>
          <w:rtl w:val="true"/>
        </w:rPr>
        <w:footnoteReference w:id="3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حصل الاطمئنان الناشئ من المبادئ العقلائیّة فی جمیع هذه الموارد فهو، وإلاّ فمشکل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نقل الفتوی تساقطاً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یختلف ذلک فی جمیع المذکورات، والمعیار تقدیم الأوثق علی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أحدهما أوثق اُخذ به، ومع التساوی یتخیّر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جمیع الصور علی الوثوق الفعلی، فالتساقط ولو فی صورة المرجّح فی الصورتین الاُولَیین والترجیح بما فی المتن فی الأخیرتین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یُحتمل کون المعیار حصول الوثوق، فإذن لا یبعد عند العقلاء تقدیم الأوثق من النقلین أو البیّنتین لو کان، وإلاّ التساقط لو کان المتعارضان ناظرین إلی زمان واحد أو إلی زمانین، ولم یُحتمل العدول عن الفتوی فی حقّ المجتهد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تساویا فی الوثاقة، وإلاّ فیؤخذ بأوثقهما نقلاً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التکافوء، وإلاّ یوءخذ بقول من یحصل منه 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احتمل العدول تعیّن العمل بالمتأخّر فی جمیع صور التعارض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الجملة؛ وإن کان الأخذ بالأرجح عرفاً، ومع التساوی والتخییر لا یخلو من وجه، وذلک یجری من کلّ الفروع المذکورة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الأمر کذلک فی جمیع الصور المذکورة إلاّ مع حصول الاطمئنان بأحد الطرفین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التعارض یختلف بحسب المقامات، ففی إطلاق ما ذکره فی المتن فی هذه المسألة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 بل مع اختلاف التأریخ واحتمال عدول المجتهد عن رأیه الأوّل یعمل بمتأخّر التأریخ، وفی غیر ذلک یرجع بقول أوثقهما، ومع التساوی فی الوثاقة یتساقطان، فحینئذٍ إذا لم یکن فیها الرجوع إلی المجتهد ولو برسالته یعمل بما وافق أحوط القولین حتّی یتبیّن الحکم، أو یعمل بالاحتیاط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وکـذا البیّنتان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تعارض النقل مع السماع</w:t>
      </w:r>
      <w:r>
        <w:rPr>
          <w:rStyle w:val="FootnoteAnchor"/>
          <w:rtl w:val="true"/>
        </w:rPr>
        <w:footnoteReference w:id="348"/>
      </w:r>
      <w:r>
        <w:rPr>
          <w:rFonts w:ascii="IRNazanin" w:hAnsi="IRNazanin" w:eastAsia="IRNazanin"/>
          <w:color w:val="111111"/>
          <w:sz w:val="28"/>
          <w:sz w:val="28"/>
          <w:szCs w:val="28"/>
          <w:rtl w:val="true"/>
          <w:lang w:bidi="fa-IR"/>
        </w:rPr>
        <w:t>من المجتهد شفاهاً قـدّم‌السماع</w:t>
      </w:r>
      <w:r>
        <w:rPr>
          <w:rStyle w:val="FootnoteAnchor"/>
          <w:rtl w:val="true"/>
        </w:rPr>
        <w:footnoteReference w:id="3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الترجیح فی جمیع الصور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احتمال تبدّل رأیه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تقدیماً للأظهر، وفی إطلاقه إشکالٌ أیضاً، فإنّ المعیار کما أسلفناه الأوثقیّة، وهی تختلف بحسب الأشخاص والموارد، إذ ربّما یکون الناقل لرأی المنقول عنه أضبط من نفسه، کما شاهدنا ذلک بالنسبة إلی بعض الأعلام المرحومین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مع عدم احتمال تبدّل الرأی، وإلاّ لو کان هناک احتمال معتدّ به فالظاهر تقدّم السماع بلا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وإطلاق ما ذکر بعده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وإطلاق ما ذکر بعده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یختلف ذلک باختلاف الموارد، وکذا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إذا تعارض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فی</w:t>
      </w:r>
    </w:p>
    <w:p>
      <w:pPr>
        <w:pStyle w:val="BookText"/>
        <w:rPr/>
      </w:pPr>
      <w:r>
        <w:rPr>
          <w:rFonts w:ascii="Amiri" w:hAnsi="Amiri" w:eastAsia="Amiri" w:cs="Amiri"/>
          <w:color w:val="111111"/>
          <w:sz w:val="28"/>
          <w:sz w:val="28"/>
          <w:szCs w:val="28"/>
          <w:rtl w:val="true"/>
          <w:lang w:bidi="ar-SA"/>
        </w:rPr>
        <w:t>الرسالة</w:t>
      </w:r>
      <w:r>
        <w:rPr>
          <w:rStyle w:val="FootnoteAnchor"/>
          <w:rtl w:val="true"/>
        </w:rPr>
        <w:footnoteReference w:id="35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المأمونة من الغلط، وفی إطلاق تقدیم السماع فی هذا الفرض أیضاً إشکال؛ إذ ربّما یکون ما فی الرسالة 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السماع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کانت الرسالة بغیر خطّه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احتمل عدوله عمّا أثبته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أیضاً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التفاته إلی ما فی الرسالة، وإلاّ یُعلمه به، ثمّ یأخذ بما یختار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تعارض النقل مع ما فی الرسالة</w:t>
      </w:r>
      <w:r>
        <w:rPr>
          <w:rStyle w:val="FootnoteAnchor"/>
          <w:rtl w:val="true"/>
        </w:rPr>
        <w:footnoteReference w:id="351"/>
      </w:r>
      <w:r>
        <w:rPr>
          <w:rFonts w:ascii="IRNazanin" w:hAnsi="IRNazanin" w:eastAsia="IRNazanin"/>
          <w:color w:val="111111"/>
          <w:sz w:val="28"/>
          <w:sz w:val="28"/>
          <w:szCs w:val="28"/>
          <w:rtl w:val="true"/>
          <w:lang w:bidi="fa-IR"/>
        </w:rPr>
        <w:t>قدّم ما فی الرسالة</w:t>
      </w:r>
      <w:r>
        <w:rPr>
          <w:rStyle w:val="FootnoteAnchor"/>
          <w:rtl w:val="true"/>
        </w:rPr>
        <w:footnoteReference w:id="3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إطلاقه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بخطّه، وإلاّ أخذ بالأوثق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یحتمل عدوله عمّا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الناقل نقل عدوله عمّا فی الرسالة فقدّم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هذه الفروع لیس علی نسقٍ واحد، بل یختلف بحسب الموارد، فیدور مدار التقدیم علی حصول الاطمئنان المتعارف فی التقدیم والتأخیر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الأمن</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bookmarkStart w:id="143" w:name="pg13272_142856"/>
    </w:p>
    <w:p>
      <w:pPr>
        <w:pStyle w:val="BookText"/>
        <w:rPr/>
      </w:pPr>
      <w:bookmarkEnd w:id="143"/>
      <w:r>
        <w:rPr>
          <w:rFonts w:ascii="IRNazanin" w:hAnsi="IRNazanin" w:eastAsia="IRNazanin"/>
          <w:color w:val="111111"/>
          <w:sz w:val="28"/>
          <w:sz w:val="28"/>
          <w:szCs w:val="28"/>
          <w:rtl w:val="true"/>
          <w:lang w:bidi="fa-IR"/>
        </w:rPr>
        <w:t>من الغلط</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4" w:name="__RefHeading___Toc1636470_2322387425"/>
      <w:bookmarkStart w:id="145" w:name="_Toc47"/>
      <w:bookmarkEnd w:id="144"/>
      <w:r>
        <w:rPr>
          <w:rtl w:val="true"/>
        </w:rPr>
        <w:t>إذا عرضت مسألة لا یعلم حکمها و لم یکن الأعلم حاضراً</w:t>
      </w:r>
      <w:bookmarkEnd w:id="14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عرضت مسألة لا یعلم حکمها</w:t>
      </w:r>
      <w:r>
        <w:rPr>
          <w:rStyle w:val="FootnoteAnchor"/>
          <w:rtl w:val="true"/>
        </w:rPr>
        <w:footnoteReference w:id="354"/>
      </w:r>
      <w:r>
        <w:rPr>
          <w:rFonts w:ascii="IRNazanin" w:hAnsi="IRNazanin" w:eastAsia="IRNazanin"/>
          <w:color w:val="111111"/>
          <w:sz w:val="28"/>
          <w:sz w:val="28"/>
          <w:szCs w:val="28"/>
          <w:rtl w:val="true"/>
          <w:lang w:bidi="fa-IR"/>
        </w:rPr>
        <w:t>ولم یکن الأعلم حاضـراً ، فإن أمکـن تأخیـر الواقعـة</w:t>
      </w:r>
      <w:r>
        <w:rPr>
          <w:rStyle w:val="FootnoteAnchor"/>
          <w:rtl w:val="true"/>
        </w:rPr>
        <w:footnoteReference w:id="355"/>
      </w:r>
      <w:r>
        <w:rPr>
          <w:rFonts w:ascii="IRNazanin" w:hAnsi="IRNazanin" w:eastAsia="IRNazanin"/>
          <w:color w:val="111111"/>
          <w:sz w:val="28"/>
          <w:sz w:val="28"/>
          <w:szCs w:val="28"/>
          <w:rtl w:val="true"/>
          <w:lang w:bidi="fa-IR"/>
        </w:rPr>
        <w:t>إلی السـوءال یجـب ذلـک</w:t>
      </w:r>
      <w:r>
        <w:rPr>
          <w:rStyle w:val="FootnoteAnchor"/>
          <w:rtl w:val="true"/>
        </w:rPr>
        <w:footnoteReference w:id="3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له الرجوع إلی غیر الأعلم حینئذٍ مع عدم العلم بالمخالفة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العمل بالاحتیاط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له الاحتیاط أو الرجوع إلی مجتهدٍ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تعیّن تقلید الأعلم، وقد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یحتاط مع إمکانه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یجب إن تمکّن من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تعیّنه نظر مع التمکّن من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هذه الصورة وما بعدها جواز الرجوع إلی غیر الأعلم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الرجوع إلی مجتهد آخر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یجب مع إمکان الاحتیاط، بل مطلقاً إذا لم یکن محذور فی العمل، غایة الأمر یعاد مع المخالفة للواقع أو قول الفقیه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والأقوی جواز العمل بالاحتیاط إذا أمکن مع التمکّن من الامتثال التفصیلی، ولم یلزم محذور شرعی أو عقلی، ولا یجب التأخیر، بل یمکن المصیر إلی جواز تقلید غیر الأعلم أیضاً، مع عدم العلم بالمخالفة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له تقلید غیر الأعلم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الاحتیاط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الرجوع إلی غیر الأعلم إذا لم یعلم الاختلاف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تعذّر أو تعسّر علیه العمل بالاحتیاط، وإلاّ یعمل بالاحتیاط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أراد التقلید ولم یرد الاحتیاط من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وإلاّ فإن أمـکـن</w:t>
      </w:r>
      <w:r>
        <w:rPr>
          <w:rStyle w:val="FootnoteAnchor"/>
          <w:rtl w:val="true"/>
        </w:rPr>
        <w:footnoteReference w:id="357"/>
      </w:r>
      <w:r>
        <w:rPr>
          <w:rFonts w:ascii="IRNazanin" w:hAnsi="IRNazanin" w:eastAsia="IRNazanin"/>
          <w:color w:val="111111"/>
          <w:sz w:val="28"/>
          <w:sz w:val="28"/>
          <w:szCs w:val="28"/>
          <w:rtl w:val="true"/>
          <w:lang w:bidi="fa-IR"/>
        </w:rPr>
        <w:t>الاحتیـاط تعـیّـن</w:t>
      </w:r>
      <w:r>
        <w:rPr>
          <w:rStyle w:val="FootnoteAnchor"/>
          <w:rtl w:val="true"/>
        </w:rPr>
        <w:footnoteReference w:id="3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الرجوع إلی المجتهد غیر الأعلم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عدم جواز الرجوع إلی غیر الأعلم، إلاّ مع إحراز الموافقة وتعیّن الرجوع إلیه مطلقاً، ولو مع عدم التمکّن مع استعلام فتواه حین الحاجة، وإلاّ لا وجه لتعیّن الاحتیاط مع التمکّن من التقلید عن غیره، وإن کان الأحوط رعایة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تعیّن له فیما لا یمکن التأخیر، ویجوز له الرجوع إلی المجتهد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له الرجوع إلی غیر الأعلم، بل ومع إمکان التأخیر إذا لم یعلم باختلاف الرأی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الرجوع إلی غیر الأعلم فی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له تقلید غیر الأعلم حینئذٍ وإن أمکن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تقلید غیر الأعلم حینئذٍ، نعم العمل بالاحتیاط أحوط، وللعمل بالظنون المعمولة فی الاستنباط إن تمکّن من ذلک وجه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إذ لا یبعد جواز الرجوع إلی غیر الأعلم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لـم یمکن</w:t>
      </w:r>
    </w:p>
    <w:p>
      <w:pPr>
        <w:pStyle w:val="BookText"/>
        <w:rPr/>
      </w:pPr>
      <w:r>
        <w:rPr>
          <w:rFonts w:ascii="IRNazanin" w:hAnsi="IRNazanin" w:eastAsia="IRNazanin"/>
          <w:color w:val="111111"/>
          <w:sz w:val="28"/>
          <w:sz w:val="28"/>
          <w:szCs w:val="28"/>
          <w:rtl w:val="true"/>
          <w:lang w:bidi="fa-IR"/>
        </w:rPr>
        <w:t>یجـوز</w:t>
      </w:r>
      <w:r>
        <w:rPr>
          <w:rStyle w:val="FootnoteAnchor"/>
          <w:rtl w:val="true"/>
        </w:rPr>
        <w:footnoteReference w:id="359"/>
      </w:r>
      <w:r>
        <w:rPr>
          <w:rFonts w:ascii="IRNazanin" w:hAnsi="IRNazanin" w:eastAsia="IRNazanin"/>
          <w:color w:val="111111"/>
          <w:sz w:val="28"/>
          <w:sz w:val="28"/>
          <w:szCs w:val="28"/>
          <w:rtl w:val="true"/>
          <w:lang w:bidi="fa-IR"/>
        </w:rPr>
        <w:t>الرجوع</w:t>
      </w:r>
      <w:r>
        <w:rPr>
          <w:rStyle w:val="FootnoteAnchor"/>
          <w:rtl w:val="true"/>
        </w:rPr>
        <w:footnoteReference w:id="360"/>
      </w:r>
      <w:r>
        <w:rPr>
          <w:rFonts w:ascii="IRNazanin" w:hAnsi="IRNazanin" w:eastAsia="IRNazanin"/>
          <w:color w:val="111111"/>
          <w:sz w:val="28"/>
          <w:sz w:val="28"/>
          <w:szCs w:val="28"/>
          <w:rtl w:val="true"/>
          <w:lang w:bidi="fa-IR"/>
        </w:rPr>
        <w:t>إلی مجتهد آخر</w:t>
      </w:r>
      <w:r>
        <w:rPr>
          <w:rStyle w:val="FootnoteAnchor"/>
          <w:rtl w:val="true"/>
        </w:rPr>
        <w:footnoteReference w:id="3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الرجوع إلی الأعلم فالأعلم حتّی مع إمکان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الرجوع إلیه مع إمکان الاحتیاط أیضاً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یجوز وإن أمکن الاحتیاط إذا لم یعلم الاختلاف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البناء علی عدم حجّیّة قول غیر الأعلم 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الأعلم فالأعلم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لم یکن هناک مجتهد آخر ولا رسالته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یمکن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أمکن الاحتیاط المبعّض اختاره، وفی موارد العدم یرجع إلی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یجوز العمل</w:t>
      </w:r>
    </w:p>
    <w:p>
      <w:pPr>
        <w:pStyle w:val="BookText"/>
        <w:rPr/>
      </w:pPr>
      <w:r>
        <w:rPr>
          <w:rFonts w:ascii="IRNazanin" w:hAnsi="IRNazanin" w:eastAsia="IRNazanin"/>
          <w:color w:val="111111"/>
          <w:sz w:val="28"/>
          <w:sz w:val="28"/>
          <w:szCs w:val="28"/>
          <w:rtl w:val="true"/>
          <w:lang w:bidi="fa-IR"/>
        </w:rPr>
        <w:t>بقول المشهور</w:t>
      </w:r>
      <w:r>
        <w:rPr>
          <w:rStyle w:val="FootnoteAnchor"/>
          <w:rtl w:val="true"/>
        </w:rPr>
        <w:footnoteReference w:id="36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خصوصیّة له ولا لقول أوثق الأموات، بل المتعیّن العمل بالظنّ الحاصل من الأسباب المعمول بها فی طریق الاستنباط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العلماء إذا کان هناک من یقدر علی تعیین قول المشهور، وإذا عمل بقول المشهور ثمّ تبیّن له بعد ذلک مخالفته لفتوی مجتهده، فعلیه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الإعادة أو القضاء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یجرِ شیء من القواعد النافیة لهما، فإیجابهما ینوط بفتوی المجتهد، وهکذا الکلام فی التقادیر الاُخر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 الرجوع إلی غیر الأعلم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لم یقدر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علی تعیین قول المشهور یرجع إلی أوثق الأموات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کان أقرب إلی الواقع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الأعلم منهم علی الأحوط، ومع عدم إمکان تعیینه فمخیّر بین الأخذ بفتوی أحدهم، وإن کان الأولی الأخذ بالأوثق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أعلمهم علی مبناه قدس‌سره ، ومع عدم إحرازه فالأوثق منهم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یمکن ذلک أیضاً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یعمل بظنّه، وإن لم یکن له ظنّ بأحد الطرفین یبنی علی أحدهما، وعلی التقادیر بعد الاطّلاع علی فتوی المجتهد إن کان عمله مخالفاً لفتواه فعلیه الإعادة</w:t>
      </w:r>
      <w:bookmarkStart w:id="146" w:name="pg13272_142860"/>
    </w:p>
    <w:p>
      <w:pPr>
        <w:pStyle w:val="BookText"/>
        <w:rPr/>
      </w:pPr>
      <w:bookmarkEnd w:id="146"/>
      <w:r>
        <w:rPr>
          <w:rFonts w:ascii="IRNazanin" w:hAnsi="IRNazanin" w:eastAsia="IRNazanin"/>
          <w:color w:val="111111"/>
          <w:sz w:val="28"/>
          <w:sz w:val="28"/>
          <w:szCs w:val="28"/>
          <w:rtl w:val="true"/>
          <w:lang w:bidi="fa-IR"/>
        </w:rPr>
        <w:t>أو القضاء</w:t>
      </w:r>
      <w:r>
        <w:rPr>
          <w:rFonts w:eastAsia="IRNazanin" w:cs="IRNazanin"/>
          <w:color w:val="111111"/>
          <w:sz w:val="28"/>
          <w:szCs w:val="28"/>
          <w:rtl w:val="true"/>
          <w:lang w:bidi="fa-IR"/>
        </w:rPr>
        <w:t>.</w:t>
      </w:r>
    </w:p>
    <w:p>
      <w:pPr>
        <w:pStyle w:val="Heading3"/>
        <w:numPr>
          <w:ilvl w:val="2"/>
          <w:numId w:val="1"/>
        </w:numPr>
        <w:rPr/>
      </w:pPr>
      <w:bookmarkStart w:id="147" w:name="__RefHeading___Toc1636472_2322387425"/>
      <w:bookmarkStart w:id="148" w:name="_Toc48"/>
      <w:bookmarkEnd w:id="147"/>
      <w:r>
        <w:rPr>
          <w:rtl w:val="true"/>
        </w:rPr>
        <w:t>فی من عدل إلی الحی بعد موت مقلدیه الأول و الثانی</w:t>
      </w:r>
      <w:bookmarkEnd w:id="1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قلَّد مجتهداً ثمّ مات، فقلّد غیره ثمّ مات، فقلَّد من یقول بوجوب</w:t>
      </w:r>
      <w:r>
        <w:rPr>
          <w:rStyle w:val="FootnoteAnchor"/>
          <w:rtl w:val="true"/>
        </w:rPr>
        <w:footnoteReference w:id="363"/>
      </w:r>
      <w:r>
        <w:rPr>
          <w:rFonts w:ascii="IRNazanin" w:hAnsi="IRNazanin" w:eastAsia="IRNazanin"/>
          <w:color w:val="111111"/>
          <w:sz w:val="28"/>
          <w:sz w:val="28"/>
          <w:szCs w:val="28"/>
          <w:rtl w:val="true"/>
          <w:lang w:bidi="fa-IR"/>
        </w:rPr>
        <w:t>البقاء علی تقلید المیّت أو جوازه، فهل یبقی</w:t>
      </w:r>
      <w:r>
        <w:rPr>
          <w:rStyle w:val="FootnoteAnchor"/>
          <w:rtl w:val="true"/>
        </w:rPr>
        <w:footnoteReference w:id="364"/>
      </w:r>
      <w:r>
        <w:rPr>
          <w:rFonts w:ascii="IRNazanin" w:hAnsi="IRNazanin" w:eastAsia="IRNazanin"/>
          <w:color w:val="111111"/>
          <w:sz w:val="28"/>
          <w:sz w:val="28"/>
          <w:szCs w:val="28"/>
          <w:rtl w:val="true"/>
          <w:lang w:bidi="fa-IR"/>
        </w:rPr>
        <w:t>علی تقلید المجتهد الأوّل، أو الثانی؟ الأظهر</w:t>
      </w:r>
      <w:r>
        <w:rPr>
          <w:rStyle w:val="FootnoteAnchor"/>
          <w:rtl w:val="true"/>
        </w:rPr>
        <w:footnoteReference w:id="365"/>
      </w:r>
      <w:r>
        <w:rPr>
          <w:rFonts w:ascii="IRNazanin" w:hAnsi="IRNazanin" w:eastAsia="IRNazanin"/>
          <w:color w:val="111111"/>
          <w:sz w:val="28"/>
          <w:sz w:val="28"/>
          <w:szCs w:val="28"/>
          <w:rtl w:val="true"/>
          <w:lang w:bidi="fa-IR"/>
        </w:rPr>
        <w:t>الثانی</w:t>
      </w:r>
      <w:r>
        <w:rPr>
          <w:rStyle w:val="FootnoteAnchor"/>
          <w:rtl w:val="true"/>
        </w:rPr>
        <w:footnoteReference w:id="36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البقاء علی تقلید الأوّل إن کان مذهب الثالث وجوب البقاء، وعلی تقلید الثانی إن کان مذهبه 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وجوب البقاء الأظهر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قلّد من یقول بالجواز، وإلاّ رجع إلی الأوّل فی وجه،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المجتهد الثالث قائلاً بجواز البقاء، وأمّا إن کان قائلاً بوجوبه فالأظهر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 فإنّ تقلیده الأوّل قد زال بتقلیده الثانی، فیکون بقاوءه علی الأوّل کالتقلید الابتدائی، نعم لو کان الثانی یری جواز البقاء فبقی علی تقلید الأوّل، ثمّ مات الثانی وقلَّد الثالث القائل بجواز البقاء أیضاً أو وجوبه، فهل یبقی علی تقلید الأوّل، أو الثانی، أو یتخیّر؟ وجوه، أقواها ثالثها، وإن کان فی وجود الثمرة من الوجود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 فی الأصل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 هو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البقاء علی التقلید الأوّل إن أفتی الثالث بوجوب البقاء، وإلاّ فله البقاء علی تقلید الثانی دون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 الثانی قائلاً بحرمة البقاء والثالث بوجوبه، کما أنّه کذلک لو کان الثانی قائلاً بالجواز ورجع المقلِّد عن الأوّل إلیه وأفتی الثالث بوجوب البقاء، وأمّا لو لم یرجع إلی الثانی بأن اختار البقاء علی تقلید الأوّل، أو کان الثانی قائلاً بوجوب البقاء فالأظهر هو الأوّل، هذا علی تقدیر کون الثالث قائلاً بوجوب البقاء، وأمّا علی فرض قوله بالجواز ففیه تفاصیل لا یسع المختصر ذکرها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التفصیل، فإن أوجب من قلَّده البقاء بقی علی الأوّل، وإن جوّزه وکان الرجوع إلی الأوّل یُعدّ من الابتداء بتقلید المیّت بقی علی الثانی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البقاء علی تقلید الأوّل إذا قلّد من یقول بوجوب البقاء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البقاء علی تقلید الأوّل إن کان مذهب الثالث وجوب البقاء، وعلی تقلید الثانی إن کان مذهبه جوازه لا یخلو من وجه، لکنّ البقاء علی الثانی مطلقاً إذا استلزم تقلید الأوّل بطلان العمل بتقلید الثانی ، سیّما إذا کان مدّة تقلیـده کـثیرة</w:t>
      </w:r>
    </w:p>
    <w:p>
      <w:pPr>
        <w:pStyle w:val="BookText"/>
        <w:rPr/>
      </w:pPr>
      <w:r>
        <w:rPr>
          <w:rFonts w:ascii="IRNazanin" w:hAnsi="IRNazanin" w:eastAsia="IRNazanin"/>
          <w:color w:val="111111"/>
          <w:sz w:val="28"/>
          <w:sz w:val="28"/>
          <w:szCs w:val="28"/>
          <w:rtl w:val="true"/>
          <w:lang w:bidi="fa-IR"/>
        </w:rPr>
        <w:t>لا یخلو من قوّة، والأحوط مراعاة الاحتیاط بمقدار عدم الحرج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المتعیّن هو الأوّل إن قال الثالث بوجوبه، وحرمة البقاء علی الأوّل إن قال بجوازه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البقاء علی تقلید الأوّل إن کان فتوی الثالث وجوب البقاء، وعلی تقلید الثانی إن کان فتواه جوازه، وفی هذه الصورة یجوز له العدول إلی الحیّ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وهناک وجوه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التفصیل بین ما لو کان المجتهد الثالث قائلاً بجواز البقاء، فالأوفق البقاء علی الأوّل، وبین ما لو کان قائلاً بوجوب البقاء وحرمة العدول فالعدم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بین فتوی الثالث بالرجوع إلی الأعلم وعدمه، فإطلاق ما أفاده 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المقلَّد قائلاً بجواز البقاء، وأمّا إذا کان قائلاً بوجوبه فالأظهر هو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البقاء علی الأوّل بناءً علی ما هو الحقّ من نقض الأعمال السابقة الّتی منها العدول بالتقلید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 نعم لو کان فتوی الثالث الجواز فالأظهر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اختار الثالث جواز البقاء، ومع اختیاره الوجوب، فالأظهر البقاء علی تقلید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والأوجه التخییر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قائلاً بوجوب البقاء فالأظهر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یتخیّر بین البقاء علی تقلید المجتهد الأوّل أو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البقاء علی تقلید الأوّل إن کان الثالث قائلاً بوجوب البقاء، ویتخیّر بین البقاء علی تقلید الثانی والرجوع إلی الحیّ إن کان قائلاً بجوازه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والأحوط مراعاة</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13272_142863"/>
      <w:bookmarkStart w:id="150" w:name="pg13272_142863"/>
      <w:bookmarkEnd w:id="150"/>
    </w:p>
    <w:p>
      <w:pPr>
        <w:pStyle w:val="BookText"/>
        <w:rPr/>
      </w:pPr>
      <w:bookmarkStart w:id="151" w:name="pg13272_142863"/>
      <w:bookmarkEnd w:id="151"/>
      <w:r>
        <w:rPr>
          <w:rFonts w:ascii="IRNazanin" w:hAnsi="IRNazanin" w:eastAsia="IRNazanin"/>
          <w:color w:val="111111"/>
          <w:sz w:val="28"/>
          <w:sz w:val="28"/>
          <w:szCs w:val="28"/>
          <w:rtl w:val="true"/>
          <w:lang w:bidi="fa-IR"/>
        </w:rPr>
        <w:t>الاحتیاط</w:t>
      </w:r>
      <w:r>
        <w:rPr>
          <w:rStyle w:val="FootnoteAnchor"/>
          <w:rtl w:val="true"/>
        </w:rPr>
        <w:footnoteReference w:id="3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بالأخذ بأحوط القولین للمیّـتین، خصوصاً إذا کان مذهب الثالث وجوب البقاء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Heading3"/>
        <w:numPr>
          <w:ilvl w:val="2"/>
          <w:numId w:val="1"/>
        </w:numPr>
        <w:rPr/>
      </w:pPr>
      <w:bookmarkStart w:id="152" w:name="__RefHeading___Toc1636474_2322387425"/>
      <w:bookmarkStart w:id="153" w:name="_Toc49"/>
      <w:bookmarkEnd w:id="152"/>
      <w:r>
        <w:rPr>
          <w:rtl w:val="true"/>
        </w:rPr>
        <w:t>ما یکفی فی تحقق التقلید</w:t>
      </w:r>
      <w:bookmarkEnd w:id="153"/>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یکفی</w:t>
      </w:r>
      <w:r>
        <w:rPr>
          <w:rStyle w:val="FootnoteAnchor"/>
          <w:rtl w:val="true"/>
        </w:rPr>
        <w:footnoteReference w:id="36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حقیقة التقلید، کما مرّ الاحتیاط فی اشتراط العمل فی جواز البقاء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إشکال فی کفایة ذلک ، إنّما الکلام فی اعتباره فی تحقّقه، وتقدّم فی مسألة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یتعلّق بالتقلید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والآثار تترتّب علی الاستناد العملی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یکفی ذلک کما مرّ، ولا یجوز البقاء إلاّ مع العمل ولو ببعض المسائل، وفی هذه الصورة یجوز البقاء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تحـقّق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التقـلیـد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عرفت معناه فیما سبق، کما عرفت التفصیل فی البقاء علی المیّت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التقلید بما له من المفهوم لم یرد تحت دلیل معتبر، وأمّا جواز البقاء أو وجوبه أو حرمته فیعلم ممّا ذکرنا فی المسألة التاسعة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مرّ الکلام فی مسألة جواز البقاء علی تقلید المیّت مطلقاً، فلابدّ فی تحقّق التقلید من العمل، وأمّا فی المسائل الّتی لم یعمل بها فالالتزام یکفی، وأمّا أخذ الرسالة ونحوها فهو أجنبیّ عن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أخـذ الرسالة</w:t>
      </w:r>
      <w:r>
        <w:rPr>
          <w:rStyle w:val="FootnoteAnchor"/>
          <w:rtl w:val="true"/>
        </w:rPr>
        <w:footnoteReference w:id="3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عدم الکفایة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کفایة الالتزام، ولکن لا یترتّب أثر عدم جواز العدول إلاّ بعد العمل، وبعد العمل لا یجوز العدول إلاّ إلی الأعلم أو المساوی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الأقوی عدم الکفایة إلاّ مع تعلّم المسائل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هذا وما فرّعه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معنی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ماهو المختار عندنا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معتبر فی التقلید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 التقلید، وأنّه یجوز البقاء علی تقلید المجتهد المیّت فیما عمل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معنی التقلید، فلا یجوز البقاء إلاّ مع تحقّقه بما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قد مرّ أنّ التقلید هو العمل المستند إلی فتوی المجتهد، ولیس الأخذ والالتزام ولا التعلّم ولا غیرها ممّا قیل واختیر تقلیداً، فعلیه لا مساغ لما أفاده قدس‌سره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حکم هذه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هذا والفروع المترتّبة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معنی التقلید وحکم البقاء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هذا الحکم وما فرّعه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والالتزام</w:t>
      </w:r>
      <w:r>
        <w:rPr>
          <w:rStyle w:val="FootnoteAnchor"/>
          <w:rtl w:val="true"/>
        </w:rPr>
        <w:footnoteReference w:id="370"/>
      </w:r>
      <w:r>
        <w:rPr>
          <w:rFonts w:ascii="IRNazanin" w:hAnsi="IRNazanin" w:eastAsia="IRNazanin"/>
          <w:color w:val="111111"/>
          <w:sz w:val="28"/>
          <w:sz w:val="28"/>
          <w:szCs w:val="28"/>
          <w:rtl w:val="true"/>
          <w:lang w:bidi="fa-IR"/>
        </w:rPr>
        <w:t>بالعمل</w:t>
      </w:r>
      <w:r>
        <w:rPr>
          <w:rStyle w:val="FootnoteAnchor"/>
          <w:rtl w:val="true"/>
        </w:rPr>
        <w:footnoteReference w:id="371"/>
      </w:r>
      <w:r>
        <w:rPr>
          <w:rFonts w:ascii="IRNazanin" w:hAnsi="IRNazanin" w:eastAsia="IRNazanin"/>
          <w:color w:val="111111"/>
          <w:sz w:val="28"/>
          <w:sz w:val="28"/>
          <w:szCs w:val="28"/>
          <w:rtl w:val="true"/>
          <w:lang w:bidi="fa-IR"/>
        </w:rPr>
        <w:t>بما فیها وإن لم یعلم ما فیها ولم یعمل، فلومات مجتهده یجوز لـه البقاء</w:t>
      </w:r>
      <w:r>
        <w:rPr>
          <w:rStyle w:val="FootnoteAnchor"/>
          <w:rtl w:val="true"/>
        </w:rPr>
        <w:footnoteReference w:id="3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مضی فی بعض الحواشی السابقة الإشکال فی ذلک،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التفریع إشکال، فالأقوی جواز البقاء فیما عمل به من آرائه، وفیما لم یعمل العدول إلی أحد الطریقین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تفصیل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عن وجه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عدم العلم بل مع عدم العمل ولو کان بعد العلم عدم البقاء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والعدول إلی الحیّ، بل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لم یکن المیّت أعلمَ، أو لم یکن قوله موافقاً للاحتیاط، وإلاّ فالأحوط استحباباً البقاء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bookmarkStart w:id="154" w:name="pg13272_142866"/>
    </w:p>
    <w:p>
      <w:pPr>
        <w:pStyle w:val="BookText"/>
        <w:rPr/>
      </w:pPr>
      <w:bookmarkEnd w:id="154"/>
      <w:r>
        <w:rPr>
          <w:rFonts w:ascii="Amiri" w:hAnsi="Amiri" w:eastAsia="Amiri" w:cs="Amiri"/>
          <w:color w:val="111111"/>
          <w:sz w:val="28"/>
          <w:sz w:val="28"/>
          <w:szCs w:val="28"/>
          <w:rtl w:val="true"/>
          <w:lang w:bidi="ar-SA"/>
        </w:rPr>
        <w:t>استحباباً</w:t>
      </w:r>
      <w:r>
        <w:rPr>
          <w:rStyle w:val="FootnoteAnchor"/>
          <w:rtl w:val="true"/>
        </w:rPr>
        <w:footnoteReference w:id="373"/>
      </w:r>
      <w:r>
        <w:rPr>
          <w:rFonts w:ascii="IRNazanin" w:hAnsi="IRNazanin" w:eastAsia="IRNazanin"/>
          <w:color w:val="111111"/>
          <w:sz w:val="28"/>
          <w:sz w:val="28"/>
          <w:szCs w:val="28"/>
          <w:rtl w:val="true"/>
          <w:lang w:bidi="fa-IR"/>
        </w:rPr>
        <w:t>علی وجهٍ عدم البقاء مطلقاً</w:t>
      </w:r>
      <w:r>
        <w:rPr>
          <w:rStyle w:val="FootnoteAnchor"/>
          <w:rtl w:val="true"/>
        </w:rPr>
        <w:footnoteReference w:id="374"/>
      </w:r>
      <w:r>
        <w:rPr>
          <w:rFonts w:ascii="IRNazanin" w:hAnsi="IRNazanin" w:eastAsia="IRNazanin"/>
          <w:color w:val="111111"/>
          <w:sz w:val="28"/>
          <w:sz w:val="28"/>
          <w:szCs w:val="28"/>
          <w:rtl w:val="true"/>
          <w:lang w:bidi="fa-IR"/>
        </w:rPr>
        <w:t>ولو کان بعد العلم والعمل</w:t>
      </w:r>
      <w:r>
        <w:rPr>
          <w:rFonts w:eastAsia="IRNazanin" w:cs="IRNazanin"/>
          <w:color w:val="111111"/>
          <w:sz w:val="28"/>
          <w:szCs w:val="28"/>
          <w:rtl w:val="true"/>
          <w:lang w:bidi="fa-IR"/>
        </w:rPr>
        <w:t>.</w:t>
      </w:r>
    </w:p>
    <w:p>
      <w:pPr>
        <w:pStyle w:val="Heading3"/>
        <w:numPr>
          <w:ilvl w:val="2"/>
          <w:numId w:val="1"/>
        </w:numPr>
        <w:rPr/>
      </w:pPr>
      <w:bookmarkStart w:id="155" w:name="__RefHeading___Toc1636476_2322387425"/>
      <w:bookmarkStart w:id="156" w:name="_Toc50"/>
      <w:bookmarkEnd w:id="155"/>
      <w:r>
        <w:rPr>
          <w:rtl w:val="true"/>
        </w:rPr>
        <w:t>احتیاطات الأعلم</w:t>
      </w:r>
      <w:bookmarkEnd w:id="15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احتیاطات الأعلم إذا لم یکن له فتوی یتخیّر</w:t>
      </w:r>
      <w:r>
        <w:rPr>
          <w:rStyle w:val="FootnoteAnchor"/>
          <w:rtl w:val="true"/>
        </w:rPr>
        <w:footnoteReference w:id="375"/>
      </w:r>
      <w:r>
        <w:rPr>
          <w:rFonts w:ascii="IRNazanin" w:hAnsi="IRNazanin" w:eastAsia="IRNazanin"/>
          <w:color w:val="111111"/>
          <w:sz w:val="28"/>
          <w:sz w:val="28"/>
          <w:szCs w:val="28"/>
          <w:rtl w:val="true"/>
          <w:lang w:bidi="fa-IR"/>
        </w:rPr>
        <w:t>المقلِّد بین العمل بها وبین الرجوع إلی غیره</w:t>
      </w:r>
      <w:r>
        <w:rPr>
          <w:rStyle w:val="FootnoteAnchor"/>
          <w:rtl w:val="true"/>
        </w:rPr>
        <w:footnoteReference w:id="376"/>
      </w:r>
      <w:r>
        <w:rPr>
          <w:rFonts w:ascii="IRNazanin" w:hAnsi="IRNazanin" w:eastAsia="IRNazanin"/>
          <w:color w:val="111111"/>
          <w:sz w:val="28"/>
          <w:sz w:val="28"/>
          <w:szCs w:val="28"/>
          <w:rtl w:val="true"/>
          <w:lang w:bidi="fa-IR"/>
        </w:rPr>
        <w:t>، الأعلم</w:t>
      </w:r>
      <w:r>
        <w:rPr>
          <w:rStyle w:val="FootnoteAnchor"/>
          <w:rtl w:val="true"/>
        </w:rPr>
        <w:footnoteReference w:id="377"/>
      </w:r>
      <w:r>
        <w:rPr>
          <w:rFonts w:ascii="IRNazanin" w:hAnsi="IRNazanin" w:eastAsia="IRNazanin"/>
          <w:color w:val="111111"/>
          <w:sz w:val="28"/>
          <w:sz w:val="28"/>
          <w:szCs w:val="28"/>
          <w:rtl w:val="true"/>
          <w:lang w:bidi="fa-IR"/>
        </w:rPr>
        <w:t>فالأعلم</w:t>
      </w:r>
      <w:r>
        <w:rPr>
          <w:rStyle w:val="FootnoteAnchor"/>
          <w:rtl w:val="true"/>
        </w:rPr>
        <w:footnoteReference w:id="3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الاحتیاط من جهة تخطئته غیره فلیس له الرجوع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الموارد الّتی یکون الرجوع فیها إلی الأعلم هو الأحوط، وإلاّ فیجوز الرجوع فیها إلی غیر الأعلم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لم ینتَهِ إلی مخالفة الأعلم فی الفتوی من جهة اُخری، کما إذا أفتی بعدم حرمة شیء وتردّد بین وجوبه واستحبابه فاحتاط، وأفتی غیره بالحرمة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 حسن القمّی،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العلم بالمخالفة بینهم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علم بالمخالفة بینهما، وإلاّ فلا تجب مراعاة الأعلم فالأعلم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مع عدم العلم بالمخالفة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بینهما اختلاف فی المورد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57" w:name="pg13272_142867"/>
    </w:p>
    <w:p>
      <w:pPr>
        <w:pStyle w:val="Heading3"/>
        <w:numPr>
          <w:ilvl w:val="2"/>
          <w:numId w:val="1"/>
        </w:numPr>
        <w:rPr/>
      </w:pPr>
      <w:bookmarkStart w:id="158" w:name="__RefHeading___Toc1636478_2322387425"/>
      <w:bookmarkStart w:id="159" w:name="_Toc51"/>
      <w:bookmarkEnd w:id="157"/>
      <w:bookmarkEnd w:id="158"/>
      <w:r>
        <w:rPr>
          <w:rtl w:val="true"/>
        </w:rPr>
        <w:t>فی أقسام الاحتیاط</w:t>
      </w:r>
      <w:bookmarkEnd w:id="15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الاحتیاط المذکور فی الرسالة إمّا استحبابیّ</w:t>
      </w:r>
      <w:r>
        <w:rPr>
          <w:rStyle w:val="FootnoteAnchor"/>
          <w:rtl w:val="true"/>
        </w:rPr>
        <w:footnoteReference w:id="3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ویُعبَّر عنه بالغیر اللازم تارةً، والأولوی اُخری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المرعشی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وهو ما إذا کان مسبوقاً أو ملحوقاً بالفتوی، وإمّا وجوبیّ وهو ما لم یکن معه فتوی، ویسمّی بالاحتیاط المطلق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وفیه یتخیّر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بالشرط المتقدّم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بناءً علی جواز الامتثال الإجمالی مع التمکّن من التفصیلی منه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المرعشی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المقلِّد بین العمل به والرجوع إلی مجتهدٍ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القسم الأوّل فلا یجب العمل به، ولا یجوز الرجوع إلی الغیر</w:t>
      </w:r>
      <w:r>
        <w:rPr>
          <w:rStyle w:val="FootnoteAnchor"/>
          <w:rtl w:val="true"/>
        </w:rPr>
        <w:footnoteReference w:id="3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أعلم، وإلاّ فقد عرفت عدم البأس بالرجوع إلی المساوی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فتواه أوفق بالاحتیاط من فتوی الآخر، لکن فی العبادات یأتی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یکون فتواه مخالفاً للاحتیاط، وأمّا لو وافق فتواه الاحتیاط فالحکم بعدم جواز الرجوع إلیه یستقیم إذا صدق التشریع المحرّم علی العمل المستند إلی فتواه المخالف للحجّة القائمة عند الأعلم علی خلافها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صاحب الاحتیاط أعلم من الغیر، وأمّا فی صورة التساوی فیجوز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bookmarkStart w:id="160" w:name="pg13272_142868"/>
    </w:p>
    <w:p>
      <w:pPr>
        <w:pStyle w:val="BookText"/>
        <w:rPr/>
      </w:pPr>
      <w:bookmarkEnd w:id="160"/>
      <w:r>
        <w:rPr>
          <w:rFonts w:ascii="IRNazanin" w:hAnsi="IRNazanin" w:eastAsia="IRNazanin"/>
          <w:color w:val="111111"/>
          <w:sz w:val="28"/>
          <w:sz w:val="28"/>
          <w:szCs w:val="28"/>
          <w:rtl w:val="true"/>
          <w:lang w:bidi="fa-IR"/>
        </w:rPr>
        <w:t>بل یتخیّر بین العمل بمقتضی الفتوی وبین العمل به</w:t>
      </w:r>
      <w:r>
        <w:rPr>
          <w:rFonts w:eastAsia="IRNazanin" w:cs="IRNazanin"/>
          <w:color w:val="111111"/>
          <w:sz w:val="28"/>
          <w:szCs w:val="28"/>
          <w:rtl w:val="true"/>
          <w:lang w:bidi="fa-IR"/>
        </w:rPr>
        <w:t>.</w:t>
      </w:r>
    </w:p>
    <w:p>
      <w:pPr>
        <w:pStyle w:val="Heading3"/>
        <w:numPr>
          <w:ilvl w:val="2"/>
          <w:numId w:val="1"/>
        </w:numPr>
        <w:rPr/>
      </w:pPr>
      <w:bookmarkStart w:id="161" w:name="__RefHeading___Toc1636480_2322387425"/>
      <w:bookmarkStart w:id="162" w:name="_Toc52"/>
      <w:bookmarkEnd w:id="161"/>
      <w:r>
        <w:rPr>
          <w:rtl w:val="true"/>
        </w:rPr>
        <w:t>التخییر فی صورة تساوی المجتهدین</w:t>
      </w:r>
      <w:bookmarkEnd w:id="1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مسـألـة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فـی صـورة تسـاوی المجتهـدیـن</w:t>
      </w:r>
      <w:r>
        <w:rPr>
          <w:rStyle w:val="FootnoteAnchor"/>
          <w:rtl w:val="true"/>
        </w:rPr>
        <w:footnoteReference w:id="381"/>
      </w:r>
      <w:r>
        <w:rPr>
          <w:rFonts w:ascii="Amiri" w:hAnsi="Amiri" w:eastAsia="Amiri" w:cs="Amiri"/>
          <w:color w:val="111111"/>
          <w:sz w:val="28"/>
          <w:sz w:val="28"/>
          <w:szCs w:val="28"/>
          <w:rtl w:val="true"/>
          <w:lang w:bidi="ar-SA"/>
        </w:rPr>
        <w:t>یتخیّـر</w:t>
      </w:r>
      <w:r>
        <w:rPr>
          <w:rStyle w:val="FootnoteAnchor"/>
          <w:rtl w:val="true"/>
        </w:rPr>
        <w:footnoteReference w:id="3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الأخذ بأحوط القولین مع العلم بالاختلاف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بیـن تقلید أیّهما شـاء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العمل بما توافقا علیه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العلم بالمخالفة، وإلاّ فیأخذ بأحوط القولین کما مرّ، وبذلک یظهر حال التبعیض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العلم بالمخالفة، وإن علم فالأحوط الأخذ بأحوط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کـما یـجـوز لـه التبعیض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الأحـوط إن لـم یکـن الأقـوی عـدم جواز التبعیض فی العمـل الواحـد إذا کان مجموعه باطلاً عندهما، کـمـا لـو ترک الجلسة واقتصر علی تسبیحة واحـدة، ولا یندفـع الإشکال بأنّه جمـع بیـن التقلیدین، وهـو کافٍ فی صحّـة العمـل، وکـذا الحال فی العملین اللذین بینهما تلازم وارتباط شرعی، کقصر الصلاة بفتوی أحدهما، وعدم إفطار الصوم بفتوی الآخر، حیث اختلفا فی السفر إلی أربعة فراسخ مـع المبیت لیلاً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أنّه لا مانع من التبعیض إذا کان المأخوذ أحوط القولین، إذا لم یوجب فتوی کلّ واحد منهما إبطال هیئة العمل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یلزم بطلان العمل بفتوی کلٍّ منهما، کما فی الصورة المفروضة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الأحـوط ترک التبعیض سیّما فی أحکام العمل الواحد، خصوصاً إذا کان‌العمـل باطـلاً عندهما، بل الأظهر عدم الجواز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فی أحکام</w:t>
      </w:r>
      <w:r>
        <w:rPr>
          <w:rStyle w:val="FootnoteAnchor"/>
          <w:rtl w:val="true"/>
        </w:rPr>
        <w:footnoteReference w:id="383"/>
      </w:r>
      <w:r>
        <w:rPr>
          <w:rFonts w:ascii="IRNazanin" w:hAnsi="IRNazanin" w:eastAsia="IRNazanin"/>
          <w:color w:val="111111"/>
          <w:sz w:val="28"/>
          <w:sz w:val="28"/>
          <w:szCs w:val="28"/>
          <w:rtl w:val="true"/>
          <w:lang w:bidi="fa-IR"/>
        </w:rPr>
        <w:t>العمل الواحد</w:t>
      </w:r>
      <w:r>
        <w:rPr>
          <w:rStyle w:val="FootnoteAnchor"/>
          <w:rtl w:val="true"/>
        </w:rPr>
        <w:footnoteReference w:id="38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انتهی إلی مخالفتهما معاً، کما فی المثال، فالأحوط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یستلزم بطلان العمل 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یتّفق المجتهدان علی بطلانه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باطلاً علی الرأیین مع العمل بهما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یستلزم بطلان العمل علی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التبعیض إذا کان العمل باطلاً عندهما، ولا یرضی به واحد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حتّی أنّه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لو کان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بل الأقوی ترک التبعیض فی هذا النحو ، بل العمل الواحد مطلقاً ، بل لا یجوز فی العملین المرتبطین کالقصر فی الصلاة والصوم إذا علم بأنّ حکم اللّه فیهما متّحد فیما إذا کان کلاهما محلّ الابتلاء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عبداللّه الشیرازی </w:t>
      </w:r>
      <w:r>
        <w:rPr>
          <w:rFonts w:eastAsia="IRNazanin" w:cs="IRNazanin"/>
          <w:color w:val="111111"/>
          <w:sz w:val="28"/>
          <w:szCs w:val="28"/>
          <w:rtl w:val="true"/>
          <w:lang w:bidi="fa-IR"/>
        </w:rPr>
        <w:t>) .</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مثلاً فتوی</w:t>
      </w:r>
    </w:p>
    <w:p>
      <w:pPr>
        <w:pStyle w:val="BookText"/>
        <w:rPr/>
      </w:pPr>
      <w:r>
        <w:rPr>
          <w:rFonts w:ascii="IRNazanin" w:hAnsi="IRNazanin" w:eastAsia="IRNazanin"/>
          <w:color w:val="111111"/>
          <w:sz w:val="28"/>
          <w:sz w:val="28"/>
          <w:szCs w:val="28"/>
          <w:rtl w:val="true"/>
          <w:lang w:bidi="fa-IR"/>
        </w:rPr>
        <w:t>أحدهما وجوب جلسة الاستراحة واستحباب التثلیث فی التسبیحات الأربع، وفتوی الآخر بالعکس ، یجوز أن یقلِّد</w:t>
      </w:r>
      <w:r>
        <w:rPr>
          <w:rStyle w:val="FootnoteAnchor"/>
          <w:rtl w:val="true"/>
        </w:rPr>
        <w:footnoteReference w:id="385"/>
      </w:r>
      <w:r>
        <w:rPr>
          <w:rFonts w:ascii="Amiri" w:hAnsi="Amiri" w:eastAsia="Amiri" w:cs="Amiri"/>
          <w:color w:val="111111"/>
          <w:sz w:val="28"/>
          <w:sz w:val="28"/>
          <w:szCs w:val="28"/>
          <w:rtl w:val="true"/>
          <w:lang w:bidi="ar-SA"/>
        </w:rPr>
        <w:t>الأوّل</w:t>
      </w:r>
      <w:r>
        <w:rPr>
          <w:rStyle w:val="FootnoteAnchor"/>
          <w:rtl w:val="true"/>
        </w:rPr>
        <w:footnoteReference w:id="386"/>
      </w:r>
      <w:r>
        <w:rPr>
          <w:rFonts w:ascii="IRNazanin" w:hAnsi="IRNazanin" w:eastAsia="IRNazanin"/>
          <w:color w:val="111111"/>
          <w:sz w:val="28"/>
          <w:sz w:val="28"/>
          <w:szCs w:val="28"/>
          <w:rtl w:val="true"/>
          <w:lang w:bidi="fa-IR"/>
        </w:rPr>
        <w:t>فی استحباب التثلیث ، والثانی فی استحباب الجلسة</w:t>
      </w:r>
      <w:r>
        <w:rPr>
          <w:rStyle w:val="FootnoteAnchor"/>
          <w:rtl w:val="true"/>
        </w:rPr>
        <w:footnoteReference w:id="3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ذلـک کذلـک مـا لـم یلـزم منه بطلان العمل بنظر کلیهما کما هو الشأن فیماذکـر مـن المثال، وإلاّ فلیس لـه حجّـة علی صحّـة عملـه، اللهـمّ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أن‌یدّعی أنّ فتوی کـلّ واحـد فی جهـة مـن جهات العمل طریق الاجتزاء بـه‌مـن تلک الجهة، فیکون معذوراً مـن قبل مخالفة العمـل الواحـد من قبـل‌الجـزء والشرط المتروک بفتـوی أحـد المجتهدین مـن دون احتیاج إلی‌قیام رأی أحدهما علی صحّة تمام العمل، فتدبّر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جواز التبعیض فی الصورة المفروضة ونظائرها ممّا یلزم منه کون العمل باطلاً بفتوی کلٍّ منهما محلّ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البطـلان إذا کان العمل ارتباطیّـاً ولم یکن بجملته صحیحاً علی فتوی کلٍّ منهما، کما فی مثال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 التبعیض فی مثل هذا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بل الأقوی ترک التبعیض فی المثال وأشباهه ممّا یوجب التبعیض بطلان العمل علی القولین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63" w:name="pg13272_142871"/>
    </w:p>
    <w:p>
      <w:pPr>
        <w:pStyle w:val="Heading3"/>
        <w:numPr>
          <w:ilvl w:val="2"/>
          <w:numId w:val="1"/>
        </w:numPr>
        <w:rPr/>
      </w:pPr>
      <w:bookmarkStart w:id="164" w:name="__RefHeading___Toc1636482_2322387425"/>
      <w:bookmarkStart w:id="165" w:name="_Toc53"/>
      <w:bookmarkEnd w:id="163"/>
      <w:bookmarkEnd w:id="164"/>
      <w:r>
        <w:rPr>
          <w:rtl w:val="true"/>
        </w:rPr>
        <w:t>فی تشخیص موارد الاحتیاط</w:t>
      </w:r>
      <w:bookmarkEnd w:id="16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یخفی أنّ تشخیص موارد الاحتیاط عسـر علی العامّی </w:t>
      </w:r>
      <w:r>
        <w:rPr>
          <w:rStyle w:val="FootnoteAnchor"/>
          <w:rtl w:val="true"/>
        </w:rPr>
        <w:footnoteReference w:id="3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فلابدّ من رجوعه إلی أهل الخبرة فی تشخیص موارده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لابـدّ فیـه من الاطّلاع التامّ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ومـع ذلـک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قـد یتعارض الاحتیاطان فلابدّ من الترجیح ، وقـد لا یلتفت إلی إشکال المسألة حتّی یحتاط ، وقد یکون الاحتیاط فی ترک الاحتیاط </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الأحوط ترک الوضوء بالماء المستعمل فی رفع الحدث الأکبر ، لکن إذا فرض انحصار الماء فیه الأحوط التوضّوء به ، بل یجب ذلک ، بناءً علی کون احتیاط الترک استحبابیّاً ، والأحوط الجمع بین التوضّـوء</w:t>
      </w:r>
      <w:r>
        <w:rPr>
          <w:rStyle w:val="FootnoteAnchor"/>
          <w:rtl w:val="true"/>
        </w:rPr>
        <w:footnoteReference w:id="389"/>
      </w:r>
      <w:r>
        <w:rPr>
          <w:rFonts w:ascii="IRNazanin" w:hAnsi="IRNazanin" w:eastAsia="IRNazanin"/>
          <w:color w:val="111111"/>
          <w:sz w:val="28"/>
          <w:sz w:val="28"/>
          <w:szCs w:val="28"/>
          <w:rtl w:val="true"/>
          <w:lang w:bidi="fa-IR"/>
        </w:rPr>
        <w:t xml:space="preserve">به والتیمّم ، وأیضاً الأحوط التثلیث فی التسبیحات الأربع ، لکن إذا کان فی ضیق الوقت ، ویلزم من التثلیث وقوع بعض </w:t>
      </w:r>
      <w:bookmarkStart w:id="166" w:name="pg13272_142872"/>
    </w:p>
    <w:p>
      <w:pPr>
        <w:pStyle w:val="BookText"/>
        <w:rPr/>
      </w:pPr>
      <w:bookmarkEnd w:id="166"/>
      <w:r>
        <w:rPr>
          <w:rFonts w:ascii="IRNazanin" w:hAnsi="IRNazanin" w:eastAsia="IRNazanin"/>
          <w:color w:val="111111"/>
          <w:sz w:val="28"/>
          <w:sz w:val="28"/>
          <w:szCs w:val="28"/>
          <w:rtl w:val="true"/>
          <w:lang w:bidi="fa-IR"/>
        </w:rPr>
        <w:t>الصلاة خارج الوقت فالأحوط ترک هذا الاحتیاط</w:t>
      </w:r>
      <w:r>
        <w:rPr>
          <w:rStyle w:val="FootnoteAnchor"/>
          <w:rtl w:val="true"/>
        </w:rPr>
        <w:footnoteReference w:id="3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 الأحوط الأولی الجمع بینه وبین القضاء المشتمل علی ثلاث تسبیحات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یلزم ترکه ، وکذا التیمّم بالجصّ خلاف الاحتیاط ، لکن إذا لم یکن معه إلاّ هذا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التیمّم بـه ، وإن کان عنده الطین مثلاً فالأحوط الجمع ، وهکذا </w:t>
      </w:r>
      <w:r>
        <w:rPr>
          <w:rFonts w:eastAsia="IRNazanin" w:cs="IRNazanin"/>
          <w:color w:val="111111"/>
          <w:sz w:val="28"/>
          <w:szCs w:val="28"/>
          <w:rtl w:val="true"/>
          <w:lang w:bidi="fa-IR"/>
        </w:rPr>
        <w:t>.</w:t>
      </w:r>
    </w:p>
    <w:p>
      <w:pPr>
        <w:pStyle w:val="Heading3"/>
        <w:numPr>
          <w:ilvl w:val="2"/>
          <w:numId w:val="1"/>
        </w:numPr>
        <w:rPr/>
      </w:pPr>
      <w:bookmarkStart w:id="167" w:name="__RefHeading___Toc1636484_2322387425"/>
      <w:bookmarkStart w:id="168" w:name="_Toc54"/>
      <w:bookmarkEnd w:id="167"/>
      <w:r>
        <w:rPr>
          <w:rtl w:val="true"/>
        </w:rPr>
        <w:t>محل التقلید و مورده</w:t>
      </w:r>
      <w:bookmarkEnd w:id="168"/>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محلّ التقلید ومورده هـو الأحکام الفرعیّة العملیّة ، فـلا یجری فی اُصول الـدیـن</w:t>
      </w:r>
      <w:r>
        <w:rPr>
          <w:rStyle w:val="FootnoteAnchor"/>
          <w:rtl w:val="true"/>
        </w:rPr>
        <w:footnoteReference w:id="39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مسائل اُصـول الفقـه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التقلید فی المسألة الاُصولیّة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وفیما بعده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یتّفق کما فی مورد تعارض الخبرین وفتوی المقلِّد بجواز أخذه بأیّ الخبرین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مانع من التقلید فی بعض مسائل اُصول الفقه إذا کان محلّ ابتلاء المقلِّد، وتقدّم من الماتن وجوب تقلید الحیّ الأعلم فی مسألة جواز البقاء علی تقلید المیّت، وفی مسألة وجوب تقلید الأعلم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 عدم کونها محلّ التقلید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شبهة فی صحّة التقلید فیما یکون مورداً لابتلاء العوامّ، کمسألة تقلید الأعلم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الفرق بینها وبین الفرعیّة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یبعد جریان التقلید فیها وفیما ذکر بعدها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الشیرازی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لعدم جواز التقلید فی جملة من الموارد المذکورة، وعلیه لابدّ من التفصیل، ویتفرّع علیه جواز التقلید فی الاُصول والاجتهاد فی الفروع فی أعمال نفسه، وأمّا غیره فلا یجوز أن یقلّده؛ إذ المفروض أنّ النتیجة تابعة لأخسّ المقدّمات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التقلید فیها وفی الموضوعات المستنبطة، عرفیّة کانت أم شرعیّة؛ لرجوعه إلی التقلید فی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یجوز التقلید فی جملة من مسائل الاُصول، وکذا فی الموضوعات الاستنباطیّة الشرعیّة، وکذا فی الموضوعات الاستنباطیّة العرفیّة الّتی یختلف الحکم فیها، کالغناء والصَعید ونحوهما، مثلاً فی الموضوع المستنبط، ککون الصَعید هو التراب الخالص أو مطلق وجه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لم یکن بنفسه مورداً للتقلید، ولکن باستتباعه للحکم الشرعی الّذی هو جواز التیمّم ونحوه یکون مورداً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التقلید فیها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فـی مبـادئ الاستنباط</w:t>
      </w:r>
      <w:r>
        <w:rPr>
          <w:rStyle w:val="FootnoteAnchor"/>
          <w:rtl w:val="true"/>
        </w:rPr>
        <w:footnoteReference w:id="39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إلاّ فیما یقع مورداً لابتلاء العامّی، کالمسائل المرتبطة بتصحیح القراءة وصیغ العقود والإیقاعات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مـن النحـو والـصـرف ونحـوهـمـا ،</w:t>
      </w:r>
    </w:p>
    <w:p>
      <w:pPr>
        <w:pStyle w:val="BookText"/>
        <w:rPr/>
      </w:pPr>
      <w:r>
        <w:rPr>
          <w:rFonts w:ascii="IRNazanin" w:hAnsi="IRNazanin" w:eastAsia="IRNazanin"/>
          <w:color w:val="111111"/>
          <w:sz w:val="28"/>
          <w:sz w:val="28"/>
          <w:szCs w:val="28"/>
          <w:rtl w:val="true"/>
          <w:lang w:bidi="fa-IR"/>
        </w:rPr>
        <w:t>ولا فی الموضوعات</w:t>
      </w:r>
      <w:r>
        <w:rPr>
          <w:rStyle w:val="FootnoteAnchor"/>
          <w:rtl w:val="true"/>
        </w:rPr>
        <w:footnoteReference w:id="393"/>
      </w:r>
      <w:r>
        <w:rPr>
          <w:rFonts w:ascii="Amiri" w:hAnsi="Amiri" w:eastAsia="Amiri" w:cs="Amiri"/>
          <w:color w:val="111111"/>
          <w:sz w:val="28"/>
          <w:sz w:val="28"/>
          <w:szCs w:val="28"/>
          <w:rtl w:val="true"/>
          <w:lang w:bidi="ar-SA"/>
        </w:rPr>
        <w:t>المستنبطة</w:t>
      </w:r>
      <w:r>
        <w:rPr>
          <w:rStyle w:val="FootnoteAnchor"/>
          <w:rtl w:val="true"/>
        </w:rPr>
        <w:footnoteReference w:id="3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جواز التقلید فیها باعتبار الحکم المستتبع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استتبعها حکم شرعی، فلابدّ فیها من التقلید کالصَعید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الموضوعات المستنبطة کالصَعید والغناء والوطن والمفازة وإن لم تکن بأنفسها مورد التقلید، لکنّها باستتباعها للحکم الشرعی تکون مورداً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لوحظت فی حدّ نفسها، وأمّا من حیث ترتّب الحکم الشرعی علیها فالتقلید فیها یرجع إلی التقلید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جریانه فیها، بل فی مسائل اُصول الفقه أیضاً یجری لو لم یتمکّن من الاجتهاد فیها لصعوبتها، وکان متمکّناً منه فی المسائل الفرعیّة لسهولتها، بناءً علی کون التقلید هو الالتزام؛ بل یمکن القول بالجریان بناءً علی اعتبار العمل فیه أیضاً، بأن یأخذ من المجتهد المسألة الاُصولیّة ویستنبط بها المسألة الفقهیّة؛ لأنّ الأخذ فی مقام الاجتهاد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التقلید فی الموضوع المستنبط مطلقاً؛ لاستتباعه الحکم الشرعی، فهذا فی الحقیقة راجع إلی التقلید فی نفس الحکم الشرعی؛ لأنّ التقلید فی أنّ الصَعید هو التراب الخالص أو مطلق وجه الأرض راجع إلی جواز التیمّم بمطلق وجه الأرض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العرفیّـة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یجری فیها کما فی الغناء والآنیة والصَعید ممّا تکون الشبهة فیه فی المفهوم لرجوعه إلی التقلید فی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جریان التقلید فیها أیضاً، کالتقلید فی الغناء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مانع من التقلید فی النحو والصرف فی غیر مایقع فی طریق الاستنباط، کصیغ العقود والإیقاعات والأذان والإقامة والقراءة، وکذلک لامانع منه فی الموضوعات المستنبطة کالصَعید والغناء، وقد أفتی المصنّف وغیره فی هـذا الکتاب وغیـره فی مسائل کـثیرة مربوطة بالموضوعات المستنبطة، فإنّ أدلّة التقلید تجری فیها ولایقدر المقلِّد علی استنباطها غالباً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وهی کلّ مایکون للاستنباط دخل فی إحرازه، کالإقامة وموردیّته حینئذٍ للتقلید واضح، فلا یصحّ ما ذکره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یکن مآل التقلید فیهما إلی التقلید فی الحکم الفرعی، وإلاّ فالفرق بینهما وبین المستنبطة الشرعیّة غیر فارق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صحّة التقلید فی الجمیع إن کانت لها آثار شرعیّة وعجز العامّی عن درکها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جریانه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w:t>
      </w:r>
    </w:p>
    <w:p>
      <w:pPr>
        <w:pStyle w:val="BookText"/>
        <w:rPr/>
      </w:pPr>
      <w:r>
        <w:rPr>
          <w:rFonts w:ascii="Amiri" w:hAnsi="Amiri" w:eastAsia="Amiri" w:cs="Amiri"/>
          <w:color w:val="111111"/>
          <w:sz w:val="28"/>
          <w:sz w:val="28"/>
          <w:szCs w:val="28"/>
          <w:rtl w:val="true"/>
          <w:lang w:bidi="ar-SA"/>
        </w:rPr>
        <w:t>اللغـویّة</w:t>
      </w:r>
      <w:r>
        <w:rPr>
          <w:rStyle w:val="FootnoteAnchor"/>
          <w:rtl w:val="true"/>
        </w:rPr>
        <w:footnoteReference w:id="39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جریانه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الموضوعات المستنبطة باعتبار استتباعها للحکم الشرعی وکون تشخیص مفاهیمها محتاجاً للنظر والاجتهاد کنفس الحکم فی کونها مورداً للتقلید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العرفیّة کالغناء والصَعید والکعب وأمثالها ممّا یلزم الرجوع فیها إلی الأدلّة الشرعیّة فی تعیین مراد الشارع منها، فإنّ التقلید أو الاحتیاط واجب فیها علی العامّی ، نعم لا یجری التقلید فی مقام تطبیق الکبریات علی الصغریات، سواء کانت المفاهیم الکلّیة شرعیّة أو لغویّة أو عرفیّة، فالتقلید یلزم فی أنّ الصَعید هو التراب أو مطلق وجه الأرض لا فی أنّ هذا تراب أولیس بتراب ، وهکذا فلیس مناط صحّة التقلید وعدمها الموضوعات الشرعیّة أوالعرفیّة أو غیرها، بل مناطه الکلّیة والجزئیّة المصداقیّة، فلیفهم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جواز التقلید فی الموضوع المستنبط مطلقاً؛ لأنّه راجع إلی التقلید فی نفس الحکم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یجب التقلید فی الموضوعات المستنبطة المستتبعة للأحکام الشرعیّة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لوحظت فی حدّ نفسها، وأمّا من حیث ترتّب الحکم الشرعی علیها فالتقلید فیها یرجع إلی التقلید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الموضوعات المستنبطة بین الشرعیّة والعرفیّة فی أ نّها محلّ للتقلید؛ إذْ التقلید فیها مساوق للتقلید فی الحکم الفرعی کما هو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الحکم المترتّب علیها مورد للتقلید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جواز التقلید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فی الموضوعات الصرفة ، فلو شکّ المقلِّد فی مایع</w:t>
      </w:r>
    </w:p>
    <w:p>
      <w:pPr>
        <w:pStyle w:val="BookText"/>
        <w:rPr/>
      </w:pPr>
      <w:r>
        <w:rPr>
          <w:rFonts w:ascii="IRNazanin" w:hAnsi="IRNazanin" w:eastAsia="IRNazanin"/>
          <w:color w:val="111111"/>
          <w:sz w:val="28"/>
          <w:sz w:val="28"/>
          <w:szCs w:val="28"/>
          <w:rtl w:val="true"/>
          <w:lang w:bidi="fa-IR"/>
        </w:rPr>
        <w:t>أنّـه خمـر أو خلّ مثلاً، وقال المجتهد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خمر، لا یجوز لـه تقلیـده، نعـم مـن حیث إنّه مُخبر عادل یُقبل قوله</w:t>
      </w:r>
      <w:r>
        <w:rPr>
          <w:rStyle w:val="FootnoteAnchor"/>
          <w:rtl w:val="true"/>
        </w:rPr>
        <w:footnoteReference w:id="39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بناءً علی قبول خبر العادل الواحد علی خلاف ما اخترناه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فی إخبار</w:t>
      </w:r>
      <w:bookmarkStart w:id="169" w:name="pg13272_142877"/>
    </w:p>
    <w:p>
      <w:pPr>
        <w:pStyle w:val="BookText"/>
        <w:rPr/>
      </w:pPr>
      <w:bookmarkEnd w:id="169"/>
      <w:r>
        <w:rPr>
          <w:rFonts w:ascii="IRNazanin" w:hAnsi="IRNazanin" w:eastAsia="IRNazanin"/>
          <w:color w:val="111111"/>
          <w:sz w:val="28"/>
          <w:sz w:val="28"/>
          <w:szCs w:val="28"/>
          <w:rtl w:val="true"/>
          <w:lang w:bidi="fa-IR"/>
        </w:rPr>
        <w:t>العامّی العادل، وهکذا، وأمّا الموضوعات المستنبطة الشرعیّة</w:t>
      </w:r>
      <w:r>
        <w:rPr>
          <w:rStyle w:val="FootnoteAnchor"/>
          <w:rtl w:val="true"/>
        </w:rPr>
        <w:footnoteReference w:id="3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الموضوعات المستنبطة العرفیّة الّتی یختلف الحکم فیها، کالغناء والصَعید ونحوهما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کالصلاة والصوم ونحوهما فیجری التقلید فیها کالأحکام العملیّة </w:t>
      </w:r>
      <w:r>
        <w:rPr>
          <w:rFonts w:eastAsia="IRNazanin" w:cs="IRNazanin"/>
          <w:color w:val="111111"/>
          <w:sz w:val="28"/>
          <w:szCs w:val="28"/>
          <w:rtl w:val="true"/>
          <w:lang w:bidi="fa-IR"/>
        </w:rPr>
        <w:t>.</w:t>
      </w:r>
    </w:p>
    <w:p>
      <w:pPr>
        <w:pStyle w:val="Heading3"/>
        <w:numPr>
          <w:ilvl w:val="2"/>
          <w:numId w:val="1"/>
        </w:numPr>
        <w:rPr/>
      </w:pPr>
      <w:bookmarkStart w:id="170" w:name="__RefHeading___Toc1636486_2322387425"/>
      <w:bookmarkStart w:id="171" w:name="_Toc55"/>
      <w:bookmarkEnd w:id="170"/>
      <w:r>
        <w:rPr>
          <w:rtl w:val="true"/>
        </w:rPr>
        <w:t>لا تعتبر الأعلمیة فی امور</w:t>
      </w:r>
      <w:bookmarkEnd w:id="171"/>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یعتبر</w:t>
      </w:r>
      <w:r>
        <w:rPr>
          <w:rStyle w:val="FootnoteAnchor"/>
          <w:rtl w:val="true"/>
        </w:rPr>
        <w:footnoteReference w:id="398"/>
      </w:r>
      <w:r>
        <w:rPr>
          <w:rFonts w:ascii="IRNazanin" w:hAnsi="IRNazanin" w:eastAsia="IRNazanin"/>
          <w:color w:val="111111"/>
          <w:sz w:val="28"/>
          <w:sz w:val="28"/>
          <w:szCs w:val="28"/>
          <w:rtl w:val="true"/>
          <w:lang w:bidi="fa-IR"/>
        </w:rPr>
        <w:t>الأعلمیّة فی ما أمره راجع إلی المجتهد إلاّ فی التقلید</w:t>
      </w:r>
      <w:r>
        <w:rPr>
          <w:rStyle w:val="FootnoteAnchor"/>
          <w:rtl w:val="true"/>
        </w:rPr>
        <w:footnoteReference w:id="399"/>
      </w:r>
      <w:r>
        <w:rPr>
          <w:rFonts w:ascii="IRNazanin" w:hAnsi="IRNazanin" w:eastAsia="IRNazanin"/>
          <w:color w:val="111111"/>
          <w:sz w:val="28"/>
          <w:sz w:val="28"/>
          <w:szCs w:val="28"/>
          <w:rtl w:val="true"/>
          <w:lang w:bidi="fa-IR"/>
        </w:rPr>
        <w:t>، وأمّا الولایة علی الأیتام والمجانین والأوقاف الّـتی لا متولّی لهـا، والوصایا الّـتی لا وصـیّ لهـا، ونحـو ذلک، فلا یعتبر فیهـا الأعلمیّة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نعـم الأحوط</w:t>
      </w:r>
      <w:r>
        <w:rPr>
          <w:rStyle w:val="FootnoteAnchor"/>
          <w:rtl w:val="true"/>
        </w:rPr>
        <w:footnoteReference w:id="4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منشأ التنازع هو الاختلاف فی الحکم الشرعی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التفصیل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استحباباً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 عبد الهادی الشیرازی، محمّد الشیرازی، 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جـواز الترافع إلی غیـر الأعلم، إلاّ إذا کان منشأ التنازع هـو الاختلاف فی الحکم الشرعی، فالأحوط الترافع إلی الأعلـم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إذا کان منشأ النزاع هو اختلاف فتوی الحکمین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تقدّم ما یتعلّق به فی المسألة </w:t>
      </w:r>
      <w:r>
        <w:rPr>
          <w:rFonts w:eastAsia="IRNazanin" w:cs="IRNazanin"/>
          <w:color w:val="111111"/>
          <w:sz w:val="28"/>
          <w:szCs w:val="28"/>
          <w:rtl w:val="true"/>
          <w:lang w:bidi="fa-IR"/>
        </w:rPr>
        <w:t>(</w:t>
      </w:r>
      <w:r>
        <w:rPr>
          <w:rFonts w:eastAsia="IRNazanin" w:cs="IRNazanin"/>
          <w:color w:val="111111"/>
          <w:sz w:val="28"/>
          <w:szCs w:val="28"/>
          <w:lang w:bidi="fa-IR"/>
        </w:rPr>
        <w:t>56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القاضی</w:t>
      </w:r>
      <w:r>
        <w:rPr>
          <w:rStyle w:val="FootnoteAnchor"/>
          <w:rtl w:val="true"/>
        </w:rPr>
        <w:footnoteReference w:id="40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ذلک فی خصوص ما إذا کان منشأ التنازع هو الاختلاف فی الحکم الشرعی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ذلک هو الأولی، إلاّ إذا رجع ترافع المتخاصمین إلی تنازعهما فی الحکم الشرعی، فالأقوی حینئذٍ أن یتحاکما لدی من یتّفقان علی أعلمیّته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 فتوی غیر الأعلم مخالفاً لفتوی الأعلم، وکان مورد المنازعة شبهة حکمیّة یجب الرجوع إلی الأعلم مع الإمکان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قـد مرّ أنّه لا یعتبر فی القاضی إلاّ فیما إذا کان منشأ الاختلاف الشبهة الحکمیّة، وکانت الآراء فی المسألة المتنازع فیها مختلفة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کون منشأ التنازع بینهما هو الاختلاف فی الحکم الشرعی، وکون الشبهة حکمیّة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استحبابی، لجواز الترافع إلی غیر الأعلم، نعم إذا کان منشأ التنازع هو الاختلاف فی الحکم الشرعی فالأحوط وجوباً هو الرجوع إلی الأعلم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یکـون</w:t>
      </w:r>
      <w:r>
        <w:rPr>
          <w:rFonts w:eastAsia="IRNazanin" w:cs="IRNazanin"/>
          <w:color w:val="111111"/>
          <w:sz w:val="28"/>
          <w:szCs w:val="28"/>
          <w:rtl w:val="true"/>
          <w:lang w:bidi="fa-IR"/>
        </w:rPr>
        <w:t>···</w:t>
      </w:r>
      <w:bookmarkStart w:id="172" w:name="pg13272_142879"/>
    </w:p>
    <w:p>
      <w:pPr>
        <w:pStyle w:val="BookText"/>
        <w:rPr/>
      </w:pPr>
      <w:bookmarkEnd w:id="172"/>
      <w:r>
        <w:rPr>
          <w:rFonts w:ascii="IRNazanin" w:hAnsi="IRNazanin" w:eastAsia="IRNazanin"/>
          <w:color w:val="111111"/>
          <w:sz w:val="28"/>
          <w:sz w:val="28"/>
          <w:szCs w:val="28"/>
          <w:rtl w:val="true"/>
          <w:lang w:bidi="fa-IR"/>
        </w:rPr>
        <w:t>أعلم</w:t>
      </w:r>
      <w:r>
        <w:rPr>
          <w:rStyle w:val="FootnoteAnchor"/>
          <w:rtl w:val="true"/>
        </w:rPr>
        <w:footnoteReference w:id="402"/>
      </w:r>
      <w:r>
        <w:rPr>
          <w:rFonts w:ascii="IRNazanin" w:hAnsi="IRNazanin" w:eastAsia="IRNazanin"/>
          <w:color w:val="111111"/>
          <w:sz w:val="28"/>
          <w:sz w:val="28"/>
          <w:szCs w:val="28"/>
          <w:rtl w:val="true"/>
          <w:lang w:bidi="fa-IR"/>
        </w:rPr>
        <w:t xml:space="preserve">مـن فی ذلک البلد، أو فی غیره ممّا لا حرج فی الترافع إلیه </w:t>
      </w:r>
      <w:r>
        <w:rPr>
          <w:rFonts w:eastAsia="IRNazanin" w:cs="IRNazanin"/>
          <w:color w:val="111111"/>
          <w:sz w:val="28"/>
          <w:szCs w:val="28"/>
          <w:rtl w:val="true"/>
          <w:lang w:bidi="fa-IR"/>
        </w:rPr>
        <w:t>.</w:t>
      </w:r>
    </w:p>
    <w:p>
      <w:pPr>
        <w:pStyle w:val="Heading3"/>
        <w:numPr>
          <w:ilvl w:val="2"/>
          <w:numId w:val="1"/>
        </w:numPr>
        <w:rPr/>
      </w:pPr>
      <w:bookmarkStart w:id="173" w:name="__RefHeading___Toc1636488_2322387425"/>
      <w:bookmarkStart w:id="174" w:name="_Toc56"/>
      <w:bookmarkEnd w:id="173"/>
      <w:r>
        <w:rPr>
          <w:rtl w:val="true"/>
        </w:rPr>
        <w:t>إذا تبدل رأی المجتهد هل یجب علیه إعلام المقلدین؟</w:t>
      </w:r>
      <w:bookmarkEnd w:id="17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تبدّل رأی المجتهد هل یجب علیه إعلام المقلِّدین أم لا؟ فیه تفصیل</w:t>
      </w:r>
      <w:r>
        <w:rPr>
          <w:rStyle w:val="FootnoteAnchor"/>
          <w:rtl w:val="true"/>
        </w:rPr>
        <w:footnoteReference w:id="40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یعلم وجه للفرق بین المجتهد والناقل من حیث الإطلاق والتفصیل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کانت الفتوی السابقة موافقةً للاحتیاط فالظاهر عدم الوجوب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کان الرأی السابق مستلزماً لضرر مالی ونحوه علی المقلِّد فلا یبعد وجوب الإعلام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کانت مخالفةً فالأحوط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الإعلام، بل لا یخلو عن قوّة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هناک إغراء وتسبیب من المجتهد لا مطلقاً، إلاّ أن یصار إلی لزوم إرشاد الجاهل وتنبیه الغافل، وهو کما أشرنا غیر صافٍ عن شوب الإشکال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قوّته علی الإطلاق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إشکال، ویظهر حکم المسألة ممّا ذکرنا فی المسألة الثامنة والأربعین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75" w:name="pg13272_142880"/>
    </w:p>
    <w:p>
      <w:pPr>
        <w:pStyle w:val="Heading3"/>
        <w:numPr>
          <w:ilvl w:val="2"/>
          <w:numId w:val="1"/>
        </w:numPr>
        <w:rPr/>
      </w:pPr>
      <w:bookmarkStart w:id="176" w:name="__RefHeading___Toc1636490_2322387425"/>
      <w:bookmarkStart w:id="177" w:name="_Toc57"/>
      <w:bookmarkEnd w:id="175"/>
      <w:bookmarkEnd w:id="176"/>
      <w:r>
        <w:rPr>
          <w:rtl w:val="true"/>
        </w:rPr>
        <w:t>لا یجوز للمقلد إجزاء أصالة البراءة أو الطهارة أو الاستصحاب فی الشبهات الحکمیة</w:t>
      </w:r>
      <w:bookmarkEnd w:id="177"/>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للمقلِّد</w:t>
      </w:r>
      <w:r>
        <w:rPr>
          <w:rStyle w:val="FootnoteAnchor"/>
          <w:rtl w:val="true"/>
        </w:rPr>
        <w:footnoteReference w:id="404"/>
      </w:r>
      <w:r>
        <w:rPr>
          <w:rFonts w:ascii="IRNazanin" w:hAnsi="IRNazanin" w:eastAsia="IRNazanin"/>
          <w:color w:val="111111"/>
          <w:sz w:val="28"/>
          <w:sz w:val="28"/>
          <w:szCs w:val="28"/>
          <w:rtl w:val="true"/>
          <w:lang w:bidi="fa-IR"/>
        </w:rPr>
        <w:t>إجراء أصالة البراءة، أو الطهارة، أوالاستصحاب فی الشبهات الحکمیّة</w:t>
      </w:r>
      <w:r>
        <w:rPr>
          <w:rStyle w:val="FootnoteAnchor"/>
          <w:rtl w:val="true"/>
        </w:rPr>
        <w:footnoteReference w:id="405"/>
      </w:r>
      <w:r>
        <w:rPr>
          <w:rFonts w:ascii="IRNazanin" w:hAnsi="IRNazanin" w:eastAsia="IRNazanin"/>
          <w:color w:val="111111"/>
          <w:sz w:val="28"/>
          <w:sz w:val="28"/>
          <w:szCs w:val="28"/>
          <w:rtl w:val="true"/>
          <w:lang w:bidi="fa-IR"/>
        </w:rPr>
        <w:t>، وأمّا فی الشبهات الموضوعیّة</w:t>
      </w:r>
      <w:r>
        <w:rPr>
          <w:rStyle w:val="FootnoteAnchor"/>
          <w:rtl w:val="true"/>
        </w:rPr>
        <w:footnoteReference w:id="406"/>
      </w:r>
      <w:r>
        <w:rPr>
          <w:rFonts w:ascii="IRNazanin" w:hAnsi="IRNazanin" w:eastAsia="IRNazanin"/>
          <w:color w:val="111111"/>
          <w:sz w:val="28"/>
          <w:sz w:val="28"/>
          <w:szCs w:val="28"/>
          <w:rtl w:val="true"/>
          <w:lang w:bidi="fa-IR"/>
        </w:rPr>
        <w:t>فیجوز</w:t>
      </w:r>
      <w:r>
        <w:rPr>
          <w:rStyle w:val="FootnoteAnchor"/>
          <w:rtl w:val="true"/>
        </w:rPr>
        <w:footnoteReference w:id="407"/>
      </w:r>
      <w:r>
        <w:rPr>
          <w:rFonts w:ascii="IRNazanin" w:hAnsi="IRNazanin" w:eastAsia="IRNazanin"/>
          <w:color w:val="111111"/>
          <w:sz w:val="28"/>
          <w:sz w:val="28"/>
          <w:szCs w:val="28"/>
          <w:rtl w:val="true"/>
          <w:lang w:bidi="fa-IR"/>
        </w:rPr>
        <w:t>بعد أن قلّد مجتهده فی حجّیتها</w:t>
      </w:r>
      <w:r>
        <w:rPr>
          <w:rStyle w:val="FootnoteAnchor"/>
          <w:rtl w:val="true"/>
        </w:rPr>
        <w:footnoteReference w:id="408"/>
      </w:r>
      <w:r>
        <w:rPr>
          <w:rFonts w:ascii="IRNazanin" w:hAnsi="IRNazanin" w:eastAsia="IRNazanin"/>
          <w:color w:val="111111"/>
          <w:sz w:val="28"/>
          <w:sz w:val="28"/>
          <w:szCs w:val="28"/>
          <w:rtl w:val="true"/>
          <w:lang w:bidi="fa-IR"/>
        </w:rPr>
        <w:t>، مثلاً إذا شکّ فی أنّ عرق الجنب من الحرام نجس أم لا، لیس له إجراء أصل الطهارة، لکن فی أنّ هذا الماء أو غیره لاقته النجاسة أم لا، یجوز له إجراوءها بعد أن قلّد المجتهد فی جواز الإجراء</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178" w:name="pg13272_142881"/>
    </w:p>
    <w:p>
      <w:pPr>
        <w:pStyle w:val="Heading3"/>
        <w:numPr>
          <w:ilvl w:val="2"/>
          <w:numId w:val="1"/>
        </w:numPr>
        <w:rPr/>
      </w:pPr>
      <w:bookmarkStart w:id="179" w:name="__RefHeading___Toc1636492_2322387425"/>
      <w:bookmarkStart w:id="180" w:name="_Toc58"/>
      <w:bookmarkEnd w:id="178"/>
      <w:bookmarkEnd w:id="179"/>
      <w:r>
        <w:rPr>
          <w:rtl w:val="true"/>
        </w:rPr>
        <w:t>لا یجوز تقلید المجتهد غیر العادل أو مجهول الحال</w:t>
      </w:r>
      <w:bookmarkEnd w:id="1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المجتهد غیر العادل أو مجهول الحال</w:t>
      </w:r>
      <w:r>
        <w:rPr>
          <w:rStyle w:val="FootnoteAnchor"/>
          <w:rtl w:val="true"/>
        </w:rPr>
        <w:footnoteReference w:id="410"/>
      </w:r>
      <w:r>
        <w:rPr>
          <w:rFonts w:ascii="IRNazanin" w:hAnsi="IRNazanin" w:eastAsia="IRNazanin"/>
          <w:color w:val="111111"/>
          <w:sz w:val="28"/>
          <w:sz w:val="28"/>
          <w:szCs w:val="28"/>
          <w:rtl w:val="true"/>
          <w:lang w:bidi="fa-IR"/>
        </w:rPr>
        <w:t>لا یجوز تقلیده</w:t>
      </w:r>
      <w:r>
        <w:rPr>
          <w:rStyle w:val="FootnoteAnchor"/>
          <w:rtl w:val="true"/>
        </w:rPr>
        <w:footnoteReference w:id="4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موثوقاً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فتواه، ولکنّ فتاواه معتبرة لعمل نفسه، وکذا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لا ینفذ حکمه ولا تصرّفاته فی الاُمور العامّة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ولایة له فی الأوقاف والوصایا وأموال القصّر والغُیّب</w:t>
      </w:r>
      <w:r>
        <w:rPr>
          <w:rFonts w:eastAsia="IRNazanin" w:cs="IRNazanin"/>
          <w:color w:val="111111"/>
          <w:sz w:val="28"/>
          <w:szCs w:val="28"/>
          <w:rtl w:val="true"/>
          <w:lang w:bidi="fa-IR"/>
        </w:rPr>
        <w:t>.</w:t>
      </w:r>
    </w:p>
    <w:p>
      <w:pPr>
        <w:pStyle w:val="Heading3"/>
        <w:numPr>
          <w:ilvl w:val="2"/>
          <w:numId w:val="1"/>
        </w:numPr>
        <w:rPr/>
      </w:pPr>
      <w:bookmarkStart w:id="181" w:name="__RefHeading___Toc1636494_2322387425"/>
      <w:bookmarkStart w:id="182" w:name="_Toc59"/>
      <w:bookmarkEnd w:id="181"/>
      <w:r>
        <w:rPr>
          <w:rtl w:val="true"/>
        </w:rPr>
        <w:t>الظن بفتوی المجتهد لا یکفی فی جواز العمل</w:t>
      </w:r>
      <w:bookmarkEnd w:id="1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بکون فتوی المجتهد کذا لا یکفی</w:t>
      </w:r>
      <w:r>
        <w:rPr>
          <w:rStyle w:val="FootnoteAnchor"/>
          <w:rtl w:val="true"/>
        </w:rPr>
        <w:footnoteReference w:id="4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کفایة الوثوق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جواز العمل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إلاّ إذا کان حاصلاً من ظاهر لفظه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حجّیّة الظواهر لیست من باب إفادة الظنّ کما حقّق فی محلّه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شفاهاً، أو لفظ الناقل، أو من ألفاظه فی رسالته</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الظنّ لیس حجّة</w:t>
      </w:r>
      <w:r>
        <w:rPr>
          <w:rStyle w:val="FootnoteAnchor"/>
          <w:rtl w:val="true"/>
        </w:rPr>
        <w:footnoteReference w:id="413"/>
      </w:r>
      <w:r>
        <w:rPr>
          <w:rFonts w:ascii="IRNazanin" w:hAnsi="IRNazanin" w:eastAsia="IRNazanin"/>
          <w:color w:val="111111"/>
          <w:sz w:val="28"/>
          <w:sz w:val="28"/>
          <w:szCs w:val="28"/>
          <w:rtl w:val="true"/>
          <w:lang w:bidi="fa-IR"/>
        </w:rPr>
        <w:t>، إلاّ إذا کان حاصلاً من ظواهر الألفاظ</w:t>
      </w:r>
      <w:r>
        <w:rPr>
          <w:rStyle w:val="FootnoteAnchor"/>
          <w:rtl w:val="true"/>
        </w:rPr>
        <w:footnoteReference w:id="414"/>
      </w:r>
      <w:r>
        <w:rPr>
          <w:rFonts w:ascii="IRNazanin" w:hAnsi="IRNazanin" w:eastAsia="IRNazanin"/>
          <w:color w:val="111111"/>
          <w:sz w:val="28"/>
          <w:sz w:val="28"/>
          <w:szCs w:val="28"/>
          <w:rtl w:val="true"/>
          <w:lang w:bidi="fa-IR"/>
        </w:rPr>
        <w:t>منه، أو من الناقل</w:t>
      </w:r>
      <w:r>
        <w:rPr>
          <w:rFonts w:eastAsia="IRNazanin" w:cs="IRNazanin"/>
          <w:color w:val="111111"/>
          <w:sz w:val="28"/>
          <w:szCs w:val="28"/>
          <w:rtl w:val="true"/>
          <w:lang w:bidi="fa-IR"/>
        </w:rPr>
        <w:t xml:space="preserve">. </w:t>
      </w:r>
      <w:bookmarkStart w:id="183" w:name="pg13272_142882"/>
    </w:p>
    <w:p>
      <w:pPr>
        <w:pStyle w:val="Heading2"/>
        <w:numPr>
          <w:ilvl w:val="1"/>
          <w:numId w:val="1"/>
        </w:numPr>
        <w:rPr/>
      </w:pPr>
      <w:bookmarkStart w:id="184" w:name="__RefHeading___Toc1636496_2322387425"/>
      <w:bookmarkStart w:id="185" w:name="_Toc60"/>
      <w:bookmarkEnd w:id="183"/>
      <w:bookmarkEnd w:id="184"/>
      <w:r>
        <w:rPr>
          <w:rtl w:val="true"/>
        </w:rPr>
        <w:t>کتاب الطهارة</w:t>
      </w:r>
      <w:bookmarkEnd w:id="185"/>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86" w:name="__RefHeading___Toc1636498_2322387425"/>
      <w:bookmarkStart w:id="187" w:name="_Toc61"/>
      <w:bookmarkEnd w:id="186"/>
      <w:r>
        <w:rPr>
          <w:rtl w:val="true"/>
        </w:rPr>
        <w:t>اشارة</w:t>
      </w:r>
      <w:bookmarkEnd w:id="187"/>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8" w:name="pg13272_142884"/>
      <w:bookmarkStart w:id="189" w:name="pg13272_142884"/>
      <w:bookmarkEnd w:id="189"/>
    </w:p>
    <w:p>
      <w:pPr>
        <w:pStyle w:val="Heading3"/>
        <w:numPr>
          <w:ilvl w:val="2"/>
          <w:numId w:val="1"/>
        </w:numPr>
        <w:rPr/>
      </w:pPr>
      <w:bookmarkStart w:id="190" w:name="pg13272_142884"/>
      <w:bookmarkStart w:id="191" w:name="__RefHeading___Toc1636500_2322387425"/>
      <w:bookmarkStart w:id="192" w:name="_Toc62"/>
      <w:bookmarkEnd w:id="190"/>
      <w:bookmarkEnd w:id="191"/>
      <w:r>
        <w:rPr>
          <w:rtl w:val="true"/>
        </w:rPr>
        <w:t>فصل فی المیاه</w:t>
      </w:r>
      <w:bookmarkEnd w:id="192"/>
    </w:p>
    <w:p>
      <w:pPr>
        <w:pStyle w:val="BookText"/>
        <w:rPr/>
      </w:pPr>
      <w:r>
        <w:rPr>
          <w:rFonts w:ascii="IRNazanin" w:hAnsi="IRNazanin" w:eastAsia="IRNazanin"/>
          <w:color w:val="111111"/>
          <w:sz w:val="28"/>
          <w:sz w:val="28"/>
          <w:szCs w:val="28"/>
          <w:rtl w:val="true"/>
          <w:lang w:bidi="fa-IR"/>
        </w:rPr>
        <w:t>الماء إمّا مطلق</w:t>
      </w:r>
      <w:r>
        <w:rPr>
          <w:rStyle w:val="FootnoteAnchor"/>
          <w:rtl w:val="true"/>
        </w:rPr>
        <w:footnoteReference w:id="415"/>
      </w:r>
      <w:r>
        <w:rPr>
          <w:rFonts w:ascii="IRNazanin" w:hAnsi="IRNazanin" w:eastAsia="IRNazanin"/>
          <w:color w:val="111111"/>
          <w:sz w:val="28"/>
          <w:sz w:val="28"/>
          <w:szCs w:val="28"/>
          <w:rtl w:val="true"/>
          <w:lang w:bidi="fa-IR"/>
        </w:rPr>
        <w:t>، أو مضاف</w:t>
      </w:r>
      <w:r>
        <w:rPr>
          <w:rStyle w:val="FootnoteAnchor"/>
          <w:rtl w:val="true"/>
        </w:rPr>
        <w:footnoteReference w:id="4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الماء المطلق وإن کان من المفاهیم الواضحة العرفیّة لا یحتاج إلی التعریف، ولکن باعتبار مقابله ینبغی أن یعرّف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یصحّ إطلاق الماء علیه من دون إضافته إلی شیء، کماء البحر مثلاً، وإضافة البحر للیقین، أی الماء الّذی یکون فی البحر، لا لتصحیح الاستعمال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لا یصحّ استعمال الماء فیه من دون إضافته، کماء العنب فلا یقال له ماء إلاّ مجازاً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کالمعتصر من الأجسام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أو الممتزج بغیره ممّا یخرجه عن صدق اسم الماء</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والمطلق أقسام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 والنابع غیر الجاری، والبئر</w:t>
      </w:r>
      <w:r>
        <w:rPr>
          <w:rStyle w:val="FootnoteAnchor"/>
          <w:rtl w:val="true"/>
        </w:rPr>
        <w:footnoteReference w:id="417"/>
      </w:r>
      <w:r>
        <w:rPr>
          <w:rFonts w:ascii="IRNazanin" w:hAnsi="IRNazanin" w:eastAsia="IRNazanin"/>
          <w:color w:val="111111"/>
          <w:sz w:val="28"/>
          <w:sz w:val="28"/>
          <w:szCs w:val="28"/>
          <w:rtl w:val="true"/>
          <w:lang w:bidi="fa-IR"/>
        </w:rPr>
        <w:t>، والمطر</w:t>
      </w:r>
      <w:r>
        <w:rPr>
          <w:rStyle w:val="FootnoteAnchor"/>
          <w:rtl w:val="true"/>
        </w:rPr>
        <w:footnoteReference w:id="418"/>
      </w:r>
      <w:r>
        <w:rPr>
          <w:rFonts w:ascii="Amiri" w:hAnsi="Amiri" w:eastAsia="Amiri" w:cs="Amiri"/>
          <w:color w:val="111111"/>
          <w:sz w:val="28"/>
          <w:sz w:val="28"/>
          <w:szCs w:val="28"/>
          <w:rtl w:val="true"/>
          <w:lang w:bidi="ar-SA"/>
        </w:rPr>
        <w:t xml:space="preserve">، والکرّ، </w:t>
      </w:r>
    </w:p>
    <w:p>
      <w:pPr>
        <w:pStyle w:val="BookText"/>
        <w:rPr/>
      </w:pPr>
      <w:r>
        <w:rPr>
          <w:rFonts w:ascii="IRNazanin" w:hAnsi="IRNazanin" w:eastAsia="IRNazanin"/>
          <w:color w:val="111111"/>
          <w:sz w:val="28"/>
          <w:sz w:val="28"/>
          <w:szCs w:val="28"/>
          <w:rtl w:val="true"/>
          <w:lang w:bidi="fa-IR"/>
        </w:rPr>
        <w:t>والقلیل، وکلّ واحد منها</w:t>
      </w:r>
      <w:r>
        <w:rPr>
          <w:rStyle w:val="FootnoteAnchor"/>
          <w:rtl w:val="true"/>
        </w:rPr>
        <w:footnoteReference w:id="419"/>
      </w:r>
      <w:r>
        <w:rPr>
          <w:rFonts w:ascii="Amiri" w:hAnsi="Amiri" w:eastAsia="Amiri" w:cs="Amiri"/>
          <w:color w:val="111111"/>
          <w:sz w:val="28"/>
          <w:sz w:val="28"/>
          <w:szCs w:val="28"/>
          <w:rtl w:val="true"/>
          <w:lang w:bidi="ar-SA"/>
        </w:rPr>
        <w:t>مع عدم ملاقاة النجاسة طاهر مطهِّر</w:t>
      </w:r>
      <w:r>
        <w:rPr>
          <w:rStyle w:val="FootnoteAnchor"/>
          <w:rtl w:val="true"/>
        </w:rPr>
        <w:footnoteReference w:id="420"/>
      </w:r>
      <w:r>
        <w:rPr>
          <w:rFonts w:ascii="IRNazanin" w:hAnsi="IRNazanin" w:eastAsia="IRNazanin"/>
          <w:color w:val="111111"/>
          <w:sz w:val="28"/>
          <w:sz w:val="28"/>
          <w:szCs w:val="28"/>
          <w:rtl w:val="true"/>
          <w:lang w:bidi="fa-IR"/>
        </w:rPr>
        <w:t>من الحدث والخبث</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المضاف</w:t>
      </w:r>
      <w:r>
        <w:rPr>
          <w:rStyle w:val="FootnoteAnchor"/>
          <w:rtl w:val="true"/>
        </w:rPr>
        <w:footnoteReference w:id="422"/>
      </w:r>
      <w:r>
        <w:rPr>
          <w:rFonts w:ascii="IRNazanin" w:hAnsi="IRNazanin" w:eastAsia="IRNazanin"/>
          <w:color w:val="111111"/>
          <w:sz w:val="28"/>
          <w:sz w:val="28"/>
          <w:szCs w:val="28"/>
          <w:rtl w:val="true"/>
          <w:lang w:bidi="fa-IR"/>
        </w:rPr>
        <w:t>مع عدم ملاقاة النجاسة طاهر، لکنّه غیر مطهِّر لا من الحدث ولا من الخبث، ولو فی حال الاضطرار</w:t>
      </w:r>
      <w:r>
        <w:rPr>
          <w:rStyle w:val="FootnoteAnchor"/>
          <w:rtl w:val="true"/>
        </w:rPr>
        <w:footnoteReference w:id="423"/>
      </w:r>
      <w:r>
        <w:rPr>
          <w:rFonts w:ascii="IRNazanin" w:hAnsi="IRNazanin" w:eastAsia="IRNazanin"/>
          <w:color w:val="111111"/>
          <w:sz w:val="28"/>
          <w:sz w:val="28"/>
          <w:szCs w:val="28"/>
          <w:rtl w:val="true"/>
          <w:lang w:bidi="fa-IR"/>
        </w:rPr>
        <w:t>، وإن لاقی نجساً تنجّس وإن کان کثیراً، بل وإن کان مقدار ألف کرّ</w:t>
      </w:r>
      <w:r>
        <w:rPr>
          <w:rStyle w:val="FootnoteAnchor"/>
          <w:rtl w:val="true"/>
        </w:rPr>
        <w:footnoteReference w:id="42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عدم الانفعال إذا بلغ من الکثرة حدّاً کبیراً جدّاً، کآبار النفط وما أشبهها فلا تنفعل بمباشرة الکافر مثلاً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المثال ونظائره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والفرق بین المضاف الکثیر والمضاف القلیل بالقول بالسرایة فی الثانی بخلاف الأوّل، فإنّ العرف لا یری سرایة القذارة فیه محلّ منع؛ لکفایة الإطلاقات فی الحکم بالانفعال، مع الشکّ فی المناط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فإنّه ینجس بمجرّد ملاقاة النجاسة، ولو بمقدار رأس إبرة فی أحد أطرافه فینجس کلّه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نعم إذا کان جاریاً </w:t>
      </w:r>
      <w:r>
        <w:rPr>
          <w:rStyle w:val="FootnoteAnchor"/>
          <w:rtl w:val="true"/>
        </w:rPr>
        <w:footnoteReference w:id="425"/>
      </w:r>
      <w:r>
        <w:rPr>
          <w:rFonts w:ascii="IRNazanin" w:hAnsi="IRNazanin" w:eastAsia="IRNazanin"/>
          <w:color w:val="111111"/>
          <w:sz w:val="28"/>
          <w:sz w:val="28"/>
          <w:szCs w:val="28"/>
          <w:rtl w:val="true"/>
          <w:lang w:bidi="fa-IR"/>
        </w:rPr>
        <w:t>من العالی</w:t>
      </w:r>
      <w:r>
        <w:rPr>
          <w:rStyle w:val="FootnoteAnchor"/>
          <w:rtl w:val="true"/>
        </w:rPr>
        <w:footnoteReference w:id="42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المعیار الدفع بقوّة ولو من الأسفل إلی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مطلق الجاری بقوّةٍ ودفع ولو من السافل إلی العالی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التنجّس وعدمه التدافع وعدمه، لا العلوّ، فإذا کان متدافعاً لا ینجس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من السافل إذا کان بدفع وقوّة کالفوّارة، فإنّه لا ینجس بملاقاة العالی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المعتبر فی عدم التنجّس وجود الدفع والقوّة، سواءً کان من العالی إلی السافل أم بالعکس کالفوّارة، أو المساوی، ثمّ لا فرق فی العلوّ المذکور بین أن یکون تسنیمیّاً أو تسریحیّاً یشبهه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فی عدم التنجّس أن یکون الجریان عن دفع وقوّة، من دون فرق بین العالی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أن یکون المدار فی عدم سرایة النجاسة فی المضاف والماء القلیل علی الجریان بالدفع والقوّة، وإن کان من السافل إلی العالی، کالفوّارة وشبهها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المدار فی عدم السرایة علی الدفع عن قوّة ولو من السافل، کما فی الفوّارة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الجریان بالتدافع والقوّة فلا ینجس، من غیر فرق بین الجریان من العالی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السافل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العلوّ تسنیمیّاً أو تسریحیّاً یشبهه فی الدفع والقوّة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المدار علی الدفع عن قوّة وإن کان من السافل إلی العالی، کالفوّارة وشبهها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کلّه علی الدفع والقوّة ولو کان من السافل إلی العالی، أو من المساوی إلی مثله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العلوّ معیاراً فی التنجّس وعدمه فی المضاف والقلیل المطلق، بل المعیار هو التدافع بقوّة مطلقاً، فلو کان من السافل إلی العالی کالفوّارة وشبهها لا ینجس سافله، وکذا لو کان من المساوی کالإبرة المتداولة فی زماننا، فلو کان رأس الإبرة ملاقیاً بالنجس لم یتنجّس الدواء الموجود فی الداخل بمجرّد الاتّصال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عدم السرایة هو الدفع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ولاقی سافله النجاسة لا</w:t>
      </w:r>
    </w:p>
    <w:p>
      <w:pPr>
        <w:pStyle w:val="BookText"/>
        <w:rPr/>
      </w:pPr>
      <w:r>
        <w:rPr>
          <w:rFonts w:ascii="IRNazanin" w:hAnsi="IRNazanin" w:eastAsia="IRNazanin"/>
          <w:color w:val="111111"/>
          <w:sz w:val="28"/>
          <w:sz w:val="28"/>
          <w:szCs w:val="28"/>
          <w:rtl w:val="true"/>
          <w:lang w:bidi="fa-IR"/>
        </w:rPr>
        <w:t>ینجـس العالی</w:t>
      </w:r>
      <w:r>
        <w:rPr>
          <w:rStyle w:val="FootnoteAnchor"/>
          <w:rtl w:val="true"/>
        </w:rPr>
        <w:footnoteReference w:id="4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یقوی عدم انفعال المتّصل بالوارد مطلقاً مع الدفع والجریان بقوّة فی کلّ من المضاف والقلیل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السافل إذا لاقی عالیه النجاسة إن کان الماء متدافعاً بقوّة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منـه، کمـا إذا صـبّ الجلاّب من إبریـق علی یـد کـافر فـلا ینجـس ما فی الإبریـق</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العمود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کـان متّصـلاً بما فی یـده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الماء المطلق لا یخرج</w:t>
      </w:r>
      <w:r>
        <w:rPr>
          <w:rStyle w:val="FootnoteAnchor"/>
          <w:rtl w:val="true"/>
        </w:rPr>
        <w:footnoteReference w:id="428"/>
      </w:r>
      <w:r>
        <w:rPr>
          <w:rFonts w:ascii="IRNazanin" w:hAnsi="IRNazanin" w:eastAsia="IRNazanin"/>
          <w:color w:val="111111"/>
          <w:sz w:val="28"/>
          <w:sz w:val="28"/>
          <w:szCs w:val="28"/>
          <w:rtl w:val="true"/>
          <w:lang w:bidi="fa-IR"/>
        </w:rPr>
        <w:t>بالتصعید عن إطلاقه ، نعـم لـو مـزج معـه</w:t>
      </w:r>
      <w:r>
        <w:rPr>
          <w:rStyle w:val="FootnoteAnchor"/>
          <w:rtl w:val="true"/>
        </w:rPr>
        <w:footnoteReference w:id="429"/>
      </w:r>
      <w:r>
        <w:rPr>
          <w:rFonts w:ascii="IRNazanin" w:hAnsi="IRNazanin" w:eastAsia="IRNazanin"/>
          <w:color w:val="111111"/>
          <w:sz w:val="28"/>
          <w:sz w:val="28"/>
          <w:szCs w:val="28"/>
          <w:rtl w:val="true"/>
          <w:lang w:bidi="fa-IR"/>
        </w:rPr>
        <w:t>غیـره</w:t>
      </w:r>
      <w:r>
        <w:rPr>
          <w:rStyle w:val="FootnoteAnchor"/>
          <w:rtl w:val="true"/>
        </w:rPr>
        <w:footnoteReference w:id="430"/>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الاستدراک غیر واضح، فإنّ الإضافة تحصل قبل التصعید، فیدخل فی المسألة الثالثة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وصُـعّـد کمـاء الـورد یصیـر</w:t>
      </w:r>
    </w:p>
    <w:p>
      <w:pPr>
        <w:pStyle w:val="BookText"/>
        <w:rPr/>
      </w:pPr>
      <w:r>
        <w:rPr>
          <w:rFonts w:ascii="Amiri" w:hAnsi="Amiri" w:eastAsia="Amiri" w:cs="Amiri"/>
          <w:color w:val="111111"/>
          <w:sz w:val="28"/>
          <w:sz w:val="28"/>
          <w:szCs w:val="28"/>
          <w:rtl w:val="true"/>
          <w:lang w:bidi="ar-SA"/>
        </w:rPr>
        <w:t xml:space="preserve">مضافاً </w:t>
      </w:r>
      <w:r>
        <w:rPr>
          <w:rStyle w:val="FootnoteAnchor"/>
          <w:rtl w:val="true"/>
        </w:rPr>
        <w:footnoteReference w:id="43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یتبع صدق الاسم بعد التصعید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یختصّ ذلک بما إذا لم یصدق علیه أ نّه ماء 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أخرجه الممزوج عن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منع ظاهر، والمدار علی الصدق العرفی، ومنه تظهر حال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بحیث یخرجه عن صدق الماء المطلق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 صدق المضاف علیه عرفاً، ومع الشکّ یأتی حکمه فی مسألة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ومع صدق المطلق علیه یجری علیه حکمه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هذه المسألة وفی المسألة الثالثة بعدها علی صدق اسم الماء أو المضاف علیه عرفاً بعد التصعید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الحکم ممنوع، والمدار فی هذه المسألة والمسألة الآتیة علی صدق الإضافة بعد التصعید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والمیزان فی الانفعال وعدمه صدق الإطلاق والإضافة، وممّا ذکر یظهر الحکم فی الفرع الآتی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الممزوج به بحدّ یوجب خروج المصعّد عن الإطلاق، ومنه یظهر حال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المضاف علیه عرفاً، ومع صدق المطلق یجری علیه حکم المطلق، ومع الشکّ فی أ نّه مضاف أو مطلق فیأتی حکمه فی المسألة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 والمدار علی الصدق عند العرف کسائر الموارد، وهکذا حال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المصعّد</w:t>
      </w:r>
      <w:r>
        <w:rPr>
          <w:rStyle w:val="FootnoteAnchor"/>
          <w:rtl w:val="true"/>
        </w:rPr>
        <w:footnoteReference w:id="43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بقاء صدق الاسم السابق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علیه المضاف عرفاً بعد التصعید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یخرج بالتصعید عن الإضافة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تبیّن من الحاشیة السابقة حکم هذه المسألة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 الموارد، لا مطلق المضاف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کلّیّة له، بل ربّما صدق علیه أ نّه ماء مطلق، کما إذا تصعّد المضاف بالامتزاج خالیاً عن الأجزاء الممتزجة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اطّراده تأمّل، والأولی أن یجعل مدار الإطلاق والإضافة علی ملاحظة حال المایع بعد التصعید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بقاء الصدق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حال الاجتماع بعد التصعید، فقد یکون المصعّد هو الأجزاء المائیّة فیکون مطلقاً بعد الاجتماع، وقد یکون مضافاً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إشکال؛ إذ قد یخرج بالتصعید عن الإضافة، فالمعیار نظر العرف بعد التصعید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بل منع، ولا یخفی مصادیقه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الإطلاق مشکل جدّاً، إذ قد یصدق الماء المطلق عرفاً علی المضاف المصعّد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یخرج بالتصعید عن الإضافة، فلو تجرّد بالتصعید عمّا مزج فیه یصیر ماءً مطلقاً، ومع الشکّ فی خروجه عنها بالتصعید یحکم بالبقاء علی الإضافة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کلّیّة له، فإنّه ربّما یصیر مطلقاً بالتصعید کالممتزج بالتراب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أو المضاف النجس یطهر</w:t>
      </w:r>
      <w:r>
        <w:rPr>
          <w:rStyle w:val="FootnoteAnchor"/>
          <w:rtl w:val="true"/>
        </w:rPr>
        <w:footnoteReference w:id="4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بل الأقوی بقاؤه علی النجاسة لبقاء الموضوع حقیقةً وعرفاً بتبدّله بخاراً، فإنّ غایة ما هناک هو تفکّک أجزاء المائیة، وإن أبیت عن بقاء الموضوع حقیقةً فبقاؤه عرفاً محلاًّ لاستصحاب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بالتصعید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بل الأقوی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یطهر علی الأحوط، وکونه من الاستحالة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 وإن قلنا بطهارته حال کونه بخاراً، ولکن بعد تقاطره واجتماعه یری العرف أ نّه ذلک المتنجّس بعینه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مطهّریّة مثل هذه الاستحالة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أحمد الخونساری،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الاستحالة علی مثل هذا مشکل، بل ممنوع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مساعدة العرف، إلاّ أن یصدق علی المصعّد عنوان آخر هو موضوع للحکم بالنجاسة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الحکم کذلک فی الأعیان النجسة فیما إذا لم یکن المصعّد بنفسه من أفرادها، کما فی المسکرات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یصدق علیه عنوانه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فیأتی أنّ الاستحالة من المطهّرات، فلا فرق فی الحکم المذکور بین بخار النجس أو المتنجّس، فلو لم یکن المصعّد بنفسه من أفراد الأعیان النجسة فهو محکوم بالطهارة، کما لا فرق فی تولّد البخار من حرارة النار أو الشمس أو حرارة اُخری، والأحوط الاجتناب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لاستحالته</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بخاراً </w:t>
      </w:r>
      <w:r>
        <w:rPr>
          <w:rStyle w:val="FootnoteAnchor"/>
          <w:rtl w:val="true"/>
        </w:rPr>
        <w:footnoteReference w:id="4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دلیل علی کون الاستحالة بنفسها من المطهّرات، وعلیه لابدّ من ملاحظة أنّ أی عنوان یصدق علی المحال إلیه فلابدّ من التفصیل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والبخار حقیقة مغایرة للماء عرفاً، ومنه یظهر الحکم فی الأعیان النجسة إذا لم یکن المصعّد بنفسه من أفرادها کالمسکرات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مسـألـة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شـکّ فی مـایــع</w:t>
      </w:r>
      <w:r>
        <w:rPr>
          <w:rStyle w:val="FootnoteAnchor"/>
          <w:rtl w:val="true"/>
        </w:rPr>
        <w:footnoteReference w:id="4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طهارته بعد صیرورته ماءً ممنوعة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بلا فرق فی البخار بین بخار المتنجّس أو النجس، کما یأتی فی الخامس من المطهّرات مسألة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 نّـه مضــاف أو</w:t>
      </w:r>
    </w:p>
    <w:p>
      <w:pPr>
        <w:pStyle w:val="BookText"/>
        <w:rPr/>
      </w:pPr>
      <w:r>
        <w:rPr>
          <w:rFonts w:ascii="IRNazanin" w:hAnsi="IRNazanin" w:eastAsia="IRNazanin"/>
          <w:color w:val="111111"/>
          <w:sz w:val="28"/>
          <w:sz w:val="28"/>
          <w:szCs w:val="28"/>
          <w:rtl w:val="true"/>
          <w:lang w:bidi="fa-IR"/>
        </w:rPr>
        <w:t>مطلق</w:t>
      </w:r>
      <w:r>
        <w:rPr>
          <w:rStyle w:val="FootnoteAnchor"/>
          <w:rtl w:val="true"/>
        </w:rPr>
        <w:footnoteReference w:id="436"/>
      </w:r>
    </w:p>
    <w:p>
      <w:pPr>
        <w:pStyle w:val="BookText"/>
        <w:rPr/>
      </w:pPr>
      <w:r>
        <w:rPr>
          <w:rFonts w:ascii="IRNazanin" w:hAnsi="IRNazanin" w:eastAsia="IRNazanin"/>
          <w:color w:val="111111"/>
          <w:sz w:val="28"/>
          <w:sz w:val="28"/>
          <w:szCs w:val="28"/>
          <w:rtl w:val="true"/>
          <w:lang w:bidi="fa-IR"/>
        </w:rPr>
        <w:t>وأمّا إذا کانت الشبهة مفهومیّة أو مصداقیة بأن یکون منشأ تردّده الصدق العرفی لا الأمر الخارجی، فلا یجری استصحاب الحالة السابقة؛ لعدم جریانه فی المفهوم المردّد، کمفهوم الغروب والکرّ وغیرهما، فلا یحکم علیه بالإطلاق ولا بالإضافة علی ما مرّ بیانه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فإن علم حالته السابقة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أخذ بها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الشبهة مصداقیّة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الشبهة موضوعیّة، أمّا لو کانت مفهومیّة فیشکل جریان الاستصحاب بناءً علی عدم جریانه فی المفهوم المردّد، کما لو شکّ فی أنّ الغروب استتار القرص أو زوال الحمرة، وکما لو شکّ فی مقدار الکرّ مفهوماً ونحو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لا یبعد جریان استصحاب حکم الحالة السابقة لبقاء الموضوع عرفاً وإن شکّ فی تغیّره من حیث صدق المطلق أو المضاف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الشکّ لأمر خارجی، کما لعلّه المراد فی المسألة، وأمّا إذا کانت الشبهة مفهومیّة فلا یجری 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تکون الشبهة مفهومیّة فلا یجری الاستصحاب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الشبهة موضوعیّة، وفی الشبهة المفهومیّة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کانت الشبهة موضوعیّة أم مفهومیّة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الشبهة المصداقیّة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الشبهة موضوعیّة، وفی الشبهة المفهومیّة لا یجری الاستصحاب مطلقاً، ولا یحکم علیه بالإطلاق ولا بالإضافة، والحکم حینئذٍ کما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وإلاّ فلا یحکم علیه</w:t>
      </w:r>
    </w:p>
    <w:p>
      <w:pPr>
        <w:pStyle w:val="BookText"/>
        <w:rPr/>
      </w:pPr>
      <w:r>
        <w:rPr>
          <w:rFonts w:ascii="IRNazanin" w:hAnsi="IRNazanin" w:eastAsia="IRNazanin"/>
          <w:color w:val="111111"/>
          <w:sz w:val="28"/>
          <w:sz w:val="28"/>
          <w:szCs w:val="28"/>
          <w:rtl w:val="true"/>
          <w:lang w:bidi="fa-IR"/>
        </w:rPr>
        <w:t>بالإطلاق</w:t>
      </w:r>
      <w:r>
        <w:rPr>
          <w:rStyle w:val="FootnoteAnchor"/>
          <w:rtl w:val="true"/>
        </w:rPr>
        <w:footnoteReference w:id="437"/>
      </w:r>
      <w:r>
        <w:rPr>
          <w:rFonts w:ascii="IRNazanin" w:hAnsi="IRNazanin" w:eastAsia="IRNazanin"/>
          <w:color w:val="111111"/>
          <w:sz w:val="28"/>
          <w:sz w:val="28"/>
          <w:szCs w:val="28"/>
          <w:rtl w:val="true"/>
          <w:lang w:bidi="fa-IR"/>
        </w:rPr>
        <w:t>، ولا بالإضافة، لکن لا یرفع</w:t>
      </w:r>
      <w:r>
        <w:rPr>
          <w:rStyle w:val="FootnoteAnchor"/>
          <w:rtl w:val="true"/>
        </w:rPr>
        <w:footnoteReference w:id="438"/>
      </w:r>
      <w:r>
        <w:rPr>
          <w:rFonts w:ascii="IRNazanin" w:hAnsi="IRNazanin" w:eastAsia="IRNazanin"/>
          <w:color w:val="111111"/>
          <w:sz w:val="28"/>
          <w:sz w:val="28"/>
          <w:szCs w:val="28"/>
          <w:rtl w:val="true"/>
          <w:lang w:bidi="fa-IR"/>
        </w:rPr>
        <w:t>الحدث</w:t>
      </w:r>
      <w:r>
        <w:rPr>
          <w:rStyle w:val="FootnoteAnchor"/>
          <w:rtl w:val="true"/>
        </w:rPr>
        <w:footnoteReference w:id="439"/>
      </w:r>
      <w:r>
        <w:rPr>
          <w:rFonts w:ascii="IRNazanin" w:hAnsi="IRNazanin" w:eastAsia="IRNazanin"/>
          <w:color w:val="111111"/>
          <w:sz w:val="28"/>
          <w:sz w:val="28"/>
          <w:szCs w:val="28"/>
          <w:rtl w:val="true"/>
          <w:lang w:bidi="fa-IR"/>
        </w:rPr>
        <w:t>والخبث</w:t>
      </w:r>
      <w:r>
        <w:rPr>
          <w:rStyle w:val="FootnoteAnchor"/>
          <w:rtl w:val="true"/>
        </w:rPr>
        <w:footnoteReference w:id="440"/>
      </w:r>
      <w:r>
        <w:rPr>
          <w:rFonts w:ascii="IRNazanin" w:hAnsi="IRNazanin" w:eastAsia="IRNazanin"/>
          <w:color w:val="111111"/>
          <w:sz w:val="28"/>
          <w:sz w:val="28"/>
          <w:szCs w:val="28"/>
          <w:rtl w:val="true"/>
          <w:lang w:bidi="fa-IR"/>
        </w:rPr>
        <w:t>، وینجس بملاقاة النجاسة إن کان قلیلاً</w:t>
      </w:r>
      <w:r>
        <w:rPr>
          <w:rStyle w:val="FootnoteAnchor"/>
          <w:rtl w:val="true"/>
        </w:rPr>
        <w:footnoteReference w:id="441"/>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ممّا ینجس بملاقاة النجاسة علی فرض إطلاقه، وإلاّ لم ینجس؛ للأصل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وإن کان بقدر الکرّ</w:t>
      </w:r>
    </w:p>
    <w:p>
      <w:pPr>
        <w:pStyle w:val="BookText"/>
        <w:rPr/>
      </w:pPr>
      <w:r>
        <w:rPr>
          <w:rFonts w:ascii="IRNazanin" w:hAnsi="IRNazanin" w:eastAsia="IRNazanin"/>
          <w:color w:val="111111"/>
          <w:sz w:val="28"/>
          <w:sz w:val="28"/>
          <w:szCs w:val="28"/>
          <w:rtl w:val="true"/>
          <w:lang w:bidi="fa-IR"/>
        </w:rPr>
        <w:t>لا ینجس</w:t>
      </w:r>
      <w:r>
        <w:rPr>
          <w:rStyle w:val="FootnoteAnchor"/>
          <w:rtl w:val="true"/>
        </w:rPr>
        <w:footnoteReference w:id="4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الاجتناب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الاجتناب وإن کانت الطهارة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علی مذهب من یتمسّک بعموم دلیل الانفعال فیما لم یحرز المخصّص، وهو محلّ إشکال، والتحقیق فی الاُصول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ینجس؛ لأصالة عدم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الحکم بنجاسته؛ لأصالة عدم المائیّة الأزلی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لاحتمال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کونه مطلقاً والأصل الطهارة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اجتنابه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المضاف النجس</w:t>
      </w:r>
      <w:r>
        <w:rPr>
          <w:rStyle w:val="FootnoteAnchor"/>
          <w:rtl w:val="true"/>
        </w:rPr>
        <w:footnoteReference w:id="443"/>
      </w:r>
      <w:r>
        <w:rPr>
          <w:rFonts w:ascii="IRNazanin" w:hAnsi="IRNazanin" w:eastAsia="IRNazanin"/>
          <w:color w:val="111111"/>
          <w:sz w:val="28"/>
          <w:sz w:val="28"/>
          <w:szCs w:val="28"/>
          <w:rtl w:val="true"/>
          <w:lang w:bidi="fa-IR"/>
        </w:rPr>
        <w:t>یطهر بالتصعید</w:t>
      </w:r>
      <w:r>
        <w:rPr>
          <w:rStyle w:val="FootnoteAnchor"/>
          <w:rtl w:val="true"/>
        </w:rPr>
        <w:footnoteReference w:id="4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بقاؤه علی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أ نّه إذا لم یصدق علیه عنوانه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وتقدّم المنع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التأمّل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ما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التأمّل فیه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الاصطهباناتی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ومرّ النظر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 وإطلاق التطهّر علی المستهلک لا یخلو من مسامحة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 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وبالاستهلاک</w:t>
      </w:r>
      <w:r>
        <w:rPr>
          <w:rStyle w:val="FootnoteAnchor"/>
          <w:rtl w:val="true"/>
        </w:rPr>
        <w:footnoteReference w:id="4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فسّر الاستهلاک بوجوه عدیدة،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الانقلاب،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انعدام المادّة والأثر بالدقّة العقلیّة،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انعدام وجوده عرفاً وهو تفرّق الأجزاء بحیث لا یبقی وجود للمستهلَک، لا مادّة ولا أثراً عرفاً، إنّما الوجود الکرّ والجاری مثلاً، فلا یکون قابلاً للإشارة الحسّیّة، وإن کان له وجود بحسب الدقّة العقلیّة، 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ذلک، والمختار هو تفرّق الأجزاء علی 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الکرّ أو الجاری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أیّ ماء معتصم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اُلقی المضـاف النجـس</w:t>
      </w:r>
      <w:r>
        <w:rPr>
          <w:rStyle w:val="FootnoteAnchor"/>
          <w:rtl w:val="true"/>
        </w:rPr>
        <w:footnoteReference w:id="446"/>
      </w:r>
      <w:r>
        <w:rPr>
          <w:rFonts w:ascii="IRNazanin" w:hAnsi="IRNazanin" w:eastAsia="IRNazanin"/>
          <w:color w:val="111111"/>
          <w:sz w:val="28"/>
          <w:sz w:val="28"/>
          <w:szCs w:val="28"/>
          <w:rtl w:val="true"/>
          <w:lang w:bidi="fa-IR"/>
        </w:rPr>
        <w:t xml:space="preserve">فی الکرّ فخرج عن </w:t>
      </w:r>
    </w:p>
    <w:p>
      <w:pPr>
        <w:pStyle w:val="BookText"/>
        <w:rPr/>
      </w:pPr>
      <w:r>
        <w:rPr>
          <w:rFonts w:ascii="IRNazanin" w:hAnsi="IRNazanin" w:eastAsia="IRNazanin"/>
          <w:color w:val="111111"/>
          <w:sz w:val="28"/>
          <w:sz w:val="28"/>
          <w:szCs w:val="28"/>
          <w:rtl w:val="true"/>
          <w:lang w:bidi="fa-IR"/>
        </w:rPr>
        <w:t>الإطـلاق إلی الإضافـة تنجّـس إن صـار مضـافاً قبـل الاستهـلاک</w:t>
      </w:r>
      <w:r>
        <w:rPr>
          <w:rStyle w:val="FootnoteAnchor"/>
          <w:rtl w:val="true"/>
        </w:rPr>
        <w:footnoteReference w:id="4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المراد منه صیرورة شیء من الکرّ مضافاً، ثمّ حصول الاستهلاک فی الباقی، وإلاّ فتصویره فی نفسه فی غایة الإشکال لو لم نقل بأنّه محال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ممتنع؛ لأنّ الإضافة تتوقّف علی الاستهلاک، بل قیل بامتناع الصورة الثانیة، لکن التوقّف والعلّیّة لا ینافی التقارُن فی الوجود، والحکم فیهما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فرض إمکانه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الاستهلاک وتفرّق أجزاء المضاف فی المطلق یوجب إضافة المطلق، فلا بدّ من تقدّمهما رتبةً علی الإضافة، ففرض تقدّم الإضافة علی الاستهلاک أو حصولهما معاً غیر واقع، مع أنّ الاستهلاک ملازم للإطلاق فکیف یجمع مع الإضافة متلاحقاً أو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إذا کان المراد بعض مراتب الاستهلاک لا تمام مراتبه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الفرض بعید الوقوع إن لم یکن ممتنعاً، وعلی تقدیر وقوعه فالحکم فیه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لهذه المسألة صور عدیدة لا تختصّ بالکرّ، بل تجری فی الجاری والقلیل الّذی له مادّة، ولا یختصّ هذا الحکم بالمضاف المتنجّس، بل یجری فی النجس المستهلَک أیضاً کالبول والدم، ولا یخفی أنّ امتناع بعض الصور وإمکانه مبنیّ علی تفسیر الاستهلاک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کان علی المختار هو تفرّق الأجزاء، فنذکر الصور وحکمها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استهلاک المضاف فی الماء العاصم ویبقی علی إطلاقه، فهی محکومة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یحصل الاستهلاک قبل إضافة الماء العاصم، فهی أیضاً محکومة بالطهارة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تتحقّق الإضافة قبل الاستهلاک، فهی محکومة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الرابعة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تحصل الإضافة والاستهلاک معاً، فالحکم بالطهارة فیها مشکل؛ لإمکان استظهار اشتراط بقاء الاعتصام بعد الاستهلاک من الأدلّة، فحینئذٍ مقتضی الحکم بالنجاسة موجود ولا یردّ علی هذه من لزوم تقدّم العلّة علی المعلول؛ لأنّ هذا بحسب الرتبة، وأمّا بحسب الزمان فیحصلان معاً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علی المعنی الآخر للاستهلاک هذه الصورة ممتنعة کالفرض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الصورة الخامسة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بقاء المضاف علی إضافته والعاصم علی إطلاقه، فلکلٍّ منهما حکمه من النجاسة والطهارة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الظاهر امتناع الفرض کالفرض الثانی، کما أ نّه علی تقدیر الإمکان یکون الحکم فی الثانی هو التنجّس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حصـل الاستهلاک </w:t>
      </w:r>
      <w:r>
        <w:rPr>
          <w:rStyle w:val="FootnoteAnchor"/>
          <w:rtl w:val="true"/>
        </w:rPr>
        <w:footnoteReference w:id="4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تصویره تأمّل، إلاّ أن یوجّه بکون المراد حدوث مضاف آخر من مجموعهما بالاستهلاک، وعلیه لا محیصَ عن الحکم بالنجاسة من دون تردید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والإضافة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دفعـة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حصولهما دفعة واحدة محال، إن کان المراد من الاستهلاک صیرورته من جنس المستهلَک فیه عرفاً، کما هو الظاهر من معناه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الفرض ممتنع کسابقه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یخلـو الحکـم بعـدم </w:t>
      </w:r>
      <w:r>
        <w:rPr>
          <w:rStyle w:val="FootnoteAnchor"/>
          <w:rtl w:val="true"/>
        </w:rPr>
        <w:footnoteReference w:id="449"/>
      </w:r>
      <w:r>
        <w:rPr>
          <w:rFonts w:ascii="IRNazanin" w:hAnsi="IRNazanin" w:eastAsia="IRNazanin"/>
          <w:color w:val="111111"/>
          <w:sz w:val="28"/>
          <w:sz w:val="28"/>
          <w:szCs w:val="28"/>
          <w:rtl w:val="true"/>
          <w:lang w:bidi="fa-IR"/>
        </w:rPr>
        <w:t xml:space="preserve">تنجّسه من وجه </w:t>
      </w:r>
      <w:r>
        <w:rPr>
          <w:rStyle w:val="FootnoteAnchor"/>
          <w:rtl w:val="true"/>
        </w:rPr>
        <w:footnoteReference w:id="450"/>
      </w:r>
    </w:p>
    <w:p>
      <w:pPr>
        <w:pStyle w:val="BookText"/>
        <w:rPr/>
      </w:pPr>
      <w:r>
        <w:rPr>
          <w:rFonts w:ascii="IRNazanin" w:hAnsi="IRNazanin" w:eastAsia="IRNazanin"/>
          <w:color w:val="111111"/>
          <w:sz w:val="28"/>
          <w:sz w:val="28"/>
          <w:szCs w:val="28"/>
          <w:rtl w:val="true"/>
          <w:lang w:bidi="fa-IR"/>
        </w:rPr>
        <w:t xml:space="preserve">وها هنا وجه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أصل الطهارة، ولکنّ الأوجه تنجّسه؛ لأنّ فی نظر العرف المضاف النجس موجود حال تحقّق إضافة الکرّ، فملاقاة المضاف النجس للکرّ المضاف محقّقة فی نظرهم، ولا یبعد جریان الاستصحاب الحاکم علی قاعدة الطهارة، وهو استصحاب نجاسة الأجزاء الموجودة من المضاف النجس فإنّها موجودة، وإن کان الکرّ المضاف غالبة، فالمجموع بمنزلة النجس فی وجوب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یتنجّس مطلقاً، وتستحیل صیرورة المضاف الملقی فیه مستهلکاً حینئذٍ بکلا شقّیه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الوجه لو لم یکن الفرض مستحیلاً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استهلاک المضاف فی المطلق وصیرورة المطلق به مضافاً لا یکاد یتصوّر، بل من المستحیل، فالوجه هو النجاسة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تنجّسه لو فرض وقوعه، لکنّه ممتنع الوقوع بکلا قسمیه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غیر وجیه، فلا یُترک الاحتیاط بالاجتناب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لکنّه</w:t>
      </w:r>
    </w:p>
    <w:p>
      <w:pPr>
        <w:pStyle w:val="BookText"/>
        <w:rPr/>
      </w:pPr>
      <w:r>
        <w:rPr>
          <w:rFonts w:ascii="IRNazanin" w:hAnsi="IRNazanin" w:eastAsia="IRNazanin"/>
          <w:color w:val="111111"/>
          <w:sz w:val="28"/>
          <w:sz w:val="28"/>
          <w:szCs w:val="28"/>
          <w:rtl w:val="true"/>
          <w:lang w:bidi="fa-IR"/>
        </w:rPr>
        <w:t>مشکل</w:t>
      </w:r>
      <w:r>
        <w:rPr>
          <w:rStyle w:val="FootnoteAnchor"/>
          <w:rtl w:val="true"/>
        </w:rPr>
        <w:footnoteReference w:id="4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نفی الإشکال فی عدم تنجّسه بعدم صدق ملاقاة المضاف النجاسة،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ووقوع الفرض أشکل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تنجّسه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نجاسة الکرّ الملقی فیه المائع المضاف المتنجّس لو صار هو مضافاً بواسطة هذا الإلقاء، کما هو مفروض المسألة مطلقاً؛ لأنّ عدم انفعاله مشروط ببقاء الإطلاق، والمفروض ذهاب الإطلاق بسبب الإلقاء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الفرضین ممتنعا الوقوع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یحکم بنجاسته علی تقدیر إمکان الفرض، لکنّ الأظهر استحالته کما یستحیل الفرض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ممنوع، مع أنّ الفرضین ممتنعان بظاهرهما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تنجّسه، إلاّ إذا تغیّر الماء بأحد الأوصاف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الطعم والرائحة واللون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انحصـر المـاء فی مضـاف مخلـوط بالطیـن</w:t>
      </w:r>
      <w:r>
        <w:rPr>
          <w:rStyle w:val="FootnoteAnchor"/>
          <w:rtl w:val="true"/>
        </w:rPr>
        <w:footnoteReference w:id="4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ماء اتّصف بالمضافیّة لاختلاطه بالطین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المطلق الّذی صار مضافاً بسبب خلطه بالطین لا بسببٍ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ففی سعـة الوقـت یجـب علیه أن یصبـر حتّی یصفـو ویصیـر الطیـن إلی الأسفل ، ثمّ یتوضّـأ علی الأحوط </w:t>
      </w:r>
      <w:r>
        <w:rPr>
          <w:rStyle w:val="FootnoteAnchor"/>
          <w:rtl w:val="true"/>
        </w:rPr>
        <w:footnoteReference w:id="4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محمّد تقی الخونساری، الکوه‌کَمَرئی، جمال الدین الگلپایگانی، الإصطهباناتی، عبدالهادی الشیرازی، الحکیم، المیلانی، الفانی، المرعشی، الأراکی، حسن القمّی، الروحانی،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إن تمکّن من تصفیة الماء بمقدّمات اختیاریّة سهلة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لصدق تمکّنه من تحصیل الماء فی تمام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کما یقتضیه تعلیله بالوجدان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إن تمکّن من تصفیة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لزوم تصفیة الماء بوسائل مقدورة عادةً؛ لصدق القدرة علی تحصیل الماء عند ذاک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مع التمکّن من التصفیة بسهولة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الأقوی، وسیأتی الفتوی منه بوجوب الصبر مع العلم بارتفاع العذر فی مسألة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أحکام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إذ المفروض أ نّه واجد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علی الأقوی، وقد أفتی المصنّف فی أحکام التیمّم فی مسألة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الصبر مع علمه بارتفاع العذر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الأظهر ولو مع عدم تحقّق الانقلاب بنفسه، بل کان محتاجاً إلی عمل، کالأخذ من النهر مثلاً، والإبقاء مدّة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وفی ضیق</w:t>
      </w:r>
    </w:p>
    <w:p>
      <w:pPr>
        <w:pStyle w:val="BookText"/>
        <w:rPr/>
      </w:pPr>
      <w:r>
        <w:rPr>
          <w:rFonts w:ascii="IRNazanin" w:hAnsi="IRNazanin" w:eastAsia="IRNazanin"/>
          <w:color w:val="111111"/>
          <w:sz w:val="28"/>
          <w:sz w:val="28"/>
          <w:szCs w:val="28"/>
          <w:rtl w:val="true"/>
          <w:lang w:bidi="fa-IR"/>
        </w:rPr>
        <w:t>الوقت</w:t>
      </w:r>
      <w:r>
        <w:rPr>
          <w:rStyle w:val="FootnoteAnchor"/>
          <w:rtl w:val="true"/>
        </w:rPr>
        <w:footnoteReference w:id="454"/>
      </w:r>
      <w:r>
        <w:rPr>
          <w:rFonts w:ascii="Amiri" w:hAnsi="Amiri" w:eastAsia="Amiri" w:cs="Amiri"/>
          <w:color w:val="111111"/>
          <w:sz w:val="28"/>
          <w:sz w:val="28"/>
          <w:szCs w:val="28"/>
          <w:rtl w:val="true"/>
          <w:lang w:bidi="ar-SA"/>
        </w:rPr>
        <w:t>یتیمّم</w:t>
      </w:r>
      <w:r>
        <w:rPr>
          <w:rStyle w:val="FootnoteAnchor"/>
          <w:rtl w:val="true"/>
        </w:rPr>
        <w:footnoteReference w:id="4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یمکن تصفیته ولو بالخرقة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لصدق الفقدان، أو عدم التمکّن حین العمل، ثمّ لو أمکن التصفیة فی ضیق الوقت بأسبابٍ اُخر، کإلقاء دواءٍ فیه أو تصفیته بخرقة ونحوهما فالظاهر وجوب تحصیله إن لم یکن هناک حرجٌ وعسر ونحوهما من المحاذیر، واحتمال عدم الوجوب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یمکن التصفیة بالطرق المتعارفة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التمکّن من تصفیته بنحوٍ لا عسر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لصدق الوجدان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یعنی التمکّن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بمعنی القدرة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لصدق عدم الوجدان فی الوقت مع الضیق دون السعة؛ لعدم صدق عدم الوجدان فی مجموع الوقت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لأنّ عدم وجدان الماء فی مجموع الوقت متحقّق فی الضیق دون السعة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الأحسن أن یعبَّر بصدق عدم الوجدان مع الضیق وعدم صدقه مع السعة؛ وذلک لأنّ موضوع التیمّم هو الّذی مشروط بعدم الوجدان، لا أنّ الوضوء مشروط بالوجدان، ولو أنّ فی هذا الأخیر إشکالاً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التمکّن من الوضوء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لصدق عدم الوجدان فی الضیق دون السعة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بصدق القدرة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السعة دون الضیق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المطلق</w:t>
      </w:r>
      <w:r>
        <w:rPr>
          <w:rStyle w:val="FootnoteAnchor"/>
          <w:rtl w:val="true"/>
        </w:rPr>
        <w:footnoteReference w:id="456"/>
      </w:r>
      <w:r>
        <w:rPr>
          <w:rFonts w:ascii="IRNazanin" w:hAnsi="IRNazanin" w:eastAsia="IRNazanin"/>
          <w:color w:val="111111"/>
          <w:sz w:val="28"/>
          <w:sz w:val="28"/>
          <w:szCs w:val="28"/>
          <w:rtl w:val="true"/>
          <w:lang w:bidi="fa-IR"/>
        </w:rPr>
        <w:t>بأقسامه حتّی الجاری منه ینجس إذا تغیّر بالنجاسة فی أحد أوصافه</w:t>
      </w:r>
      <w:r>
        <w:rPr>
          <w:rStyle w:val="FootnoteAnchor"/>
          <w:rtl w:val="true"/>
        </w:rPr>
        <w:footnoteReference w:id="457"/>
      </w:r>
      <w:r>
        <w:rPr>
          <w:rFonts w:ascii="Amiri" w:hAnsi="Amiri" w:eastAsia="Amiri" w:cs="Amiri"/>
          <w:color w:val="111111"/>
          <w:sz w:val="28"/>
          <w:sz w:val="28"/>
          <w:szCs w:val="28"/>
          <w:rtl w:val="true"/>
          <w:lang w:bidi="ar-SA"/>
        </w:rPr>
        <w:t>الثلاثة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الطعم، والرائحة، واللون</w:t>
      </w:r>
      <w:r>
        <w:rPr>
          <w:rStyle w:val="FootnoteAnchor"/>
          <w:rtl w:val="true"/>
        </w:rPr>
        <w:footnoteReference w:id="45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فالمعیار فی إدراکها الإدراک المتعارف، لا القویّ والضعیف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بشرط أن یکون بملاقاة النجاسة، فلا یتنجّس إذا کان بالمجاورة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یشکل الفرق بین حصول التغییر بالمجاورة، وبین حصوله بملاقاة المتنجّس الحامل لأوصاف النجس لوحدة المناط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التغیّر مستنداً إلی الأجزاء الساریة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فلو تغیّر الماء العالی الدافع بالسفل، أو مطلق ما له الدفع بملاقاة النجس، فهل هذا التغیّر تغیّر بالمجاورة أو بالملاقاة؟ فلکلّ منهما وجه، لکنّ الأقوی الأوّل، والأحوط الثانی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کما إذا وقعت میتة قریباً من الماء فصار جائفاً، وأن یکون التغیّر بأوصاف النجاسة دون أوصاف المتنجّس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الملاقی للنجس والمتغیّر بالمجاورة کالملاقی لعظم المیتة، والمتغیّر ریحه بمجاورة نتن لحمها فی الخارج تأمّل، والأقوی عدم التنجّس؛ لأنّ التغیّر لیس بمستند إلی الملاقاة؛ إذ الجزء الملاقی لیس بمغیّر، والجزء المغیّر لیس بملاقٍ، کما أنّ الأحوط الاجتناب لو استند التغیّر إلی الملاقاة والمجاورة مرکّباً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وقع فیه دبس نجس فصار أحمر</w:t>
      </w:r>
    </w:p>
    <w:p>
      <w:pPr>
        <w:pStyle w:val="BookText"/>
        <w:rPr/>
      </w:pPr>
      <w:r>
        <w:rPr>
          <w:rFonts w:ascii="Amiri" w:hAnsi="Amiri" w:eastAsia="Amiri" w:cs="Amiri"/>
          <w:color w:val="111111"/>
          <w:sz w:val="28"/>
          <w:sz w:val="28"/>
          <w:szCs w:val="28"/>
          <w:rtl w:val="true"/>
          <w:lang w:bidi="ar-SA"/>
        </w:rPr>
        <w:t xml:space="preserve">أو أصفر لا ینجس إلاّ إذا صیّره مضافاً </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لا یعتبر أن یکون بوقوع عین النجس فیه، بل لو وقع فیه متنجّس حامل لأوصاف النجس فغیّره</w:t>
      </w:r>
      <w:r>
        <w:rPr>
          <w:rStyle w:val="FootnoteAnchor"/>
          <w:rtl w:val="true"/>
        </w:rPr>
        <w:footnoteReference w:id="460"/>
      </w:r>
      <w:r>
        <w:rPr>
          <w:rFonts w:ascii="Amiri" w:hAnsi="Amiri" w:eastAsia="Amiri" w:cs="Amiri"/>
          <w:color w:val="111111"/>
          <w:sz w:val="28"/>
          <w:sz w:val="28"/>
          <w:szCs w:val="28"/>
          <w:rtl w:val="true"/>
          <w:lang w:bidi="ar-SA"/>
        </w:rPr>
        <w:t xml:space="preserve">بوصف النجس تنجّس أیضاً </w:t>
      </w:r>
      <w:r>
        <w:rPr>
          <w:rStyle w:val="FootnoteAnchor"/>
          <w:rtl w:val="true"/>
        </w:rPr>
        <w:footnoteReference w:id="4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فیه، وفی التغییر بالمجاورة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الحکم بالطهارة له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المتنجّس ممزوجاً بعین النجس بحیث یستند التغیّر إلی ملاقاة النجس فی ضمنه، وإلاّ فالتنجّس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حاملاً لأجزاء النجس، کما هو ظاهر المتن فالطهارة قویّة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إذا کان المتنجّس حاملاً للنجاسة عرفاً بحیث یستند التغیّر إلی ملاقاتها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الأولی إجراء حکم المجاورة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متضمّناً لأجزاء النجس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 إلاّ إذا حمل المتنجّس أجزاء النجاسة بحیث یستند التغیّر إلیها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المتنجّس ممزوجاً أو متلطّخاً بعین النجاسة، بحیث یکون التغیّر مستنداً إلی ملاقاة عین النجاسة، وإلاّ فالتنجّس محلّ إشکال، بل إجراء حکم التغیّر بالمجاورة علیه لا یخلو من وجه، ولکنّه مع ذلک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التغیّر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استناد التغییر إلی نفس النجاسة دون المتنجّس، وإلاّ ففیه إشکال، لا ینبغی ترک الاحتیاط فی الصورة الاُولی والثالثة فیما إذا کان المقتضی للتغیّر موجوداً وکان المانع وصفاً عارضیّاً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بالنجاسة یدور مدار کون الواقع فی الماء منجِّساً، وکون المتنجّس منجِّساً أوّل الکلام والإشکال، فالحکم بالنجاسة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خصوص ما إذا کان مع المتنجّس شیء من أجزاء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وأن</w:t>
      </w:r>
    </w:p>
    <w:p>
      <w:pPr>
        <w:pStyle w:val="BookText"/>
        <w:rPr/>
      </w:pPr>
      <w:r>
        <w:rPr>
          <w:rFonts w:ascii="Amiri" w:hAnsi="Amiri" w:eastAsia="Amiri" w:cs="Amiri"/>
          <w:color w:val="111111"/>
          <w:sz w:val="28"/>
          <w:sz w:val="28"/>
          <w:szCs w:val="28"/>
          <w:rtl w:val="true"/>
          <w:lang w:bidi="ar-SA"/>
        </w:rPr>
        <w:t xml:space="preserve">یکون التغییر حسّیّاً </w:t>
      </w:r>
      <w:r>
        <w:rPr>
          <w:rStyle w:val="FootnoteAnchor"/>
          <w:rtl w:val="true"/>
        </w:rPr>
        <w:footnoteReference w:id="462"/>
      </w:r>
      <w:r>
        <w:rPr>
          <w:rFonts w:ascii="Amiri" w:hAnsi="Amiri" w:eastAsia="Amiri" w:cs="Amiri"/>
          <w:color w:val="111111"/>
          <w:sz w:val="28"/>
          <w:sz w:val="28"/>
          <w:szCs w:val="28"/>
          <w:rtl w:val="true"/>
          <w:lang w:bidi="ar-SA"/>
        </w:rPr>
        <w:t>، فالتقدیریّ لا یضرّ</w:t>
      </w:r>
      <w:r>
        <w:rPr>
          <w:rStyle w:val="FootnoteAnchor"/>
          <w:rtl w:val="true"/>
        </w:rPr>
        <w:footnoteReference w:id="4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 فإنّه إذا لم یکن تغیّر واقعاً لا ینجس، وإلاّ فینجس وإن لم یکن ممتازاً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 علی إطلاقه، فإنّه إن کان کالصورة الثانیة ممّا لیس له وصف، وإنّما یفرض التغییر علی تقدیر وجوده فلا یضرّ، وإن کان کالصورتین الاُخریین ممّا کان المانع لعارض فی الماء، فالأحوط إن لم یکن الأقوی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عدم فعلیة التغیّر لعدم المقتضی، أم لوجود المانع عنه، أم لا نتفاء شرطه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اعتبار بالتغیّر التقدیری الفرضی کما فی مثال البول، أمّا إذا کان التغیّر واقعیّاً فعلیّاً ولکنّه لم یظهر للحسّ لوجود مانع، کما فی مثالَی الدم والجیفة فالأحوط بل الأقوی فیه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جهة أنّ تحقّق الشیء موقوف علی وجود المقتضی وفقد المانع، وإلاّ لم یتحقّق واقعاً، نعم لو علم بتغیّر الماء بالنجاسة ولکن لا یدرک لأجل غلبة الأقوی کغلبة الرائحة الأقوی، أو یکون وجود المانع کالعدم عرفاً، مثل شدّة البرد فی الشتاء المانع عن ظهور التغیّر، کما لو وقع بول کثیر فی الماء العاصم فی الشتاء بحیث لو وقع فی غیر هذا الفصل یتغیّر، فیحکم بالنجاسة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فلو کان لون الماء أحمر أو</w:t>
      </w:r>
    </w:p>
    <w:p>
      <w:pPr>
        <w:pStyle w:val="BookText"/>
        <w:rPr/>
      </w:pPr>
      <w:r>
        <w:rPr>
          <w:rFonts w:ascii="IRNazanin" w:hAnsi="IRNazanin" w:eastAsia="IRNazanin"/>
          <w:color w:val="111111"/>
          <w:sz w:val="28"/>
          <w:sz w:val="28"/>
          <w:szCs w:val="28"/>
          <w:rtl w:val="true"/>
          <w:lang w:bidi="fa-IR"/>
        </w:rPr>
        <w:t>أصفر</w:t>
      </w:r>
      <w:r>
        <w:rPr>
          <w:rStyle w:val="FootnoteAnchor"/>
          <w:rtl w:val="true"/>
        </w:rPr>
        <w:footnoteReference w:id="464"/>
      </w:r>
      <w:r>
        <w:rPr>
          <w:rFonts w:ascii="IRNazanin" w:hAnsi="IRNazanin" w:eastAsia="IRNazanin"/>
          <w:color w:val="111111"/>
          <w:sz w:val="28"/>
          <w:sz w:val="28"/>
          <w:szCs w:val="28"/>
          <w:rtl w:val="true"/>
          <w:lang w:bidi="fa-IR"/>
        </w:rPr>
        <w:t>فوقع فیه مقدار من الدم کان یغیّره لو لم یکن کذلک لم ینجس</w:t>
      </w:r>
      <w:r>
        <w:rPr>
          <w:rStyle w:val="FootnoteAnchor"/>
          <w:rtl w:val="true"/>
        </w:rPr>
        <w:footnoteReference w:id="4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الفرض الثالث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بالنجاسة فیه، بل وفیما کان جائفاً لا یخلو من قوّة، وفی غیرهما من الصور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ینجس علی الأحوط، خصوصاً إذا کانت موافقةُ لون الماء لِلَون النجاسة بالعارض لا بحسب الخلقة، وکذا فی الجائف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وفی الفرض الثالث، بل الثانی أیضاً، بل مطلقاً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بالنجاسة فی هذا الفرض والفرض الثالث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 هذه الصورة والصورة الثالثة الاجتناب، بل لا یخلو وجوبه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بالنجاسة فیه وفی الفرض الثالث لو لم یکن أقوی فلا ریب أ نّه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وکذا إذا صبّ فیه بول کثیر لا لون له بحیث لو کان له لون غیّره، وکذا لو کان جائفاً </w:t>
      </w:r>
      <w:r>
        <w:rPr>
          <w:rStyle w:val="FootnoteAnchor"/>
          <w:rtl w:val="true"/>
        </w:rPr>
        <w:footnoteReference w:id="466"/>
      </w:r>
      <w:r>
        <w:rPr>
          <w:rFonts w:ascii="IRNazanin" w:hAnsi="IRNazanin" w:eastAsia="IRNazanin"/>
          <w:color w:val="111111"/>
          <w:sz w:val="28"/>
          <w:sz w:val="28"/>
          <w:szCs w:val="28"/>
          <w:rtl w:val="true"/>
          <w:lang w:bidi="fa-IR"/>
        </w:rPr>
        <w:t>فوقع فیه میتة کانت تغیّره لو لم یکن جائفاً وهکذا، ففی هذه الصور</w:t>
      </w:r>
      <w:r>
        <w:rPr>
          <w:rStyle w:val="FootnoteAnchor"/>
          <w:rtl w:val="true"/>
        </w:rPr>
        <w:footnoteReference w:id="46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الاحتیاط فی هذا الفرض والفرض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 یخرج عن صدق الإطلاق محکوم بالطهارة علی الأقوی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علم أنّ الماء تغیّر بالنجاسة لکن لا یدرک التغییر لغلبة الرائحة الأقوی مثلاً الحکم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المانع من التغییر الوصف العارض للماء من الخارج من مزج أو خلط شیء معه من نفس الماء والهواء، فلا یخلو الحکم بالطهارة من الإشکال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التنجّس فی الصورة الاُولی منها بل الثالثة أیضاً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فیما لو کان المانع من ظهور التغییر وصفاً عارضیّاً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الاجتناب فی الفرض الثانی من الصور الّتی أشرنا إلیها فی الحاشیة السابقة، وقد مرّ منّا الکلام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حصول التنجّس فی الصورة الاُولی منها، بل الثالثة أیضاً؛ لحصول مرتبة من التغیّر بالاشتداد، بل لا یُترک الاحتیاط فی الثانیة؛ لاستقذار العرف بالتنفّر عن مثل هذا الماء، فالمعیار فی التنجّس وقوع النجس بحیث یکون مقتضیاً للتغیّر لولا المانع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الاحتیاط فی المتغیّر بالمجاورة وفی التغییر التقدیری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تغیّر الماء بما عدا الأوصاف المذکورة من أوصاف النجاسة، مثل الحرارة والبرودة، والرقّة والغلظة، والخفّة والثقل، لم ینجس ما لم یصر مضافاً </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یعتبر فی تنجّسه أن یکون التغیّر بوصف النجس بعینه، فلو حدث فیه لون أو طعم أو ریح غیر ما بالنجس؛ کما لو اصفرّ الماء مثلاً بوقوع الدم تنجّس، وکذا لو حدث فیه بوقوع البول أو العذرة رائحة اُخری غیر رائحتهما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فالمناط تغیّر</w:t>
      </w:r>
      <w:r>
        <w:rPr>
          <w:rStyle w:val="FootnoteAnchor"/>
          <w:rtl w:val="true"/>
        </w:rPr>
        <w:footnoteReference w:id="4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المناط التغیّر بوصف عین النجاسة، والاحتیاط طریق النجاة، وممّا ذکرنا یظهر الحال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 الأوصاف المذکورة بسبب النجاسة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التغیّر بوصف النجاسة المنسوب إلیها ولو فی حال ملاقاة الماء، ومن ذلک یظهر الحکم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من غیر سنخ وصف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یکون الوصف المنسوب وصفاً للنجاسة عرفاً، ولو فی حال ملاقاة الماء واختلاطه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النجس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فرق</w:t>
      </w:r>
      <w:r>
        <w:rPr>
          <w:rStyle w:val="FootnoteAnchor"/>
          <w:rtl w:val="true"/>
        </w:rPr>
        <w:footnoteReference w:id="470"/>
      </w:r>
      <w:r>
        <w:rPr>
          <w:rFonts w:ascii="IRNazanin" w:hAnsi="IRNazanin" w:eastAsia="IRNazanin"/>
          <w:color w:val="111111"/>
          <w:sz w:val="28"/>
          <w:sz w:val="28"/>
          <w:szCs w:val="28"/>
          <w:rtl w:val="true"/>
          <w:lang w:bidi="fa-IR"/>
        </w:rPr>
        <w:t>بین زوال الوصف الأصلی للماء أو العرضی، فلو کان الماء أحمـر أو أسـود لعارض فوقع فیـه البـول حتّی صار أبیـض تنجّس</w:t>
      </w:r>
      <w:r>
        <w:rPr>
          <w:rStyle w:val="FootnoteAnchor"/>
          <w:rtl w:val="true"/>
        </w:rPr>
        <w:footnoteReference w:id="47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 الوصف الموجود فی الماء وصف النجس عرفاً، وأمّا إذا صار النجس موجباً لرجوع الماء إلی وصفه الأصلی فلا یحکم علیه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بالنجاسة فی صورة عود الماء إلی وصفه الطبیعی، بأن یطیب طعمه ورائحته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الوصف الموجود فی الماء وصفاً للنجس عرفاً ولو باعتبار وصف الحادث بالملاقاة، فإذا أوجب النجس رجوع الماء إلی وصفه الأصلی فلا یحکم علیه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بالنجاسة فی الفرض مشکل، بل ممنوع؛ لعدم صدق غلبة وصف النجاسة، بل یصدق أنّ لون الماء غالب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تغیّر بغیر وصف النجس وشکّ فی انتسابه إلی النجاسة یحکم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إذا زال طعمه</w:t>
      </w:r>
    </w:p>
    <w:p>
      <w:pPr>
        <w:pStyle w:val="BookText"/>
        <w:rPr/>
      </w:pPr>
      <w:r>
        <w:rPr>
          <w:rFonts w:ascii="IRNazanin" w:hAnsi="IRNazanin" w:eastAsia="IRNazanin"/>
          <w:color w:val="111111"/>
          <w:sz w:val="28"/>
          <w:sz w:val="28"/>
          <w:szCs w:val="28"/>
          <w:rtl w:val="true"/>
          <w:lang w:bidi="fa-IR"/>
        </w:rPr>
        <w:t>العرضی</w:t>
      </w:r>
      <w:r>
        <w:rPr>
          <w:rStyle w:val="FootnoteAnchor"/>
          <w:rtl w:val="true"/>
        </w:rPr>
        <w:footnoteReference w:id="472"/>
      </w:r>
      <w:r>
        <w:rPr>
          <w:rFonts w:ascii="IRNazanin" w:hAnsi="IRNazanin" w:eastAsia="IRNazanin"/>
          <w:color w:val="111111"/>
          <w:sz w:val="28"/>
          <w:sz w:val="28"/>
          <w:szCs w:val="28"/>
          <w:rtl w:val="true"/>
          <w:lang w:bidi="fa-IR"/>
        </w:rPr>
        <w:t>أو ریحه العرضی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تغیّر طرف من الحوض</w:t>
      </w:r>
      <w:r>
        <w:rPr>
          <w:rStyle w:val="FootnoteAnchor"/>
          <w:rtl w:val="true"/>
        </w:rPr>
        <w:footnoteReference w:id="473"/>
      </w:r>
      <w:r>
        <w:rPr>
          <w:rFonts w:ascii="Amiri" w:hAnsi="Amiri" w:eastAsia="Amiri" w:cs="Amiri"/>
          <w:color w:val="111111"/>
          <w:sz w:val="28"/>
          <w:sz w:val="28"/>
          <w:szCs w:val="28"/>
          <w:rtl w:val="true"/>
          <w:lang w:bidi="ar-SA"/>
        </w:rPr>
        <w:t>مثلاً تنجّس، فإن کان الباقی أقـلّ من الکـرّ تنجّس</w:t>
      </w:r>
      <w:r>
        <w:rPr>
          <w:rStyle w:val="FootnoteAnchor"/>
          <w:rtl w:val="true"/>
        </w:rPr>
        <w:footnoteReference w:id="474"/>
      </w:r>
      <w:r>
        <w:rPr>
          <w:rFonts w:ascii="IRNazanin" w:hAnsi="IRNazanin" w:eastAsia="IRNazanin"/>
          <w:color w:val="111111"/>
          <w:sz w:val="28"/>
          <w:sz w:val="28"/>
          <w:szCs w:val="28"/>
          <w:rtl w:val="true"/>
          <w:lang w:bidi="fa-IR"/>
        </w:rPr>
        <w:t>الجمیع، وإن کان بقدر الکرّ بقی علی الطهارة، وإذا زال تغیّر ذلـک البعـض طهـر الجمیع، ولو لـم یحصل الامتزاج</w:t>
      </w:r>
      <w:r>
        <w:rPr>
          <w:rStyle w:val="FootnoteAnchor"/>
          <w:rtl w:val="true"/>
        </w:rPr>
        <w:footnoteReference w:id="4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مع عدم صدق الوحدة بدونه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بالمزج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المزج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اُرید به تحقّق استهلاک الماء المتنجّس فی الماء الطاهر العاصم، أم قیل به لحصول امتزاج بعض المتنجّس ببعض العاصم، أو امتزاج کلّ أجزاء المتنجّس بکلّ أجزاء العاصم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الامتزاج فی تطهیر المیاه مطلقاً احتیاطاً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الأحوط اعتبار الامتزاج فی المقام، وهو الأقوی فی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r>
        <w:rPr>
          <w:rStyle w:val="FootnoteAnchor"/>
          <w:rtl w:val="true"/>
        </w:rPr>
        <w:footnoteReference w:id="47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اعتبار المزج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 الامتزاج کی یصدق علیه ماء واحد بجمیع أجزائه عرفاً، فلا یبعّض حکمه علی ما هو معاقد إجماعاتهم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الامتزاج العرفی، وهکذا فی الفروع الآتیة فلا تغفل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الامتزاج فی تطهیر المیاه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الامتزاج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اعتبار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اعتبار الامتزاج فی تطهیر المیاه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اعتبار الامتزاج فی تطهیر المیاه مطلقاً غیر المطر، وأمّا فیه فالأحوط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الامتزاج فی الجملة فی تطهیر المیاه، ویکفی منه ما یحصل بتدافع الماء نفسه فی ماء النهر وماء المطر، وما یحصل بدفع المادّة فی ماء البئر وماء الحمّام، کما هو فی موارد أدلّة المسألة، وفی التطهیر بالکرّ والجاری الضعیف الجریان یکفی أن یحصل الامتزاج بذلک القدر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مراعاة الامتزاج العرفی فی تطهیر المیاه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وقع النجس</w:t>
      </w:r>
      <w:r>
        <w:rPr>
          <w:rStyle w:val="FootnoteAnchor"/>
          <w:rtl w:val="true"/>
        </w:rPr>
        <w:footnoteReference w:id="477"/>
      </w:r>
      <w:r>
        <w:rPr>
          <w:rFonts w:ascii="IRNazanin" w:hAnsi="IRNazanin" w:eastAsia="IRNazanin"/>
          <w:color w:val="111111"/>
          <w:sz w:val="28"/>
          <w:sz w:val="28"/>
          <w:szCs w:val="28"/>
          <w:rtl w:val="true"/>
          <w:lang w:bidi="fa-IR"/>
        </w:rPr>
        <w:t>فی الماء</w:t>
      </w:r>
      <w:r>
        <w:rPr>
          <w:rStyle w:val="FootnoteAnchor"/>
          <w:rtl w:val="true"/>
        </w:rPr>
        <w:footnoteReference w:id="4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الکثیر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الماء الکثیر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یتغیّر، ثمّ تغیّر بعد مدّة، فإن علم استناده إلی ذلک النجس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وعلم عدم استهلاکه فی الماء بوقوعه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إذا علم أنّ التغیّر مستندٌ إلی ملاقاة النجس، وأمّا إذا احتمل استناد التغیّر باتّصاله بما استهلک فیه، فیشکل الحکم بالنجاسة، بل إجراء حکم التغیّر بالمجاورة علیه لا یخلو من وجه، ولکنّ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علم عدم استهلاکه فی الماء بعد وقوعه أو شکّ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التنجّس إذا لم یکن عین النجس فی الماء حین التغیّر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وإلاّ فلا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وقعت المیتة خارج الماء</w:t>
      </w:r>
      <w:r>
        <w:rPr>
          <w:rStyle w:val="FootnoteAnchor"/>
          <w:rtl w:val="true"/>
        </w:rPr>
        <w:footnoteReference w:id="4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الاحتیاط فیه أیضاً فی المسألة التاسعة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ووقع جزء منها فی الماء، وتغیّر بسبب المجموع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الداخل والخارج</w:t>
      </w:r>
    </w:p>
    <w:p>
      <w:pPr>
        <w:pStyle w:val="BookText"/>
        <w:rPr/>
      </w:pPr>
      <w:r>
        <w:rPr>
          <w:rFonts w:ascii="Amiri" w:hAnsi="Amiri" w:eastAsia="Amiri" w:cs="Amiri"/>
          <w:color w:val="111111"/>
          <w:sz w:val="28"/>
          <w:sz w:val="28"/>
          <w:szCs w:val="28"/>
          <w:rtl w:val="true"/>
          <w:lang w:bidi="ar-SA"/>
        </w:rPr>
        <w:t>تنجّس</w:t>
      </w:r>
      <w:r>
        <w:rPr>
          <w:rStyle w:val="FootnoteAnchor"/>
          <w:rtl w:val="true"/>
        </w:rPr>
        <w:footnoteReference w:id="4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التنجّس وإن کان 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عدم التنجّس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الصدق العرفی فی تغیّره بالمیتة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علم استناده إلی خصوص الخارج فالظاهر طهارته؛ لأ نّه من التغییر بالمجاورة، وکذا لو احتمل استناده إلی خصوص الجزء الخارج؛ لأصالة الطهارة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الجزء الّذی فی الماء معتدّاً به، وإلاّ ففیه إشکال،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دخل الخارج دخلاً إعدادیّاً دون العکس، وإلاّ یلزم الالتزام بکفایة المجاورة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التنجّس، والاحتیاط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فیما لو لم یکن الجزء الواقع جزءاً معتدّاً به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لم ینجس، فإنّ المرکّب من الداخل والخارج 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التنجّس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بعض صوره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بخلاف ما إذا کان تمامها خارج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کان الجزء الداخل فی الماء ممّا لا یستند التغیّر إلیه، کذَنَب المیتة أو شعرها أو طرف رجلها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وجوب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التغیّر وعدمه</w:t>
      </w:r>
      <w:r>
        <w:rPr>
          <w:rStyle w:val="FootnoteAnchor"/>
          <w:rtl w:val="true"/>
        </w:rPr>
        <w:footnoteReference w:id="481"/>
      </w:r>
      <w:r>
        <w:rPr>
          <w:rFonts w:ascii="IRNazanin" w:hAnsi="IRNazanin" w:eastAsia="IRNazanin"/>
          <w:color w:val="111111"/>
          <w:sz w:val="28"/>
          <w:sz w:val="28"/>
          <w:szCs w:val="28"/>
          <w:rtl w:val="true"/>
          <w:lang w:bidi="fa-IR"/>
        </w:rPr>
        <w:t>، أو فی کونه للمجاورة</w:t>
      </w:r>
      <w:r>
        <w:rPr>
          <w:rStyle w:val="FootnoteAnchor"/>
          <w:rtl w:val="true"/>
        </w:rPr>
        <w:footnoteReference w:id="4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الاحتیاط فی التغیّر بالمجاورة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أو بالملاقاة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کان شکّاً بدویّاً أو مقروناً بالعلم الإجمالی بوقوع التغیّر وحصول الملاقاة، ویشکّ فی أ نّه بالملاقاة أو بالمجاورة، فبعد تعارض الأصلین یرجع إلی أصالة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ظهر ممّا مرّ لزوم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أو کونه بالنجاسة، أو بطاهر، لم یحکم بالنجاسة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وقع فی الماء دم</w:t>
      </w:r>
      <w:r>
        <w:rPr>
          <w:rStyle w:val="FootnoteAnchor"/>
          <w:rtl w:val="true"/>
        </w:rPr>
        <w:footnoteReference w:id="483"/>
      </w:r>
      <w:r>
        <w:rPr>
          <w:rFonts w:ascii="IRNazanin" w:hAnsi="IRNazanin" w:eastAsia="IRNazanin"/>
          <w:color w:val="111111"/>
          <w:sz w:val="28"/>
          <w:sz w:val="28"/>
          <w:szCs w:val="28"/>
          <w:rtl w:val="true"/>
          <w:lang w:bidi="fa-IR"/>
        </w:rPr>
        <w:t>وشیء طاهر أحمر، فاحمرّ بالمجموع</w:t>
      </w:r>
      <w:r>
        <w:rPr>
          <w:rStyle w:val="FootnoteAnchor"/>
          <w:rtl w:val="true"/>
        </w:rPr>
        <w:footnoteReference w:id="48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بالتقارن، لا أن ینکدر بأحدهما وتتمّ الحمرة بالآخر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 یحکم بنجاسته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یصدق أ نّه تغیّر بالدم، أو لم یکن الدم بمقدار یغیّره لو وقع وحده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الدم بمقدار یغیّره لو وقع وحده علی الأحوط، بل هو الأقوی لو وقع الدم عقیب ذلک الأحمر فتغیّر الماء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لم یکن الدم بانفراده مغیّراً، وإلاّ فالأحوط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یستند التغیّر ولو ببعض مراتبه إلی الدم، وإلاّ 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الدم بمقدار یغیّر الماء إذا وقع فیه وحده، وإلاّ فالأحوط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النجاسة، والفرق بین المسألة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المسألة السابعة عشرة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والمسألة الخامسة عشرة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الدم مقتضیاً وحده للتغییر عرفاً، فالأحوط الحکم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الدم لو انفرد کافیاً فی حصول التغیّر ولو ببعض مراتبه فالأقوی النجاسة، وإلاّ فهو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استند التغییر ولو ببعض مراتبه إلی الدم، فالأحوط حینئذٍ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یستند التغیّر ولو ببعض مراتبه إلی الدم، وإلاّ فالأحوط الاجتناب 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أحرز استناد التغیّر ولو ببعض مراتبه إلی الدم یحکم بنجاسته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وقع الدم أوّلاً ولم یحصل التغیّر بسببه، وإن أوجد استعداداً فی الماء للتغیّر بالشیء الطاهر، وکذا إذا وقعا دفعة واحدة وکان الدم جزء المقتضی للتأثیر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الماء المتغیّر إذا زال تغیّره </w:t>
      </w:r>
    </w:p>
    <w:p>
      <w:pPr>
        <w:pStyle w:val="BookText"/>
        <w:rPr/>
      </w:pPr>
      <w:r>
        <w:rPr>
          <w:rFonts w:ascii="IRNazanin" w:hAnsi="IRNazanin" w:eastAsia="IRNazanin"/>
          <w:color w:val="111111"/>
          <w:sz w:val="28"/>
          <w:sz w:val="28"/>
          <w:szCs w:val="28"/>
          <w:rtl w:val="true"/>
          <w:lang w:bidi="fa-IR"/>
        </w:rPr>
        <w:t>بنفسه</w:t>
      </w:r>
      <w:r>
        <w:rPr>
          <w:rStyle w:val="FootnoteAnchor"/>
          <w:rtl w:val="true"/>
        </w:rPr>
        <w:footnoteReference w:id="485"/>
      </w:r>
      <w:r>
        <w:rPr>
          <w:rFonts w:ascii="IRNazanin" w:hAnsi="IRNazanin" w:eastAsia="IRNazanin"/>
          <w:color w:val="111111"/>
          <w:sz w:val="28"/>
          <w:sz w:val="28"/>
          <w:szCs w:val="28"/>
          <w:rtl w:val="true"/>
          <w:lang w:bidi="fa-IR"/>
        </w:rPr>
        <w:t>من غیر اتّصاله بالکرّ أو الجاری لم یطهر</w:t>
      </w:r>
      <w:r>
        <w:rPr>
          <w:rStyle w:val="FootnoteAnchor"/>
          <w:rtl w:val="true"/>
        </w:rPr>
        <w:footnoteReference w:id="4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وجوباً، ومثله النابع غیر الجاری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الجاری والنابع إذا زال تغیّره بنفسه طهر</w:t>
      </w:r>
      <w:r>
        <w:rPr>
          <w:rStyle w:val="FootnoteAnchor"/>
          <w:rtl w:val="true"/>
        </w:rPr>
        <w:footnoteReference w:id="4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الامتزاج بما یخرج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لاتّصاله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الامتزاج أیضاً إن لم تصدق الوحدة بدونه، وکذا فی لاحِقِه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وامتزاجه بما یخرج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اعتبار الامتزاج فی تطهیر مطلق المیاه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اعتبار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الأحوط فی ماء البئر وفی النابع الواقف عدم الاکتفاء بمجـرّد زوال التغیّر فی رفع النجاسة، بل یحتاج إلی خروج ماء جدید من المادّة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مفتی الشیعة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وکذا البعض من الحوض إذا کان الباقی بقدر الکرّ کما مرّ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الامتزاج فی الجملة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الأحوط اعتبار الامتزاج فی المقام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3" w:name="pg13272_142917"/>
    </w:p>
    <w:p>
      <w:pPr>
        <w:pStyle w:val="Heading3"/>
        <w:numPr>
          <w:ilvl w:val="2"/>
          <w:numId w:val="1"/>
        </w:numPr>
        <w:rPr/>
      </w:pPr>
      <w:bookmarkStart w:id="194" w:name="__RefHeading___Toc1636502_2322387425"/>
      <w:bookmarkStart w:id="195" w:name="_Toc63"/>
      <w:bookmarkEnd w:id="193"/>
      <w:bookmarkEnd w:id="194"/>
      <w:r>
        <w:rPr>
          <w:rtl w:val="true"/>
        </w:rPr>
        <w:t>فصل فی الماء الجاری</w:t>
      </w:r>
      <w:bookmarkEnd w:id="195"/>
    </w:p>
    <w:p>
      <w:pPr>
        <w:pStyle w:val="BookText"/>
        <w:rPr/>
      </w:pPr>
      <w:r>
        <w:rPr>
          <w:rFonts w:ascii="IRNazanin" w:hAnsi="IRNazanin" w:eastAsia="IRNazanin"/>
          <w:color w:val="111111"/>
          <w:sz w:val="28"/>
          <w:sz w:val="28"/>
          <w:szCs w:val="28"/>
          <w:rtl w:val="true"/>
          <w:lang w:bidi="fa-IR"/>
        </w:rPr>
        <w:t>الماء الجاری</w:t>
      </w:r>
      <w:r>
        <w:rPr>
          <w:rStyle w:val="FootnoteAnchor"/>
          <w:rtl w:val="true"/>
        </w:rPr>
        <w:footnoteReference w:id="488"/>
      </w:r>
      <w:r>
        <w:rPr>
          <w:rFonts w:ascii="IRNazanin" w:hAnsi="IRNazanin" w:eastAsia="IRNazanin"/>
          <w:color w:val="111111"/>
          <w:sz w:val="28"/>
          <w:sz w:val="28"/>
          <w:szCs w:val="28"/>
          <w:rtl w:val="true"/>
          <w:lang w:bidi="fa-IR"/>
        </w:rPr>
        <w:t>، وهو النابع</w:t>
      </w:r>
      <w:r>
        <w:rPr>
          <w:rStyle w:val="FootnoteAnchor"/>
          <w:rtl w:val="true"/>
        </w:rPr>
        <w:footnoteReference w:id="48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عدم اعتبار النبع فی صدقه مع اتّصاله بمادّة توجب استمرار جریانه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الماء الّذی یطلق علیه الجاری عرفاً کدجلة والفرات، وممّا ذکرنا یظهر الحکم فی 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کفایة مجرّد کونه ذا مادّة وإن لم یکن بنحو النبعان، من دون فرق بین أن تکون أرضیّة أو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السائل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صدق ذی المادّة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وجه الأرض فوقها أو تحتها کالقنوات، لا ینجس بملاقاة النجس ما لم یتغیّر، سواء کان کرّاً أو أقلّ، وسواء کان بالفوران أو بنحو الرشح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ومثله کلّ</w:t>
      </w:r>
    </w:p>
    <w:p>
      <w:pPr>
        <w:pStyle w:val="BookText"/>
        <w:rPr/>
      </w:pPr>
      <w:r>
        <w:rPr>
          <w:rFonts w:ascii="IRNazanin" w:hAnsi="IRNazanin" w:eastAsia="IRNazanin"/>
          <w:color w:val="111111"/>
          <w:sz w:val="28"/>
          <w:sz w:val="28"/>
          <w:szCs w:val="28"/>
          <w:rtl w:val="true"/>
          <w:lang w:bidi="fa-IR"/>
        </w:rPr>
        <w:t>نابع</w:t>
      </w:r>
      <w:r>
        <w:rPr>
          <w:rStyle w:val="FootnoteAnchor"/>
          <w:rtl w:val="true"/>
        </w:rPr>
        <w:footnoteReference w:id="4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أنّ النابع غیر الجاری إذا لم یصدق علیه عنوان البئر ولم یکن کرّاً ینفعل بالملاقاة ما لم یجرِ ولو بعلاج، بحیث یصدق علیه عنوان الماء الجاری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عدم الانفعال، لا فی ترتّب جمیع أحکام الجاری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کان واقفاً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فیه إجراء حکم الراکد، إلاّ أن یصیر جاریاً ولو بالعلاج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إلحاقه بالراکد ذی المادّة أولی، بل یتعیّن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إجراء حکم الراکد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وإن لم یکن کرّاً ؛ لأنّ وجـود المادّة مساوق للاعتصام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الجاری علی الأرض</w:t>
      </w:r>
      <w:r>
        <w:rPr>
          <w:rStyle w:val="FootnoteAnchor"/>
          <w:rtl w:val="true"/>
        </w:rPr>
        <w:footnoteReference w:id="491"/>
      </w:r>
      <w:r>
        <w:rPr>
          <w:rFonts w:ascii="IRNazanin" w:hAnsi="IRNazanin" w:eastAsia="IRNazanin"/>
          <w:color w:val="111111"/>
          <w:sz w:val="28"/>
          <w:sz w:val="28"/>
          <w:szCs w:val="28"/>
          <w:rtl w:val="true"/>
          <w:lang w:bidi="fa-IR"/>
        </w:rPr>
        <w:t>من غیر مادّة نابعة</w:t>
      </w:r>
      <w:r>
        <w:rPr>
          <w:rStyle w:val="FootnoteAnchor"/>
          <w:rtl w:val="true"/>
        </w:rPr>
        <w:footnoteReference w:id="4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قـد تقدّم أنّ خصوص النبع لیس معتبراً فی صدق الجاری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راشحة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کونه ذا مادّة طبیعیّة مطلقاً، وإن کانت مادّته الثلوج الواقعة علی الجبال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لم یکن کرّاً ینجس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بالملاقاة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نعم، إذا کان جاریاً </w:t>
      </w:r>
      <w:r>
        <w:rPr>
          <w:rStyle w:val="FootnoteAnchor"/>
          <w:rtl w:val="true"/>
        </w:rPr>
        <w:footnoteReference w:id="493"/>
      </w:r>
      <w:r>
        <w:rPr>
          <w:rFonts w:ascii="IRNazanin" w:hAnsi="IRNazanin" w:eastAsia="IRNazanin"/>
          <w:color w:val="111111"/>
          <w:sz w:val="28"/>
          <w:sz w:val="28"/>
          <w:szCs w:val="28"/>
          <w:rtl w:val="true"/>
          <w:lang w:bidi="fa-IR"/>
        </w:rPr>
        <w:t xml:space="preserve">من الأعلی </w:t>
      </w:r>
      <w:r>
        <w:rPr>
          <w:rStyle w:val="FootnoteAnchor"/>
          <w:rtl w:val="true"/>
        </w:rPr>
        <w:footnoteReference w:id="4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بقوّةٍ ودفع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 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بقوّة کالتسنیم وشبهه، وکذا لا ینجس الأسفل بملاقاة الأعلی إذا کان له دفع وقوّة إلی الأعلی، وینجس الأعلی فی هذه الصورة بملاقاة الأسفل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المعیار فی عدم الانفعال هو الدفع والقوّة، سواء کان الدافع الأسفل والمدفوع الأعلی أم بالعکس، أو کانا اُفقیّین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المدار فی عدم السرایة علی الدفع عن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المدار فی عدم الانفعال وجود القوّة الدافعة مطلقاً، بلا فرق بین العالی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الأسفل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مع الدفع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ینجس أعلاه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ینجس المتّصل بالوارد مطلقاً مع الدفع والجریان بقوّة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العلوّ علی وجه التسنیم أو التسریح الشبیه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الجریان بدفع وقوّة، وإلاّ ینجس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مناط الاعتصام هو الدفع دون العلوّ بما هو علوّ؛ ولذا ینجس العالی بملاقاة النجس السافل علی وقفة الماء وصدق وحدته لو لم یبلغ المجموع حدّ الکرّ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هو التدافع بقوّة وإن کان من الأسفل إلی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علی الدافعیّة المانعة عن الانفعال کیفما حصلت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المناط فی عدم التنجّس هو الدفع، بلا فرق بین العالی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العلوّ علی نحو یدفع الماء بقوّة، کالعلوّ التسنیمی والتسریحی، دون ما لا دفع فیه، کالعلوّ الانحداری، وقد عرفت نفی البعد عن کون مناط الاعتصام هو الدفع مطلقاً، ولکنّ اعتبار العلوّ أیضاً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المدار علی الدفع والقوّة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المدار فی عدم التنجّس هو القوّة والدفع، بلا فرق بین العالی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علوّه علی وجه التسنیم أو ما یشبهه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الملاک هو وجود المانع عن تحقّق السرایة، وإن کان لا یوجب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بملاقاة الأسفل</w:t>
      </w:r>
    </w:p>
    <w:p>
      <w:pPr>
        <w:pStyle w:val="BookText"/>
        <w:rPr/>
      </w:pPr>
      <w:r>
        <w:rPr>
          <w:rFonts w:ascii="Amiri" w:hAnsi="Amiri" w:eastAsia="Amiri" w:cs="Amiri"/>
          <w:color w:val="111111"/>
          <w:sz w:val="28"/>
          <w:sz w:val="28"/>
          <w:szCs w:val="28"/>
          <w:rtl w:val="true"/>
          <w:lang w:bidi="ar-SA"/>
        </w:rPr>
        <w:t>للنجاسة</w:t>
      </w:r>
      <w:r>
        <w:rPr>
          <w:rStyle w:val="FootnoteAnchor"/>
          <w:rtl w:val="true"/>
        </w:rPr>
        <w:footnoteReference w:id="495"/>
      </w:r>
      <w:r>
        <w:rPr>
          <w:rFonts w:ascii="IRNazanin" w:hAnsi="IRNazanin" w:eastAsia="IRNazanin"/>
          <w:color w:val="111111"/>
          <w:sz w:val="28"/>
          <w:sz w:val="28"/>
          <w:szCs w:val="28"/>
          <w:rtl w:val="true"/>
          <w:lang w:bidi="fa-IR"/>
        </w:rPr>
        <w:t>، وإن کان قلیلاً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شـکّ فی أنّ لـه مادّة أم لا</w:t>
      </w:r>
      <w:r>
        <w:rPr>
          <w:rStyle w:val="FootnoteAnchor"/>
          <w:rtl w:val="true"/>
        </w:rPr>
        <w:footnoteReference w:id="4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العلم بحالته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فإن کانت حالته السابقة وجود المادّة فیستصحب بقاؤها فیحکم بالطهارة، وإن کان عدمها فیستصحب عدمها فیحکم بالنجاسة، وإن لم تکن له حالة سابقة أو کانت وهو لا یعلم بها، ویشکّ فی أصل وجود المادّة لا فی بقائها فیحکم بنجاسته بالملاقاة علی الأحوط، وسیأتی من المصنّف الحکم بالطهارة فی المسألة السابعة فی مشکوک الکرّیّة، ویمکن الفرق بین المسألتین بجریان الاستصحاب فی العدم الأزلی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یکن مسبوقاً بوجودها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وکـان قلیلاً ،</w:t>
      </w:r>
    </w:p>
    <w:p>
      <w:pPr>
        <w:pStyle w:val="BookText"/>
        <w:rPr/>
      </w:pPr>
      <w:r>
        <w:rPr>
          <w:rFonts w:ascii="IRNazanin" w:hAnsi="IRNazanin" w:eastAsia="IRNazanin"/>
          <w:color w:val="111111"/>
          <w:sz w:val="28"/>
          <w:sz w:val="28"/>
          <w:szCs w:val="28"/>
          <w:rtl w:val="true"/>
          <w:lang w:bidi="fa-IR"/>
        </w:rPr>
        <w:t>ینجس</w:t>
      </w:r>
      <w:r>
        <w:rPr>
          <w:rStyle w:val="FootnoteAnchor"/>
          <w:rtl w:val="true"/>
        </w:rPr>
        <w:footnoteReference w:id="4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مسبوقاً بوجود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یصدق علیه عنوان الجاری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بالملاقاة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الطهارة إذا کان الشکّ فی أصل وجود المادّة، کما هو ظاهر عبارة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مسبوقاً بوجودها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مبنیٌّ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سبقه بعدم المادّة، وإلاّ لم ینجس مطلقاً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مسبوقاً بعدم المادّة، وفی غیره الأقوی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متیقّناً بعدمها ثمّ شکّ فی وجودها، أمّا لو انعکس جری استصحاب بقائها، وأمّا إذا لم تکـن لـه حالـة سابقة أو کانت ولـم یعلـم بها بنی علی طهارته وتطهیره المتفرّع علی طهارته لا علی مادّته، فلا یجری علیه حکم القلیل ولا أحکام الکثیر، فیلزم فیـه التعدّد ولا ینجس بالملاقاة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طهارته، خصوصاً إذا کان مسبوقاً بوجودها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ظاهر العبارة أ نّه فیما إذا لم یکن مسبوقاً بوجود المادّة، ومع ذلک لا یمکن الفتوی بالنجاسة جزمیّاً؛ لعدم تمامیّة ما ذکروه مدرکاً من الوجوه الثلاثة، بل الأربعة، وکون المقام من التردید فی الموضوع، فالأقوی الطهارة وإن کان الأحوط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بعدمه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یحکم بالنجاسة إلاّ فی صورة العلم بعدمها سابقاً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ینجس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خلافه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فیما إذا لم یکن مسبوقاً بالمادّة، وسیأتی منه اختیار الطهارة فی نظیر المقام فی الفصل التالی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مسبوقاً بوجودها، وإلاّ فلا ینجس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ینجس علی الأقوی، إلاّ إذا کان مسبوقاً بعدم المادّة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عدم تنجّس الجاری اتّصاله بالمادّة</w:t>
      </w:r>
      <w:r>
        <w:rPr>
          <w:rStyle w:val="FootnoteAnchor"/>
          <w:rtl w:val="true"/>
        </w:rPr>
        <w:footnoteReference w:id="498"/>
      </w:r>
      <w:r>
        <w:rPr>
          <w:rFonts w:ascii="IRNazanin" w:hAnsi="IRNazanin" w:eastAsia="IRNazanin"/>
          <w:color w:val="111111"/>
          <w:sz w:val="28"/>
          <w:sz w:val="28"/>
          <w:szCs w:val="28"/>
          <w:rtl w:val="true"/>
          <w:lang w:bidi="fa-IR"/>
        </w:rPr>
        <w:t>، فلو کانت المادّة من فوق تترشّح وتتقاطر</w:t>
      </w:r>
      <w:r>
        <w:rPr>
          <w:rStyle w:val="FootnoteAnchor"/>
          <w:rtl w:val="true"/>
        </w:rPr>
        <w:footnoteReference w:id="499"/>
      </w:r>
      <w:r>
        <w:rPr>
          <w:rFonts w:ascii="IRNazanin" w:hAnsi="IRNazanin" w:eastAsia="IRNazanin"/>
          <w:color w:val="111111"/>
          <w:sz w:val="28"/>
          <w:sz w:val="28"/>
          <w:szCs w:val="28"/>
          <w:rtl w:val="true"/>
          <w:lang w:bidi="fa-IR"/>
        </w:rPr>
        <w:t>، فإن کان دون الکرّ ینجس</w:t>
      </w:r>
      <w:r>
        <w:rPr>
          <w:rStyle w:val="FootnoteAnchor"/>
          <w:rtl w:val="true"/>
        </w:rPr>
        <w:footnoteReference w:id="5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العدم فیما إذا کانت الملاقاة حالة التقاطر، فإنّه حینئذٍ متّصل بالمادّة کماء الغیث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وإن کان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مجموع القطرات والرشحات المجتمعة دون القطرة المتّصلة بالمادّة فإنّها طاهرة ما لم تنفصل، کما ستأتی الإشارة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نعم إذا</w:t>
      </w:r>
    </w:p>
    <w:p>
      <w:pPr>
        <w:pStyle w:val="BookText"/>
        <w:rPr/>
      </w:pPr>
      <w:r>
        <w:rPr>
          <w:rFonts w:ascii="IRNazanin" w:hAnsi="IRNazanin" w:eastAsia="IRNazanin"/>
          <w:color w:val="111111"/>
          <w:sz w:val="28"/>
          <w:sz w:val="28"/>
          <w:szCs w:val="28"/>
          <w:rtl w:val="true"/>
          <w:lang w:bidi="fa-IR"/>
        </w:rPr>
        <w:t>لاقی محلّ الرشح</w:t>
      </w:r>
      <w:r>
        <w:rPr>
          <w:rStyle w:val="FootnoteAnchor"/>
          <w:rtl w:val="true"/>
        </w:rPr>
        <w:footnoteReference w:id="501"/>
      </w:r>
      <w:r>
        <w:rPr>
          <w:rFonts w:ascii="IRNazanin" w:hAnsi="IRNazanin" w:eastAsia="IRNazanin"/>
          <w:color w:val="111111"/>
          <w:sz w:val="28"/>
          <w:sz w:val="28"/>
          <w:szCs w:val="28"/>
          <w:rtl w:val="true"/>
          <w:lang w:bidi="fa-IR"/>
        </w:rPr>
        <w:t>للنجاسة لا ینجس</w:t>
      </w:r>
      <w:r>
        <w:rPr>
          <w:rStyle w:val="FootnoteAnchor"/>
          <w:rtl w:val="true"/>
        </w:rPr>
        <w:footnoteReference w:id="50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ذو المادّة علیه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صدق ذو مادّة عرفاً علی محلّ الرشح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یعتبر فی المادّة</w:t>
      </w:r>
      <w:r>
        <w:rPr>
          <w:rStyle w:val="FootnoteAnchor"/>
          <w:rtl w:val="true"/>
        </w:rPr>
        <w:footnoteReference w:id="503"/>
      </w:r>
      <w:r>
        <w:rPr>
          <w:rFonts w:ascii="IRNazanin" w:hAnsi="IRNazanin" w:eastAsia="IRNazanin"/>
          <w:color w:val="111111"/>
          <w:sz w:val="28"/>
          <w:sz w:val="28"/>
          <w:szCs w:val="28"/>
          <w:rtl w:val="true"/>
          <w:lang w:bidi="fa-IR"/>
        </w:rPr>
        <w:t>الدوام</w:t>
      </w:r>
      <w:r>
        <w:rPr>
          <w:rStyle w:val="FootnoteAnchor"/>
          <w:rtl w:val="true"/>
        </w:rPr>
        <w:footnoteReference w:id="5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لا یکون استعدادها ضعیفاً، ولا یتّصل نبعها بحیث تنبع تارةً وترکد اُخری، أو المراد أن یکون النبع فی المادّة بحسب طبعها الأوّلی لا بجعلٍ وتسبیب، وطوینا عن الکلام فیها کشحاً، وهناک معانٍ ووجوه اُخر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الدوام الاستعدادی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الجملة بحدٍّ یصدق علیه العنوان، کما فی المثال المذکور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اجتمع الماء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الاحتراز لاعتبار الدوام عن ذلک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المطر</w:t>
      </w:r>
    </w:p>
    <w:p>
      <w:pPr>
        <w:pStyle w:val="BookText"/>
        <w:rPr/>
      </w:pPr>
      <w:r>
        <w:rPr>
          <w:rFonts w:ascii="IRNazanin" w:hAnsi="IRNazanin" w:eastAsia="IRNazanin"/>
          <w:color w:val="111111"/>
          <w:sz w:val="28"/>
          <w:sz w:val="28"/>
          <w:szCs w:val="28"/>
          <w:rtl w:val="true"/>
          <w:lang w:bidi="fa-IR"/>
        </w:rPr>
        <w:t>أو غیره تحت الأرض، ویترشّح إذا حفرت، لا یلحقه</w:t>
      </w:r>
      <w:r>
        <w:rPr>
          <w:rStyle w:val="FootnoteAnchor"/>
          <w:rtl w:val="true"/>
        </w:rPr>
        <w:footnoteReference w:id="505"/>
      </w:r>
      <w:r>
        <w:rPr>
          <w:rFonts w:ascii="IRNazanin" w:hAnsi="IRNazanin" w:eastAsia="IRNazanin"/>
          <w:color w:val="111111"/>
          <w:sz w:val="28"/>
          <w:sz w:val="28"/>
          <w:szCs w:val="28"/>
          <w:rtl w:val="true"/>
          <w:lang w:bidi="fa-IR"/>
        </w:rPr>
        <w:t>حکم الجاری</w:t>
      </w:r>
      <w:r>
        <w:rPr>
          <w:rStyle w:val="FootnoteAnchor"/>
          <w:rtl w:val="true"/>
        </w:rPr>
        <w:footnoteReference w:id="50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یلحقه حکم الکرّ لو کان مجموع ما تحت الأرض ـ مع الاتّصال وکونه ماءٍ لا نداوة ـ بالغاً مقداره، ومع الشکّ فی شیء من ذلک یلحقه حکم 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یلحقه حکمه مع صدق ذی المادّة علیه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یمکن القول بلحوقه، وإذا صدق فی العرف أنّ له مادّةً فلا ریب فی أ نّه لا یتنجّس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حکم الکرّ إذا کان المجموع یبلغ کرّاً، ومع الشکّ فهو کالسابق لا یلحقه حکم الکثیر ولا 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یلحقه فی عدم التنجّس مع کون مادّته کرّاً ولو بالاستصحاب، أو صدق ذی المادّة علیه فی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یلحقه حکمه؛ إذ هو من قبیل النابع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صدق ذیالمادّة علیه عرفاً، بل یلحقه حکم الکرّ إذا کان المجموع کرّاً، مع صدق عنوان الماء علیه لا مجرّد النداوة، وإلاّ یلحقه حکم 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الاحتمالات لدوام المادّة کثیرة، والمدار علی الصدق العرفی، ولا یبعد الصدق فی بعض الفروض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یلحقه حکم الراکد ذی المادّة مع الصدق عرفاً، وإلاّ فبحکم الکرّ لو کان المجموع ماءً متّصلاً، وإلاّ فبحکم 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یلحقه حکم الجاری لو صدق کونه ذا مادّة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فی صورة کرّیة المجتمع یلحقه حکم الکرّ کما هو واضح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إذا صدق فی العرف أنّ له مادّةً فلا یتنجّس بالملاقاة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لم یکن کرّاً، ولا ذا المادّة عرفاً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السبزواری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بل یلحقه حکم المحقون، فإن کان ماءً وبلغ مقدار الکرّ فهو من الکثیر، وإلاّ لحقه حکم 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مع صدق ذی المادّة علیه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فی عدم الانفعال صدق عنوان الجاری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یکن کرّاً، ولم یصدق علیه ذی المادّة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انقطع الاتّصال بالمادّة، کما لو اجتمع الطین فمنع من النبع</w:t>
      </w:r>
      <w:r>
        <w:rPr>
          <w:rStyle w:val="FootnoteAnchor"/>
          <w:rtl w:val="true"/>
        </w:rPr>
        <w:footnoteReference w:id="5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المحقّق للاتّصال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من الاتّصال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کان حکمه حکم الراکد، فإن اُزیل الطین لحقه حکم الجاری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لم یخرج من المادّة شیء، فاللازم مجرّد الاتّصال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جریان حکم الجاری، لا فی رفع الانفعال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رفع الانفعال یحتاج إلی الجریان الملازم مع المزج فی الجملة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عبداللّه‌الشیرازی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بحیث إذا خرج الماء المجتمع نبع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لو أخرج الماء الراکد لنبع، وهذه الحالة بعد زوال الطین وما أشبهه من الموانع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الراکد المتّصل</w:t>
      </w:r>
      <w:r>
        <w:rPr>
          <w:rStyle w:val="FootnoteAnchor"/>
          <w:rtl w:val="true"/>
        </w:rPr>
        <w:footnoteReference w:id="508"/>
      </w:r>
      <w:r>
        <w:rPr>
          <w:rFonts w:ascii="IRNazanin" w:hAnsi="IRNazanin" w:eastAsia="IRNazanin"/>
          <w:color w:val="111111"/>
          <w:sz w:val="28"/>
          <w:sz w:val="28"/>
          <w:szCs w:val="28"/>
          <w:rtl w:val="true"/>
          <w:lang w:bidi="fa-IR"/>
        </w:rPr>
        <w:t>بالجاری کالجاری</w:t>
      </w:r>
      <w:r>
        <w:rPr>
          <w:rStyle w:val="FootnoteAnchor"/>
          <w:rtl w:val="true"/>
        </w:rPr>
        <w:footnoteReference w:id="5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عدم الانفعال لا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عدم الانفعال وعدمه یدوران مدار وجود النبع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الاعتصام وعدم انفعاله بالملاقاة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عدم التنجّس بالملاقاة، وأمّا کونه کالجاری فی جمیع الأحکام فمشکل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عدم انفعاله بملاقاة النجاسة، لا فی الأحکام المختصّة بالجاری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العاصمیّة؛ لکونه متّصلاً بالمادّة فتجری سائر أحکام الجاری، مثل کفایة الغسل مرّة واحدة فی غسل المتنجّس بالبول، وإذا غمس الشیء المتنجّس فیه فالماء الّذی یخرج معه بعد خروجه منه 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منع، وکذا فی أطراف النهر ممّا لا یعدّ جزءاً من النهر عرفاً، نعم لا ینفعل إذا کان المجموع کرّاً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فی عدم الانفعال، لا فی ترتّب جمیع أحکام الماء الجاری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فالحوض المتّصل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بالنهر بساقیة یلحقه حکمه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عدم الانفعال، لا فی أحکامه المختصّة به إن کانت له أحکام 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عدم الانفعال بالملاقاة، لا فی سائر أحکامه الخاصّة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وکذا فی 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عدم الانفعال بملاقاة النجاسة، لا فی غیره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لم یصدق علیه الماء الجاری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وکذا أطراف النهر، وإن کان</w:t>
      </w:r>
    </w:p>
    <w:p>
      <w:pPr>
        <w:pStyle w:val="BookText"/>
        <w:rPr/>
      </w:pPr>
      <w:r>
        <w:rPr>
          <w:rFonts w:ascii="IRNazanin" w:hAnsi="IRNazanin" w:eastAsia="IRNazanin"/>
          <w:color w:val="111111"/>
          <w:sz w:val="28"/>
          <w:sz w:val="28"/>
          <w:szCs w:val="28"/>
          <w:rtl w:val="true"/>
          <w:lang w:bidi="fa-IR"/>
        </w:rPr>
        <w:t>ماوءها واقفاً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العیون الّتی</w:t>
      </w:r>
      <w:r>
        <w:rPr>
          <w:rStyle w:val="FootnoteAnchor"/>
          <w:rtl w:val="true"/>
        </w:rPr>
        <w:footnoteReference w:id="510"/>
      </w:r>
      <w:r>
        <w:rPr>
          <w:rFonts w:ascii="IRNazanin" w:hAnsi="IRNazanin" w:eastAsia="IRNazanin"/>
          <w:color w:val="111111"/>
          <w:sz w:val="28"/>
          <w:sz w:val="28"/>
          <w:szCs w:val="28"/>
          <w:rtl w:val="true"/>
          <w:lang w:bidi="fa-IR"/>
        </w:rPr>
        <w:t>تنبع فی الشتاء مثلاً وتنقطع فی الصیف یلحقها الحکم فی زمان نبعها</w:t>
      </w:r>
      <w:r>
        <w:rPr>
          <w:rStyle w:val="FootnoteAnchor"/>
          <w:rtl w:val="true"/>
        </w:rPr>
        <w:footnoteReference w:id="51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فالانفعال وعدمه یدوران مدار وجود النبع وعدمه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تغیّر بعض الجاری دون بعضه الآخر فالطرف المتّصل بالمادّة لا ینجس بالملاقاة وإن کان قلیلاً، والطرف الآخر</w:t>
      </w:r>
      <w:r>
        <w:rPr>
          <w:rStyle w:val="FootnoteAnchor"/>
          <w:rtl w:val="true"/>
        </w:rPr>
        <w:footnoteReference w:id="512"/>
      </w:r>
      <w:r>
        <w:rPr>
          <w:rFonts w:ascii="IRNazanin" w:hAnsi="IRNazanin" w:eastAsia="IRNazanin"/>
          <w:color w:val="111111"/>
          <w:sz w:val="28"/>
          <w:sz w:val="28"/>
          <w:szCs w:val="28"/>
          <w:rtl w:val="true"/>
          <w:lang w:bidi="fa-IR"/>
        </w:rPr>
        <w:t>حکمه حکم الراکد</w:t>
      </w:r>
      <w:r>
        <w:rPr>
          <w:rStyle w:val="FootnoteAnchor"/>
          <w:rtl w:val="true"/>
        </w:rPr>
        <w:footnoteReference w:id="5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لانفصاله عن المادّة بسبب تخلّل القطعة المتغیّرة، فإن کان کثیراً لم ینفعل، وإن کان قلیلاً فهو متنجّس؛ لمکان ملاقاته المتنجّس وهو البعض المتغیّر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تغیّر تمام قطر ذلک البعض المتغیّر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وإلاّ فالمتنجّس هو المقدار المتغیّر فقط؛ لاتّصال ما عداه بالمادّة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196" w:name="pg13272_142928"/>
    </w:p>
    <w:p>
      <w:pPr>
        <w:pStyle w:val="Heading3"/>
        <w:numPr>
          <w:ilvl w:val="2"/>
          <w:numId w:val="1"/>
        </w:numPr>
        <w:rPr/>
      </w:pPr>
      <w:bookmarkStart w:id="197" w:name="__RefHeading___Toc1636504_2322387425"/>
      <w:bookmarkStart w:id="198" w:name="_Toc64"/>
      <w:bookmarkEnd w:id="196"/>
      <w:bookmarkEnd w:id="197"/>
      <w:r>
        <w:rPr>
          <w:rtl w:val="true"/>
        </w:rPr>
        <w:t>فصل فی الماء الراکد</w:t>
      </w:r>
      <w:r>
        <w:rPr>
          <w:rtl w:val="true"/>
        </w:rPr>
        <w:t xml:space="preserve">: </w:t>
      </w:r>
      <w:r>
        <w:rPr>
          <w:rtl w:val="true"/>
        </w:rPr>
        <w:t>الکرّ والقلیل</w:t>
      </w:r>
      <w:bookmarkEnd w:id="198"/>
    </w:p>
    <w:p>
      <w:pPr>
        <w:pStyle w:val="Heading4"/>
        <w:numPr>
          <w:ilvl w:val="3"/>
          <w:numId w:val="1"/>
        </w:numPr>
        <w:rPr/>
      </w:pPr>
      <w:bookmarkStart w:id="199" w:name="__RefHeading___Toc1636506_2322387425"/>
      <w:bookmarkStart w:id="200" w:name="_Toc65"/>
      <w:bookmarkEnd w:id="199"/>
      <w:r>
        <w:rPr>
          <w:rtl w:val="true"/>
        </w:rPr>
        <w:t>اشارة</w:t>
      </w:r>
      <w:bookmarkEnd w:id="200"/>
    </w:p>
    <w:p>
      <w:pPr>
        <w:pStyle w:val="BookText"/>
        <w:rPr/>
      </w:pPr>
      <w:r>
        <w:rPr>
          <w:rFonts w:ascii="IRNazanin" w:hAnsi="IRNazanin" w:eastAsia="IRNazanin"/>
          <w:color w:val="111111"/>
          <w:sz w:val="28"/>
          <w:sz w:val="28"/>
          <w:szCs w:val="28"/>
          <w:rtl w:val="true"/>
          <w:lang w:bidi="fa-IR"/>
        </w:rPr>
        <w:t>الراکـد بلا مادّة إن کان دون الکـرّ ینجس بالملاقاة، مـن غیر فرق بین النجاسات</w:t>
      </w:r>
      <w:r>
        <w:rPr>
          <w:rStyle w:val="FootnoteAnchor"/>
          <w:rtl w:val="true"/>
        </w:rPr>
        <w:footnoteReference w:id="5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غیر فرق بین کون القلیل مستقرّاً علی عین النجس أو منفصلاً عنها بالرشحة، وکذا الأقوی انفعال القلیل بملاقاته للمتنجّس ولو بالواسطة، إلاّ إذا کانت الوسائط فی الکثیر بحیث تمنع عن السرایة بنظر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تنجّس الماء المطلق القلیل بالمتنجّس محلّ نظر وإشکال 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حتّی برأس إبرة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الدم الّذی لا یدرکه الطرف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سواء کان مجتمعاً أو متفرّقاً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مع اتّصالها بالسواقی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فلو کان هناک حفر متعدّدة فیها الماء، واتّصلت بالسواقی، ولم یکن المجموع کرّاً إذا لاقی النجس واحدة منها تنجّس الجمیع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 بقدر الکرّ</w:t>
      </w:r>
    </w:p>
    <w:p>
      <w:pPr>
        <w:pStyle w:val="BookText"/>
        <w:rPr/>
      </w:pPr>
      <w:r>
        <w:rPr>
          <w:rFonts w:ascii="IRNazanin" w:hAnsi="IRNazanin" w:eastAsia="IRNazanin"/>
          <w:color w:val="111111"/>
          <w:sz w:val="28"/>
          <w:sz w:val="28"/>
          <w:szCs w:val="28"/>
          <w:rtl w:val="true"/>
          <w:lang w:bidi="fa-IR"/>
        </w:rPr>
        <w:t>لا ینجس</w:t>
      </w:r>
      <w:r>
        <w:rPr>
          <w:rStyle w:val="FootnoteAnchor"/>
          <w:rtl w:val="true"/>
        </w:rPr>
        <w:footnoteReference w:id="515"/>
      </w:r>
      <w:r>
        <w:rPr>
          <w:rFonts w:ascii="IRNazanin" w:hAnsi="IRNazanin" w:eastAsia="IRNazanin"/>
          <w:color w:val="111111"/>
          <w:sz w:val="28"/>
          <w:sz w:val="28"/>
          <w:szCs w:val="28"/>
          <w:rtl w:val="true"/>
          <w:lang w:bidi="fa-IR"/>
        </w:rPr>
        <w:t>، وإن کان متفرّقاً علی الوجه المذکور، فلو کان ما فی کلّ حفرة دون الکرّ، وکان المجموع کرّاً، ولاقی واحدة منها النجس لم تنجس</w:t>
      </w:r>
      <w:r>
        <w:rPr>
          <w:rStyle w:val="FootnoteAnchor"/>
          <w:rtl w:val="true"/>
        </w:rPr>
        <w:footnoteReference w:id="51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بعضها عالیاً وبعضها سافلاً ویجری ما فی بعضها علی الآخر، فإنّه لا یعتصم العالی بالسافل، ولا العکس، فإذا تنجّس العالی تنجّس السافل، وإذا تنجّس السافل لم تسرِ النجاسة إلی العالی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تساوی السطوح أو رکود الماء، وأمّا لو جری من الأعلی إلی الأسفل بحیث یکون بعضه مجتمعاً فی الأعلی، وبعضه فی الأسفل واتّصلا بانصباب الأعلی ففی تقویة کلٍّ منهما بالآخر إشکال، بل تقوّی العالی من السافل ممنوع، نعم لا یضرّ بعض أقسام التسریح بل التسنیم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تساوی السطوح أو اختلافها مع الرکود، وفی صورة الجریان تقوّی العالی واعتصامه بالسافل مشکلٌ، بل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القول بالتقوّی فی عکسه لا بأس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سطوحها متساویة، ومع الاختلاف وکان الماء جاریاً من العالی بالدفع فکفایة کرّیّة المجموع مطلقاً، وکذا کرّیّة السافل إذا کان ملاقی النجس هو العالی فی غایة الإشکال، نعم إذا کان العالی وحده کرّاً اعتصم السافل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یکون کلّ جزء منه متقوّماً ببقیة الأجزاء، وممّا ذکرنا یظهر الحال فی المسألة الخامسة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لاتّصالها بالبقیّة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وحدة المجموع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کانت سطوحها متساویة أو مختلفة مع عدم الجریان، وأمّا إذا جری من الأعلی إلی الأسفل ففی اعتصام العالی منه بالسافل إشکال، نعم یعتصم السافل منه بالعالی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تساوی السطوح، وأمّا لو کان بعضها أعلی والماء جاریاً منه بالدفع والقوّة فکفایة کرّیة المجموع مطلقاً، وکذا کرّیّة خصوص السافل لو کان ملاقی النجس هو العالی فی غایة الإشکال، بل الانفعال لا یخلو عن قوّة، نعم لو کان العالی وحده کرّاً اعتصم السافل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رکود المیاه، أمّا لو جری بعضها علی بعض أشکل الحُکم بعدم تنجّس ما یلاقی النجس منها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فیما إذا کانت السطوح متساویة، ومع الاختلاف یتقوّی السافل بالعالی دون العکس لو کان العالی جاریاً إلی الأسفل بقوّة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أوجب صدق الوحدة، وإلاّ ففی اعتصام العالی بالسافل إذا کان جاریاً من العالی إلی السافل بالقوّة والدفع إشکال، بل لایخلو الانفعال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اعتصام العالی منه بالسافل إذا جری تأمّل وإشکال، نعم السافل معتصم بالعالی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فی غیر الجاری من العالی، وأمّا فیه فاعتصامه بالسافل محلّ منع، مثل ما فی الظروف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الأوانی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المیاه القلیلة المتّصلة بالکرّ حین انصبابها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اختلاف السطوح وجریان الماء من العالی إلی السافل یشکل اعتصام العالی بالسافل، نعم لا ینفعل العالی بملاقاة السافل مع النجاسة؛ لأجل الدفع والقوّة الحاصلان من الجریان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اختلفت سطوح الماء بحیث کان یجری من العالی إلی السافل لم تصدق الوحدة علی مجموع الماء فلا یعتصم بعضه ببعض، ویجری علیه حکم القلیل المختلف السطوح، فإذا تنجّس العالی تنجّس السافل، وإذا تنجّس السافل لم یتنجّس العالی، نعم إذا کان العالی وحده کرّاً وجری إلی السافل کان له مادّة واعتصم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کانت سطوحها متساویة أو مختلفة مع عدم الجریان، وأمّا مع جریان الماء من العالی إلی السافل ففی اعتصام العالی منه بالسافل تأمّل، بل المنع لا یخلو من قوة، نعم لا ینفعل العالی بسبب ملاقاة السافل بالنجاسة من جهة حصول الدفع والقوّة من الجریان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1" w:name="pg13272_142931"/>
      <w:bookmarkStart w:id="202" w:name="pg13272_142931"/>
      <w:bookmarkEnd w:id="202"/>
    </w:p>
    <w:p>
      <w:pPr>
        <w:pStyle w:val="BookText"/>
        <w:rPr/>
      </w:pPr>
      <w:bookmarkStart w:id="203" w:name="pg13272_142931"/>
      <w:bookmarkEnd w:id="203"/>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لا فرق فی تنجّس القلیل بین أن یکون وارداً </w:t>
      </w:r>
      <w:r>
        <w:rPr>
          <w:rStyle w:val="FootnoteAnchor"/>
          <w:rtl w:val="true"/>
        </w:rPr>
        <w:footnoteReference w:id="5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إشارة إلی تضعیف ما اختاره سیّدنا المرتضی علم الهدی فی شرح المسائل الناصریّات من الفرق بین الوارد والمورود، ویحتمل قویّاً أن یوجّه کلامه بإرادة عدم الانفعال فی خصوص القلیل المستعمل فی التطهیر، من دون نظر إلی التفصیل بین الوارد والمورود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فی الوارد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النجاسة أو موروداً</w:t>
      </w:r>
      <w:r>
        <w:rPr>
          <w:rFonts w:eastAsia="IRNazanin" w:cs="IRNazanin"/>
          <w:color w:val="111111"/>
          <w:sz w:val="28"/>
          <w:szCs w:val="28"/>
          <w:rtl w:val="true"/>
          <w:lang w:bidi="fa-IR"/>
        </w:rPr>
        <w:t>.</w:t>
      </w:r>
    </w:p>
    <w:p>
      <w:pPr>
        <w:pStyle w:val="Heading4"/>
        <w:numPr>
          <w:ilvl w:val="3"/>
          <w:numId w:val="1"/>
        </w:numPr>
        <w:rPr/>
      </w:pPr>
      <w:bookmarkStart w:id="204" w:name="__RefHeading___Toc1636508_2322387425"/>
      <w:bookmarkStart w:id="205" w:name="_Toc66"/>
      <w:bookmarkEnd w:id="204"/>
      <w:r>
        <w:rPr>
          <w:rtl w:val="true"/>
        </w:rPr>
        <w:t>تحدید مقدار الکر وزناً و مساحة</w:t>
      </w:r>
      <w:bookmarkEnd w:id="20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مسألـة </w:t>
      </w:r>
      <w:r>
        <w:rPr>
          <w:rFonts w:eastAsia="IRNazanin" w:cs="IRNazanin"/>
          <w:color w:val="111111"/>
          <w:sz w:val="28"/>
          <w:szCs w:val="28"/>
          <w:lang w:bidi="fa-IR"/>
        </w:rPr>
        <w:t>2</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الکرّ </w:t>
      </w:r>
      <w:r>
        <w:rPr>
          <w:rStyle w:val="FootnoteAnchor"/>
          <w:rtl w:val="true"/>
        </w:rPr>
        <w:footnoteReference w:id="518"/>
      </w:r>
      <w:r>
        <w:rPr>
          <w:rFonts w:ascii="IRNazanin" w:hAnsi="IRNazanin" w:eastAsia="IRNazanin"/>
          <w:color w:val="111111"/>
          <w:sz w:val="28"/>
          <w:sz w:val="28"/>
          <w:szCs w:val="28"/>
          <w:rtl w:val="true"/>
          <w:lang w:bidi="fa-IR"/>
        </w:rPr>
        <w:t xml:space="preserve">بحسب الـوزن </w:t>
      </w:r>
      <w:r>
        <w:rPr>
          <w:rStyle w:val="FootnoteAnchor"/>
          <w:rtl w:val="true"/>
        </w:rPr>
        <w:footnoteReference w:id="519"/>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تحدیده بالوزن لا یخلو من شوب إشکال، ومنه یظهر الحال فی المسألة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ألـف ومائتا</w:t>
      </w:r>
    </w:p>
    <w:p>
      <w:pPr>
        <w:pStyle w:val="BookText"/>
        <w:rPr/>
      </w:pPr>
      <w:r>
        <w:rPr>
          <w:rFonts w:ascii="IRNazanin" w:hAnsi="IRNazanin" w:eastAsia="IRNazanin"/>
          <w:color w:val="111111"/>
          <w:sz w:val="28"/>
          <w:sz w:val="28"/>
          <w:szCs w:val="28"/>
          <w:rtl w:val="true"/>
          <w:lang w:bidi="fa-IR"/>
        </w:rPr>
        <w:t>رطـل</w:t>
      </w:r>
      <w:r>
        <w:rPr>
          <w:rStyle w:val="FootnoteAnchor"/>
          <w:rtl w:val="true"/>
        </w:rPr>
        <w:footnoteReference w:id="520"/>
      </w:r>
      <w:r>
        <w:rPr>
          <w:rFonts w:ascii="IRNazanin" w:hAnsi="IRNazanin" w:eastAsia="IRNazanin"/>
          <w:color w:val="111111"/>
          <w:sz w:val="28"/>
          <w:sz w:val="28"/>
          <w:szCs w:val="28"/>
          <w:rtl w:val="true"/>
          <w:lang w:bidi="fa-IR"/>
        </w:rPr>
        <w:t>بالعراقیّ ، وبالمساحة</w:t>
      </w:r>
      <w:r>
        <w:rPr>
          <w:rStyle w:val="FootnoteAnchor"/>
          <w:rtl w:val="true"/>
        </w:rPr>
        <w:footnoteReference w:id="5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 نّه یکتفی بستّة وثلاثین شبراً مکعّباً، بل هذا المقدار یزید علی الکرّ بقلیل، والظاهر أنّ الکرّ یقرب من أربعة أعشار المتر المکعّب من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الّتی جعلت فی مقام التسهیل طریقاً إلی الوزن المذکور، الّذی هو الموضوع الواقعی العاصم، فهی سبیل إلی إحراز وجود الوزن فی جمیع الموارد، سواء کان الماء خفیفاً بحسب الوزن؛ لخلوصه من الأجزاء الأرضیّة کالملح والکبریت والزاج والجصّ ونحوها، أم ثقیلاً لعدم الخلوص عنها، والمعیار فی الأشبار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الشبر فی المستوی الخلقة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ثلاثة وأربعون</w:t>
      </w:r>
    </w:p>
    <w:p>
      <w:pPr>
        <w:pStyle w:val="BookText"/>
        <w:rPr/>
      </w:pPr>
      <w:r>
        <w:rPr>
          <w:rFonts w:ascii="Amiri" w:hAnsi="Amiri" w:eastAsia="Amiri" w:cs="Amiri"/>
          <w:color w:val="111111"/>
          <w:sz w:val="28"/>
          <w:sz w:val="28"/>
          <w:szCs w:val="28"/>
          <w:rtl w:val="true"/>
          <w:lang w:bidi="ar-SA"/>
        </w:rPr>
        <w:t xml:space="preserve">شبراً </w:t>
      </w:r>
      <w:r>
        <w:rPr>
          <w:rStyle w:val="FootnoteAnchor"/>
          <w:rtl w:val="true"/>
        </w:rPr>
        <w:footnoteReference w:id="5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وکفایة ستّة وثلاثین شبراً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ویکفی ستّة وثلاثون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وإن کان الأقوی کفایة بلوغه ستّة وثلاثین شبراً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بلوغها إلی ما یقرب ستّة وثلاثین شبراً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ربّما یقوی فی النظر کفایة ستّة وثلاثین شبراً، بل کفایة ثلاثة وثلاثین شبراً وخمسة أثمان شبراً ونصف شبر، ولکنّ فی النفس شیئاً، فلا یُترک الاحتیاط بما ذهب إلیه المشهور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والأظهر کفایة سبعة وعشرین شبراً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مقداره فی المساحة ما بلغ مکسّره سبعة وعشرین شبراً، والأحوط أن یبلغ مکعّبه ستة وثلاثین شبراً إلاّ ثمن شِبر، والأحوط منه ما هو المشهور من ثلاثة وأربعین شبراً إلاّ ثمن شبر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والأقوی کفایة ما یقرب من ستّة وثلاثین شبراً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ثُمن شبر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الاکتفاء ببلوغ المساحة إلی ثلاثة وثلاثین شبراً لا یخلو من قوّة؛ لاحتمال حمل أخبارها علی شکل الرکیّ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للرَکِیّة، وهی البئر، والمَرکُوّ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الحوض الکبیر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لسان العرب </w:t>
      </w:r>
      <w:r>
        <w:rPr>
          <w:rFonts w:eastAsia="IRNazanin" w:cs="IRNazanin"/>
          <w:color w:val="111111"/>
          <w:sz w:val="28"/>
          <w:szCs w:val="28"/>
          <w:lang w:bidi="fa-IR"/>
        </w:rPr>
        <w:t>5/306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رکا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الغالب کونه بشکل الدائرة فیخرج ضربه بمقدار ما ذکرنا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کفایة بلوغه ستّة وثلاثین شبراً بأن کان کلٌّ من عرضه وطوله ثلاثة أشبار وعمقه أربعة أشبار مثلاً، بل کفایة بلوغه سبعة وعشرین شبراً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والاکتفاء بما بلغ مکسّره ستّة وثلاثین شبراً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کفایة ما بلغ مکسّره ستّة وثلاثین شبراً لا تخلو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الاجتزاء بسبعة وعشرین شبراً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والأظهر أ نّه سبعة وعشرون شبراً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 نّه سبعة وعشرون شبراً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 نّه سبعة وعشرون، والأحوط اعتبار ستّة وثلاثین شبراً، وأحوط منه ما فی المتن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فبالمـنّ</w:t>
      </w:r>
    </w:p>
    <w:p>
      <w:pPr>
        <w:pStyle w:val="BookText"/>
        <w:rPr/>
      </w:pPr>
      <w:r>
        <w:rPr>
          <w:rFonts w:ascii="Amiri" w:hAnsi="Amiri" w:eastAsia="Amiri" w:cs="Amiri"/>
          <w:color w:val="111111"/>
          <w:sz w:val="28"/>
          <w:sz w:val="28"/>
          <w:szCs w:val="28"/>
          <w:rtl w:val="true"/>
          <w:lang w:bidi="ar-SA"/>
        </w:rPr>
        <w:t>الشاهیّ</w:t>
      </w:r>
      <w:r>
        <w:rPr>
          <w:rStyle w:val="FootnoteAnchor"/>
          <w:rtl w:val="true"/>
        </w:rPr>
        <w:footnoteReference w:id="5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وبالمنّ التبریزی المتداول مائة وثمانیة وعشرون منّاً إلاّ عشرین مثقالاً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وهو ألف ومائتان وثمانون مثقالاً ـ یصیر أربعة وستّین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منّاً إلاّ عشرین مثقالاً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 بحقّة الإسلامبول</w:t>
      </w:r>
      <w:r>
        <w:rPr>
          <w:rStyle w:val="FootnoteAnchor"/>
          <w:rtl w:val="true"/>
        </w:rPr>
        <w:footnoteReference w:id="524"/>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وتقدیرها بالأشبار المعمولة فی بلادنا سبعة عشر شبراً ونصف شبر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وهی مائتان وثمانون مثقالاً ـ</w:t>
      </w:r>
    </w:p>
    <w:p>
      <w:pPr>
        <w:pStyle w:val="BookText"/>
        <w:rPr/>
      </w:pPr>
      <w:r>
        <w:rPr>
          <w:rFonts w:ascii="Amiri" w:hAnsi="Amiri" w:eastAsia="Amiri" w:cs="Amiri"/>
          <w:color w:val="111111"/>
          <w:sz w:val="28"/>
          <w:sz w:val="28"/>
          <w:szCs w:val="28"/>
          <w:rtl w:val="true"/>
          <w:lang w:bidi="ar-SA"/>
        </w:rPr>
        <w:t>مائتا حقّة واثنتان وتسعون حقّة ونصف حقّة</w:t>
      </w:r>
      <w:r>
        <w:rPr>
          <w:rStyle w:val="FootnoteAnchor"/>
          <w:rtl w:val="true"/>
        </w:rPr>
        <w:footnoteReference w:id="5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والکرّ بالربعة المعروفة فی البحرین ـ وهی أربعمائة مثقال صیرفی ـ مائتان وأربع ربعات وثلاثة أرباع الربعة، والکرّ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بالکیلو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الوزن الغربی المعروف ثلاثمائة وثمانون کیلواً علی التقریب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الماء أقلّ من الکرّ ولو بنصف مثقال یجری علیه حکم القلیل</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لم تتساوَ سطوح القلیل ینجس العالی بملاقاة السافل کالعکس، نعم لو کان جاریاً من الأعلی</w:t>
      </w:r>
      <w:r>
        <w:rPr>
          <w:rStyle w:val="FootnoteAnchor"/>
          <w:rtl w:val="true"/>
        </w:rPr>
        <w:footnoteReference w:id="52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المعیار فی عدم الانفعال الدفع والقوّة المانعین عن السرایة، والحکم فی المقام الارتکاز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المدار فی عدم التنجّس علی التدافع بقوّة من غیر فرق بین العالی وغیره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إلی الأسفل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المدار علی الدفع والقوّة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أنّ المناط قوّة التدافع مطلقاً، وإن کان من الأسفل إلی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ینجس العالی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فی عدم التنجّس هو التدافع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المدار هو القوّة والدفع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المناط فی عدم التنجّس هو الدفع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الدفع عن قوّة یکفی فی عدم التأثّر وإن کان من الأسفل کالفوّارة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بملاقاة السافل، من غیر</w:t>
      </w:r>
    </w:p>
    <w:p>
      <w:pPr>
        <w:pStyle w:val="BookText"/>
        <w:rPr/>
      </w:pPr>
      <w:r>
        <w:rPr>
          <w:rFonts w:ascii="IRNazanin" w:hAnsi="IRNazanin" w:eastAsia="IRNazanin"/>
          <w:color w:val="111111"/>
          <w:sz w:val="28"/>
          <w:sz w:val="28"/>
          <w:szCs w:val="28"/>
          <w:rtl w:val="true"/>
          <w:lang w:bidi="fa-IR"/>
        </w:rPr>
        <w:t>فرق</w:t>
      </w:r>
      <w:r>
        <w:rPr>
          <w:rStyle w:val="FootnoteAnchor"/>
          <w:rtl w:val="true"/>
        </w:rPr>
        <w:footnoteReference w:id="528"/>
      </w:r>
      <w:r>
        <w:rPr>
          <w:rFonts w:ascii="Amiri" w:hAnsi="Amiri" w:eastAsia="Amiri" w:cs="Amiri"/>
          <w:color w:val="111111"/>
          <w:sz w:val="28"/>
          <w:sz w:val="28"/>
          <w:szCs w:val="28"/>
          <w:rtl w:val="true"/>
          <w:lang w:bidi="ar-SA"/>
        </w:rPr>
        <w:t>بین العلوّ التسنیمیّ والتسریحیّ</w:t>
      </w:r>
      <w:r>
        <w:rPr>
          <w:rStyle w:val="FootnoteAnchor"/>
          <w:rtl w:val="true"/>
        </w:rPr>
        <w:footnoteReference w:id="52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تأمّل، بل المتیقّن منه ما کان بشکل التسنیم، إلاّ إذا کان فیه جهة قوّة ودفع یجری علیه حکم الفوّارة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تسریحاً یشبه التسنیم فی أ نّه یجری الماء من الأعلی إلی الأسفل بدفع وقوّة، بل قد مرّ سابقاً أ نّه لا یبعد أن یکون المدار علی التدافع بقوّة، وإن کان من الأسفل إلی الأعلی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القوّة والدفع فیه بمثابة لا یقصر عن التسنیمیّ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المشابه للتسنیمیّ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الشبیه بالتسنیمیّ فی کونه مندفعاً بقوّة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المشابه للتسنیمیّ فی الجریان بقوّة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الجریان بدفع وقوّة، وکذا إذا کان السافل مندفعاً إلی العالی، فإنّه لا ینجس السافل بملاقاة العالی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حصول التدافع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جریه بالدفع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قوّةٍ ودفع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الخمینی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القریب من التسنیمیّ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شبیهاً بالتسنیمیّ من حیث کون الجریان من الأعلی إلی الأسفل بالدفع والقوّة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وإذا کان الجریان إلی الأعلی بدفعٍ وقوّة کما فی الفوّارة لم تسرِ النجاسة إلی السافل بملاقاتها للأعلی، ومثله المساوی، وقد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الشبیه بالتسنیمیّ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بدفع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جمد بعض ماء الحوض والباقی لا یبلغ کرّاً ینجس بالملاقاة، ولا یعصمه ما جمد</w:t>
      </w:r>
      <w:r>
        <w:rPr>
          <w:rStyle w:val="FootnoteAnchor"/>
          <w:rtl w:val="true"/>
        </w:rPr>
        <w:footnoteReference w:id="530"/>
      </w:r>
      <w:r>
        <w:rPr>
          <w:rFonts w:ascii="IRNazanin" w:hAnsi="IRNazanin" w:eastAsia="IRNazanin"/>
          <w:color w:val="111111"/>
          <w:sz w:val="28"/>
          <w:sz w:val="28"/>
          <w:szCs w:val="28"/>
          <w:rtl w:val="true"/>
          <w:lang w:bidi="fa-IR"/>
        </w:rPr>
        <w:t>، بل إذا ذاب شیئاً فشیئاً ینجس</w:t>
      </w:r>
      <w:r>
        <w:rPr>
          <w:rStyle w:val="FootnoteAnchor"/>
          <w:rtl w:val="true"/>
        </w:rPr>
        <w:footnoteReference w:id="531"/>
      </w:r>
      <w:r>
        <w:rPr>
          <w:rFonts w:ascii="IRNazanin" w:hAnsi="IRNazanin" w:eastAsia="IRNazanin"/>
          <w:color w:val="111111"/>
          <w:sz w:val="28"/>
          <w:sz w:val="28"/>
          <w:szCs w:val="28"/>
          <w:rtl w:val="true"/>
          <w:lang w:bidi="fa-IR"/>
        </w:rPr>
        <w:t>أیضاً، وکذا إذا کان هناک ثلج کثیر فذاب منه أقلّ من الکرّ، فإنّه ینجس بالملاقاة ولا یعتصم بما بقی من الثلج</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الماء المشکوک کرّیّـته مـع عـدم العلـم بحالته السابقة فی حکم القلیل</w:t>
      </w:r>
      <w:r>
        <w:rPr>
          <w:rStyle w:val="FootnoteAnchor"/>
          <w:rtl w:val="true"/>
        </w:rPr>
        <w:footnoteReference w:id="532"/>
      </w:r>
      <w:r>
        <w:rPr>
          <w:rFonts w:ascii="IRNazanin" w:hAnsi="IRNazanin" w:eastAsia="IRNazanin"/>
          <w:color w:val="111111"/>
          <w:sz w:val="28"/>
          <w:sz w:val="28"/>
          <w:szCs w:val="28"/>
          <w:rtl w:val="true"/>
          <w:lang w:bidi="fa-IR"/>
        </w:rPr>
        <w:t>علی الأحوط</w:t>
      </w:r>
      <w:r>
        <w:rPr>
          <w:rStyle w:val="FootnoteAnchor"/>
          <w:rtl w:val="true"/>
        </w:rPr>
        <w:footnoteReference w:id="5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الحکیم، حسن القمّی، 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وقد تقدّم منه الفتوی بالتنجّس فی نظیر المقام فی الفصل السابق، مسألة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الأقوی، فتسقط الفروع المتفرّعة علی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کان</w:t>
      </w:r>
    </w:p>
    <w:p>
      <w:pPr>
        <w:pStyle w:val="BookText"/>
        <w:rPr/>
      </w:pPr>
      <w:r>
        <w:rPr>
          <w:rFonts w:ascii="IRNazanin" w:hAnsi="IRNazanin" w:eastAsia="IRNazanin"/>
          <w:color w:val="111111"/>
          <w:sz w:val="28"/>
          <w:sz w:val="28"/>
          <w:szCs w:val="28"/>
          <w:rtl w:val="true"/>
          <w:lang w:bidi="fa-IR"/>
        </w:rPr>
        <w:t>الأقوی</w:t>
      </w:r>
      <w:r>
        <w:rPr>
          <w:rStyle w:val="FootnoteAnchor"/>
          <w:rtl w:val="true"/>
        </w:rPr>
        <w:footnoteReference w:id="53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القوّة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تنجّسه بالملاقاة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کونه بحکم القلیل فینفعل بملاقاة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لا یجری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إجـراء أحکـام الکـرّ علیه لا یخلو من وجه، ولکنّ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حکم الکرّ</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فـلا یطهّر</w:t>
      </w:r>
      <w:r>
        <w:rPr>
          <w:rStyle w:val="FootnoteAnchor"/>
          <w:rtl w:val="true"/>
        </w:rPr>
        <w:footnoteReference w:id="5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بطهارته وبطهارة المغسول فیه، وإن لم یجرِ علیه حکم الکرّ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حصول الطهارة به قویّ، وإن کان خلاف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حصول الطهارة به، وإن کان الاحتیاط 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یحتاج تطهیره إلی إلقاء الکرّ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ولا یحکم بطهارة متنجّس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لا ینبغی 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غُسل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ممّا یعتبر فی تطهیره بالقلیل أمر زائد علی ما یعتبر فی الکثیر، أمّا ما اتّحد کیفیّة تطهیره فیهما فلا یبعد طهارته بغسله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الحکم بطهارة المتنجّس المغسول به؛ لکفایة الغسل بما لا ینفعل بالملاقاة ولو بالأصل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حکمه حکم الکرّ فیما ذکر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یکفی فی الحکم بالطهارة الغسل بما لا ینفعل بالملاقاة ولو بالأصل، وقد تقدّمت مناقضة الحکم بطهارة الماء فی هذه المسألة مع الحکم بالنجاسة فی مشکوک المادّة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بناءً علی اعتبار الورود فی التطهیر بالماء القلیل، والأظهر عدمه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وإن علم حالته السابقة</w:t>
      </w:r>
    </w:p>
    <w:p>
      <w:pPr>
        <w:pStyle w:val="BookText"/>
        <w:rPr/>
      </w:pPr>
      <w:r>
        <w:rPr>
          <w:rFonts w:ascii="IRNazanin" w:hAnsi="IRNazanin" w:eastAsia="IRNazanin"/>
          <w:color w:val="111111"/>
          <w:sz w:val="28"/>
          <w:sz w:val="28"/>
          <w:szCs w:val="28"/>
          <w:rtl w:val="true"/>
          <w:lang w:bidi="fa-IR"/>
        </w:rPr>
        <w:t>یجری</w:t>
      </w:r>
      <w:r>
        <w:rPr>
          <w:rStyle w:val="FootnoteAnchor"/>
          <w:rtl w:val="true"/>
        </w:rPr>
        <w:footnoteReference w:id="536"/>
      </w:r>
      <w:r>
        <w:rPr>
          <w:rFonts w:ascii="IRNazanin" w:hAnsi="IRNazanin" w:eastAsia="IRNazanin"/>
          <w:color w:val="111111"/>
          <w:sz w:val="28"/>
          <w:sz w:val="28"/>
          <w:szCs w:val="28"/>
          <w:rtl w:val="true"/>
          <w:lang w:bidi="fa-IR"/>
        </w:rPr>
        <w:t>علیه حکم تلک الحالة</w:t>
      </w:r>
      <w:r>
        <w:rPr>
          <w:rStyle w:val="FootnoteAnchor"/>
          <w:rtl w:val="true"/>
        </w:rPr>
        <w:footnoteReference w:id="5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وحدة الموضوع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تختلف کمیّة الماء قلّةً وکثرةً بنحو یمنع عن صدق الوحدة أو یشکّ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 صوره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کلامه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 المسبوق بالقلّة إذا علم ملاقاته للنجاسة،ولم یعلم السابق من الملاقاة والکرّیّة، إن جهل تاریخهما، أو علم تاریخ الکرّیّة حکم بطهارته</w:t>
      </w:r>
      <w:r>
        <w:rPr>
          <w:rStyle w:val="FootnoteAnchor"/>
          <w:rtl w:val="true"/>
        </w:rPr>
        <w:footnoteReference w:id="5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الصور فی مسبوق القلّة أو الکثرة وعروض الملاقاة مع جهل تاریخهما أو العلم بتاریخ أحدهما ستّة، والحکم فی جمیعها الطهارة؛ لقاعدتها، إلاّ فیما علم تاریخ الملاقاة وکان مسبوقاً بالقلّة لاستصحابها، ولیس مثبتاً، کما قد یتوهّم حسبما أوضحنا کلّ ذلک فی شرحنا الکبیر علی المتن، وما ذکره فی المسألة التاسعة هو عین الشقّ الأوّل من المسألة السابقة، ولم یعلم وجه تکراره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 التجنّب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مجهولَی التاریخ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صورة الجهل بتاریخهما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 فی مجهولَی التأریخ، وکذا فی الفرع المتأخّر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صورة الجهل بتاریخهما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فی مجهولَی التأریخ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وإن علم تاریخ الملاقاة</w:t>
      </w:r>
    </w:p>
    <w:p>
      <w:pPr>
        <w:pStyle w:val="BookText"/>
        <w:rPr/>
      </w:pPr>
      <w:r>
        <w:rPr>
          <w:rFonts w:ascii="IRNazanin" w:hAnsi="IRNazanin" w:eastAsia="IRNazanin"/>
          <w:color w:val="111111"/>
          <w:sz w:val="28"/>
          <w:sz w:val="28"/>
          <w:szCs w:val="28"/>
          <w:rtl w:val="true"/>
          <w:lang w:bidi="fa-IR"/>
        </w:rPr>
        <w:t>حکم بنجاسته</w:t>
      </w:r>
      <w:r>
        <w:rPr>
          <w:rStyle w:val="FootnoteAnchor"/>
          <w:rtl w:val="true"/>
        </w:rPr>
        <w:footnoteReference w:id="5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بطهارته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حکم بطهارته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 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فی هذه الصورة أیضاً الحکم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والأقوی 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القلیل المسبوق بالکرّیّـة الملاقی لها، فإن جهـل التاریخان</w:t>
      </w:r>
      <w:r>
        <w:rPr>
          <w:rStyle w:val="FootnoteAnchor"/>
          <w:rtl w:val="true"/>
        </w:rPr>
        <w:footnoteReference w:id="5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تبیّن فی مجهولَی التأریخ مطلقاً أنّ الحکم بالنجاسة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أو علـم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الملاقاة حکم فیه بالطهارة ، مـع الاحتیاط</w:t>
      </w:r>
    </w:p>
    <w:p>
      <w:pPr>
        <w:pStyle w:val="BookText"/>
        <w:rPr/>
      </w:pPr>
      <w:r>
        <w:rPr>
          <w:rFonts w:ascii="IRNazanin" w:hAnsi="IRNazanin" w:eastAsia="IRNazanin"/>
          <w:color w:val="111111"/>
          <w:sz w:val="28"/>
          <w:sz w:val="28"/>
          <w:szCs w:val="28"/>
          <w:rtl w:val="true"/>
          <w:lang w:bidi="fa-IR"/>
        </w:rPr>
        <w:t xml:space="preserve">المذکور </w:t>
      </w:r>
      <w:r>
        <w:rPr>
          <w:rStyle w:val="FootnoteAnchor"/>
          <w:rtl w:val="true"/>
        </w:rPr>
        <w:footnoteReference w:id="5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مرّ أنّ الاحتیاط ممّا 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الشاهرودی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مع الجهل بالتاریخین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 مجهولَی التاریخ کالصورة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علم تاریخ القلّة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الحکم بالطهارة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 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للحکم بالنجاسة فی هذه الصورة، إلاّ بناءً علی القول بالأصل المثبت، فالأقوی هو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بنجاسته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حکم بطهارته، وإن کان الاحتیاط فیه حسناً کما فی سابقَیه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الحکم بالنجاسة فی هذا الفرض نظر؛ لأنّ استصحاب عدم الملاقاة إلی حین القلّة لا یثبت الملاقاة حینها، فاستصحاب الطهارة قبل الملاقاة محکّم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حکم بطهارته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إشکال أحوطه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فیه أیضاً هو الحکم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بطهارته أیضاً علی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الحکم بالطهارة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فیه الحکم بالطهارة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فیه أیضاً الحکم بالطهارة، فإنّ استصحاب عدم الملاقاة إلی زمان القلّة لا یثبت وقوع الملاقاة بعد القلّة،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 ملاقاة النجاسة للماء ونفیت الملاقاة فی زمان الکرّیّة إلی زمان القلّة یکفی ذلک فی الحکم بالنجاسة، ولا یحتاج إلی إثبات أمر آخر وراءَه، وهذا الوجه غیر بعید؛ إذ لیست القلّة شرطاً حتّی لا یثبت بالأصل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حکم بطهارته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الحکم بالطهارة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یحکم بالطهارة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الطهارة فی جمیع الصور، وإن کان 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بالطهارة فی جمیع الفروض المتصوّرة فی المسألة والمسألة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فی هذا الفرض أیضاً الحکم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للحکم بالنجاسة فی هذه الصورة إلاّ أصالة عدم الملاقاة إلی زمان القلّة، فهی أصل مثبت غیر معتبر عند المصنّف أیضاً، فالأقوی هی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فیه أیضاً الحکم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إذا وجـد نجاسة</w:t>
      </w:r>
      <w:r>
        <w:rPr>
          <w:rStyle w:val="FootnoteAnchor"/>
          <w:rtl w:val="true"/>
        </w:rPr>
        <w:footnoteReference w:id="5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 هذه المسألة یعرف من سابقتها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یعلم الفرق بین هذه المسألة والمسألة المتقدّمة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فی الکرّ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یعلم حکم هذا الفرض من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المسألة من مصادیق المسألة السابقة، فلا فرق بینهما لا فی الحکم ولا فی الموضوع، وإنّما الفرق فی الکلّیة والجزئیّة، وما ذکر فیها یجری فی المقام، وقد عرفت أنّ الاحتیاط لا یُترک فی مجهول التأریخ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حکمه حکم الشقّ الأوّل من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ولم یعلم أ نّها وقعت</w:t>
      </w:r>
    </w:p>
    <w:p>
      <w:pPr>
        <w:pStyle w:val="BookText"/>
        <w:rPr/>
      </w:pPr>
      <w:r>
        <w:rPr>
          <w:rFonts w:ascii="IRNazanin" w:hAnsi="IRNazanin" w:eastAsia="IRNazanin"/>
          <w:color w:val="111111"/>
          <w:sz w:val="28"/>
          <w:sz w:val="28"/>
          <w:szCs w:val="28"/>
          <w:rtl w:val="true"/>
          <w:lang w:bidi="fa-IR"/>
        </w:rPr>
        <w:t>فیه قبل الکرّیّة أو بعدها یحکم بطهارته</w:t>
      </w:r>
      <w:r>
        <w:rPr>
          <w:rStyle w:val="FootnoteAnchor"/>
          <w:rtl w:val="true"/>
        </w:rPr>
        <w:footnoteReference w:id="54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تفصیل المسألة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إذا علم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تاریخ الوقوع</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المسألة مندرجة فی سابقتها، وقد علم منها أنّ ما جهل فیه التاریخان یحکم بنجاسته، کالمعلوم تاریخ الوقوع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الحکم بالطهارة فیه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وکذا إذا جهل التاریخان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المسألة مندرجة فی المسألة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الطهارة فی هذا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حدثت الکرّیّة والملاقاة</w:t>
      </w:r>
      <w:r>
        <w:rPr>
          <w:rStyle w:val="FootnoteAnchor"/>
          <w:rtl w:val="true"/>
        </w:rPr>
        <w:footnoteReference w:id="544"/>
      </w:r>
      <w:r>
        <w:rPr>
          <w:rFonts w:ascii="Amiri" w:hAnsi="Amiri" w:eastAsia="Amiri" w:cs="Amiri"/>
          <w:color w:val="111111"/>
          <w:sz w:val="28"/>
          <w:sz w:val="28"/>
          <w:szCs w:val="28"/>
          <w:rtl w:val="true"/>
          <w:lang w:bidi="ar-SA"/>
        </w:rPr>
        <w:t xml:space="preserve">فی آنٍ واحدٍ حکم </w:t>
      </w:r>
    </w:p>
    <w:p>
      <w:pPr>
        <w:pStyle w:val="BookText"/>
        <w:rPr/>
      </w:pPr>
      <w:r>
        <w:rPr>
          <w:rFonts w:ascii="IRNazanin" w:hAnsi="IRNazanin" w:eastAsia="IRNazanin"/>
          <w:color w:val="111111"/>
          <w:sz w:val="28"/>
          <w:sz w:val="28"/>
          <w:szCs w:val="28"/>
          <w:rtl w:val="true"/>
          <w:lang w:bidi="fa-IR"/>
        </w:rPr>
        <w:t>بطهارته</w:t>
      </w:r>
      <w:r>
        <w:rPr>
          <w:rStyle w:val="FootnoteAnchor"/>
          <w:rtl w:val="true"/>
        </w:rPr>
        <w:footnoteReference w:id="5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الأقوی؛ لإطلاق الأدلّة وعدم تقیّدها باشتراط تقدّم الکرّیّة علی الملاقاة زماناً، وکفایة التقدّم الرتبی ولو کانا متقارنین زماناً، فکم له من نظیر فی أبواب الفقه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الحکم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لعدم ظهور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وسائل الشیعة</w:t>
      </w:r>
      <w:r>
        <w:rPr>
          <w:rFonts w:eastAsia="IRNazanin" w:cs="IRNazanin"/>
          <w:color w:val="111111"/>
          <w:sz w:val="28"/>
          <w:szCs w:val="28"/>
          <w:rtl w:val="true"/>
          <w:lang w:bidi="fa-IR"/>
        </w:rPr>
        <w:t xml:space="preserve">: </w:t>
      </w:r>
      <w:r>
        <w:rPr>
          <w:rFonts w:eastAsia="IRNazanin" w:cs="IRNazanin"/>
          <w:color w:val="111111"/>
          <w:sz w:val="28"/>
          <w:szCs w:val="28"/>
          <w:lang w:bidi="fa-IR"/>
        </w:rPr>
        <w:t>1/158</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الماء المطلق، 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وفیه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تقدّم الکرّیّة، أی العاصمیّة علی الملاقاة، بل المعتبر وجود العاصم فی زمان الملاقاة، وکذا الحکم فی ما لو حدثت الملاقاة والقلّة فی آن 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 الاجتناب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نجاسته؛ لاعتبار سبق الکرّیّة علی الملاقاة فی الحکم بعدم النجاسة حتّی مع العلم بکرّیّة أحدهما إجمالاً؛ لعدم مانعیّة مثل هذا العلم عن جریان استصحاب القلّة الّتی هی من الاُصول المثبتة للتکلیف کما لا یخفی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الشاهرودی، الشریعتمداری، الآملی، السبزواری،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فإنّ الکرّیّة والملاقاة إذا حصلا فی عرض واحد، فکما أنّ الکرّیّة ترد علی الماء القلیل فکذا الملاقاة، ویفهم من الأخبار أنّ الکرّیّة العاصمة هی الکرّیّة الحاصلة قبل الملاقاة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الاحتیاط 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لاحتمال أن یکون المراد من قوله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الماء قدر کرٍّ لا 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نفس المصدر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أنّ الکـرّ موردٌ للنجاسة فلابدّ أن یکون متحقّقاً فی الرتبة السابقة علی ورود النجاسة، ولکنّ الإنصاف أنّ ظاهر الدلیل لا یعطی أزید من کونه کرّاً فی زمان الملاقاة، وأمّا تقدّمه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الوجوه الّتی تمسّک بها للزومه کلّها مدخولة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کان هناک ماءان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کرّ ، والآخر قلیل ، ولم یعلم أنّ أیّهما کرّ </w:t>
      </w:r>
      <w:r>
        <w:rPr>
          <w:rStyle w:val="FootnoteAnchor"/>
          <w:rtl w:val="true"/>
        </w:rPr>
        <w:footnoteReference w:id="546"/>
      </w:r>
      <w:r>
        <w:rPr>
          <w:rFonts w:ascii="IRNazanin" w:hAnsi="IRNazanin" w:eastAsia="IRNazanin"/>
          <w:color w:val="111111"/>
          <w:sz w:val="28"/>
          <w:sz w:val="28"/>
          <w:szCs w:val="28"/>
          <w:rtl w:val="true"/>
          <w:lang w:bidi="fa-IR"/>
        </w:rPr>
        <w:t xml:space="preserve">، فوقعت نجاسة فی أحدهما معیّناً أو غیر معیّن لم یحکم بالنجاسة </w:t>
      </w:r>
      <w:r>
        <w:rPr>
          <w:rStyle w:val="FootnoteAnchor"/>
          <w:rtl w:val="true"/>
        </w:rPr>
        <w:footnoteReference w:id="5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حالتهما السابقة القلّة ثمّ اشتبها بعد صیرورة أحدهما کرّاً، جری استصحاب القلّة فی کلّ منهما إلی حین الملاقاة، فیحکم بالنجاسة بناءً علی أنّ العلم الإجمالی المخالف للاُصول لا یمنع من جریانها إذا لم یتعلّق بتکلیف إجمالی، وأمّا إذا کانت الحالة السابقة الکثرة، ثمّ عرضت القلّة لأحدهما واشتبها ولم تکن معلومة فالطهارة؛ لقاعدتها، سواء فی ذلک کلّه وقوعها فی معیّن أو غیر 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سبق قلّتهما فیحکم بنجاسته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لم تُعلم الحالة السابقة فیهما بالقلّة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أن یکونا مسبوقین بالقلّة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فیما إذا کانت الحالة السابقة فی المعیّن فی صورة التعیین، أو فی کلیهما فی صورة عدم تعیین القلّة، فیحکم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کانت الحالة السابقة فیهما القلّة، ثمّ عُلم بکرّیّة أحدهما إجمالاً، فالأقوی فیه الحکم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یکونا مسبوقین بالقلّة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یحکم فی المعیّن بنجاسته، إلاّ إذا سبقت کرّیّـته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لم تکن الحالة السابقة فیهما القلّة، وإلاّ فالأقوی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جهلت الحالة السابقة فی الماءین أو علمت کرّیّـتهما سابقاً، ثمّ طرأت القلّة علی أحدهما غیر المعیّن قبل وقوع النجاسة، أمّا إذا علمت قلّتهما سابقاً ثمّ طرأت الکرّیة علی أحدهما غیر المعیّن قبل وقوع النجاسة فالظاهر النجاسة، فیجتنب إذا کان معیّناً، ویجتنب عن الماءین معاً إذا وقعت فی غیر المعیّن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المسبوق بالکرّیّة یحکم بالنجاسة مطلقاً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بنجاسة ما وقعت فیه النجاسة، فیلزم الاجتناب فی صورة عدم التعیّن عن کلیهما، بناءً علی تنجّز العلم الإجمالی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کانت الحالة السابقة فیهما القلّة، ثمّ علم إجمالاً بکرّیة أحدهما یحکم بالنجاسة، ولو وقعت فی أحدهما المعیّن وکانت حالته السابقة الکریّة یحکم بطهارته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الأحوط </w:t>
      </w:r>
      <w:r>
        <w:rPr>
          <w:rStyle w:val="FootnoteAnchor"/>
          <w:rtl w:val="true"/>
        </w:rPr>
        <w:footnoteReference w:id="5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إذا کانت الحالة السابقة فیهما القلّة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إن علم سبق القلّة فیه دون 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فیما إذا کان هذا المعیّن حالته السابقة فقط القلّة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 مثل صورة سبق القلّة فیهما وحدوث الکرّیّة فی أحدهما إجمالاً، أو فی المعیّن مع عدم سبق الکرّیّة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إذا کان مسبوقاً بالقلّة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صورة التعیّن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وجه لتخصیص الاحتیاط بهذه الصورة مع اشتراک الصورتین فی الوجوه المستدلّ بها للاجتناب، نعم بینهما فرق فیما یجتنب عنه؛ إذ فی صورة عدم التعیّن مورد الاجتناب هو الطرفان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الاجتناب</w:t>
      </w:r>
      <w:r>
        <w:rPr>
          <w:rStyle w:val="FootnoteAnchor"/>
          <w:rtl w:val="true"/>
        </w:rPr>
        <w:footnoteReference w:id="54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سیّما مع سبق الکرّ منهما بالقلّة، بل فی هذه الصورة ینبغی الاحتیاط بالاجتناب عنهما مع عدم التعیین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لعدم تأثیر العلم الإجمالی وانحلاله، وهاهنا صور کثیرة طوینا عن الإشارة إلیها، وما یمکن أن یقال فیها کشحاً، وجودة قریحة المتأمّل تغنینا عن التفصیل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ماءان، أحدهما المعیّن نجس، فوقعت نجاسة لم یعلم وقوعها فی النجس أو الطاهر، لم یحکم</w:t>
      </w:r>
      <w:r>
        <w:rPr>
          <w:rStyle w:val="FootnoteAnchor"/>
          <w:rtl w:val="true"/>
        </w:rPr>
        <w:footnoteReference w:id="550"/>
      </w:r>
      <w:r>
        <w:rPr>
          <w:rFonts w:ascii="Amiri" w:hAnsi="Amiri" w:eastAsia="Amiri" w:cs="Amiri"/>
          <w:color w:val="111111"/>
          <w:sz w:val="28"/>
          <w:sz w:val="28"/>
          <w:szCs w:val="28"/>
          <w:rtl w:val="true"/>
          <w:lang w:bidi="ar-SA"/>
        </w:rPr>
        <w:t>بنجاسة الطاهر</w:t>
      </w:r>
      <w:r>
        <w:rPr>
          <w:rStyle w:val="FootnoteAnchor"/>
          <w:rtl w:val="true"/>
        </w:rPr>
        <w:footnoteReference w:id="55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لها أثر زائد کالتعفیر ونحوه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للنجاسة الحادثة أثر زائد وجب الاجتناب عنهما، ومثال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کان الماءان فی إناءین وعلم بوقوع دم أو بول فی أحدهما المعیّن، ثمّ ولغ الکلب فی أحدهما غیر المعیّن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تکن النجاسة المعلوم وقوعها أشدّ من النجاسة الموجودة قبله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کان للنجس الواقع أثر شرعی زائد یکون العلم الإجمالی منجّزاً فیالطرفین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کرّ لم یعلم أ نّه مطلق أو مضاف</w:t>
      </w:r>
      <w:r>
        <w:rPr>
          <w:rStyle w:val="FootnoteAnchor"/>
          <w:rtl w:val="true"/>
        </w:rPr>
        <w:footnoteReference w:id="552"/>
      </w:r>
      <w:r>
        <w:rPr>
          <w:rFonts w:ascii="IRNazanin" w:hAnsi="IRNazanin" w:eastAsia="IRNazanin"/>
          <w:color w:val="111111"/>
          <w:sz w:val="28"/>
          <w:sz w:val="28"/>
          <w:szCs w:val="28"/>
          <w:rtl w:val="true"/>
          <w:lang w:bidi="fa-IR"/>
        </w:rPr>
        <w:t>فوقعت فیه نجاسة لم یحکم بنجاسته</w:t>
      </w:r>
      <w:r>
        <w:rPr>
          <w:rStyle w:val="FootnoteAnchor"/>
          <w:rtl w:val="true"/>
        </w:rPr>
        <w:footnoteReference w:id="5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لم یحکم بمطهّریّـته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لا یحکم علیه بآثار المطلق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یحکم بنجاسته، إلاّ إذا کان مسبوقاً بالإطلاق، علی 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کان مسبوقاً بالإضافة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بالاجتناب عن التطهیر به، إلاّ مع سبق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 نّه بحکم غیر المطلق فینفعل بملاقاة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أن یحکم بالنجاسة، إلاّ أن یکون الماء مسبوقاً بالإطلاق، فإنّ أصالة عدم الإضافة لا تُثبت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هو الحکم بالنجاسة، إلاّ إذا کانت حالته السابقة هی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لم یحکم بمطهّریّـته إلاّ مع سبق الإطلاق، والأحوط عدم التطهیر به إذا لم یسبق الإطلاق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کان کرّان أحدهما مطلق والآخر مضاف، وعلم وقوع النجاسة فی أحدهما ولم یعلم علی التعیین</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یحکم</w:t>
      </w:r>
      <w:r>
        <w:rPr>
          <w:rStyle w:val="FootnoteAnchor"/>
          <w:rtl w:val="true"/>
        </w:rPr>
        <w:footnoteReference w:id="554"/>
      </w:r>
      <w:r>
        <w:rPr>
          <w:rFonts w:ascii="IRNazanin" w:hAnsi="IRNazanin" w:eastAsia="IRNazanin"/>
          <w:color w:val="111111"/>
          <w:sz w:val="28"/>
          <w:sz w:val="28"/>
          <w:szCs w:val="28"/>
          <w:rtl w:val="true"/>
          <w:lang w:bidi="fa-IR"/>
        </w:rPr>
        <w:t>بطهارتهما</w:t>
      </w:r>
      <w:r>
        <w:rPr>
          <w:rStyle w:val="FootnoteAnchor"/>
          <w:rtl w:val="true"/>
        </w:rPr>
        <w:footnoteReference w:id="5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سبق المطلق بالإضافة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ترتیب آثار المطلق علی الکرّ المطلق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القلیل النجس المتمّم کرّاً بطاهرٍ أو نجسٍ نجسٌ علی الأقوی</w:t>
      </w:r>
      <w:r>
        <w:rPr>
          <w:rStyle w:val="FootnoteAnchor"/>
          <w:rtl w:val="true"/>
        </w:rPr>
        <w:footnoteReference w:id="5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المتمّم بطاهرٍ طاهرٌ علی الأقوی، ولکن لا تجری علیه أحکام الکرّ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 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الأحوط فی المتمّم بطاهر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6" w:name="pg13272_142951"/>
    </w:p>
    <w:p>
      <w:pPr>
        <w:pStyle w:val="Heading3"/>
        <w:numPr>
          <w:ilvl w:val="2"/>
          <w:numId w:val="1"/>
        </w:numPr>
        <w:rPr/>
      </w:pPr>
      <w:bookmarkStart w:id="207" w:name="__RefHeading___Toc1636510_2322387425"/>
      <w:bookmarkStart w:id="208" w:name="_Toc67"/>
      <w:bookmarkEnd w:id="206"/>
      <w:bookmarkEnd w:id="207"/>
      <w:r>
        <w:rPr>
          <w:rtl w:val="true"/>
        </w:rPr>
        <w:t>فصل فی ماء المطر</w:t>
      </w:r>
      <w:bookmarkEnd w:id="208"/>
    </w:p>
    <w:p>
      <w:pPr>
        <w:pStyle w:val="BookText"/>
        <w:rPr/>
      </w:pPr>
      <w:r>
        <w:rPr>
          <w:rFonts w:ascii="IRNazanin" w:hAnsi="IRNazanin" w:eastAsia="IRNazanin"/>
          <w:color w:val="111111"/>
          <w:sz w:val="28"/>
          <w:sz w:val="28"/>
          <w:szCs w:val="28"/>
          <w:rtl w:val="true"/>
          <w:lang w:bidi="fa-IR"/>
        </w:rPr>
        <w:t xml:space="preserve">ماء المطر حال تقاطره من السماء کالجاری </w:t>
      </w:r>
      <w:r>
        <w:rPr>
          <w:rStyle w:val="FootnoteAnchor"/>
          <w:rtl w:val="true"/>
        </w:rPr>
        <w:footnoteReference w:id="557"/>
      </w:r>
      <w:r>
        <w:rPr>
          <w:rFonts w:ascii="IRNazanin" w:hAnsi="IRNazanin" w:eastAsia="IRNazanin"/>
          <w:color w:val="111111"/>
          <w:sz w:val="28"/>
          <w:sz w:val="28"/>
          <w:szCs w:val="28"/>
          <w:rtl w:val="true"/>
          <w:lang w:bidi="fa-IR"/>
        </w:rPr>
        <w:t xml:space="preserve">، فلا ینجس ما لم یتغیّر وإن کان قلیلاً </w:t>
      </w:r>
      <w:r>
        <w:rPr>
          <w:rStyle w:val="FootnoteAnchor"/>
          <w:rtl w:val="true"/>
        </w:rPr>
        <w:footnoteReference w:id="558"/>
      </w:r>
      <w:r>
        <w:rPr>
          <w:rFonts w:ascii="IRNazanin" w:hAnsi="IRNazanin" w:eastAsia="IRNazanin"/>
          <w:color w:val="111111"/>
          <w:sz w:val="28"/>
          <w:sz w:val="28"/>
          <w:szCs w:val="28"/>
          <w:rtl w:val="true"/>
          <w:lang w:bidi="fa-IR"/>
        </w:rPr>
        <w:t xml:space="preserve">، سواء جری من المیزاب </w:t>
      </w:r>
      <w:r>
        <w:rPr>
          <w:rStyle w:val="FootnoteAnchor"/>
          <w:rtl w:val="true"/>
        </w:rPr>
        <w:footnoteReference w:id="5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حال نزول المطر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الجریان فی الأرض الصلبة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علی وجه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صدق الجریان ولو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کونه بمقدار لو نزل علی الأرض الصلبة لجری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أم 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الجریان فیه ولو بأقلّ مسمّاه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 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الجریان علی الأرض المتعارفة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اعتبار الجریان فیما کانت الأرض صلبة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وإن کان قطرات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مطهّریّة القطرات القلیلة وعدم تنجّسها لو صحّ فرض التنجّس إشکال، بل عدمهما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مسمّی الجریان علی الأرض الصلبة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مطهّریّة القطرات القلیلة إشکال؛ للشکّ فی صدق المطر علیها، بل یمکن منع الصدق، فالأحوط اعتبار مسمّی الجریان علی الأرض الصلبة، وإن کان الواقع علی النجس قطرات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بشرط</w:t>
      </w:r>
      <w:r>
        <w:rPr>
          <w:rStyle w:val="FootnoteAnchor"/>
          <w:rtl w:val="true"/>
        </w:rPr>
        <w:footnoteReference w:id="560"/>
      </w:r>
      <w:r>
        <w:rPr>
          <w:rFonts w:ascii="IRNazanin" w:hAnsi="IRNazanin" w:eastAsia="IRNazanin"/>
          <w:color w:val="111111"/>
          <w:sz w:val="28"/>
          <w:sz w:val="28"/>
          <w:szCs w:val="28"/>
          <w:rtl w:val="true"/>
          <w:lang w:bidi="fa-IR"/>
        </w:rPr>
        <w:t>صدق المطر علیه</w:t>
      </w:r>
      <w:r>
        <w:rPr>
          <w:rStyle w:val="FootnoteAnchor"/>
          <w:rtl w:val="true"/>
        </w:rPr>
        <w:footnoteReference w:id="56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القطرات إشکال، والأحوط تحدیده بأن یستوعب وجه الأرض الصلبة وینتقل من جزء إلی 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مسمّی الجریان علی الأرض الصلبة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ومسمّی الجریان والانتقال من جزءٍ إلی جزءٍ آخر، ولو علی الأرض الصلبة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کفایة القطرات الیسیرة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یکون علی الأحوط بحیث یجری علی الأرض الصلبة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وإذا اجتمع فی مکان وغسل فیه النجس طهر وإن کان قلیلاً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ما دام یتقاطر علیه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أن یکون ما ینزل من السماء بمقدار لو نزل علی الأرض الصلبة لجری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الأحوط اعتبار مسمّی الجریان فیه لو کان فی أرضٍ صلبة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بناءً علی عدم اعتبار الورود فی التطهیر بالماء القلیل، کما هو المختار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السماء</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الثوب أو الفراش النجس إذا تقاطر علیه المطر</w:t>
      </w:r>
      <w:r>
        <w:rPr>
          <w:rStyle w:val="FootnoteAnchor"/>
          <w:rtl w:val="true"/>
        </w:rPr>
        <w:footnoteReference w:id="563"/>
      </w:r>
      <w:r>
        <w:rPr>
          <w:rFonts w:ascii="IRNazanin" w:hAnsi="IRNazanin" w:eastAsia="IRNazanin"/>
          <w:color w:val="111111"/>
          <w:sz w:val="28"/>
          <w:sz w:val="28"/>
          <w:szCs w:val="28"/>
          <w:rtl w:val="true"/>
          <w:lang w:bidi="fa-IR"/>
        </w:rPr>
        <w:t>ونفذ فی جمیعه طهر</w:t>
      </w:r>
      <w:r>
        <w:rPr>
          <w:rStyle w:val="FootnoteAnchor"/>
          <w:rtl w:val="true"/>
        </w:rPr>
        <w:footnoteReference w:id="564"/>
      </w:r>
      <w:r>
        <w:rPr>
          <w:rFonts w:ascii="IRNazanin" w:hAnsi="IRNazanin" w:eastAsia="IRNazanin"/>
          <w:color w:val="111111"/>
          <w:sz w:val="28"/>
          <w:sz w:val="28"/>
          <w:szCs w:val="28"/>
          <w:rtl w:val="true"/>
          <w:lang w:bidi="fa-IR"/>
        </w:rPr>
        <w:t>، ولا یحتاج</w:t>
      </w:r>
      <w:r>
        <w:rPr>
          <w:rStyle w:val="FootnoteAnchor"/>
          <w:rtl w:val="true"/>
        </w:rPr>
        <w:footnoteReference w:id="565"/>
      </w:r>
      <w:r>
        <w:rPr>
          <w:rFonts w:ascii="IRNazanin" w:hAnsi="IRNazanin" w:eastAsia="IRNazanin"/>
          <w:color w:val="111111"/>
          <w:sz w:val="28"/>
          <w:sz w:val="28"/>
          <w:szCs w:val="28"/>
          <w:rtl w:val="true"/>
          <w:lang w:bidi="fa-IR"/>
        </w:rPr>
        <w:t>إلی العصر أو التعدّد</w:t>
      </w:r>
      <w:r>
        <w:rPr>
          <w:rStyle w:val="FootnoteAnchor"/>
          <w:rtl w:val="true"/>
        </w:rPr>
        <w:footnoteReference w:id="566"/>
      </w:r>
      <w:r>
        <w:rPr>
          <w:rFonts w:ascii="IRNazanin" w:hAnsi="IRNazanin" w:eastAsia="IRNazanin"/>
          <w:color w:val="111111"/>
          <w:sz w:val="28"/>
          <w:sz w:val="28"/>
          <w:szCs w:val="28"/>
          <w:rtl w:val="true"/>
          <w:lang w:bidi="fa-IR"/>
        </w:rPr>
        <w:t>، وإذا وصل إلی بعضه</w:t>
      </w:r>
      <w:r>
        <w:rPr>
          <w:rStyle w:val="FootnoteAnchor"/>
          <w:rtl w:val="true"/>
        </w:rPr>
        <w:footnoteReference w:id="567"/>
      </w:r>
      <w:r>
        <w:rPr>
          <w:rFonts w:ascii="IRNazanin" w:hAnsi="IRNazanin" w:eastAsia="IRNazanin"/>
          <w:color w:val="111111"/>
          <w:sz w:val="28"/>
          <w:sz w:val="28"/>
          <w:szCs w:val="28"/>
          <w:rtl w:val="true"/>
          <w:lang w:bidi="fa-IR"/>
        </w:rPr>
        <w:t>دون بعض طهر ما وصل إلیه</w:t>
      </w:r>
      <w:r>
        <w:rPr>
          <w:rStyle w:val="FootnoteAnchor"/>
          <w:rtl w:val="true"/>
        </w:rPr>
        <w:footnoteReference w:id="568"/>
      </w:r>
      <w:r>
        <w:rPr>
          <w:rFonts w:ascii="IRNazanin" w:hAnsi="IRNazanin" w:eastAsia="IRNazanin"/>
          <w:color w:val="111111"/>
          <w:sz w:val="28"/>
          <w:sz w:val="28"/>
          <w:szCs w:val="28"/>
          <w:rtl w:val="true"/>
          <w:lang w:bidi="fa-IR"/>
        </w:rPr>
        <w:t>، هذا إذا لم یکن فیه عین النجاسة، وإلاّ فلا یطهر إلاّ إذا تقاطر علیه بعد زوال عینها</w:t>
      </w:r>
      <w:r>
        <w:rPr>
          <w:rStyle w:val="FootnoteAnchor"/>
          <w:rtl w:val="true"/>
        </w:rPr>
        <w:footnoteReference w:id="5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ویحتمل قویّاً کفایة زوال العین به وإن انقطع مقارناً لزوالها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اعتبار وصول القطرة إلیه بعد الزوال، لا حدوث التقاطر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یکفی فی الحکم بالطهارة استناد الزوال إلی المطر النازل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هو الاکتفاء بغلبة المطر علی النجاسة حتّی یزیلها، ولا یحتاج إلی التقاطر بعد زوال عینها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کفایة زوال العین بالمطر النازل فی حصول الطهارة، وإن لم یتقاطر بعد الزوال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یطهر بالتقاطر المزیل فیما لا یحتاج إلی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الإناء المتروس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المملوء، وهی متداولة باللهجة العراقیة بهذا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بماء نجس</w:t>
      </w:r>
      <w:r>
        <w:rPr>
          <w:rStyle w:val="FootnoteAnchor"/>
          <w:rtl w:val="true"/>
        </w:rPr>
        <w:footnoteReference w:id="570"/>
      </w:r>
      <w:r>
        <w:rPr>
          <w:rFonts w:ascii="IRNazanin" w:hAnsi="IRNazanin" w:eastAsia="IRNazanin"/>
          <w:color w:val="111111"/>
          <w:sz w:val="28"/>
          <w:sz w:val="28"/>
          <w:szCs w:val="28"/>
          <w:rtl w:val="true"/>
          <w:lang w:bidi="fa-IR"/>
        </w:rPr>
        <w:t>، کالحبّ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الجرّة الضخمة، مجمع البحرین</w:t>
      </w:r>
      <w:r>
        <w:rPr>
          <w:rFonts w:eastAsia="IRNazanin" w:cs="IRNazanin"/>
          <w:color w:val="111111"/>
          <w:sz w:val="28"/>
          <w:szCs w:val="28"/>
          <w:rtl w:val="true"/>
          <w:lang w:bidi="fa-IR"/>
        </w:rPr>
        <w:t xml:space="preserve">: </w:t>
      </w:r>
      <w:r>
        <w:rPr>
          <w:rFonts w:eastAsia="IRNazanin" w:cs="IRNazanin"/>
          <w:color w:val="111111"/>
          <w:sz w:val="28"/>
          <w:szCs w:val="28"/>
          <w:lang w:bidi="fa-IR"/>
        </w:rPr>
        <w:t>1/443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والشربة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الشربة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الجرّة الصغیرة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ونحوهما إذا تقاطر علیه طهر ماوءه</w:t>
      </w:r>
      <w:r>
        <w:rPr>
          <w:rStyle w:val="FootnoteAnchor"/>
          <w:rtl w:val="true"/>
        </w:rPr>
        <w:footnoteReference w:id="571"/>
      </w:r>
      <w:r>
        <w:rPr>
          <w:rFonts w:ascii="IRNazanin" w:hAnsi="IRNazanin" w:eastAsia="IRNazanin"/>
          <w:color w:val="111111"/>
          <w:sz w:val="28"/>
          <w:sz w:val="28"/>
          <w:szCs w:val="28"/>
          <w:rtl w:val="true"/>
          <w:lang w:bidi="fa-IR"/>
        </w:rPr>
        <w:t>وإناوءه</w:t>
      </w:r>
      <w:r>
        <w:rPr>
          <w:rStyle w:val="FootnoteAnchor"/>
          <w:rtl w:val="true"/>
        </w:rPr>
        <w:footnoteReference w:id="57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إن لم یکن تنجّسه بمثل الولوغ، بناءً علی عدم سقوط التعفیر فی المعتصم، کما سیأتی فی مسألة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فصل المطهّرات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عدم تنجّسه بالولوغ، وإلاّ احتاج إلی التعفیر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طهارة الإناء بذلک من دون تعدّد الغسل تأمّل، فالأحوط الاجتناب عن الماء بعد انقطاع المطر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بالمقدار الّذی فیه ماء، وکذا ظهره وأطرافه إن وصل إلیه المطر حال التقاطر، ولا یعتبر فیه الامتزاج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یعتبر فیه الامتزاج کما عرفت فی الکرّ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کما تقدّم اعتباره، والوصول إلی تمام سطحه فی تطهیر ظاهره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اعتباره وإن لم یخلُ من وجه، لکن 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الامتزاج بالمطر قبل استهلاکه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المناط صدق الوحدة کما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اعتباره ولو بعلاج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 اللنکرانی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اعتبار الامتزاج فی تطهیر مطلق المیاه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منّا أنّ الأحوط اعتبار الامتزاج فی الجملة، ویکفی منه ما یحصل بتدافع نفسه فی ماء النهر وماء المطر بتساقطه علی الماء النجس وجریانه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الامتزاج، وکذلک فی جمیع صور المسائل الآتیة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رعایة الامتزاج به، أو بما یکون معتصماً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بل ولا وصوله إلی تمام سطحه</w:t>
      </w:r>
    </w:p>
    <w:p>
      <w:pPr>
        <w:pStyle w:val="BookText"/>
        <w:rPr/>
      </w:pPr>
      <w:r>
        <w:rPr>
          <w:rFonts w:ascii="IRNazanin" w:hAnsi="IRNazanin" w:eastAsia="IRNazanin"/>
          <w:color w:val="111111"/>
          <w:sz w:val="28"/>
          <w:sz w:val="28"/>
          <w:szCs w:val="28"/>
          <w:rtl w:val="true"/>
          <w:lang w:bidi="fa-IR"/>
        </w:rPr>
        <w:t>الظاهر</w:t>
      </w:r>
      <w:r>
        <w:rPr>
          <w:rStyle w:val="FootnoteAnchor"/>
          <w:rtl w:val="true"/>
        </w:rPr>
        <w:footnoteReference w:id="573"/>
      </w:r>
      <w:r>
        <w:rPr>
          <w:rFonts w:ascii="IRNazanin" w:hAnsi="IRNazanin" w:eastAsia="IRNazanin"/>
          <w:color w:val="111111"/>
          <w:sz w:val="28"/>
          <w:sz w:val="28"/>
          <w:szCs w:val="28"/>
          <w:rtl w:val="true"/>
          <w:lang w:bidi="fa-IR"/>
        </w:rPr>
        <w:t>، وإن کان الأحوط ذلک</w:t>
      </w:r>
      <w:r>
        <w:rPr>
          <w:rStyle w:val="FootnoteAnchor"/>
          <w:rtl w:val="true"/>
        </w:rPr>
        <w:footnoteReference w:id="5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بمراعاة أحدهما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الأرض النجسة تطهر بوصول المطر إلیها</w:t>
      </w:r>
      <w:r>
        <w:rPr>
          <w:rStyle w:val="FootnoteAnchor"/>
          <w:rtl w:val="true"/>
        </w:rPr>
        <w:footnoteReference w:id="5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یعتبر الجریان علیها أو علی 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بلوغه حدّاً یقتضی الجریان،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بشرط أن</w:t>
      </w:r>
    </w:p>
    <w:p>
      <w:pPr>
        <w:pStyle w:val="BookText"/>
        <w:rPr/>
      </w:pPr>
      <w:r>
        <w:rPr>
          <w:rFonts w:ascii="IRNazanin" w:hAnsi="IRNazanin" w:eastAsia="IRNazanin"/>
          <w:color w:val="111111"/>
          <w:sz w:val="28"/>
          <w:sz w:val="28"/>
          <w:szCs w:val="28"/>
          <w:rtl w:val="true"/>
          <w:lang w:bidi="fa-IR"/>
        </w:rPr>
        <w:t>یکون من السماء</w:t>
      </w:r>
      <w:r>
        <w:rPr>
          <w:rStyle w:val="FootnoteAnchor"/>
          <w:rtl w:val="true"/>
        </w:rPr>
        <w:footnoteReference w:id="576"/>
      </w:r>
      <w:r>
        <w:rPr>
          <w:rFonts w:ascii="IRNazanin" w:hAnsi="IRNazanin" w:eastAsia="IRNazanin"/>
          <w:color w:val="111111"/>
          <w:sz w:val="28"/>
          <w:sz w:val="28"/>
          <w:szCs w:val="28"/>
          <w:rtl w:val="true"/>
          <w:lang w:bidi="fa-IR"/>
        </w:rPr>
        <w:t>ولو بإعانة الریح</w:t>
      </w:r>
      <w:r>
        <w:rPr>
          <w:rStyle w:val="FootnoteAnchor"/>
          <w:rtl w:val="true"/>
        </w:rPr>
        <w:footnoteReference w:id="5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المتعارف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نزول المطر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وأمّا لو وصل إلیها بعد الوقوع علی محلّ آخر ـ کما إذا ترشّح بعد الوقوع علی مکان فوصل مکاناً آخر ـ لا یطهر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والمطهّریّة لا تخلو عن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یثبت له حکم الماء القلیل فی المطهریّة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نعم لو جری علی وجه الأرض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فوصل إلی مکان مسقّف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نزول المطر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 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التقاطر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الاتّصال بما یتقاطر علیه المطر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جریانه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بالجریان إلیه طهر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نزول المطر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 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اتّصاله بما یتقاطر علیه المطر، وکون المطر بحدّ یقتضی الجریان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تقاطر المطر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بقاء التقاطر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الحوض النجس تحت السماء یطهر بالمطر</w:t>
      </w:r>
      <w:r>
        <w:rPr>
          <w:rStyle w:val="FootnoteAnchor"/>
          <w:rtl w:val="true"/>
        </w:rPr>
        <w:footnoteReference w:id="5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الجریان کما مرّ،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الامتزاج به أو بما امتزج به فی حال اعتصامه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الامتزاج علی الأحوط فی جمیع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فی الحیاض الکبار وأمثالها وصول الماء إلی غالب سطحها، أو الامتزاج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الامتزاج فی جمیع الصور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الامتزاج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الامتزاج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النحو الّذی تقدّم فی المسألة الثانیة من اعتبار الجریان والامتزاج فی الجملة، وکذلک فی بقیّة فروض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رعایة الامتزاج علی الأحوط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وکـذا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 تحت السقف وکان هناک ثقبة ینزل منها علی</w:t>
      </w:r>
    </w:p>
    <w:p>
      <w:pPr>
        <w:pStyle w:val="BookText"/>
        <w:rPr/>
      </w:pPr>
      <w:r>
        <w:rPr>
          <w:rFonts w:ascii="IRNazanin" w:hAnsi="IRNazanin" w:eastAsia="IRNazanin"/>
          <w:color w:val="111111"/>
          <w:sz w:val="28"/>
          <w:sz w:val="28"/>
          <w:szCs w:val="28"/>
          <w:rtl w:val="true"/>
          <w:lang w:bidi="fa-IR"/>
        </w:rPr>
        <w:t>الحوض</w:t>
      </w:r>
      <w:r>
        <w:rPr>
          <w:rStyle w:val="FootnoteAnchor"/>
          <w:rtl w:val="true"/>
        </w:rPr>
        <w:footnoteReference w:id="5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نزل إلیها من السماء رأساً، أو جری علی الأرض ثمّ نزل إلیها، أو من میزاب أو غیره، کلّ ذلک حال التقاطر من السماء، أمّا بعد الانقطاع فلا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دون فرق بین کون ما نزل منها من السماء، أو ممّا جری علی الأرض، أو من المیزاب أو غیره، کلّ ذلک حال التقاطر، لا بعد انقطاع المطر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بل وکذا لو أطارته الریح حال تقاطره فوقع فی الحوض، وکذا إذا جری من میزاب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تقاطره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فوقع فیه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ذلک بشرط امتزاج مقدار کریه حال التقاطر قبل خروجه عن اسم المطر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نزوله من السماء، لا بعد انقطاعه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تقاطر من السقف لا یکـون مطهّراً </w:t>
      </w:r>
      <w:r>
        <w:rPr>
          <w:rStyle w:val="FootnoteAnchor"/>
          <w:rtl w:val="true"/>
        </w:rPr>
        <w:footnoteReference w:id="58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یصدق المرور علیه، وکذا علی ورق الشجر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انقطاعه من السماء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 الأولی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کان السقف مثل الحُصُر والبواری ممّا یعدّ المتقاطر متّصلاً بالمتقاطر من السماء فهو باقٍ علی مطهّریّـته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بـل</w:t>
      </w:r>
    </w:p>
    <w:p>
      <w:pPr>
        <w:pStyle w:val="BookText"/>
        <w:rPr/>
      </w:pPr>
      <w:r>
        <w:rPr>
          <w:rFonts w:ascii="IRNazanin" w:hAnsi="IRNazanin" w:eastAsia="IRNazanin"/>
          <w:color w:val="111111"/>
          <w:sz w:val="28"/>
          <w:sz w:val="28"/>
          <w:szCs w:val="28"/>
          <w:rtl w:val="true"/>
          <w:lang w:bidi="fa-IR"/>
        </w:rPr>
        <w:t xml:space="preserve">وکـذا إذا </w:t>
      </w:r>
      <w:r>
        <w:rPr>
          <w:rStyle w:val="FootnoteAnchor"/>
          <w:rtl w:val="true"/>
        </w:rPr>
        <w:footnoteReference w:id="581"/>
      </w:r>
      <w:r>
        <w:rPr>
          <w:rFonts w:ascii="IRNazanin" w:hAnsi="IRNazanin" w:eastAsia="IRNazanin"/>
          <w:color w:val="111111"/>
          <w:sz w:val="28"/>
          <w:sz w:val="28"/>
          <w:szCs w:val="28"/>
          <w:rtl w:val="true"/>
          <w:lang w:bidi="fa-IR"/>
        </w:rPr>
        <w:t xml:space="preserve">وقع علی ورق الشجر </w:t>
      </w:r>
      <w:r>
        <w:rPr>
          <w:rStyle w:val="FootnoteAnchor"/>
          <w:rtl w:val="true"/>
        </w:rPr>
        <w:footnoteReference w:id="58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المطهّریّة لا تخلو من قوّة فی الصورتین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صرف وقوعه علی ورق الشجر لا یمنع عن مطهّریّـته، إلاّ إذا استقرّ علیه ثمّ وقع علی الأرض النجسة بعد انقطاع نزول المطر، کما هو الحال فی الأشجار الملتفّة الکثیرة الأوراق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یصدق أ نّه ماء المطر حال نزوله، وإلاّ یکون مطهّراً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لو کان یجری من السقف والورق إلی غیرهما مع توالی التقاطر علیه فهو بحکم المطر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واستقرّ علیه ثمّ تقاطر دون ما لم یستقرّ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واستقرّ ولم یتوالَ التقاطر، وإلاّ کان بحکم المطر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 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وقوعه علی الورق لا یمنع من مطهّریّـته مع توالی التقاطر، کیف وقد حکم المصنّف فی المسألة الآتیة بأنّه لو تقاطر علی عین النجس فترشّح منها علی شیء آخر لم ینجس؟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استقرّ علیه ثمّ نزل بعد انقطاع المطر فلا یکون مطهّراً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هو الحکم بالمطهّریّة إذا لم یستقرّ علیه، وعُدّ عرفاً باقیاً علی نزوله الطبیعی من السماء من جهة عدّ الورق مَمرّاً له، ولو لأجل التتابع والشدّة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کان الورق محلّ نزول المطر عرفاً، وکان الوقوع علی الأرض خارجاً عنه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وقع علی</w:t>
      </w:r>
    </w:p>
    <w:p>
      <w:pPr>
        <w:pStyle w:val="BookText"/>
        <w:rPr/>
      </w:pPr>
      <w:r>
        <w:rPr>
          <w:rFonts w:ascii="IRNazanin" w:hAnsi="IRNazanin" w:eastAsia="IRNazanin"/>
          <w:color w:val="111111"/>
          <w:sz w:val="28"/>
          <w:sz w:val="28"/>
          <w:szCs w:val="28"/>
          <w:rtl w:val="true"/>
          <w:lang w:bidi="fa-IR"/>
        </w:rPr>
        <w:t>الأرض</w:t>
      </w:r>
      <w:r>
        <w:rPr>
          <w:rStyle w:val="FootnoteAnchor"/>
          <w:rtl w:val="true"/>
        </w:rPr>
        <w:footnoteReference w:id="58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إطلاقه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بقاؤه علی المطهّریّة مع تتابع المطر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یضرّ هذا بمطهّریّـته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یبعد الحکم بمطهّریّـته حال تقاطر المطر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انفصل ما یقع علی الأرض بذلک عمّا ینزل من السماء، أمّا إذا کان اتّصاله باقیاً بما ینزل من السماء لم یضرّ به وقوعه علی الشجر، فهو لا یزال معتصماً ومطهّراً لما یقع علیه، ویکون کالفرض الأخیر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لو لاقی فی الهواء شیئاً، کورق الشجر أو نحوه حال نزوله لا یضرّ إذا لم یقع علیه ثمّ منه علی الأرض، فمجرّد المرور علی الشیء لا یضرُّ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تقاطر</w:t>
      </w:r>
      <w:r>
        <w:rPr>
          <w:rStyle w:val="FootnoteAnchor"/>
          <w:rtl w:val="true"/>
        </w:rPr>
        <w:footnoteReference w:id="584"/>
      </w:r>
      <w:r>
        <w:rPr>
          <w:rFonts w:ascii="IRNazanin" w:hAnsi="IRNazanin" w:eastAsia="IRNazanin"/>
          <w:color w:val="111111"/>
          <w:sz w:val="28"/>
          <w:sz w:val="28"/>
          <w:szCs w:val="28"/>
          <w:rtl w:val="true"/>
          <w:lang w:bidi="fa-IR"/>
        </w:rPr>
        <w:t>علی عین النجس</w:t>
      </w:r>
      <w:r>
        <w:rPr>
          <w:rStyle w:val="FootnoteAnchor"/>
          <w:rtl w:val="true"/>
        </w:rPr>
        <w:footnoteReference w:id="5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بقاء التقاطر من السماء واتّصاله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مع وجود تقاطر المطر واتّصاله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فترشّح منها علی شیء آخر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لم ینجس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إذا لم یکن معه عین النجاسة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وإن کان معه عین النجاسة ما دام متّصلاً بماء السماء بتقاطره علیه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 یکن متغیّراً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السطح نجساً فوقع علیه المطر ونفذ وتقاطر من السقف لا تکون تلک القطرات</w:t>
      </w:r>
      <w:r>
        <w:rPr>
          <w:rStyle w:val="FootnoteAnchor"/>
          <w:rtl w:val="true"/>
        </w:rPr>
        <w:footnoteReference w:id="586"/>
      </w:r>
      <w:r>
        <w:rPr>
          <w:rFonts w:ascii="IRNazanin" w:hAnsi="IRNazanin" w:eastAsia="IRNazanin"/>
          <w:color w:val="111111"/>
          <w:sz w:val="28"/>
          <w:sz w:val="28"/>
          <w:szCs w:val="28"/>
          <w:rtl w:val="true"/>
          <w:lang w:bidi="fa-IR"/>
        </w:rPr>
        <w:t>نجسة، وإن کان عین النجاسة موجودة علی السطح ووقع علیها، لکن بشرط أن یکون ذلک حال تقاطره من السماء</w:t>
      </w:r>
      <w:r>
        <w:rPr>
          <w:rStyle w:val="FootnoteAnchor"/>
          <w:rtl w:val="true"/>
        </w:rPr>
        <w:footnoteReference w:id="587"/>
      </w:r>
      <w:r>
        <w:rPr>
          <w:rFonts w:ascii="IRNazanin" w:hAnsi="IRNazanin" w:eastAsia="IRNazanin"/>
          <w:color w:val="111111"/>
          <w:sz w:val="28"/>
          <w:sz w:val="28"/>
          <w:szCs w:val="28"/>
          <w:rtl w:val="true"/>
          <w:lang w:bidi="fa-IR"/>
        </w:rPr>
        <w:t xml:space="preserve">، وأمّا إذا انقطع ثمّ تقاطر من السقف مع فرض مروره علی عین النجس فیکون نجساً </w:t>
      </w:r>
      <w:r>
        <w:rPr>
          <w:rStyle w:val="FootnoteAnchor"/>
          <w:rtl w:val="true"/>
        </w:rPr>
        <w:footnoteReference w:id="588"/>
      </w:r>
      <w:r>
        <w:rPr>
          <w:rFonts w:ascii="IRNazanin" w:hAnsi="IRNazanin" w:eastAsia="IRNazanin"/>
          <w:color w:val="111111"/>
          <w:sz w:val="28"/>
          <w:sz w:val="28"/>
          <w:szCs w:val="28"/>
          <w:rtl w:val="true"/>
          <w:lang w:bidi="fa-IR"/>
        </w:rPr>
        <w:t>، وکذا الحال</w:t>
      </w:r>
      <w:r>
        <w:rPr>
          <w:rStyle w:val="FootnoteAnchor"/>
          <w:rtl w:val="true"/>
        </w:rPr>
        <w:footnoteReference w:id="589"/>
      </w:r>
      <w:r>
        <w:rPr>
          <w:rFonts w:ascii="IRNazanin" w:hAnsi="IRNazanin" w:eastAsia="IRNazanin"/>
          <w:color w:val="111111"/>
          <w:sz w:val="28"/>
          <w:sz w:val="28"/>
          <w:szCs w:val="28"/>
          <w:rtl w:val="true"/>
          <w:lang w:bidi="fa-IR"/>
        </w:rPr>
        <w:t>إذا جری من المیزاب بعد وقوعه علی السطح النجس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تقاطر </w:t>
      </w:r>
      <w:r>
        <w:rPr>
          <w:rStyle w:val="FootnoteAnchor"/>
          <w:rtl w:val="true"/>
        </w:rPr>
        <w:footnoteReference w:id="5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هذه المسألة ناظرة إلی حکم السقف لیست بمکرّرة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السقف النجس یکون طاهراً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اتّصال القطرات کی یحصل الاعتصام، هذا فیما لو نفذ المطر فی تمام السطح المتنجّس ممّا لا إشکال فیه، وأمّا لو رسب فی مقدار منه ثمّ توقّف المطر فالحکم بنجاسة تلک القطرات هو الأقوی، إذ القطرات الملاقیة للباقی الغیر الممطور من السطح تنجس لمکان قلّـتها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صدق عنوان ماء المطر فی بعض صور المسألة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w:t>
      </w:r>
    </w:p>
    <w:p>
      <w:pPr>
        <w:pStyle w:val="BookText"/>
        <w:rPr/>
      </w:pPr>
      <w:r>
        <w:rPr>
          <w:rFonts w:ascii="IRNazanin" w:hAnsi="IRNazanin" w:eastAsia="IRNazanin"/>
          <w:color w:val="111111"/>
          <w:sz w:val="28"/>
          <w:sz w:val="28"/>
          <w:szCs w:val="28"/>
          <w:rtl w:val="true"/>
          <w:lang w:bidi="fa-IR"/>
        </w:rPr>
        <w:t>التقاطر حال نزوله من السماء، سواء کان السطح أیضاً نجساً أم طاهراً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التراب النجس یطهر بنزول المطر علیه</w:t>
      </w:r>
      <w:r>
        <w:rPr>
          <w:rStyle w:val="FootnoteAnchor"/>
          <w:rtl w:val="true"/>
        </w:rPr>
        <w:footnoteReference w:id="591"/>
      </w:r>
      <w:r>
        <w:rPr>
          <w:rFonts w:ascii="IRNazanin" w:hAnsi="IRNazanin" w:eastAsia="IRNazanin"/>
          <w:color w:val="111111"/>
          <w:sz w:val="28"/>
          <w:sz w:val="28"/>
          <w:szCs w:val="28"/>
          <w:rtl w:val="true"/>
          <w:lang w:bidi="fa-IR"/>
        </w:rPr>
        <w:t>، إذا وصل إلی أعماقه</w:t>
      </w:r>
      <w:r>
        <w:rPr>
          <w:rStyle w:val="FootnoteAnchor"/>
          <w:rtl w:val="true"/>
        </w:rPr>
        <w:footnoteReference w:id="5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باقیاً علی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بقائه علی إطلاقه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حفظ مائیته عرفاً، ولا یکفی وصول الرطوبة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بقاء مائیّـته، ولا یکفی وصول الرطوبة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صدق الماء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حفظ إطلاقه حین وصوله، ولا یکفی مجرّد وصول النداوة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بقائه علی مائیّـته وإطلاقه، ولا یکفی مجرّد وصول الرطوبة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اتّصاله بما ینزل من السماء، کما تقدّم فی نظائره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نفس ماء المطر، لا رطوبته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احتمال بقائه علی إطلاقه، ولا یعتبر صیرورته طیناً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حتّی صار طیناً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الحصیر النجس یطهر بالمطر، وکذا الفراش المفروش علی الأرض</w:t>
      </w:r>
      <w:r>
        <w:rPr>
          <w:rStyle w:val="FootnoteAnchor"/>
          <w:rtl w:val="true"/>
        </w:rPr>
        <w:footnoteReference w:id="593"/>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مرَّ أ نّه احتیاط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وإذا کانت الأرض الّتی تحتهما أیضاً نجسة تطهر إذا</w:t>
      </w:r>
    </w:p>
    <w:p>
      <w:pPr>
        <w:pStyle w:val="BookText"/>
        <w:rPr/>
      </w:pPr>
      <w:r>
        <w:rPr>
          <w:rFonts w:ascii="IRNazanin" w:hAnsi="IRNazanin" w:eastAsia="IRNazanin"/>
          <w:color w:val="111111"/>
          <w:sz w:val="28"/>
          <w:sz w:val="28"/>
          <w:szCs w:val="28"/>
          <w:rtl w:val="true"/>
          <w:lang w:bidi="fa-IR"/>
        </w:rPr>
        <w:t>وصل إلیها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إذا کان الحصیر منفصلاً عن الأرض یشکل طهارتها</w:t>
      </w:r>
      <w:r>
        <w:rPr>
          <w:rStyle w:val="FootnoteAnchor"/>
          <w:rtl w:val="true"/>
        </w:rPr>
        <w:footnoteReference w:id="59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عرفت ما عندنا من الحاشیة السابقة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قـد سبـق من الماتن قدس‌سره الجزم بعدم حصول الطهارة فیما إذا وقع علی ورق الشجرة ثمّ تقاطر منه علی الأرض، وعدم الجزم فی المقام فی الحصیر أو الفراش لا یکون منفصلاً عن الأرض کاملاً، بل ملتصق ولو ببعض أفرادها علی الأرض فیصدق جریان المطر علی الأرض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طهارتها بالشرط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بنزول المطر علیه إذا تقاطر منه علیها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نظیر ما مرّ من الإشکال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منه الجزم بالعدم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منه الحکم بالعدم وقیّدناه بعدم صدق المرور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الکلام فیه، فراجع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أنّ حکمه حکم الورق، وسبق منه قدس‌سره الجزم بالعدم بدون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منه قدس‌سره الجزم بالعدم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ولکنّه لم یمرّ الإشکال، بل ما مرّ إنّما هو الجزم بالعدم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فیما وقع علی ورق الشجر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وتقاطر منه علی الأرض</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الإناء النجس یطهر</w:t>
      </w:r>
      <w:r>
        <w:rPr>
          <w:rStyle w:val="FootnoteAnchor"/>
          <w:rtl w:val="true"/>
        </w:rPr>
        <w:footnoteReference w:id="595"/>
      </w:r>
      <w:r>
        <w:rPr>
          <w:rFonts w:ascii="IRNazanin" w:hAnsi="IRNazanin" w:eastAsia="IRNazanin"/>
          <w:color w:val="111111"/>
          <w:sz w:val="28"/>
          <w:sz w:val="28"/>
          <w:szCs w:val="28"/>
          <w:rtl w:val="true"/>
          <w:lang w:bidi="fa-IR"/>
        </w:rPr>
        <w:t>إذا أصاب المطر جمیع مواضع النجس منه، نعم إذا کان نجساً بولوغ الکلب یشکل طهارته</w:t>
      </w:r>
      <w:r>
        <w:rPr>
          <w:rStyle w:val="FootnoteAnchor"/>
          <w:rtl w:val="true"/>
        </w:rPr>
        <w:footnoteReference w:id="59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یطهر بدون التعفیر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بقاء نجاسته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یطهر إلاّ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یقوی عدمها، کما سیأتی منه قدس‌سره أیضاً فی مسألة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 المطهّرات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بل لا یطهر إلاّ بعـد العصـر ، وقد قوّی المصنّف عدم طهارته فی المسألة الآتیة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المطهّرات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التعفیر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لکن بعده إذا نزل علیه یطهر مـن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غیر حاجة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إلی التعدّد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الأولی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التعدّد فیه، والتثلیث فی إناء الخمر، والسبع فی ولوغ الخنزیر وموت الجرذ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الاحتیاج إلیه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09" w:name="pg13272_142965"/>
    </w:p>
    <w:p>
      <w:pPr>
        <w:pStyle w:val="Heading3"/>
        <w:numPr>
          <w:ilvl w:val="2"/>
          <w:numId w:val="1"/>
        </w:numPr>
        <w:rPr/>
      </w:pPr>
      <w:bookmarkStart w:id="210" w:name="__RefHeading___Toc1636512_2322387425"/>
      <w:bookmarkStart w:id="211" w:name="_Toc68"/>
      <w:bookmarkEnd w:id="209"/>
      <w:bookmarkEnd w:id="210"/>
      <w:r>
        <w:rPr>
          <w:rtl w:val="true"/>
        </w:rPr>
        <w:t>فصل فی ماء الحمّام</w:t>
      </w:r>
      <w:bookmarkEnd w:id="211"/>
    </w:p>
    <w:p>
      <w:pPr>
        <w:pStyle w:val="BookText"/>
        <w:rPr/>
      </w:pPr>
      <w:r>
        <w:rPr>
          <w:rFonts w:ascii="Amiri" w:hAnsi="Amiri" w:eastAsia="Amiri" w:cs="Amiri"/>
          <w:color w:val="111111"/>
          <w:sz w:val="28"/>
          <w:sz w:val="28"/>
          <w:szCs w:val="28"/>
          <w:rtl w:val="true"/>
          <w:lang w:bidi="ar-SA"/>
        </w:rPr>
        <w:t>ماء الحمّام</w:t>
      </w:r>
      <w:r>
        <w:rPr>
          <w:rStyle w:val="FootnoteAnchor"/>
          <w:rtl w:val="true"/>
        </w:rPr>
        <w:footnoteReference w:id="59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منه الماء الموجود فی حیاضه الصغار، کما أنّ المراد من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الحمّامات العامة المعدّة لدخول الناس فیها، فلا یشمل حکم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الحمّامات الموجودة فی زماننا الحاضر إذا کان حکمه مخالفاً للقاعدة، لکن فی نظرنا الحکم علی وفق القاعدة، وعلی هذا لا فرق بین الحمّام وغیره، فما فی الحیاض الصغار إذا کان متّصلاً بالمادّة وکانت وحدها أو المجموع ـ أی بضمیمة ما فی الحیاض لها ـ کرّاً یکون عاصماً، وأمّا إذا لم یکن متّصلاً بالمادّة أو لم تکن المادّة وحدها أو المجموع کرّاً لم یعتصم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بمنزلة الجاری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بشرط اتّصاله بالخزانة، فالحیاض الصغـار فیـه إذا اتّصلـت بالخزانة لا تنجـس بالملاقاة، إذا کان ما فی الخزانة وحده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أو مـع ما فی الحیاض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مع عدم التساوی إذا لم یصدق الوحدة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هذه الصورة یعتبر صدق الوحدة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کون ما فی الخزانة وحده أو مع ما فی الأنابیب کرّاً هو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بقـدر الکـرّ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تساوی سطحیهما، وإلاّ فالأقوی اعتبار الکرّیّة فی المادّة فی الحکم بعدم انفعال ما فی الحیاض الصغار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 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کون ما فی المادّة بقدر الکرّ، أو صدق الوحدة عرفاً إذا کان مجموع ما فی المادّة والحوض الصغیر بقدر الکرّ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کون ما فی الخزانة بقدر الکرّ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غیـر</w:t>
      </w:r>
    </w:p>
    <w:p>
      <w:pPr>
        <w:pStyle w:val="BookText"/>
        <w:rPr/>
      </w:pPr>
      <w:r>
        <w:rPr>
          <w:rFonts w:ascii="IRNazanin" w:hAnsi="IRNazanin" w:eastAsia="IRNazanin"/>
          <w:color w:val="111111"/>
          <w:sz w:val="28"/>
          <w:sz w:val="28"/>
          <w:szCs w:val="28"/>
          <w:rtl w:val="true"/>
          <w:lang w:bidi="fa-IR"/>
        </w:rPr>
        <w:t>فرق</w:t>
      </w:r>
      <w:r>
        <w:rPr>
          <w:rStyle w:val="FootnoteAnchor"/>
          <w:rtl w:val="true"/>
        </w:rPr>
        <w:footnoteReference w:id="59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قلنا بأنّ ماء الحمّام له خصوصیّة فی الحکم المذکور، فلازمه عدم اشتراط الکرّیّة حتّی فی مجموع ما فی الخزانة والحوض، وإن لم نقل بالخصوصیّة ـ کما لا نقول ـ فلابدّ فی صورة عدم تساوی السطحین من اشتراط الکرّیّة فی ماء الخزانة؛ لعدم الوحدة العرفیّة بین العالی والسافل، وعدم تقوّی أحدهما بالآخر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تساوی سطحها مع الخزانة أو عدمه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وقفة الماء وعدم جریانه من السطح العالی إلی الأسفل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کرّیّة ما فی الخزانة فیما لا یتساوی السطح ویکون ما فی الحیاض قلیلاً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تحقّق الوحدة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اختلفت سطوح الماء بحیث کان یجری من العالی إلی السافل لم تصدق الوحدة علی مجموع الماء، فلا یعتصم بعضه ببعض وإن بلغ المجموع کرّاً، کما ذکرنا فی أوّل فصل الماء الراکد، نعم إذا کان العالی وحده کرّاً وجری إلی السافل کان له مادّة واعتصم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وإذا تنجّس ما فیها</w:t>
      </w:r>
    </w:p>
    <w:p>
      <w:pPr>
        <w:pStyle w:val="BookText"/>
        <w:rPr/>
      </w:pPr>
      <w:r>
        <w:rPr>
          <w:rFonts w:ascii="IRNazanin" w:hAnsi="IRNazanin" w:eastAsia="IRNazanin"/>
          <w:color w:val="111111"/>
          <w:sz w:val="28"/>
          <w:sz w:val="28"/>
          <w:szCs w:val="28"/>
          <w:rtl w:val="true"/>
          <w:lang w:bidi="fa-IR"/>
        </w:rPr>
        <w:t>یطهر بالاتّصال</w:t>
      </w:r>
      <w:r>
        <w:rPr>
          <w:rStyle w:val="FootnoteAnchor"/>
          <w:rtl w:val="true"/>
        </w:rPr>
        <w:footnoteReference w:id="59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رعایة الامتزاج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الامتزاج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حصل معه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غیر احتیاج إلی الامتزاج کما أسلفناه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اعتبار الامتزاج علی الأقوی، وصدق وحدة الماء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الامتزاج علی الأحوط، وکذا فی غیر الحمّام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المزج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الامتزاج فیه وفیما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بالخزانة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بامتزاجه مع ما یجری علیه من الخزانة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والامتزاج بمائها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رعایة امتزاجه مع ما یجری علیه من الخزانة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بشرط کونها کرّاً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یعتبر فیه الامتزاج فی الجملة کما تقدّم، وإذا کانت الخزانة أعلی اعتبر فیها أن تزید علی الکرّ بمقدار ما ینحدر منها إلی الحوض ممّا هو منخفض عنها فی المجری، وعلی الجملة لابدّ أن تشتمل علی کرٍّ کامل زائد علی ماء المجری والحوض، وکذا فی الفرض اللاحق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وبشرط الامتزاج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کانت أعلی</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وکان الاتّصال بمثل المزمّلة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متداولة باللهجة العراقیة بمعنی اُنبوب الماء</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هو مورد روایات الحمّام ظاهراً، لکن عدم انفعال ما فی الحیاض الصغار مع عدم کرّیّـته یتوقّف علی دوام کرّیّة ما فی الخزانة وحده، وهکذا المنبع الأعلی فی غیر الحمّام أیضاً علی الأقوی کما 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صدق الوحدة عرفاً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بقاء الکرّیّة فی الخزانة بعد خروج مقدار منها من المزمّلة إلی أن یطهر الماء النجس أو الشیء النجس الّذی یغسل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الامتزاج علی الأقوی وصدق الوحدة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صدق الوحدة مع بقاء الکرّیة فی الخزانة بعد خروج مقدار منها من المزمّلة إلی أن یطهر الماء النجس أو الشیء المتنجّس المغسول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ویجری هذا الحکم</w:t>
      </w:r>
      <w:r>
        <w:rPr>
          <w:rStyle w:val="FootnoteAnchor"/>
          <w:rtl w:val="true"/>
        </w:rPr>
        <w:footnoteReference w:id="601"/>
      </w:r>
      <w:r>
        <w:rPr>
          <w:rFonts w:ascii="Amiri" w:hAnsi="Amiri" w:eastAsia="Amiri" w:cs="Amiri"/>
          <w:color w:val="111111"/>
          <w:sz w:val="28"/>
          <w:sz w:val="28"/>
          <w:szCs w:val="28"/>
          <w:rtl w:val="true"/>
          <w:lang w:bidi="ar-SA"/>
        </w:rPr>
        <w:t xml:space="preserve">فی غیر الحمّام أیضاً </w:t>
      </w:r>
      <w:r>
        <w:rPr>
          <w:rStyle w:val="FootnoteAnchor"/>
          <w:rtl w:val="true"/>
        </w:rPr>
        <w:footnoteReference w:id="602"/>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الدوش المتعارف فی هذه الأعصار فی الحمّامات والبیوتات إن جری الماء من ثقوبه متّصلاً فهو من الماء المعتصم مع الاتّصال بما کان کرّاً من الماء، وإن تقاطر منها ولم یکن عمود الماء متّصلاً فهو فی حکم القلیل؛ لتحقّق الفصل بین القطرات وانقطاع عمود الماء، وأمّا الماء الموجود فی الأنابیب المتعارفة فی زماننا بمنزلة المادّة یجری علیه حکم المعتصم فی التطهیر به، فلا یحتاج إلی التعدّد ولا عصر وإن کان ممّا یعصر، إلاّ إذا کان ماء المخزن أقلّ من الکرّ وانقطع عنه الماء المعتصم یجری علیه حکم الماء القلیل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کان فی المنبع</w:t>
      </w:r>
    </w:p>
    <w:p>
      <w:pPr>
        <w:pStyle w:val="BookText"/>
        <w:rPr/>
      </w:pPr>
      <w:r>
        <w:rPr>
          <w:rFonts w:ascii="IRNazanin" w:hAnsi="IRNazanin" w:eastAsia="IRNazanin"/>
          <w:color w:val="111111"/>
          <w:sz w:val="28"/>
          <w:sz w:val="28"/>
          <w:szCs w:val="28"/>
          <w:rtl w:val="true"/>
          <w:lang w:bidi="fa-IR"/>
        </w:rPr>
        <w:t>الأعلی مقدار الکرّ أو أزید</w:t>
      </w:r>
      <w:r>
        <w:rPr>
          <w:rStyle w:val="FootnoteAnchor"/>
          <w:rtl w:val="true"/>
        </w:rPr>
        <w:footnoteReference w:id="603"/>
      </w:r>
      <w:r>
        <w:rPr>
          <w:rFonts w:ascii="IRNazanin" w:hAnsi="IRNazanin" w:eastAsia="IRNazanin"/>
          <w:color w:val="111111"/>
          <w:sz w:val="28"/>
          <w:sz w:val="28"/>
          <w:szCs w:val="28"/>
          <w:rtl w:val="true"/>
          <w:lang w:bidi="fa-IR"/>
        </w:rPr>
        <w:t>، وکان تحته حوض صغیر نجس واتّصل بالمنبع</w:t>
      </w:r>
      <w:r>
        <w:rPr>
          <w:rStyle w:val="FootnoteAnchor"/>
          <w:rtl w:val="true"/>
        </w:rPr>
        <w:footnoteReference w:id="60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کونه زائداً من الکرّ فی الجملة ولو بقدر ما فی المزمّلة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بالشرط المذکور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بمثل المزمّلة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صدق الوحدة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مراعاة الشرط المذکور فی ماء الحمّام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یطهر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المنبع بنفسه کرّاً زائداً علی ما یخرج من المزمّلة إلی الماء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دوام کرّیّة المنبع وحده کما تقدّم فی الخزانة، وکذا إذا غسل فیه شیء 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لو غسل فیه شیء نجس، فإنّه یطهر مع الاتّصال المذکور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2" w:name="pg13272_142970"/>
    </w:p>
    <w:p>
      <w:pPr>
        <w:pStyle w:val="Heading3"/>
        <w:numPr>
          <w:ilvl w:val="2"/>
          <w:numId w:val="1"/>
        </w:numPr>
        <w:rPr/>
      </w:pPr>
      <w:bookmarkStart w:id="213" w:name="__RefHeading___Toc1636514_2322387425"/>
      <w:bookmarkStart w:id="214" w:name="_Toc69"/>
      <w:bookmarkEnd w:id="212"/>
      <w:bookmarkEnd w:id="213"/>
      <w:r>
        <w:rPr>
          <w:rtl w:val="true"/>
        </w:rPr>
        <w:t>فصل فی ماء البئر</w:t>
      </w:r>
      <w:bookmarkEnd w:id="214"/>
    </w:p>
    <w:p>
      <w:pPr>
        <w:pStyle w:val="BookText"/>
        <w:rPr/>
      </w:pPr>
      <w:r>
        <w:rPr>
          <w:rFonts w:ascii="IRNazanin" w:hAnsi="IRNazanin" w:eastAsia="IRNazanin"/>
          <w:color w:val="111111"/>
          <w:sz w:val="28"/>
          <w:sz w:val="28"/>
          <w:szCs w:val="28"/>
          <w:rtl w:val="true"/>
          <w:lang w:bidi="fa-IR"/>
        </w:rPr>
        <w:t>ماء البئر النابع بمنزلة الجاری</w:t>
      </w:r>
      <w:r>
        <w:rPr>
          <w:rStyle w:val="FootnoteAnchor"/>
          <w:rtl w:val="true"/>
        </w:rPr>
        <w:footnoteReference w:id="605"/>
      </w:r>
      <w:r>
        <w:rPr>
          <w:rFonts w:ascii="IRNazanin" w:hAnsi="IRNazanin" w:eastAsia="IRNazanin"/>
          <w:color w:val="111111"/>
          <w:sz w:val="28"/>
          <w:sz w:val="28"/>
          <w:szCs w:val="28"/>
          <w:rtl w:val="true"/>
          <w:lang w:bidi="fa-IR"/>
        </w:rPr>
        <w:t>لا ینجس إلاّ بالتغیّر، سواء کان بقدر الکرّ</w:t>
      </w:r>
      <w:r>
        <w:rPr>
          <w:rStyle w:val="FootnoteAnchor"/>
          <w:rtl w:val="true"/>
        </w:rPr>
        <w:footnoteReference w:id="606"/>
      </w:r>
      <w:r>
        <w:rPr>
          <w:rFonts w:ascii="Amiri" w:hAnsi="Amiri" w:eastAsia="Amiri" w:cs="Amiri"/>
          <w:color w:val="111111"/>
          <w:sz w:val="28"/>
          <w:sz w:val="28"/>
          <w:szCs w:val="28"/>
          <w:rtl w:val="true"/>
          <w:lang w:bidi="ar-SA"/>
        </w:rPr>
        <w:t>أو أقلّ، وإذا تغیّر ثمّ زال تغیّره من قبل نفسه طهر</w:t>
      </w:r>
      <w:r>
        <w:rPr>
          <w:rStyle w:val="FootnoteAnchor"/>
          <w:rtl w:val="true"/>
        </w:rPr>
        <w:footnoteReference w:id="60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الامتزاج فی التطهیر هنا وفی المسائل الآتیة لا یخلو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کما سیأتی فی المسألة اللاحقة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امتزاجه بما یخرج من المادّة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امتزاجه بما یخرج من المادّة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رعایة امتزاجه بما یخرج من المادّة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ولو بعلاج علی الأقوی، ولکن مع الامتزاج بما یخرج من المادّة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امتزاجه مع ما یخرج من المادّة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الامتزاج بما یخرج من المادّة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امتزاجه مع ما یخرج من المادّة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امتزج بما یخرج من المادّة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یطهر ولو بعلاج علی الأظهر، ولا یعتبر الامتزاج بما یخرج من المادّة، بل هو 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رعایة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الامتزاج بما یخرج من المادّة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له</w:t>
      </w:r>
    </w:p>
    <w:p>
      <w:pPr>
        <w:pStyle w:val="BookText"/>
        <w:rPr/>
      </w:pPr>
      <w:r>
        <w:rPr>
          <w:rFonts w:ascii="Amiri" w:hAnsi="Amiri" w:eastAsia="Amiri" w:cs="Amiri"/>
          <w:color w:val="111111"/>
          <w:sz w:val="28"/>
          <w:sz w:val="28"/>
          <w:szCs w:val="28"/>
          <w:rtl w:val="true"/>
          <w:lang w:bidi="ar-SA"/>
        </w:rPr>
        <w:t>مادّة</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ونزح المقدّرات فی صورة عدم التغیّر مستحبّ</w:t>
      </w:r>
      <w:r>
        <w:rPr>
          <w:rStyle w:val="FootnoteAnchor"/>
          <w:rtl w:val="true"/>
        </w:rPr>
        <w:footnoteReference w:id="60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یخفی أنّ تکثیر المنزوحات وتفصیلها فی أنواع النجاسات بحسب الذکر فی کلّ واحد منها لا یخلو من شائبة الوجوب،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الاستحباب النفسی التعبّدی کما عن عدّة وفیرة، وکذا الوجوب النفسی التعبّدی مع المصیر إلی عدم الانفعال، کما عن شیخ الطائفة المحقّة، وکذا الوجوب الشرطی، بمعنی اشتراط النزح فی مطهّریّة ماء البئر ورافعیّـته للحدث والخبث، وإن کان ماؤها طاهراً وغیر منفعل کما عن بعض، وکذا الاستحباب الشرطی، بمعنی اشتراط النزح فی رفع کراهة استعمال مائها، کما عن بعض، وکذا حمل الأمر بالنزح علی الإرشاد إلی المرتبة الضعیفة من النجاسة، وکلّها بمعزل عن التحقیق، کما هو ظاهر لمن راجع أدلّة الباب المتعارضة صریحاً، والمهیع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المهیع، وجمعه مهایع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الطریق الواسع البیِّن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15/180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 هَیَع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الأهنی ترجیح أدلّة عدم الانفعال؛ لصحّة سندها، ووضوح دلالتها علی أدلّة الانفعال والنزح؛ لموافقتها للفتوی المشهورة لدی العامّة فی زمن صدور هذه الروایات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 حکمة النزح إزالة القذارة العرفیّة المحتملة، أو المنع عن التغیّرات الّتی تقع فی البئر لولا النزح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استعمال الماء قبل النزح مکروه کراهة شدیدة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وأمّا إذا لم یکن له</w:t>
      </w:r>
    </w:p>
    <w:p>
      <w:pPr>
        <w:pStyle w:val="BookText"/>
        <w:rPr/>
      </w:pPr>
      <w:r>
        <w:rPr>
          <w:rFonts w:ascii="Amiri" w:hAnsi="Amiri" w:eastAsia="Amiri" w:cs="Amiri"/>
          <w:color w:val="111111"/>
          <w:sz w:val="28"/>
          <w:sz w:val="28"/>
          <w:szCs w:val="28"/>
          <w:rtl w:val="true"/>
          <w:lang w:bidi="ar-SA"/>
        </w:rPr>
        <w:t xml:space="preserve">مادّة نابعة، فیعتبر فی عدم تنجّسه الکرّیّة، وإن سمّی بئراً </w:t>
      </w:r>
      <w:r>
        <w:rPr>
          <w:rStyle w:val="FootnoteAnchor"/>
          <w:rtl w:val="true"/>
        </w:rPr>
        <w:footnoteReference w:id="610"/>
      </w:r>
      <w:r>
        <w:rPr>
          <w:rFonts w:ascii="IRNazanin" w:hAnsi="IRNazanin" w:eastAsia="IRNazanin"/>
          <w:color w:val="111111"/>
          <w:sz w:val="28"/>
          <w:sz w:val="28"/>
          <w:szCs w:val="28"/>
          <w:rtl w:val="true"/>
          <w:lang w:bidi="fa-IR"/>
        </w:rPr>
        <w:t>، کالآبار</w:t>
      </w:r>
      <w:r>
        <w:rPr>
          <w:rStyle w:val="FootnoteAnchor"/>
          <w:rtl w:val="true"/>
        </w:rPr>
        <w:footnoteReference w:id="611"/>
      </w:r>
      <w:r>
        <w:rPr>
          <w:rFonts w:ascii="IRNazanin" w:hAnsi="IRNazanin" w:eastAsia="IRNazanin"/>
          <w:color w:val="111111"/>
          <w:sz w:val="28"/>
          <w:sz w:val="28"/>
          <w:szCs w:val="28"/>
          <w:rtl w:val="true"/>
          <w:lang w:bidi="fa-IR"/>
        </w:rPr>
        <w:t>الّتی یجتمع فیها ماء المطر ولا نبع لها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ماء البئر المتّصل بالمادّة </w:t>
      </w:r>
      <w:r>
        <w:rPr>
          <w:rStyle w:val="FootnoteAnchor"/>
          <w:rtl w:val="true"/>
        </w:rPr>
        <w:footnoteReference w:id="61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بحیث یصدق الاتّصال بنظر العرف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تنجّس بالتغیّر فَطُهره بزواله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ولو بإعدام مائها بسبب الأدویة المبخّرة الّتی تبدّل الماء بخاراً، أو إخراج تمام مائه المتغیّر بالأسباب المستحدثة الکهربائیّة وغیرها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ولو من قبل نفسه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الاحتیاط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فضلاً عن نزول المطر علیه أو نزحه حتّی یزول ، ولا یعتبر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اعتباره بضمیمة امتزاجه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اعتباره مع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مرّ أ نّه أحوط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نزول المطر یعتبر المزج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الاعتبار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أنّ الأقوی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یعتبر خروج الماء من المادّة وامتزاجه بما فی البئر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اعتبار الامتزاج فضلاً عن مجرّد الخروج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w:t>
      </w:r>
    </w:p>
    <w:p>
      <w:pPr>
        <w:pStyle w:val="BookText"/>
        <w:rPr/>
      </w:pPr>
      <w:r>
        <w:rPr>
          <w:rFonts w:ascii="IRNazanin" w:hAnsi="IRNazanin" w:eastAsia="IRNazanin"/>
          <w:color w:val="111111"/>
          <w:sz w:val="28"/>
          <w:sz w:val="28"/>
          <w:szCs w:val="28"/>
          <w:rtl w:val="true"/>
          <w:lang w:bidi="fa-IR"/>
        </w:rPr>
        <w:t>ماء</w:t>
      </w:r>
      <w:r>
        <w:rPr>
          <w:rStyle w:val="FootnoteAnchor"/>
          <w:rtl w:val="true"/>
        </w:rPr>
        <w:footnoteReference w:id="61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الخروج والامتزاج هو الأحوط،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المادّة فی ذلک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سواء قلنا بأنّ طهارته بالاتّصال بالمادّة أمر تعبّدی أو أمر عرفی، نعم لا یبعد اعتبار قوّة النبع بحیث لو اُخذ منه شیء من الماء نبع الماء من المادّة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الراکد النجس کرّاً کان أو قلیلاً یطهر بالاتّصال</w:t>
      </w:r>
      <w:r>
        <w:rPr>
          <w:rStyle w:val="FootnoteAnchor"/>
          <w:rtl w:val="true"/>
        </w:rPr>
        <w:footnoteReference w:id="61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بمطلق العاصم أیّاً ما کان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بکرٍّ طاهر، أو بالجاری، أو النابع غیر الجاری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عدم اعتصامه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لم یحصل الامتزاج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اعتبار الامتزاج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تقدّم أنّ اعتبار حصوله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الامتزاج فی الجمیع، کما مرّ مراراً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أنّ الأحوط اعتباره فی تطهیر المیاه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بشرط الامتزاج علی الأحوط لو لم یکن 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 لزومه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مراراً اعتباره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أنّ الأحوط اعتباره فی تطهیر مطلق المیاه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اعتبار الامتزاج فی الجملة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علی حصول الامتزاج فیه وفی ماء المطر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اعتبار الامتزاج فیه و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 اعتبار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الأقوی</w:t>
      </w:r>
      <w:r>
        <w:rPr>
          <w:rStyle w:val="FootnoteAnchor"/>
          <w:rtl w:val="true"/>
        </w:rPr>
        <w:footnoteReference w:id="61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الأحوط حصول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المزج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اعتبار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وکذا بنزول المطر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فرق</w:t>
      </w:r>
      <w:r>
        <w:rPr>
          <w:rStyle w:val="FootnoteAnchor"/>
          <w:rtl w:val="true"/>
        </w:rPr>
        <w:footnoteReference w:id="616"/>
      </w:r>
      <w:r>
        <w:rPr>
          <w:rFonts w:ascii="IRNazanin" w:hAnsi="IRNazanin" w:eastAsia="IRNazanin"/>
          <w:color w:val="111111"/>
          <w:sz w:val="28"/>
          <w:sz w:val="28"/>
          <w:szCs w:val="28"/>
          <w:rtl w:val="true"/>
          <w:lang w:bidi="fa-IR"/>
        </w:rPr>
        <w:t>بین أنحاء الاتّصال</w:t>
      </w:r>
      <w:r>
        <w:rPr>
          <w:rStyle w:val="FootnoteAnchor"/>
          <w:rtl w:val="true"/>
        </w:rPr>
        <w:footnoteReference w:id="61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قد عرفت أنّ المعیار تقوّم النجس بالطاهر واعتصامه به وصدق الوحدة، وهما حاصلان، والحَکَم العدل فی الباب هو العرف، وهو ببابک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حصول التطهیر، فیطهّر بمجرّده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وإن کان الکرّ المطهّر مثلاً أعلی</w:t>
      </w:r>
      <w:r>
        <w:rPr>
          <w:rFonts w:eastAsia="Amiri" w:cs="Amiri" w:ascii="Amiri" w:hAnsi="Amiri"/>
          <w:color w:val="111111"/>
          <w:sz w:val="28"/>
          <w:szCs w:val="28"/>
          <w:rtl w:val="true"/>
          <w:lang w:bidi="ar-SA"/>
        </w:rPr>
        <w:t>&lt;</w:t>
      </w:r>
      <w:r>
        <w:rPr>
          <w:rFonts w:eastAsia="Times New Roman" w:cs="Times New Roman" w:ascii="Times New Roman" w:hAnsi="Times New Roman"/>
          <w:color w:val="111111"/>
          <w:sz w:val="28"/>
          <w:szCs w:val="28"/>
          <w:lang w:val="en-US" w:bidi="en-US"/>
        </w:rPr>
        <w:t>a href="#ref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 زائداً علی الماء الّذی ینحدر منه إلی الماء المتنجّس ویمتزج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مثال للضرر الجِبلّی المجمع علیه، والأولی أن یمثل بالمساوی أو بإلقاء الماء النجس فی الکرّ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footnote6-page455" id</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 زائداً علی الماء الّذی ینحدر منه إلی الماء المتنجّس ویمتزج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مثال للضرر الجِبلّی المجمع علیه، والأولی أن یمثل بالمساوی أو بإلقاء الماء النجس فی الکرّ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footnote6-page455" style="display:inline-block"&gt;</w:t>
      </w:r>
      <w:r>
        <w:rPr>
          <w:rFonts w:eastAsia="Times New Roman" w:cs="Times New Roman" w:ascii="Times New Roman" w:hAnsi="Times New Roman"/>
          <w:color w:val="111111"/>
          <w:sz w:val="28"/>
          <w:szCs w:val="28"/>
          <w:vertAlign w:val="superscript"/>
          <w:lang w:val="en-US" w:bidi="en-US"/>
        </w:rPr>
        <w:t>(6)</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مثال للضرر الجِبلّی المجمع علیه، والأولی أن یمثل بالمساوی أو بإلقاء الماء النجس فی الکرّ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footnote6-page455" style="color:#3b82f6;" id="ref</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أضفناه لیستقیم السیاق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 زائداً علی الماء الّذی ینحدر منه إلی الماء المتنجّس ویمتزج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مثال للضرر الجِبلّی المجمع علیه، والأولی أن یمثل بالمساوی أو بإلقاء الماء النجس فی الکرّ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footnote6-page455"&gt; 6</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بشرط عدم نقصانه عن الکرّ بمقدار النازل إلی الأسفل کما مرّ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بقاء الکرّیّة بعد خروج مقدار منه، کما تقدّم فی خزانة الحمّام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الزیادة علی الکرّ ولو بقدر یسیر، إلاّ إذا اُلقی الکرّ بالدفعة العرفیّة، فالظاهر عدم اعتبار الزیادة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إذا کان المطهّر أعلی من المتنجّس فلابدّ وأن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یکون</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والنجس</w:t>
      </w:r>
    </w:p>
    <w:p>
      <w:pPr>
        <w:pStyle w:val="BookText"/>
        <w:rPr/>
      </w:pPr>
      <w:r>
        <w:rPr>
          <w:rFonts w:ascii="IRNazanin" w:hAnsi="IRNazanin" w:eastAsia="IRNazanin"/>
          <w:color w:val="111111"/>
          <w:sz w:val="28"/>
          <w:sz w:val="28"/>
          <w:szCs w:val="28"/>
          <w:rtl w:val="true"/>
          <w:lang w:bidi="fa-IR"/>
        </w:rPr>
        <w:t>أسفل</w:t>
      </w:r>
      <w:r>
        <w:rPr>
          <w:rStyle w:val="FootnoteAnchor"/>
          <w:rtl w:val="true"/>
        </w:rPr>
        <w:footnoteReference w:id="6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یتوقّف حصول التطهیر حینئذٍ مع عدم إلقائه دفعة عرفیّة علی زیادته علی مقدار الکرّ بالقدر النازل منه إلی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الأعلی کرّاً زائداً علی ما یجری منه إلی الماء النجس کما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بقاء الماء علی کرّیّـته بعد خروج المقدار النازل منه علی النجس، کما سبق فی خزانة الحمّام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وعلی هذا، فإذا اُلقی الکرّ لا یلزم نزول جمیعه، فلو اتّصل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وامتزج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وامتزج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انقطع کفی</w:t>
      </w:r>
      <w:r>
        <w:rPr>
          <w:rStyle w:val="FootnoteAnchor"/>
          <w:rtl w:val="true"/>
        </w:rPr>
        <w:footnoteReference w:id="6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امتزاج مقدار کرّ منه به قبل الانقطاع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مقدار الماء الأوّل وما ضمّ إلیه من الخارج کرّاً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امتزاجه به فی الجملة علی النحو المتقدّم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کون النازل باقیاً علی کرّیّـته بعد النزول، نعم إذا اُلقی الکرّ دفعةً واحدةً عرفیّة، فلا تعتبر الزیادة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 إذا کان الکرّ الطاهر أسفل، والماء النجس یجری علیه من فوق لا یطهر</w:t>
      </w:r>
      <w:r>
        <w:rPr>
          <w:rStyle w:val="FootnoteAnchor"/>
          <w:rtl w:val="true"/>
        </w:rPr>
        <w:footnoteReference w:id="620"/>
      </w:r>
      <w:r>
        <w:rPr>
          <w:rFonts w:ascii="IRNazanin" w:hAnsi="IRNazanin" w:eastAsia="IRNazanin"/>
          <w:color w:val="111111"/>
          <w:sz w:val="28"/>
          <w:sz w:val="28"/>
          <w:szCs w:val="28"/>
          <w:rtl w:val="true"/>
          <w:lang w:bidi="fa-IR"/>
        </w:rPr>
        <w:t>الفوقانی بهذا الاتّصال</w:t>
      </w:r>
      <w:r>
        <w:rPr>
          <w:rStyle w:val="FootnoteAnchor"/>
          <w:rtl w:val="true"/>
        </w:rPr>
        <w:footnoteReference w:id="62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مع تحقّق الوحدة العرفیّة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مسألة</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الکوز المملوء من الماء النجس إذا غمس فی الحوض یطهر</w:t>
      </w:r>
      <w:r>
        <w:rPr>
          <w:rStyle w:val="FootnoteAnchor"/>
          <w:rtl w:val="true"/>
        </w:rPr>
        <w:footnoteReference w:id="62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حصول الامتزاج بماء الحوض کی یصیر ما فی الکوز وماء الحوض ماءً واحداً فتشمله معاقد الإجماعات، وإلاّ فیبقی علی 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الامتزاج فی غیر المتنجّس بما یحتاج إلی التعدّد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کان الکوز ممّا لا ینفذ فیه الماء النجس، وإلاّ فلا یحکم بطهارة باطن الکوز حتّی یعلم بنفوذ الماء الطاهر فیه ولو بالتجفیف، ثمّ وضعه فی الکرّ بمقدار ینفذ فی جوفه الماء الطاهر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من الامتزاج حال الاتّصال، وبعده یطهر الظرف والمظروف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دون احتیاج إلی إفراغه وغسله ثلاثاً، کما فی الأوانی، فإنّه لو قیل به مخصوص بالغسل بالقلیل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فی الظرف، وأمّا الماء المظروف فیه فطهارته بعد تحقّق اتّصاله بالکثیر واضحة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امتزاجه به فی الجملة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امتزاج ماء الحوض مع ما فی الکوز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عدم طهارته فی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یطهر الماء وظرفه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بعد فرض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یلزم صبّ مائه</w:t>
      </w:r>
      <w:r>
        <w:rPr>
          <w:rStyle w:val="FootnoteAnchor"/>
          <w:rtl w:val="true"/>
        </w:rPr>
        <w:footnoteReference w:id="62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المزج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فضلاً عن تعدّد الغسل؛ لأنّ اعتباره فی تطهیر الظروف بالماء القلیل لا بالماء العاصم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وغسله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إذا حصل الامتزاج بذلک فالأحوط صبّ مائه وغسله مرّتین اُخریین، وإن لم یحصل فالأحوط بعد الصبّ غسله ثلاثاً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الماء المتغیّر إذا اُلقی علیه الکرّ فزال تغیّره به یطهر</w:t>
      </w:r>
      <w:r>
        <w:rPr>
          <w:rStyle w:val="FootnoteAnchor"/>
          <w:rtl w:val="true"/>
        </w:rPr>
        <w:footnoteReference w:id="624"/>
      </w:r>
      <w:r>
        <w:rPr>
          <w:rFonts w:ascii="IRNazanin" w:hAnsi="IRNazanin" w:eastAsia="IRNazanin"/>
          <w:color w:val="111111"/>
          <w:sz w:val="28"/>
          <w:sz w:val="28"/>
          <w:szCs w:val="28"/>
          <w:rtl w:val="true"/>
          <w:lang w:bidi="fa-IR"/>
        </w:rPr>
        <w:t>، ولا حاجة إلی إلقاء کرّ آخر بعد زواله، لکن بشرط أن یبقی الکرّ</w:t>
      </w:r>
      <w:r>
        <w:rPr>
          <w:rStyle w:val="FootnoteAnchor"/>
          <w:rtl w:val="true"/>
        </w:rPr>
        <w:footnoteReference w:id="62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بقاؤه کذلک حیث یکون المُلقی أکثر من الکرّ، أو غلظة المتنجّس وثخونته، أو ضعف التغیّر، وإلاّ فبقاء المُلقی علی الوصف المذکور فی المتن مشکل غالباً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مرّ أیضاً أنّ فی فرض عدم إلقائه دفعةً یتوقّف حصول التطهیر علی زیادة ماء الکرّ بالمقدار النازل منه علی 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الملقی</w:t>
      </w:r>
    </w:p>
    <w:p>
      <w:pPr>
        <w:pStyle w:val="BookText"/>
        <w:rPr/>
      </w:pPr>
      <w:r>
        <w:rPr>
          <w:rFonts w:ascii="IRNazanin" w:hAnsi="IRNazanin" w:eastAsia="IRNazanin"/>
          <w:color w:val="111111"/>
          <w:sz w:val="28"/>
          <w:sz w:val="28"/>
          <w:szCs w:val="28"/>
          <w:rtl w:val="true"/>
          <w:lang w:bidi="fa-IR"/>
        </w:rPr>
        <w:t>علی حاله</w:t>
      </w:r>
      <w:r>
        <w:rPr>
          <w:rStyle w:val="FootnoteAnchor"/>
          <w:rtl w:val="true"/>
        </w:rPr>
        <w:footnoteReference w:id="626"/>
      </w:r>
      <w:r>
        <w:rPr>
          <w:rFonts w:ascii="IRNazanin" w:hAnsi="IRNazanin" w:eastAsia="IRNazanin"/>
          <w:color w:val="111111"/>
          <w:sz w:val="28"/>
          <w:sz w:val="28"/>
          <w:szCs w:val="28"/>
          <w:rtl w:val="true"/>
          <w:lang w:bidi="fa-IR"/>
        </w:rPr>
        <w:t>من اتّصال أجزائه</w:t>
      </w:r>
      <w:r>
        <w:rPr>
          <w:rStyle w:val="FootnoteAnchor"/>
          <w:rtl w:val="true"/>
        </w:rPr>
        <w:footnoteReference w:id="627"/>
      </w:r>
      <w:r>
        <w:rPr>
          <w:rFonts w:ascii="Amiri" w:hAnsi="Amiri" w:eastAsia="Amiri" w:cs="Amiri"/>
          <w:color w:val="111111"/>
          <w:sz w:val="28"/>
          <w:sz w:val="28"/>
          <w:szCs w:val="28"/>
          <w:rtl w:val="true"/>
          <w:lang w:bidi="ar-SA"/>
        </w:rPr>
        <w:t>وعدم تغیّره</w:t>
      </w:r>
      <w:r>
        <w:rPr>
          <w:rStyle w:val="FootnoteAnchor"/>
          <w:rtl w:val="true"/>
        </w:rPr>
        <w:footnoteReference w:id="628"/>
      </w:r>
      <w:r>
        <w:rPr>
          <w:rFonts w:ascii="IRNazanin" w:hAnsi="IRNazanin" w:eastAsia="IRNazanin"/>
          <w:color w:val="111111"/>
          <w:sz w:val="28"/>
          <w:sz w:val="28"/>
          <w:szCs w:val="28"/>
          <w:rtl w:val="true"/>
          <w:lang w:bidi="fa-IR"/>
        </w:rPr>
        <w:t>، فلو تغیّر بعضه قبل زوال تغیّر النجس</w:t>
      </w:r>
      <w:r>
        <w:rPr>
          <w:rStyle w:val="FootnoteAnchor"/>
          <w:rtl w:val="true"/>
        </w:rPr>
        <w:footnoteReference w:id="629"/>
      </w:r>
      <w:r>
        <w:rPr>
          <w:rFonts w:ascii="Amiri" w:hAnsi="Amiri" w:eastAsia="Amiri" w:cs="Amiri"/>
          <w:color w:val="111111"/>
          <w:sz w:val="28"/>
          <w:sz w:val="28"/>
          <w:szCs w:val="28"/>
          <w:rtl w:val="true"/>
          <w:lang w:bidi="ar-SA"/>
        </w:rPr>
        <w:t>، أو تفرّق بحیث لم یبقَ مقدار الکرّ متّصلاً باقیاً علی حاله تنجّس، ولم یکفِ فی التطهیر، والأولی إزالة التغیّر أوّلاً، ثمّ إلقاء الکرّ أو وصله به</w:t>
      </w:r>
      <w:r>
        <w:rPr>
          <w:rStyle w:val="FootnoteAnchor"/>
          <w:rtl w:val="true"/>
        </w:rPr>
        <w:footnoteReference w:id="63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الامتزاج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تثبت نجاسة الماء کغیره بالعلم</w:t>
      </w:r>
      <w:r>
        <w:rPr>
          <w:rStyle w:val="FootnoteAnchor"/>
          <w:rtl w:val="true"/>
        </w:rPr>
        <w:footnoteReference w:id="631"/>
      </w:r>
      <w:r>
        <w:rPr>
          <w:rFonts w:ascii="Amiri" w:hAnsi="Amiri" w:eastAsia="Amiri" w:cs="Amiri"/>
          <w:color w:val="111111"/>
          <w:sz w:val="28"/>
          <w:sz w:val="28"/>
          <w:szCs w:val="28"/>
          <w:rtl w:val="true"/>
          <w:lang w:bidi="ar-SA"/>
        </w:rPr>
        <w:t>، وبالبیّنة</w:t>
      </w:r>
      <w:r>
        <w:rPr>
          <w:rStyle w:val="FootnoteAnchor"/>
          <w:rtl w:val="true"/>
        </w:rPr>
        <w:footnoteReference w:id="63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وبالعدل الواحد</w:t>
      </w:r>
      <w:r>
        <w:rPr>
          <w:rStyle w:val="FootnoteAnchor"/>
          <w:rtl w:val="true"/>
        </w:rPr>
        <w:footnoteReference w:id="63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حصول الاطمئنان منه 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ثبوت النجاسة بقوله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حصول الاطمئنان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إلاّ إذا حصل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حجّیّة خبر العدل الواحد فی إثبات الموضوعات الخارجیّة سوی بعض الموارد فیه إشکال، کما أشرنا إلیها سابقاً، وادّعاء السیرة العقلائیّة فیها لا یخلو من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والاکتفاء بقول العدل الواحد، بل بإخبار مطلق الثقة الموجب للاطمئنان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ثبوتها بالعدل الواحد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ثبوتها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الفیروزآبادی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یحصل منه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الظاهر عدم الإشکال فیه مع حصول الاطمئنان والوثوق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القول بکفایة قول الثقة لا سیّما فی المقام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ثبوتها به، بل لا یبعد ثبوتها بمطلق قول الثقة وإن لم یکن عدلاً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حصول الاطمئنان العقلائی، وإلاّ فلا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 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ثبوتها بالعدل الواحد، بل بقول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للإشکال، بل یثبت به وبالثقة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مع حصول الاطمئنان، وکذا فی خبر الثقة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لا یُترک فیه</w:t>
      </w:r>
    </w:p>
    <w:p>
      <w:pPr>
        <w:pStyle w:val="BookText"/>
        <w:rPr/>
      </w:pPr>
      <w:r>
        <w:rPr>
          <w:rFonts w:ascii="IRNazanin" w:hAnsi="IRNazanin" w:eastAsia="IRNazanin"/>
          <w:color w:val="111111"/>
          <w:sz w:val="28"/>
          <w:sz w:val="28"/>
          <w:szCs w:val="28"/>
          <w:rtl w:val="true"/>
          <w:lang w:bidi="fa-IR"/>
        </w:rPr>
        <w:t>الاحتیاط</w:t>
      </w:r>
      <w:r>
        <w:rPr>
          <w:rStyle w:val="FootnoteAnchor"/>
          <w:rtl w:val="true"/>
        </w:rPr>
        <w:footnoteReference w:id="634"/>
      </w:r>
      <w:r>
        <w:rPr>
          <w:rFonts w:ascii="IRNazanin" w:hAnsi="IRNazanin" w:eastAsia="IRNazanin"/>
          <w:color w:val="111111"/>
          <w:sz w:val="28"/>
          <w:sz w:val="28"/>
          <w:szCs w:val="28"/>
          <w:rtl w:val="true"/>
          <w:lang w:bidi="fa-IR"/>
        </w:rPr>
        <w:t>، وبقول ذی الید</w:t>
      </w:r>
      <w:r>
        <w:rPr>
          <w:rStyle w:val="FootnoteAnchor"/>
          <w:rtl w:val="true"/>
        </w:rPr>
        <w:footnoteReference w:id="63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من کان مستولیاً علی عین شرعاً، مالکاً کان أو غیره، بالغاً کان أو صبیّاً، وإن لم یکن عادلاً؛ لبناء العقلاء واتّفاق الفقهاء علی قبول قول ذی الید فی الطهارة والنجاسة مطلقاً، وفی قبول قول الغاصب ذی الید أو المتّهم نظر، والظاهر عدم القبول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لم یکن عادلاً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إلاّ إذا کان متّهماً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زین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ولا تثبت بالظنّ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المطلق علی الأقوی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أخبر ذو الید</w:t>
      </w:r>
      <w:r>
        <w:rPr>
          <w:rStyle w:val="FootnoteAnchor"/>
          <w:rtl w:val="true"/>
        </w:rPr>
        <w:footnoteReference w:id="636"/>
      </w:r>
      <w:r>
        <w:rPr>
          <w:rFonts w:ascii="IRNazanin" w:hAnsi="IRNazanin" w:eastAsia="IRNazanin"/>
          <w:color w:val="111111"/>
          <w:sz w:val="28"/>
          <w:sz w:val="28"/>
          <w:szCs w:val="28"/>
          <w:rtl w:val="true"/>
          <w:lang w:bidi="fa-IR"/>
        </w:rPr>
        <w:t>بنجاسته وقامت البیّنة علی الطهارة قُدّمت البیّنة</w:t>
      </w:r>
      <w:r>
        <w:rPr>
          <w:rStyle w:val="FootnoteAnchor"/>
          <w:rtl w:val="true"/>
        </w:rPr>
        <w:footnoteReference w:id="63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مستندة إلی الأصل،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استنادها إلی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مستندة إلی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مستندة إلی الأصل، وإلاّ فالأقوی تقدیم قول ذی 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مستندة إلی العلم لا إلی الأصل، وکانت علی الإثبات لا علی النفی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استندت إلی العلم لا إلی الأصل، وإلاّ فتقدیمها 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مستندة إلی الأصل؛ لأ نّها إذا کانت مستندة إلی الأصل لا تزید علیه فلا تقاوم الأمارة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مستندها العلم، أمّا لو کان مستندها الأصل قُدّم إخبار ذی الید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مستندة إلی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البیّنة علی الید إنّما هو فی صورة استنادها إلی العلم، أو الأمارات الّتی تقوم مقام العلم، لا إلی أصالة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شهدت علیها واستندت إلی العلم دون الأصل، وإلاّ فکمستندها لا تقاوم خبر ذی الید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فیما إذا علم أنّ مستندها الأصل؛ وذلک لحکومة إخبار ذی الید علی مستندها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یعلم استنادها إلی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تستند إلی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استندت إلی العلم، لا الأصل،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إطلاق تقدیم البیّنة علیه حتّی فی صورة کون مستندها أصلاً من الاُصول المقرّرة لفاقد الدلیل، بناءً علی جواز الاستناد إلیه فی مقام الشهادة غیر صافٍ عن شوب الإشکال، بل الأقوی تقدیم قول ذی الید علیها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إذا علم أو احتمل استناد البیّنة إلی الحسّ أو ما بحکمه، وبذلک یظهر الحال فی بقیّة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کانت مستندة إلی العلم، وأمّا مع استنادهما إلی الأصل فیقدّم إخبار ذی الید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تکن مستندة إلی الأصل، وإلاّ فمشکل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استنادها إلی الأصل، وإلاّ تقدّم الید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البیّنة علی قول ذی الید إذا استندت فی شهادتها إلی العلم، وإذا استندت إلی الأصل قدّم قول ذی الید علیها، وکذلک الحکم إذا أخبر هو بطهارة الشیء وشهدت البیّنة بنجاسته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تکن مستندة إلی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استندت إلی العلم، وأمّا إن استندت إلی الأصل فتقدیمها 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علم أو احتمل استنادها إلی الأصل تُقدَّم الید علی البیّنة، کتقدیم الأمارة علی الأصل، نعم لو کانت مستندة إلی قاعدة الید فلا تقدیم؛ لتعارضهما، فلابدّ من الرجوع إلی المرجّحات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سیجیء استظهار أنّ المعتبر کون مورد الشهادة نفس السبب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استنادها إلی العلم، لا إلی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وإذا تعارضت البیّنتان</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تساقطتا</w:t>
      </w:r>
      <w:r>
        <w:rPr>
          <w:rStyle w:val="FootnoteAnchor"/>
          <w:rtl w:val="true"/>
        </w:rPr>
        <w:footnoteReference w:id="63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کانتا قطعیّـتین فیه فالمرجع إخبار ذی الید فی مورده، وفی غیر مورده إلی غیره، بخلاف ما لو کان مستند البیّنة المخالف لقول ذی الید هو الأصل، من غیر فرق فی ذلک بین البیّنة علی الطهارة والبیّنة علی النجاسة، فکلّ بیّنة مخالفة لقول ذی الید ـ طهارة أو نجاسة ـ تُقدّم علیه لو لم تکن مستندة إلی الأصل، حتّی الاستصحاب؛ لأنّ المعیار هو مستندها، لا نفسها، ومن الواضح تقدّم الأمارة علی الأصل بقسمیه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مسرّح هاهنا لما ذکر فی الدلیلین المتعارضین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صورة عدم معلومیّة مستندهما أو اتّحاد مستندهما، وإلاّ تقدّم بیّنة المستند إلی العلم علی البیّنة المستندة إلی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الأصل طهارته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کما أنّهما تتساقطان أیضاً، فیما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یحرز المستند فی کلّ منهما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کانت بیّنة الطهارة مستندة إلی</w:t>
      </w:r>
    </w:p>
    <w:p>
      <w:pPr>
        <w:pStyle w:val="BookText"/>
        <w:rPr/>
      </w:pPr>
      <w:r>
        <w:rPr>
          <w:rFonts w:ascii="IRNazanin" w:hAnsi="IRNazanin" w:eastAsia="IRNazanin"/>
          <w:color w:val="111111"/>
          <w:sz w:val="28"/>
          <w:sz w:val="28"/>
          <w:szCs w:val="28"/>
          <w:rtl w:val="true"/>
          <w:lang w:bidi="fa-IR"/>
        </w:rPr>
        <w:t>العلم</w:t>
      </w:r>
      <w:r>
        <w:rPr>
          <w:rStyle w:val="FootnoteAnchor"/>
          <w:rtl w:val="true"/>
        </w:rPr>
        <w:footnoteReference w:id="63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تتساقط البیّنتان إذا کانتا معاً مستندتین إلی العلم، أو کانتا معاً مستندتین إلی الأصل، وإذا استندت إحداهما إلی العلم قدّمت علی الاُخری المستندة إلی الأصل، سواء کانت بیّنة للطهارة أم بیّنة للنجاسة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وکانت بیّنة النجاسة کذلک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کانت مستندة إلی الأصل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کانت علی النفی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 ذلک بین البیّنتین، أیّ منهما کانت مستندة إلی الأصل تُقدّم الاُخری علیها، سواء کانت بیّنة الطهارة أم بیّنة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فرق فیه بین بیّنتی الطهارة والنجاسة، فکلّ واحدة منهما إن کانت مستندة إلی الأصل تُقدّم الاُخری علیها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جواز الشهادة علی النجاسة أو الطهارة من دون علم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تُقدَّم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مستندة إلی العلم، وإلاّ ففیه تفصیل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بیّنة</w:t>
      </w:r>
    </w:p>
    <w:p>
      <w:pPr>
        <w:pStyle w:val="BookText"/>
        <w:rPr/>
      </w:pPr>
      <w:r>
        <w:rPr>
          <w:rFonts w:ascii="Amiri" w:hAnsi="Amiri" w:eastAsia="Amiri" w:cs="Amiri"/>
          <w:color w:val="111111"/>
          <w:sz w:val="28"/>
          <w:sz w:val="28"/>
          <w:szCs w:val="28"/>
          <w:rtl w:val="true"/>
          <w:lang w:bidi="ar-SA"/>
        </w:rPr>
        <w:t>النجاسة</w:t>
      </w:r>
      <w:r>
        <w:rPr>
          <w:rStyle w:val="FootnoteAnchor"/>
          <w:rtl w:val="true"/>
        </w:rPr>
        <w:footnoteReference w:id="64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العکس 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فیما إذا کانت مستندة إلی العلم، أمّا لو کانت هی أیضاً مستندة إلی الأصل فیتساقطان، وصورة تعارض البیّنتین کثیرة، فإذا کان المستند فی إحداهما مقدّماً علی الاُخری یقدّم ذلک، وإذا کان متّحداً فیهما فیتساقطان، فلا وجه للتفصیل بین البیّنتین کما فی المتن، کما أنّهما یتساقطان أیضاً فیما إذا لم یعلم المستند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مستندة إلی العلم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بیّنتین تعارضتا وکانت إحداهما مستندة إلی الأصل العملی، والاُخری إلی الدلیل الشرعی، قدّمت المستندة إلی الدلیل الشرعی، سواء کانت بیّنة النجاسة أم بیّنة 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کانت بیّنة النجاسة غیر مکذّبة لبیّنة الطهارة، کما إذا قامت علی حصول النجاسة بعد الطهارة ومصدّقة للطهارة السابقة، وإلاّ فتتعارضان وتتساقطان، ومنه یظهر حکم ما إذا استندت بیّنة الطهارة إلی العلم وبیّنة النجاسة إلی الأصل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التفصیل من الماتن غیر وجیه، إلاّ أن یکون ذکره من باب المثال؛ لأ نّه إذا کانت مستندة إلی الأصل لا فرق بین بیّنة الطهارة أو بیّنة النجاسة، تُقدّم بیّنة الاُخری المستندة إلی العلم علی هذه البیّنة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إذا شهد اثنان بأحد الأمرین ، وشهد أربعة بالآخر ، یمکن بل لا یبعد </w:t>
      </w:r>
      <w:r>
        <w:rPr>
          <w:rStyle w:val="FootnoteAnchor"/>
          <w:rtl w:val="true"/>
        </w:rPr>
        <w:footnoteReference w:id="641"/>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جدّاً ولو رجع إلی الترجیح بالعدد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جدّاً ولو کان بلحاظ الترجیح بزیادة العدد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 فلا یُترک الاحتیاط فیه؛ لعدم شمول أدلّة الترجیح بالعدد لمثل المورد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غایة البعد، نعم لو قلنا بالترجیح فی باب تعارض البیّنات، فیکون کثرة العدد من المرجّحات ولو کان إحداهما زائدة علی الاُخری بواحدة، لکنّه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نعم الترجیح بالأکثریّة غیر خالٍ من وجه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بعید جدّاً بعد کون نسبة دلیل الحجّیّة إلی الجمیع علی حدٍّ سواء من دون تمییز وتعیین، فالمعارضة حینئذٍ بین الاثنین والأربعة، وکون کثرة العدد مرجّحاً لو قیل بها، فإنّما هی مخصوصة ببعض الموارد، نعم یحتمل توجّه ما أفاده فی ما لو کانت شهادة الأربعة علی التناوب الثنائی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بل لا یبعد تساقط الجمیع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 نعم لو تساقطا ثمّ شهد اثنان آخران بأحد الأمرین تُقبل شهادتهما حینئذٍ</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 فإنّ کثرة العدد فی أمثال المقام لا أثر 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بعید جدّاً، سواء استندت البیّنة إلی العلم أو إلی الأصل، وسواء کانت الشهادة علی الإثبات أو النفی، نعم لو تساقطا ثمّ شهد اثنان آخران بأحد الأمرین فحینئذٍ تُقبل شهادتهما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لعلّه لصحیحة أبی بصیر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أکثرهم بیّنةً یُستحلف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27/249</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أبواب کیفیّة الحکم وأحکام الفتاوی، ح</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الاستدلال بها ضعیف، وأقوی منه الترجیح بکثرة العدد ولو بواحد، ولکنّ الأظهر هو التساقط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تساقط</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الاثنین</w:t>
      </w:r>
      <w:r>
        <w:rPr>
          <w:rStyle w:val="FootnoteAnchor"/>
          <w:rtl w:val="true"/>
        </w:rPr>
        <w:footnoteReference w:id="64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فیه إشکال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الکوه‌کَمَرئی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التعلیل ضعیف، والترجیح بکثرة العدد لم یثبت فی مثل المسألة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یشکل ذلک، بل یمنع، وزیادة العدد لیست من المرجّحات، نعم إذا شهدت بیّنة بالنجاسة أو بالطهارة وشهدت بیّنة اُخری بضدّها بعد تعارض البیّنتین وتساقطهما شهدت بیّنة ثالثة بأحد الأمرین، فیؤخذ بشهادتها؛ لعدم المعارض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بالاثنین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وبقاء الآخرین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 وإن رجع إلی الترجیح بزیادة العدد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 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للترجیح بالأکثریّة فی غیر الأموال؛ لاختصاص أخبارها بها، فیقتصر علیه فی خلاف القاعدة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بعید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الإصفهانی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یتّضح لی وجهه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محلّ تأمّل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البروجردی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لا یبعد التساقط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یبعد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مراده قدس‌سره أنّ بیّنة الطهارة مثلاً کانت أربعاً، لکن قامت اثنتان منها علی الطهارة، وقامت بیّنة علی النجاسة فتساقطتا، ثمّ قامت اثنتان من الأربع علی الطهارة فلا یبعد اعتبار بیّنة الطهارة، لا لملاحظة الأکثریّة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 جدّاً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یتساقط الجمیع علی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 هو بعید جدّاً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الخوئی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الکرّیّة تثبت بالعلم والبیّنة</w:t>
      </w:r>
      <w:r>
        <w:rPr>
          <w:rStyle w:val="FootnoteAnchor"/>
          <w:rtl w:val="true"/>
        </w:rPr>
        <w:footnoteReference w:id="643"/>
      </w:r>
      <w:r>
        <w:rPr>
          <w:rFonts w:ascii="IRNazanin" w:hAnsi="IRNazanin" w:eastAsia="IRNazanin"/>
          <w:color w:val="111111"/>
          <w:sz w:val="28"/>
          <w:sz w:val="28"/>
          <w:szCs w:val="28"/>
          <w:rtl w:val="true"/>
          <w:lang w:bidi="fa-IR"/>
        </w:rPr>
        <w:t>، وفی ثبوتها بقول صاحب الید وجه</w:t>
      </w:r>
      <w:r>
        <w:rPr>
          <w:rStyle w:val="FootnoteAnchor"/>
          <w:rtl w:val="true"/>
        </w:rPr>
        <w:footnoteReference w:id="64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عبدالهادی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ثبوت الکرّیّة بقول صاحب الید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لکنّه 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لا یخلو</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من إشکال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یحصل من قوله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اعتبار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حیث إنّه لم تثبت السیرة الممضاة من الشرع علی العمل بقول ذی الید فی إخباره عن الکرّیّة، بخلاف قوله فی الإخبار عن الطهارة والنجاسة، والفارق عدم ابتلاء المکلّفین فی عصرهم علیهم‌السلام بموضوع الکرّ غالباً؛ لکون أغلب میاههم قلیلة، بخلاف الطهارة والنجاسة فإنّهما ممّا عمّت البلوی بالنسبة إلیهما حاضراً وغابراً، وجرت السیرة علی قبول ذی الید فیهما وعدم ردع الشارع عن هذه السیرة، وسکوته کافٍ فی حجّیّـتها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لم یحصل الاطمئنان، وإلاّ فلا إشکال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فیه إذا لم یوجب الاطمئنان، وکذا فی خبر العدل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الثبوت بقول ذی الید والعدل الواحد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وجه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وکذا فی إخبار العدل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إشکال فیه إن کان ذو الید من أهل الخبرة، وفی غیره ثبوتها غیر معلوم، إلاّ أن یحصل الاطمئنان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کما أنّ فی إخبار العدل</w:t>
      </w:r>
    </w:p>
    <w:p>
      <w:pPr>
        <w:pStyle w:val="BookText"/>
        <w:rPr/>
      </w:pPr>
      <w:r>
        <w:rPr>
          <w:rFonts w:ascii="Amiri" w:hAnsi="Amiri" w:eastAsia="Amiri" w:cs="Amiri"/>
          <w:color w:val="111111"/>
          <w:sz w:val="28"/>
          <w:sz w:val="28"/>
          <w:szCs w:val="28"/>
          <w:rtl w:val="true"/>
          <w:lang w:bidi="ar-SA"/>
        </w:rPr>
        <w:t>الواحد أیضاً إشکالاً</w:t>
      </w:r>
      <w:r>
        <w:rPr>
          <w:rStyle w:val="FootnoteAnchor"/>
          <w:rtl w:val="true"/>
        </w:rPr>
        <w:footnoteReference w:id="6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إذا أفاد الاطمئنان العقلائی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لو لم یفد الاطمئنان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جمال الدین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قویّاً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تقدّم التفصیل فیه فی الفرع السابق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الکلام فیه فی المسألة 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الثبوت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مرّ مراراً، نعم لا یبعد الثبوت به فی صورة الوثوق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یبعد ثبوتها به، بل بإخبار مطلق الثقة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ثبوتها، بل بإخبار ثقة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إشکال فیه، بل تثبت بالثقة الواحد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الاکتفاء بقول العدل الواحد، بل بإخبار مطلق الثقة الموجب للاطمئنان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یجری فیه ما مرّ فی المسألة السادسة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شرب الماء النجس إلاّ فی الضرورة، ویجوز سقیه للحیوانات</w:t>
      </w:r>
      <w:r>
        <w:rPr>
          <w:rStyle w:val="FootnoteAnchor"/>
          <w:rtl w:val="true"/>
        </w:rPr>
        <w:footnoteReference w:id="646"/>
      </w:r>
      <w:r>
        <w:rPr>
          <w:rFonts w:ascii="IRNazanin" w:hAnsi="IRNazanin" w:eastAsia="IRNazanin"/>
          <w:color w:val="111111"/>
          <w:sz w:val="28"/>
          <w:sz w:val="28"/>
          <w:szCs w:val="28"/>
          <w:rtl w:val="true"/>
          <w:lang w:bidi="fa-IR"/>
        </w:rPr>
        <w:t>، بل وللأطفال</w:t>
      </w:r>
      <w:r>
        <w:rPr>
          <w:rStyle w:val="FootnoteAnchor"/>
          <w:rtl w:val="true"/>
        </w:rPr>
        <w:footnoteReference w:id="64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یبعد ذلک فی سائر المتنجّسات أیضاً، کما سیأتی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حسین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والأحوط ترک ذلک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 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الجواز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غیر المتنجّس بالتغییر أو المزج بالنجس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الأحوط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فیه عین 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یخلو من إشکال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الأولی بل الأحوط عدم التسبیب لشربهم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فی حکمهم کالمجانین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فلا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 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ولا یُترک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لا یُترک فیه وفی جمیع المتنجّسات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الضرر لهم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نعم لا یجوز للمکلّف التسبیب إلی الحرام أو ما یؤدّی إلی الضرر، فکما لا یجوز له ارتکاب المفسدة والمبغوضیّة فکذلک لا یجوز له إیقاع الغیر فی المفسدة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ویجوز بیعه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یجب الإعلام فیه وفی المعاوضات المبنیّة علی التغابن، بل القول بوجوب الإعلام فی مطلق التسلیط غیر بعید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حیث کانت له منفعة محلّلة معتدّ بها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مجرّد البیع لا یشترط فیه الإعلام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w:t>
      </w:r>
    </w:p>
    <w:p>
      <w:pPr>
        <w:pStyle w:val="BookText"/>
        <w:rPr/>
      </w:pPr>
      <w:r>
        <w:rPr>
          <w:rFonts w:ascii="IRNazanin" w:hAnsi="IRNazanin" w:eastAsia="IRNazanin"/>
          <w:color w:val="111111"/>
          <w:sz w:val="28"/>
          <w:sz w:val="28"/>
          <w:szCs w:val="28"/>
          <w:rtl w:val="true"/>
          <w:lang w:bidi="fa-IR"/>
        </w:rPr>
        <w:t>الإعلام</w:t>
      </w:r>
      <w:r>
        <w:rPr>
          <w:rStyle w:val="FootnoteAnchor"/>
          <w:rtl w:val="true"/>
        </w:rPr>
        <w:footnoteReference w:id="64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احتمال الشرب لولا الإعلام، وإلاّ فالظاهر عدم وجوبه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الإعلام فیما لم یکن علم بعدم استعمال المشتری له فیما یشترط فیه الطهارة، وأمّا إذا علم بأنّه لا یستعمل فیه فوجوب الإعلام 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وهـل الوجوب نفسیّ مولـویّ، أو شـرط لصحّـة البیـع، أو إرشادیّ إلی عـدم توجّه حـرج التطهیر علی تقدیر الانکشاف؟ الظاهر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الوجوب مطلقٌ أو مقیّد بما لـو کان المشتری ممّن یستعمله فی الأعمال المشروطة بالطهارة؟ الظاهر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واستفادة مناط الحکـم من نهی إسقائهم المسکر مشکل، وأمّا إسقاؤه الجاهل أو الغافل ونحوهما مـن ذوی الأعذار فی صورة صدق التغریر لا یخلو من إشکال، فالأحوط لو لم یکـن الأقوی الترک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الإعلام نفسیّ لا شرطیّ، فلا یفسد البیع مع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وجوب الإعلام لیس نفسیّاً ولا شرطیّاً لصحّة البیع، بل إرشادیّ؛ لئلاّ یستعمله فیما یعتبر فیه الطهارة، فلو علم المشتری بنجاسته أو علم بعدم شربه فالإعلام غیر لازم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مطلقاً، إلاّ إذا کان المشتری مع عدم الإعلام فی معرض مخالفة تکلیف إلزامی تحریمی کاستعماله فی الشرب، أو وجوبی کاستعماله فی الوضوء، أو الغسل مع إتیان الفریضة به، وحینئذٍ إذا احتمل تأثیر الإعلام فی حقّه بأن لم یحرز کونه غیر مبالٍ یجب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5" w:name="pg13272_142991"/>
    </w:p>
    <w:p>
      <w:pPr>
        <w:pStyle w:val="Heading3"/>
        <w:numPr>
          <w:ilvl w:val="2"/>
          <w:numId w:val="1"/>
        </w:numPr>
        <w:rPr/>
      </w:pPr>
      <w:bookmarkStart w:id="216" w:name="__RefHeading___Toc1636516_2322387425"/>
      <w:bookmarkStart w:id="217" w:name="_Toc70"/>
      <w:bookmarkEnd w:id="215"/>
      <w:bookmarkEnd w:id="216"/>
      <w:r>
        <w:rPr>
          <w:rtl w:val="true"/>
        </w:rPr>
        <w:t>فصل فی الماء المستعمل</w:t>
      </w:r>
      <w:bookmarkEnd w:id="217"/>
    </w:p>
    <w:p>
      <w:pPr>
        <w:pStyle w:val="BookText"/>
        <w:rPr/>
      </w:pPr>
      <w:r>
        <w:rPr>
          <w:rFonts w:ascii="IRNazanin" w:hAnsi="IRNazanin" w:eastAsia="IRNazanin"/>
          <w:color w:val="111111"/>
          <w:sz w:val="28"/>
          <w:sz w:val="28"/>
          <w:szCs w:val="28"/>
          <w:rtl w:val="true"/>
          <w:lang w:bidi="fa-IR"/>
        </w:rPr>
        <w:t>الماء المستعمل</w:t>
      </w:r>
      <w:r>
        <w:rPr>
          <w:rStyle w:val="FootnoteAnchor"/>
          <w:rtl w:val="true"/>
        </w:rPr>
        <w:footnoteReference w:id="649"/>
      </w:r>
      <w:r>
        <w:rPr>
          <w:rFonts w:ascii="IRNazanin" w:hAnsi="IRNazanin" w:eastAsia="IRNazanin"/>
          <w:color w:val="111111"/>
          <w:sz w:val="28"/>
          <w:sz w:val="28"/>
          <w:szCs w:val="28"/>
          <w:rtl w:val="true"/>
          <w:lang w:bidi="fa-IR"/>
        </w:rPr>
        <w:t>فی الوضوء</w:t>
      </w:r>
      <w:r>
        <w:rPr>
          <w:rStyle w:val="FootnoteAnchor"/>
          <w:rtl w:val="true"/>
        </w:rPr>
        <w:footnoteReference w:id="650"/>
      </w:r>
      <w:r>
        <w:rPr>
          <w:rFonts w:ascii="IRNazanin" w:hAnsi="IRNazanin" w:eastAsia="IRNazanin"/>
          <w:color w:val="111111"/>
          <w:sz w:val="28"/>
          <w:sz w:val="28"/>
          <w:szCs w:val="28"/>
          <w:rtl w:val="true"/>
          <w:lang w:bidi="fa-IR"/>
        </w:rPr>
        <w:t>طاهر مطهَّر من الحدث والخبث، وکذا المستعمل فی الأغسال</w:t>
      </w:r>
      <w:r>
        <w:rPr>
          <w:rStyle w:val="FootnoteAnchor"/>
          <w:rtl w:val="true"/>
        </w:rPr>
        <w:footnoteReference w:id="651"/>
      </w:r>
      <w:r>
        <w:rPr>
          <w:rFonts w:ascii="Amiri" w:hAnsi="Amiri" w:eastAsia="Amiri" w:cs="Amiri"/>
          <w:color w:val="111111"/>
          <w:sz w:val="28"/>
          <w:sz w:val="28"/>
          <w:szCs w:val="28"/>
          <w:rtl w:val="true"/>
          <w:lang w:bidi="ar-SA"/>
        </w:rPr>
        <w:t>المندوبة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المستعمل فی الحدث الأکبر فمع طهارة البدن لا إشکال فی طهارته ورفعه للخبث، والأقوی</w:t>
      </w:r>
      <w:r>
        <w:rPr>
          <w:rStyle w:val="FootnoteAnchor"/>
          <w:rtl w:val="true"/>
        </w:rPr>
        <w:footnoteReference w:id="65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الأحوط، وفی غیر المزیلة علی الأولی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الشیرازی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جواز</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استعماله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فی رفع الحدث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أیضاً، وإن کان الأحوط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الاحتیاط لا یُترک، ومع الانحصار یجمع بین التطهّر بذلک الماء مع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النائینی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هذا الاحتیاط مع وجود الماء غیر المستعمل، ومع عدمه یحتاط بالجمع بین الوضوء والتیمّم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الحائری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 البروجردی، 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وإذا لم یجد غیره جمع بینه وبین التیمّم علی الأحوط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ومع الانحصار یجمع بین التیمّم والتطهّر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الأحـوط مـع عـدم وجود غیـره الجمع بین التطهیر به وبین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الاحتیاط مع عدم الانحصار، ومع الانحصار یجمع بین التطهّر به والتیمّم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یُترک، ومع الانحصار یجمع بین التطهیر به والتیمّم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وجود غیره</w:t>
      </w:r>
      <w:r>
        <w:rPr>
          <w:rStyle w:val="FootnoteAnchor"/>
          <w:rtl w:val="true"/>
        </w:rPr>
        <w:footnoteReference w:id="65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مع عدمه فالأولی الجمع بین استعماله وبین 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التجنّب عنه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الأولی الأحوط مع انحصار الماء فیه الجمع بین الوضوء به والتیمّم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 هذا الاحتیاط، وإذا انحصر الماء به جمع بین الطهارة به والتیمّم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المستعمل فی الاستنجاء ـ ولو من البول</w:t>
      </w:r>
      <w:r>
        <w:rPr>
          <w:rStyle w:val="FootnoteAnchor"/>
          <w:rtl w:val="true"/>
        </w:rPr>
        <w:footnoteReference w:id="654"/>
      </w:r>
      <w:r>
        <w:rPr>
          <w:rFonts w:ascii="IRNazanin" w:hAnsi="IRNazanin" w:eastAsia="IRNazanin"/>
          <w:color w:val="111111"/>
          <w:sz w:val="28"/>
          <w:sz w:val="28"/>
          <w:szCs w:val="28"/>
          <w:rtl w:val="true"/>
          <w:lang w:bidi="fa-IR"/>
        </w:rPr>
        <w:t xml:space="preserve">ـ فمع الشروط الآتیة </w:t>
      </w:r>
    </w:p>
    <w:p>
      <w:pPr>
        <w:pStyle w:val="BookText"/>
        <w:rPr/>
      </w:pPr>
      <w:r>
        <w:rPr>
          <w:rFonts w:ascii="IRNazanin" w:hAnsi="IRNazanin" w:eastAsia="IRNazanin"/>
          <w:color w:val="111111"/>
          <w:sz w:val="28"/>
          <w:sz w:val="28"/>
          <w:szCs w:val="28"/>
          <w:rtl w:val="true"/>
          <w:lang w:bidi="fa-IR"/>
        </w:rPr>
        <w:t>طاهر</w:t>
      </w:r>
      <w:r>
        <w:rPr>
          <w:rStyle w:val="FootnoteAnchor"/>
          <w:rtl w:val="true"/>
        </w:rPr>
        <w:footnoteReference w:id="65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الظاهر أ نّه نجس معفوّ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أحمد الخونساری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أ نّه نجس معفوّ عنه من حیث السرایة، وأ نّه یحکم بطهارة ملاقیه جمعاً بین أدلّة انفعال القلیل وروایات الاستنجاء الصریحة فی طهارة ملاقی مائه کما توُهّم من ظاهر عبارة شیخنا الشهید السعید فی الذکری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نجس، وممّا ذکرنا یظهر الإشکال فی المسائل الآتیة المترتّبة علی طهارة ماء الاستنجاء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ویرفع الخبث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أ نّه نجس غیر منجّس لملاقیه، فلا یرفع حدثاً ولا خبثاً، فضلاً عن عدم جواز شربه وحرمة استعماله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رافعیّـته للخبث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 والأحوط عدم الرفع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رفعه له لا یخلو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رفعه الخبث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الأظهر أ نّه لا فرق بینه وبین غیره ممّا یستعمل فی رفع الخبث من حیث النجاسة، نعم لم یحکم بنجاسة ملاقیه تسهیلاً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أیضاً، لکن لا یجوز استعماله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رفع</w:t>
      </w:r>
    </w:p>
    <w:p>
      <w:pPr>
        <w:pStyle w:val="BookText"/>
        <w:rPr/>
      </w:pPr>
      <w:r>
        <w:rPr>
          <w:rFonts w:ascii="IRNazanin" w:hAnsi="IRNazanin" w:eastAsia="IRNazanin"/>
          <w:color w:val="111111"/>
          <w:sz w:val="28"/>
          <w:sz w:val="28"/>
          <w:szCs w:val="28"/>
          <w:rtl w:val="true"/>
          <w:lang w:bidi="fa-IR"/>
        </w:rPr>
        <w:t>الحدث</w:t>
      </w:r>
      <w:r>
        <w:rPr>
          <w:rStyle w:val="FootnoteAnchor"/>
          <w:rtl w:val="true"/>
        </w:rPr>
        <w:footnoteReference w:id="65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وجود غیره علی الأحوط، وإذا انحصر الماء به فالأحوط الجمع بین الطهارة به والتیمّم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ولا فی الوضوء والغسل المندوبین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المستعمل فی رفع الخبث</w:t>
      </w:r>
      <w:r>
        <w:rPr>
          <w:rStyle w:val="FootnoteAnchor"/>
          <w:rtl w:val="true"/>
        </w:rPr>
        <w:footnoteReference w:id="657"/>
      </w:r>
      <w:r>
        <w:rPr>
          <w:rFonts w:ascii="IRNazanin" w:hAnsi="IRNazanin" w:eastAsia="IRNazanin"/>
          <w:color w:val="111111"/>
          <w:sz w:val="28"/>
          <w:sz w:val="28"/>
          <w:szCs w:val="28"/>
          <w:rtl w:val="true"/>
          <w:lang w:bidi="fa-IR"/>
        </w:rPr>
        <w:t>غیر الاستنجاء فلا یجوز استعماله</w:t>
      </w:r>
      <w:r>
        <w:rPr>
          <w:rStyle w:val="FootnoteAnchor"/>
          <w:rtl w:val="true"/>
        </w:rPr>
        <w:footnoteReference w:id="658"/>
      </w:r>
      <w:r>
        <w:rPr>
          <w:rFonts w:ascii="IRNazanin" w:hAnsi="IRNazanin" w:eastAsia="IRNazanin"/>
          <w:color w:val="111111"/>
          <w:sz w:val="28"/>
          <w:sz w:val="28"/>
          <w:szCs w:val="28"/>
          <w:rtl w:val="true"/>
          <w:lang w:bidi="fa-IR"/>
        </w:rPr>
        <w:t>فی الوضوء والغسل، وفی طهارته ونجاسته خلاف</w:t>
      </w:r>
      <w:r>
        <w:rPr>
          <w:rStyle w:val="FootnoteAnchor"/>
          <w:rtl w:val="true"/>
        </w:rPr>
        <w:footnoteReference w:id="65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والأقوی نجاسته مطلقاً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والأقوی</w:t>
      </w:r>
      <w:r>
        <w:rPr>
          <w:rStyle w:val="FootnoteAnchor"/>
          <w:rtl w:val="true"/>
        </w:rPr>
        <w:footnoteReference w:id="660"/>
      </w:r>
      <w:r>
        <w:rPr>
          <w:rFonts w:ascii="IRNazanin" w:hAnsi="IRNazanin" w:eastAsia="IRNazanin"/>
          <w:color w:val="111111"/>
          <w:sz w:val="28"/>
          <w:sz w:val="28"/>
          <w:szCs w:val="28"/>
          <w:rtl w:val="true"/>
          <w:lang w:bidi="fa-IR"/>
        </w:rPr>
        <w:t>أنّ ماء الغسلة المزیلة</w:t>
      </w:r>
      <w:r>
        <w:rPr>
          <w:rStyle w:val="FootnoteAnchor"/>
          <w:rtl w:val="true"/>
        </w:rPr>
        <w:footnoteReference w:id="661"/>
      </w:r>
      <w:r>
        <w:rPr>
          <w:rFonts w:ascii="IRNazanin" w:hAnsi="IRNazanin" w:eastAsia="IRNazanin"/>
          <w:color w:val="111111"/>
          <w:sz w:val="28"/>
          <w:sz w:val="28"/>
          <w:szCs w:val="28"/>
          <w:rtl w:val="true"/>
          <w:lang w:bidi="fa-IR"/>
        </w:rPr>
        <w:t>للعین</w:t>
      </w:r>
      <w:r>
        <w:rPr>
          <w:rStyle w:val="FootnoteAnchor"/>
          <w:rtl w:val="true"/>
        </w:rPr>
        <w:footnoteReference w:id="662"/>
      </w:r>
      <w:r>
        <w:rPr>
          <w:rFonts w:ascii="IRNazanin" w:hAnsi="IRNazanin" w:eastAsia="IRNazanin"/>
          <w:color w:val="111111"/>
          <w:sz w:val="28"/>
          <w:sz w:val="28"/>
          <w:szCs w:val="28"/>
          <w:rtl w:val="true"/>
          <w:lang w:bidi="fa-IR"/>
        </w:rPr>
        <w:t>نجس</w:t>
      </w:r>
      <w:r>
        <w:rPr>
          <w:rStyle w:val="FootnoteAnchor"/>
          <w:rtl w:val="true"/>
        </w:rPr>
        <w:footnoteReference w:id="66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نجاستها فی الغسلة الّتی تتعقّبها طهارة المحلّ تبتنی علی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وفی الغسلة غیر المزیلة الأحوط الاجتناب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نجاسة الزائل عن المحلّ مطلقاً؛ لأنّ الماء المزبور بأنظار العرف یزیل النجاسة عن المحلّ ویذهب به، کما هو الشأن فی الأوساخ العرفیّة، حیث إنّ شأن الماء بوصوله إلی المحلّ ینظّف المحلّ وینفعل بالوسخ حین إزالته، وحینئذٍ لا مجال لتخصیص عموم الانفعال فی المیاه القلیلة؛ إذ هی من حیث دخل الملاقاة فی السرایة موکولة إلی الأنظار العرفیّة، والعرف لا یرون کلّ ملاقاة موجبة للسرایة، فقد یرونها غیر موجبة أصلاً کما فی العالی وأمثاله، وقد یرونها موجبة للانفعال حین زواله عن المحلّ لا مطلقاً کما فی المقام، وذلک أیضاً بشرط ورود الماء علی المحلّ دون العکس، ولذا لابدّ من حمل روایة المِرْکَن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الوسائل</w:t>
      </w:r>
      <w:r>
        <w:rPr>
          <w:rFonts w:eastAsia="IRNazanin" w:cs="IRNazanin"/>
          <w:color w:val="111111"/>
          <w:sz w:val="28"/>
          <w:szCs w:val="28"/>
          <w:rtl w:val="true"/>
          <w:lang w:bidi="fa-IR"/>
        </w:rPr>
        <w:t xml:space="preserve">: </w:t>
      </w:r>
      <w:r>
        <w:rPr>
          <w:rFonts w:eastAsia="IRNazanin" w:cs="IRNazanin"/>
          <w:color w:val="111111"/>
          <w:sz w:val="28"/>
          <w:szCs w:val="28"/>
          <w:lang w:bidi="fa-IR"/>
        </w:rPr>
        <w:t>3/397</w:t>
      </w:r>
      <w:r>
        <w:rPr>
          <w:rFonts w:ascii="IRNazanin" w:hAnsi="IRNazanin" w:eastAsia="IRNazanin"/>
          <w:color w:val="111111"/>
          <w:sz w:val="28"/>
          <w:sz w:val="28"/>
          <w:szCs w:val="28"/>
          <w:rtl w:val="true"/>
          <w:lang w:bidi="fa-IR"/>
        </w:rPr>
        <w:t xml:space="preserve">، باب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أبواب النجاسات، 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الإِجّانة التی تُغسل فیها الثیاب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لسان العرب</w:t>
      </w:r>
      <w:r>
        <w:rPr>
          <w:rFonts w:eastAsia="IRNazanin" w:cs="IRNazanin"/>
          <w:color w:val="111111"/>
          <w:sz w:val="28"/>
          <w:szCs w:val="28"/>
          <w:rtl w:val="true"/>
          <w:lang w:bidi="fa-IR"/>
        </w:rPr>
        <w:t xml:space="preserve">: </w:t>
      </w:r>
      <w:r>
        <w:rPr>
          <w:rFonts w:eastAsia="IRNazanin" w:cs="IRNazanin"/>
          <w:color w:val="111111"/>
          <w:sz w:val="28"/>
          <w:szCs w:val="28"/>
          <w:lang w:bidi="fa-IR"/>
        </w:rPr>
        <w:t>5/306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 علی هذه الصورة، وإلاّ فلابدّ من استکشاف توسعة فی أمر التطهیر علی خلاف ما ارتکز فی أذهانهم، لولا دعوی أنّ التنظیر بالأوساخ العرفیّة أیضاً یوجب التعمیم، اللهمّ إلاّ أن یدّعی السیرة الشرعیّة علی خلاف دیدنهم، ولازمه طرح إطلاق روایة المِرْکَن أو توجیهه علی وجه لا ینافی السیرة المزبورة، کما أنّ بمثل هذه السیرة ونحوها أیضاً یخصّص الارتکاز فی الانفعال بالملاقاة حین الزوال عن المحلّ فی ماء الاستنجاء ما لم یکن مستصحباً لأجزاء النجاسة غیر المستهلکة عرفاً حین زواله عن المحلّ، وإلاّ فینجس بهذه الملاقاة الحاصلة حین الزوال وبعده، واللّه العالم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الأقوی طهارة ما یتعقّبها طهارة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الإصفهانی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وطهارتها لا تخلو من قوّة، خصوصاً فیما تتعقّبها طهارة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عدم لزومه فیما کانت مطهّرة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لعموم أدلّة انفعال الماء القلیل، ولا مخصّص له فی البین، والمسألة مفصّلة ومشروحة فی الکتب الفقهیّة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فیما ثبت التعدّد بالدلیل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وإن کان الأظهر طهارة الغسالة الّتی تتعقّبها طهارة المحلّ فحکمها حکم ماء الاستنجاء المحکوم بالطهارة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الأقوی طهارة ماء الغسلة الّتی تتعقّبها طهارة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طهارة الغسالة الّتی تتعقّبها طهارة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قلنا بکون المتنجّس منجّساً تکون الغسالة نجساً، وإلاّ فلا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تقی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الأظهر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لعموم أدلّة انفعال الماء القلیل وإطلاقها عن غیر ما یصلح للتخصیص والتقیید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حتّی المستعمل فی تطهیر المتنجّس مع الوسائط الّذی لا یحکم بنجاسة ملاقیه؛ للفرق بین الملاقی والغسالة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إشکال فی القطرات الّتی تقع فی الإناء</w:t>
      </w:r>
      <w:r>
        <w:rPr>
          <w:rStyle w:val="FootnoteAnchor"/>
          <w:rtl w:val="true"/>
        </w:rPr>
        <w:footnoteReference w:id="664"/>
      </w:r>
      <w:r>
        <w:rPr>
          <w:rFonts w:ascii="IRNazanin" w:hAnsi="IRNazanin" w:eastAsia="IRNazanin"/>
          <w:color w:val="111111"/>
          <w:sz w:val="28"/>
          <w:sz w:val="28"/>
          <w:szCs w:val="28"/>
          <w:rtl w:val="true"/>
          <w:lang w:bidi="fa-IR"/>
        </w:rPr>
        <w:t>عند الغسل، ولو قلنا بعدم جواز استعمال غسالة الحدث الأکبر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یشترط فی طهارة</w:t>
      </w:r>
      <w:r>
        <w:rPr>
          <w:rStyle w:val="FootnoteAnchor"/>
          <w:rtl w:val="true"/>
        </w:rPr>
        <w:footnoteReference w:id="66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عدم منجّسیّـته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الاستنجاء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تغیّره فی أحد الأوصاف الثلاثة</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وصول نجاسة إلیه من خارج</w:t>
      </w:r>
      <w:r>
        <w:rPr>
          <w:rStyle w:val="FootnoteAnchor"/>
          <w:rtl w:val="true"/>
        </w:rPr>
        <w:footnoteReference w:id="6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التعدّی الفاحش علی وجه لا یصدق معه الاستنجاء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یخـرج مع البول أو الغائط نجاسة اُخری</w:t>
      </w:r>
      <w:r>
        <w:rPr>
          <w:rStyle w:val="FootnoteAnchor"/>
          <w:rtl w:val="true"/>
        </w:rPr>
        <w:footnoteReference w:id="667"/>
      </w:r>
      <w:r>
        <w:rPr>
          <w:rFonts w:ascii="IRNazanin" w:hAnsi="IRNazanin" w:eastAsia="IRNazanin"/>
          <w:color w:val="111111"/>
          <w:sz w:val="28"/>
          <w:sz w:val="28"/>
          <w:szCs w:val="28"/>
          <w:rtl w:val="true"/>
          <w:lang w:bidi="fa-IR"/>
        </w:rPr>
        <w:t>، مثل الدم</w:t>
      </w:r>
      <w:r>
        <w:rPr>
          <w:rStyle w:val="FootnoteAnchor"/>
          <w:rtl w:val="true"/>
        </w:rPr>
        <w:footnoteReference w:id="668"/>
      </w:r>
      <w:r>
        <w:rPr>
          <w:rFonts w:ascii="IRNazanin" w:hAnsi="IRNazanin" w:eastAsia="IRNazanin"/>
          <w:color w:val="111111"/>
          <w:sz w:val="28"/>
          <w:sz w:val="28"/>
          <w:szCs w:val="28"/>
          <w:rtl w:val="true"/>
          <w:lang w:bidi="fa-IR"/>
        </w:rPr>
        <w:t>، نعم الدم</w:t>
      </w:r>
      <w:r>
        <w:rPr>
          <w:rStyle w:val="FootnoteAnchor"/>
          <w:rtl w:val="true"/>
        </w:rPr>
        <w:footnoteReference w:id="66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بشرط استهلاکه وانتشاره فیهما، ومع عدمه لا یخلو الحکم بالطهارة من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الّذی یعدّ جزءاً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صدر الدین الصدر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الاستهلاک 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البول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أن یکون مستهلکاً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حسن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الغائط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أن یفرض استهلاکه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خارجیّة هذا الفرض إشکال؛ إذ مع الاستهلاک لا موضوع له، ومع عدمه لا یعقل أن یکون جزءاً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استهلاکه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بأس به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کون الدم غیر محسوب من البول والغائط فی عدم تنجّس الماء ولو حین الزوال إشکال؛ لأنّ المتیقّن من الدلیل المخرج غیره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بأس، إلاّ أن یکون مستهلکاً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تقی الخونساری، الأراکی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باستهلاکه وانتشاره فیهما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البروجردی، 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نظر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الدم الخارج متمیّزاً عن الغائط غیر مستهلک فیه، فالأقوی عدم طهارة ماء الاستنجاء فی هذه الصورة؛ لعدم شمول أدلّة الطهارة لمثل هذه الصورة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لا یُترک الاحتیاط بالتجنّب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نحو یستهلک فی البول أو الغائط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مستهلکاً، وإلاّ ففیه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کان مستهلکاً، وإلاّ ففیه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إلاّ مع الاستهلاک عرفاً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ما دام فی العرف دماً، أمّا إذا انعدم أو استحال فهو خارج عن الفرض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یشترط استهلاک الدم وانتشاره فی البول أو الغائط، وإلاّ فلا یکون جزءاً منهما فیصیر الدم متمیّزاً عنهما، فلا یکون هذا الماء طاهراً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لا یکون</w:t>
      </w:r>
      <w:r>
        <w:rPr>
          <w:rStyle w:val="FootnoteAnchor"/>
          <w:rtl w:val="true"/>
        </w:rPr>
        <w:footnoteReference w:id="670"/>
      </w:r>
      <w:r>
        <w:rPr>
          <w:rFonts w:ascii="IRNazanin" w:hAnsi="IRNazanin" w:eastAsia="IRNazanin"/>
          <w:color w:val="111111"/>
          <w:sz w:val="28"/>
          <w:sz w:val="28"/>
          <w:szCs w:val="28"/>
          <w:rtl w:val="true"/>
          <w:lang w:bidi="fa-IR"/>
        </w:rPr>
        <w:t>فیه الأجزاء</w:t>
      </w:r>
      <w:r>
        <w:rPr>
          <w:rStyle w:val="FootnoteAnchor"/>
          <w:rtl w:val="true"/>
        </w:rPr>
        <w:footnoteReference w:id="671"/>
      </w:r>
      <w:r>
        <w:rPr>
          <w:rFonts w:ascii="IRNazanin" w:hAnsi="IRNazanin" w:eastAsia="IRNazanin"/>
          <w:color w:val="111111"/>
          <w:sz w:val="28"/>
          <w:sz w:val="28"/>
          <w:szCs w:val="28"/>
          <w:rtl w:val="true"/>
          <w:lang w:bidi="fa-IR"/>
        </w:rPr>
        <w:t>من الغائط بحیث یتمیّز</w:t>
      </w:r>
      <w:r>
        <w:rPr>
          <w:rStyle w:val="FootnoteAnchor"/>
          <w:rtl w:val="true"/>
        </w:rPr>
        <w:footnoteReference w:id="672"/>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أمّا إذا کان معه دود أو جزء غیر منهضم من الغذاء أو شیء آخر لا یصدق علیه الغائط فلا بأس به</w:t>
      </w:r>
      <w:r>
        <w:rPr>
          <w:rStyle w:val="FootnoteAnchor"/>
          <w:rtl w:val="true"/>
        </w:rPr>
        <w:footnoteReference w:id="67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متنجّساً بملاقاة العذرة فی الخارج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متنجّساً، وإلاّ ففیه إشکال، ویترتّب علیه حکم الغسالة إذا غسل مع ماء الاستنجاء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الاحتیاط فی المورد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یکن متنجّساً، وإلاّ ففیه بأس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عدم التنجّس بملاقاة العذرة فی الخارج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ولکن إذا لاقاه ذلک المتنجّس بعد الانفصال نجّسه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اعتبار عدم خروج هذه الأشیاء معه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یکن متنجّساً بملاقاة العذرة فی الخارج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یشترط فی طهارة</w:t>
      </w:r>
      <w:r>
        <w:rPr>
          <w:rStyle w:val="FootnoteAnchor"/>
          <w:rtl w:val="true"/>
        </w:rPr>
        <w:footnoteReference w:id="67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صدق تنجّس الید بالاستنجاء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ماء الاستنجاء سبق الماء علی الید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وإن کان أحوط</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فرض تنجّس الید مع سبقها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سبق بیده بقصد الاستنجاء، ثمّ أعرض، ثمّ عاد لا بأس</w:t>
      </w:r>
      <w:r>
        <w:rPr>
          <w:rStyle w:val="FootnoteAnchor"/>
          <w:rtl w:val="true"/>
        </w:rPr>
        <w:footnoteReference w:id="67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لم یرفع یده عن المحلّ حتّی استنجی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 لا مدخلیّة للقصد فی حصول الأثر، وفی المقام بعد الصدق العرفی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لم یرفع الید عن المحلّ، وإلاّ فمشکل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إلاّ إذا عاد بعد مدّة ینتفی معها صدق التنجّس بالاستنجاء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فینتفی حینئذٍ حکمه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ماء الاستنجاء</w:t>
      </w:r>
      <w:r>
        <w:rPr>
          <w:rStyle w:val="FootnoteAnchor"/>
          <w:rtl w:val="true"/>
        </w:rPr>
        <w:footnoteReference w:id="676"/>
      </w:r>
      <w:r>
        <w:rPr>
          <w:rFonts w:ascii="IRNazanin" w:hAnsi="IRNazanin" w:eastAsia="IRNazanin"/>
          <w:color w:val="111111"/>
          <w:sz w:val="28"/>
          <w:sz w:val="28"/>
          <w:szCs w:val="28"/>
          <w:rtl w:val="true"/>
          <w:lang w:bidi="fa-IR"/>
        </w:rPr>
        <w:t>بین الغسلة الاُولی والثانیة فی البول الّذی یعتبر فیه التعدّد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الغائط من غیر المخرج الطبیعی فمع الاعتیاد کالطبیعی</w:t>
      </w:r>
      <w:r>
        <w:rPr>
          <w:rStyle w:val="FootnoteAnchor"/>
          <w:rtl w:val="true"/>
        </w:rPr>
        <w:footnoteReference w:id="67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الأقرب عدم کونه کالطبیعی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غیر الطبیعی قریباً من الطبیعی، وإلاّ فالأحوط الاجتناب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بل منع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الاعتیاد الفعلی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ومع عدمه حکمه حکم سائر النجاسات فی وجوب</w:t>
      </w:r>
    </w:p>
    <w:p>
      <w:pPr>
        <w:pStyle w:val="BookText"/>
        <w:rPr/>
      </w:pPr>
      <w:r>
        <w:rPr>
          <w:rFonts w:ascii="IRNazanin" w:hAnsi="IRNazanin" w:eastAsia="IRNazanin"/>
          <w:color w:val="111111"/>
          <w:sz w:val="28"/>
          <w:sz w:val="28"/>
          <w:szCs w:val="28"/>
          <w:rtl w:val="true"/>
          <w:lang w:bidi="fa-IR"/>
        </w:rPr>
        <w:t>الاحتیاط من غسالته</w:t>
      </w:r>
      <w:r>
        <w:rPr>
          <w:rStyle w:val="FootnoteAnchor"/>
          <w:rtl w:val="true"/>
        </w:rPr>
        <w:footnoteReference w:id="67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فی الغسلة الاُولی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الرفیعی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یجب الاجتناب عنه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7</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إذا شکّ فی ماءٍ أ نّه غسالة الاستنجاء، أو غسالة سائر النجاسات یحکم علیه بالطهارة</w:t>
      </w:r>
      <w:r>
        <w:rPr>
          <w:rStyle w:val="FootnoteAnchor"/>
          <w:rtl w:val="true"/>
        </w:rPr>
        <w:footnoteReference w:id="67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الشریعتمداری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المحتمل الآخر من الغسلات المحکومة بالطهارة، کالغسالة المتعقّبة لطهارة المحلّ لا إشکال فی الطهارة؛ لعدم کون العلم منجّزاً لمکان فقدان الأثر، أمّا لو کان من الغسلات المحکومة بالنجاسة فالحکم علیها بالطهارة مشکل، إلاّ علی إجراء قاعدة الطهارة أو استصحابها، وعدم جواز التمسّک بالعامّ وغیرها من الوجوه، وفی الکلّ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علیه بالنجاسة إذا کان طرف العلم الإجمالی من الغسالات النجسة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یحکم علیه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یحکم بطهارته، ولا بطهارة ملاقیه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بالنجاسة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اللنکرانی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کان الأحوط الاجتناب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وجوبه؛ لأنّ عموم الانفعال یقتضی النجاسة، والعنوان الخارج عنوان الاستنجاء، ومع عدم إحرازه أصالة عدم اتّصافه بکونه منه یوجب إجراء حکم عموم الانفعال فی حقّه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 ضیاء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حسین القمّی، حسن القمّی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لعلّه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لا یخلو من قوّة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 لأصالة عدم استعماله فی الاستنجاء مع العلم بملاقاته للنجاسة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البجنوردی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یُترک، بل وجوب الاجتناب لا یخلو من قوّة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الشیرازی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الأقوی؛ لأ نّه باستصحاب عدم الاستعمال فی الاستنجاء یحرز موضوع غسالة سائر النجاسات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ینبغی ترکه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بل هو الأقوی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الأقوی الاجتناب؛ للعلم بملاقاته للنجس، وأصالة عدم استعماله فی الاستنجاء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اغتسل فی الکرّ کخزانة الحمّام</w:t>
      </w:r>
      <w:r>
        <w:rPr>
          <w:rStyle w:val="FootnoteAnchor"/>
          <w:rtl w:val="true"/>
        </w:rPr>
        <w:footnoteReference w:id="680"/>
      </w:r>
      <w:r>
        <w:rPr>
          <w:rFonts w:ascii="IRNazanin" w:hAnsi="IRNazanin" w:eastAsia="IRNazanin"/>
          <w:color w:val="111111"/>
          <w:sz w:val="28"/>
          <w:sz w:val="28"/>
          <w:szCs w:val="28"/>
          <w:rtl w:val="true"/>
          <w:lang w:bidi="fa-IR"/>
        </w:rPr>
        <w:t>، أو استنجی فیه لا یصدق</w:t>
      </w:r>
      <w:r>
        <w:rPr>
          <w:rStyle w:val="FootnoteAnchor"/>
          <w:rtl w:val="true"/>
        </w:rPr>
        <w:footnoteReference w:id="681"/>
      </w:r>
      <w:r>
        <w:rPr>
          <w:rFonts w:ascii="IRNazanin" w:hAnsi="IRNazanin" w:eastAsia="IRNazanin"/>
          <w:color w:val="111111"/>
          <w:sz w:val="28"/>
          <w:sz w:val="28"/>
          <w:szCs w:val="28"/>
          <w:rtl w:val="true"/>
          <w:lang w:bidi="fa-IR"/>
        </w:rPr>
        <w:t>علیه غسالة الحدث الأکبر أو غسالة الاستنجاء أو الخبث</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شکّ فی وصول نجاسة من الخارج أو مع الغائط یبنی علی العدم</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سلب الطهارة</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والتعلیل بإصابة الجذام یشعر بشموله لعموم الأمراض المسریة، وکراهة استعمال کلّ ماءٍ قد استعمله الغیر؛ لاحتمال وجود المرض المُعدی فیه، وهذه إحدی مزایا الشریعة الإسلامیّة وقداسة أحکامها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کاشف الغطاء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بعض المیاه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هذه المسألة لیست تکراراً للمسألة الثانیة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المسألة الثامنة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قیل، فإنّ الاُولی فی بیان الموضوع وهو صدق غسالة الحدث الأکبر والاستنجاء، والثانیة فی بیان حکم الماء المستعمل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والطهوریّة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عن الماء المستعمل فی رفع الحدث الأکبر أو الخبث استنجاءً أو غیره إنّما یجری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الماء القلیل، دون الکرّ فما زاد، کخزانة الحمّام ونحوها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المتخلّف</w:t>
      </w:r>
      <w:r>
        <w:rPr>
          <w:rStyle w:val="FootnoteAnchor"/>
          <w:rtl w:val="true"/>
        </w:rPr>
        <w:footnoteReference w:id="684"/>
      </w:r>
      <w:r>
        <w:rPr>
          <w:rFonts w:ascii="IRNazanin" w:hAnsi="IRNazanin" w:eastAsia="IRNazanin"/>
          <w:color w:val="111111"/>
          <w:sz w:val="28"/>
          <w:sz w:val="28"/>
          <w:szCs w:val="28"/>
          <w:rtl w:val="true"/>
          <w:lang w:bidi="fa-IR"/>
        </w:rPr>
        <w:t>فی الثوب</w:t>
      </w:r>
      <w:r>
        <w:rPr>
          <w:rStyle w:val="FootnoteAnchor"/>
          <w:rtl w:val="true"/>
        </w:rPr>
        <w:footnoteReference w:id="68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الغسلة المطهّرة، وکذا فیما بعده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السیستانی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العصر من الماء طاهر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خصوصیّة للمتخلّف، وعدم کونه منجّساً لا یستلزم طهارته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تقی القمّی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فلو اُخرج بعد ذلک لا یلحقه حکم الغسالة، وکذا ما یبقی فی الإناء</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بعد إهراق ماء غسالته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تطهر الید تبعاً </w:t>
      </w:r>
      <w:r>
        <w:rPr>
          <w:rStyle w:val="FootnoteAnchor"/>
          <w:rtl w:val="true"/>
        </w:rPr>
        <w:footnoteReference w:id="686"/>
      </w:r>
      <w:r>
        <w:rPr>
          <w:rFonts w:ascii="IRNazanin" w:hAnsi="IRNazanin" w:eastAsia="IRNazanin"/>
          <w:color w:val="111111"/>
          <w:sz w:val="28"/>
          <w:sz w:val="28"/>
          <w:szCs w:val="28"/>
          <w:rtl w:val="true"/>
          <w:lang w:bidi="fa-IR"/>
        </w:rPr>
        <w:t>بعد التطهیر، فلا حاجة إلی غسلها</w:t>
      </w:r>
      <w:r>
        <w:rPr>
          <w:rStyle w:val="FootnoteAnchor"/>
          <w:rtl w:val="true"/>
        </w:rPr>
        <w:footnoteReference w:id="687"/>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لو وصل الماء إلی المقدار الواصل من الید إلی محلّ الاستنجاء کوصوله إلی المحلّ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وکذا الظرف</w:t>
      </w:r>
      <w:r>
        <w:rPr>
          <w:rStyle w:val="FootnoteAnchor"/>
          <w:rtl w:val="true"/>
        </w:rPr>
        <w:footnoteReference w:id="6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غسلا مع المغسول وکان تنجّسهما بماء الغسل، وإلاّ ففیه تفصیل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مهدیالشیرازی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 یغسل فیه الثوب ونحوه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اُجری الماء علی المحلّ النجس زائداً علی مقدار یکفی فی طهارته، فالمقدار الزائد</w:t>
      </w:r>
      <w:r>
        <w:rPr>
          <w:rStyle w:val="FootnoteAnchor"/>
          <w:rtl w:val="true"/>
        </w:rPr>
        <w:footnoteReference w:id="689"/>
      </w:r>
      <w:r>
        <w:rPr>
          <w:rFonts w:ascii="Amiri" w:hAnsi="Amiri" w:eastAsia="Amiri" w:cs="Amiri"/>
          <w:color w:val="111111"/>
          <w:sz w:val="28"/>
          <w:sz w:val="28"/>
          <w:szCs w:val="28"/>
          <w:rtl w:val="true"/>
          <w:lang w:bidi="ar-SA"/>
        </w:rPr>
        <w:t>بعد حصول الطهارة طاهر</w:t>
      </w:r>
      <w:r>
        <w:rPr>
          <w:rStyle w:val="FootnoteAnchor"/>
          <w:rtl w:val="true"/>
        </w:rPr>
        <w:footnoteReference w:id="69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 حصول الطهارة للمحلّ بذلک، وعدم تنجّس الماء الزائد بملاقاة الغسالة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تأمّل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الحکیم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فیه إشکال، والاحتیاط متعیّن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وإن عدّ تمامه غسلةً واحدةً ولو کان بمقدار ساعة، ولکن مراعاة الاحتیاط أولی</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إذا کان منشأ الاحتیاط عدّ العرف غسلاً واحداً فهو ضعیف فی الغایة، لکفایة وصول الماء إلیه فی حصول التطهیر عنده أیضاً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غسالة ما یحتاج إلی تعدّد الغسل کالبول مثلاً إذا لاقت شیئاً لا یعتبر فیها التعدّد</w:t>
      </w:r>
      <w:r>
        <w:rPr>
          <w:rStyle w:val="FootnoteAnchor"/>
          <w:rtl w:val="true"/>
        </w:rPr>
        <w:footnoteReference w:id="691"/>
      </w:r>
      <w:r>
        <w:rPr>
          <w:rFonts w:ascii="IRNazanin" w:hAnsi="IRNazanin" w:eastAsia="IRNazanin"/>
          <w:color w:val="111111"/>
          <w:sz w:val="28"/>
          <w:sz w:val="28"/>
          <w:szCs w:val="28"/>
          <w:rtl w:val="true"/>
          <w:lang w:bidi="fa-IR"/>
        </w:rPr>
        <w:t xml:space="preserve">، وإن کان </w:t>
      </w:r>
    </w:p>
    <w:p>
      <w:pPr>
        <w:pStyle w:val="BookText"/>
        <w:rPr/>
      </w:pPr>
      <w:r>
        <w:rPr>
          <w:rFonts w:ascii="IRNazanin" w:hAnsi="IRNazanin" w:eastAsia="IRNazanin"/>
          <w:color w:val="111111"/>
          <w:sz w:val="28"/>
          <w:sz w:val="28"/>
          <w:szCs w:val="28"/>
          <w:rtl w:val="true"/>
          <w:lang w:bidi="fa-IR"/>
        </w:rPr>
        <w:t>أحوط</w:t>
      </w:r>
      <w:r>
        <w:rPr>
          <w:rStyle w:val="FootnoteAnchor"/>
          <w:rtl w:val="true"/>
        </w:rPr>
        <w:footnoteReference w:id="692"/>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سیّما فی ملاقی غسالة الغسلة الاُولی، بل فیه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آل‌یاسین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مراعاة هذا الاحتیاط فی الغسلة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الکوه کَمَرئی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خصوصاً فی غسالة الغسلة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الإصطهباناتی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الغسلة الاُولی لا یُترک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الشاهرودی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فیما کانت مزیلة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المیلانی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یُترک خصوصاً فی الاُولی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عبداللّه الشیرازی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غسالة الغسلة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فی غسالة الاُولی، خصوصاً مع کون النجاسة عینیّة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السبزواری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یُترک هذا الاحتیاط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زین الدین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ینبغی مراعاته فی الغسلة الاُولی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مفتی الشیعة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مسألة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غسالة الغسلة الاحتیاطیّة استحباباً یستحبّ</w:t>
      </w:r>
      <w:r>
        <w:rPr>
          <w:rStyle w:val="FootnoteAnchor"/>
          <w:rtl w:val="true"/>
        </w:rPr>
        <w:footnoteReference w:id="693"/>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لاتّحاد الملاک فی المغسول به والغسالة وهو احتمال النجاسة، وفی الاعتماد علی هذا الحکم بالاستحباب إشکال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المرعشی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أی یحسن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رضا الگلپایگانی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الاجتناب عنها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218" w:name="pg13272_143007"/>
    </w:p>
    <w:p>
      <w:pPr>
        <w:pStyle w:val="Heading2"/>
        <w:numPr>
          <w:ilvl w:val="1"/>
          <w:numId w:val="1"/>
        </w:numPr>
        <w:rPr/>
      </w:pPr>
      <w:bookmarkStart w:id="219" w:name="__RefHeading___Toc1636518_2322387425"/>
      <w:bookmarkStart w:id="220" w:name="_Toc71"/>
      <w:bookmarkEnd w:id="218"/>
      <w:bookmarkEnd w:id="219"/>
      <w:r>
        <w:rPr>
          <w:rtl w:val="true"/>
        </w:rPr>
        <w:t>فهرس محتویات کتاب</w:t>
      </w:r>
      <w:bookmarkEnd w:id="220"/>
    </w:p>
    <w:p>
      <w:pPr>
        <w:pStyle w:val="BookText"/>
        <w:rPr/>
      </w:pPr>
      <w:r>
        <w:rPr>
          <w:rFonts w:ascii="IRNazanin" w:hAnsi="IRNazanin" w:eastAsia="IRNazanin"/>
          <w:color w:val="111111"/>
          <w:sz w:val="28"/>
          <w:sz w:val="28"/>
          <w:szCs w:val="28"/>
          <w:rtl w:val="true"/>
          <w:lang w:bidi="fa-IR"/>
        </w:rPr>
        <w:t>عکس</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93"/>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9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496"/>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49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499"/>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02"/>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940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05"/>
                        <a:stretch/>
                      </pic:blipFill>
                      <pic:spPr>
                        <a:xfrm>
                          <a:off x="0" y="0"/>
                          <a:ext cx="4940280" cy="6985080"/>
                        </a:xfrm>
                        <a:prstGeom prst="rect">
                          <a:avLst/>
                        </a:prstGeom>
                        <a:ln w="0">
                          <a:noFill/>
                        </a:ln>
                      </pic:spPr>
                    </pic:pic>
                  </a:graphicData>
                </a:graphic>
              </wp:inline>
            </w:drawing>
          </mc:Choice>
          <mc:Fallback>
            <w:pict>
              <v:shape id="shape_0" stroked="f" o:allowincell="f" style="position:absolute;margin-left:0pt;margin-top:-550.05pt;width:388.95pt;height:549.95pt;mso-wrap-style:none;v-text-anchor:middle;mso-position-horizontal:left;mso-position-vertical:top" type="_x0000_t75">
                <v:imagedata r:id="rId506" o:detectmouseclick="t"/>
                <v:stroke color="#3465a4" joinstyle="round" endcap="flat"/>
                <w10:wrap type="none"/>
              </v:shape>
            </w:pict>
          </mc:Fallback>
        </mc:AlternateContent>
      </w:r>
      <w:bookmarkStart w:id="221" w:name="pg13272_143012"/>
    </w:p>
    <w:p>
      <w:pPr>
        <w:pStyle w:val="Heading2"/>
        <w:numPr>
          <w:ilvl w:val="1"/>
          <w:numId w:val="1"/>
        </w:numPr>
        <w:rPr/>
      </w:pPr>
      <w:bookmarkStart w:id="222" w:name="__RefHeading___Toc1636520_2322387425"/>
      <w:bookmarkStart w:id="223" w:name="_Toc72"/>
      <w:bookmarkEnd w:id="221"/>
      <w:bookmarkEnd w:id="222"/>
      <w:r>
        <w:rPr>
          <w:rtl w:val="true"/>
        </w:rPr>
        <w:t>الاصدارات العلمیة لمؤسسة السبطین علیهماالسلام العالمیة</w:t>
      </w:r>
      <w:bookmarkEnd w:id="22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فقه الإمام جعفر الصادق علیه‌السلام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ستة مجلدات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العلاّمة محمّد جواد مغنیة ، إعداد وتحقیق مؤسسة السبطین علیهماالسلام العالمیة، الطبعة الثالثة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قصص القرآن الکریم دلالیاً وجمالیاً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مجلّدان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الأستاذ الدکتور محمود البستانی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محاضرات الإمام الخوئی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بقلم السیّد محمّد علی الخرسان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المولی فی الغدیر ، نظرة جدیدة فی کتاب الغدیر للعلاّمة الأمینی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التألیف والبحوث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أدب الشریعة الاسلامیة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الأستاذ الدکتور محمود البستانی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عقیلة قریش آمنة بنت الحسین علیهماالسلام الملقبة بسکینة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محمّد علی الحلو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أنصار الحسین علیه‌السلام الثورة والثوار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محمّد علی الحلو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التحریف والمحرّفون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محمّد علی الحلو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الحسن بن علی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الحرب والسلام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السیّد محمّد علی الحلو </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بضعة المصطفی صلی‌الله‌علیه‌و‌آله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مرتضی الرضوی ، تحقیق وتنظیم مؤسسة السبطین علیهماالسلام العالمیة ، یشتمل علی حیاة فاطمة علیهاالسلام من الولادة وإلی شهادتها علیهاالسلام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الحتمیّات من علائم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فاروق البیاتی الموسوی ، تحقیق وتنظیم مؤسسة السبطین علیهماالسلام العالمیة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التألیف والبحوث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معالم العقیدة الإسلامیة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لجنة التألیف والبحوث العلمیة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هویّة التشیّع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للدکتور الشیخ أحمد الوائلی رحمه‌الله ، تحقیق مؤسسة السبطین علیهماالسلام العالمیة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نحن الشیعة الإمامیّة وهذه عقائدنا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محمّد الرضی الرضوی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لماذا اخترنا مذهب الشیعة الإمامیّة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محمّد الرضی الرضوی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المثل الأعلی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السیّد محمّد الرضی الرضوی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الشیعة وفنون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آیت اللّه العظمی السید حسن الصدر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هدیة الزائرین وبهجة الناظرین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ثقة المحدثین الشیخ عبّاس القمی رحمه‌الله ، تحقیق مؤسسة السبطین علیهماالسلام العالمیة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قطره‌ای از دریای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لجنة التألیف والبحوث العلمیّة ـ القسم الفارسی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مهربانترین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السیّد علاء الدین الموسوی الإصفهانی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پرسش‌ها و پاسخ‌های اعتقادی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لجنة التألیف والبحوث العلمیّة ، القسم الفارسی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روز شمار تاریخ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لجنة التألیف والبحوث العلمیّة ، القسم الفارسی </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غربت یاس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لجنة التألیف والبحوث العلمیّة ، القسم الفارسی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حجاب، حریم پاکی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لجنة التألیف والبحوث العلمیة، القسم الفارسی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سکینه ؛ پرده‌نشین قریش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الترجمة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شهادة فاطمة الزهراء علیهاالسلام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الترجمة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قطره‌ای از دریای غدیر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الترجمة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مشفقانه وصیت 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خطبة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لنهج البلاغة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اُردو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الترجمة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عقیلة قریش آمنة بنت الحسین علیهماالسلام الملقبة بسکینة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انجلیزی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الترجمة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شهادة فاطمة الزهراء علیهاالسلام حقیقة تاریخیّة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انجلیزی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الترجمة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حول 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انجلیزی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الترجمة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حول النبوة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انجلیزی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الترجمة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علوم 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انجلیزی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الترجمة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مفاهیم قرآنیة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انجلیزی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قسم الترجمة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بحوث عقائدیة فی ضوء مدرسة أهل البیت علیهم‌السلام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نصوص مختارة من مؤلفات الإمام السیّد الخوئی قدس‌سره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عصر الغیبة ، الوظائف والواجبات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تألیف الشیخ علی الشطری </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العروة الوثقی والتعلیقات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یشمل </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کتاب العروة الوثقی تألیف السیّد محمّد کاظم الطباطبائی الیزدی ، إعداد مؤسسة السبطین علیهماالسلام العالمیة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العروة الوثقی والتعلیقات علیها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یشمل </w:t>
      </w:r>
      <w:r>
        <w:rPr>
          <w:rFonts w:eastAsia="IRNazanin" w:cs="IRNazanin"/>
          <w:color w:val="111111"/>
          <w:sz w:val="28"/>
          <w:szCs w:val="28"/>
          <w:rtl w:val="true"/>
          <w:lang w:bidi="fa-IR"/>
        </w:rPr>
        <w:t>(</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تعلیقة علی کتاب العروة الوثقی تألیف السیّد محمّد کاظم الطباطبائی الیزدی ، إعداد مؤسسة السبطین علیهماالسلام العالمیة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تحت الطبع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أطیب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الأول ، فارسی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آیت اللّه سید عبدالحسین طیّب ، تحقیق مؤسسة السبطین علیهماالسلام العالمیة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أطیب البیان فی تفسیر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الجزء الثانی، فارسی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تألیف آیت اللّه سید عبدالحسین طیّب ، تحقیق مؤسسة السبطین علیهماالسلام العالمیة </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496</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51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1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والقول بولادته قدس‌سره فی سنة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ـ کما فی الفوائد الرضویة نقلاً عن تکملة أمل الآمل لصدر الکاظمینی ـ هو احتمال ضعیف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أمـّا فی شهداء الفضیلة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وأعیان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ascii="IRNazanin" w:hAnsi="IRNazanin" w:eastAsia="IRNazanin"/>
          <w:b w:val="false"/>
          <w:b w:val="false"/>
          <w:bCs w:val="false"/>
          <w:i w:val="false"/>
          <w:i w:val="false"/>
          <w:iCs w:val="false"/>
          <w:color w:val="333333"/>
          <w:sz w:val="20"/>
          <w:sz w:val="20"/>
          <w:szCs w:val="20"/>
          <w:rtl w:val="true"/>
        </w:rPr>
        <w:t>، والنجوم المسرّدة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ومصادر اُخری کثیرة ذکرت سنة </w:t>
      </w:r>
      <w:r>
        <w:rPr>
          <w:rFonts w:eastAsia="IRNazanin" w:cs="IRNazanin"/>
          <w:b w:val="false"/>
          <w:bCs w:val="false"/>
          <w:i w:val="false"/>
          <w:iCs w:val="false"/>
          <w:color w:val="333333"/>
          <w:sz w:val="20"/>
          <w:szCs w:val="20"/>
        </w:rPr>
        <w:t>1247</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والظاهر صوابه حسب ما نقلت أ نّه عمّر تسعین سنة، وحسب ما ذکره کاتب مقالة نجوم 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نقلاً عن اُسرة الفقید أنّ سنة الولادة کانت </w:t>
      </w:r>
      <w:r>
        <w:rPr>
          <w:rFonts w:eastAsia="IRNazanin" w:cs="IRNazanin"/>
          <w:b w:val="false"/>
          <w:bCs w:val="false"/>
          <w:i w:val="false"/>
          <w:iCs w:val="false"/>
          <w:color w:val="333333"/>
          <w:sz w:val="20"/>
          <w:szCs w:val="20"/>
        </w:rPr>
        <w:t>1248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 علی الأرجح</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السیّد عبدالعظیم الکسنوی النجفی الطباطبائی الحسنی الشهیر بالیزدی،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منبر آبنوس مسجد کسنویه معروف باسمه</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إسماعیل بن إبراهیم بن حسن بن حسن بن علی بن أبی طالب علیهم‌السلام معروف بطباطبا، وهو جدّ السادات الطباطبائیة،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هذه الجهة اشتهر بهذا اللقب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ویسمّی أیضاً بالدیباج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ومعاریف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ینتهی نسبه الشریف إلی إبراهیم الغمر بن الحسن بن الحسن بن علی بن أبی طالب علیهم‌السلام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کسنو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بنت یزدجرد آخر سلاطین الفرس الّذی فرّ هارباً فقتل فی طاحونة، وکانت القریة لها فسمیت باسمها، وهی من القری القدیمة لمدینة یزد وتقع فی جانبها الغربی، والظاهر أنها کانت جزءاً من مدینة کثة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الاسم القدیم لمدینة یزد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وحاضراً اندمجت کسنویه بمدینة یزد وتعتبر الآن أحد مناطقها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وکانت منذ القدم منطقة زراعیة </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المدارس القدیمة والعریقة فی یزد، ویعود بناؤها لسنة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أو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یادگارها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آیة اللّه المرعشی النجفی رحمه‌الله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إنّی سمعت کراراً من المرحوم السیّد محمّد کاظم الیزدی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إنّی أبقی طوال عمری مدیوناً للشیخ محمّد باقر النجفی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نافذ آقا نجفی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 فی تراجم العلماء والأدباء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2/329</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میراث جاویدان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لعام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آخر مقابلة وحدیث مع الفقید السیّد عبدالعزیز الطباطبائی</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 إلی العربیة، نقلاً عن نجوم 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أحسن الودیعة فی تراجم مشاهیر مجتهدی الشیعة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المسرّدة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مقالة فقیه بزرگ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المسرّدة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اختران تابناک أو کشف الکواکب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مقالة چهره‌های جاودانه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المسرّدة</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شمس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مقالة نجوم 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المسرّدة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یکصد داستان خواندنی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یکصد داستان خواندنی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وشخصیت شیخ انصاری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ریحانة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المسرّدة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6/2070</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المسرّدة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المسرّدة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 xml:space="preserve"> .</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االنجوم المسرّدة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تکملة نجوم السماء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 فی تراجم العلماء والأدباء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ریحانة الأدب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5/23</w:t>
      </w:r>
      <w:r>
        <w:rPr>
          <w:rFonts w:ascii="IRNazanin" w:hAnsi="IRNazanin" w:eastAsia="IRNazanin"/>
          <w:b w:val="false"/>
          <w:b w:val="false"/>
          <w:bCs w:val="false"/>
          <w:i w:val="false"/>
          <w:i w:val="false"/>
          <w:iCs w:val="false"/>
          <w:color w:val="333333"/>
          <w:sz w:val="20"/>
          <w:sz w:val="20"/>
          <w:szCs w:val="20"/>
          <w:rtl w:val="true"/>
        </w:rPr>
        <w:t>، زندگی نامه 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مدرس قهرمان آزادی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نجوم 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شمس التواریخ</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شکوه مرجعیت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شیخ آقا بزرگ تهرانی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شرح حال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آیت اللّه بهبهانی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تاریخ بیداری ایرانیان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1/311</w:t>
      </w:r>
      <w:r>
        <w:rPr>
          <w:rFonts w:ascii="IRNazanin" w:hAnsi="IRNazanin" w:eastAsia="IRNazanin"/>
          <w:b w:val="false"/>
          <w:b w:val="false"/>
          <w:bCs w:val="false"/>
          <w:i w:val="false"/>
          <w:i w:val="false"/>
          <w:iCs w:val="false"/>
          <w:color w:val="333333"/>
          <w:sz w:val="20"/>
          <w:sz w:val="20"/>
          <w:szCs w:val="20"/>
          <w:rtl w:val="true"/>
        </w:rPr>
        <w:t>، حکیم سبزواری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مصفّی المقال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ascii="IRNazanin" w:hAnsi="IRNazanin" w:eastAsia="IRNazanin"/>
          <w:b w:val="false"/>
          <w:b w:val="false"/>
          <w:bCs w:val="false"/>
          <w:i w:val="false"/>
          <w:i w:val="false"/>
          <w:iCs w:val="false"/>
          <w:color w:val="333333"/>
          <w:sz w:val="20"/>
          <w:sz w:val="20"/>
          <w:szCs w:val="20"/>
          <w:rtl w:val="true"/>
        </w:rPr>
        <w:t>، النجوم المسرّدة، آینه دانشوران، تراجم الرجال، فقیه بزرگ، زندگانی شیخ انصاری، دایرة المعارف دانش بشر، الذریعة، تاریخ علمی واجتماعی اصفهان، مقدمة جامع الشتات</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المسلسلات فی إجازات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اسم الکتاب فی الصفحة ما بعد الغلاف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سؤال وجواب</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المسرّدة</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 راه آزادی سید جمال واعظ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الذریعة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فقهای نامدار شیعه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15/252/1623</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گنجینه دانشمندان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10/43</w:t>
      </w:r>
      <w:r>
        <w:rPr>
          <w:rFonts w:eastAsia="IRNazanin" w:cs="IRNazanin"/>
          <w:b w:val="false"/>
          <w:bCs w:val="false"/>
          <w:i w:val="false"/>
          <w:iCs w:val="false"/>
          <w:color w:val="333333"/>
          <w:sz w:val="20"/>
          <w:szCs w:val="20"/>
          <w:rtl w:val="true"/>
        </w:rPr>
        <w:t xml:space="preserve"> .</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زندگی‌نامه آیة اللّه چهار سوقی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النجوم المسرّدة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ماضی النجف وحاضرها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 قسم النجف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ماضی النجف وحاضرها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7/167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مکارم الآثار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4/1324</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الکواکب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نجوم اُمّت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الفوائد الرضویّة فی أحوال علماء مذهب الجعفریة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ملخّصاً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پارسائی وپایداری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مستلّ ومختصر عن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دور علماء الشیعة فی مواجهة الاستعمار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وبتصرف من المؤسسة</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نهضت روحانیون إیران، علی دوانی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زندگانی آخوند خراسانی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عبدالحسین مجید کفائی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سیاحت شرق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آغا نجفی قوجانی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شعراء الغری، علی الخاقانی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مع السیّد عبدالعزیز الطباطبائی بتاریخ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والسیّد الطباطبائی أحد أحفاد السیّد الیزدی ومن محقّقی الشیعة المعاصرین</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مع السیّد عبدالعزیز الطباطبائی بتاریخ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هـ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العراق السیاسی المعاصر، حسن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معارف الرجال فی تراجم العلماء والاُدباء، محمّد حرز الدین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شهید فضل اللّه نوری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فارسی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محمّد ترکمان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من المقرّر أن یکون الاسم الرسمی للمجلس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الشوری الإسلامی، غیر أنّ الاتجاه العلمانی نجح فی جعل اسمه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مجلس الشوری الوطنی</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تشیّع ومشروطیت در إیران، عبدالهادی 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تشیّع ومشروطیّت در إیران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تشیع ومشروطیت در إیران، عبداللّه الهادی 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سیاحت شرق، آغا نجفی قوچانی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ویجب أن نتذکر موقف السیّد الیزدی هنا عند الحدیث عنه فی الفصل الثالث</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زندگانی آخوند خراسانی، عبدالحسین مجید کفائی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مذکرات الفریق طونزند، تشارلس طونزند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والمؤلِّف یروی تفصیلات الحملة العسکریّة البریطانیّة وسیرها فی العراق</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اجتماعیة من تاریخ العراق،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4/127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العراق السیاسی المعاصر، حسن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2/149</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العراق السیاسی المعاصر، حسن شبّر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العراق السیاسی المعاصر، حسن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الکویت السیاسی، حسین خلف الشیخ خزعل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اجتماعیة من تاریخ العراق،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الوردی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مع السیّد عبدالعزیز الطباطبائی 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رمضان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شباط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اجتماعیة من تاریخ العراق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وثیقة خطیة یحتفظ بها السیّد عبدالعزیز الطباطبائی ضمن مجموعة الوثائق الخطّیة للسیّد الیزدی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وثائق السیّد الیزدی المخطوطة، السیّد عبدالعزیز الطباطبائی</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وثائق السیّد الیزدی المخطوطة، السیّد عبدالعزیز الطباطبائی</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المقابلة السابقة فی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 ، السیّد عبدالعزیز الطباطبائی</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اجتماعیة من تاریخ العراق الحدیث،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الوردی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وثائق السیّد الیزدی المخطوطة، السیّد عبدالعزیز الطباطبائی</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وثائق السیّد الیزدی المخطوطة، السیّد عبدالعزیز الطباطبائی</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الوثائق الخطیة للسیّد الیزدی، السیّد عبدالعزیز الطباطبائی</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مع السیّد عبدالعزیز الطباطبائی فی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1994</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والسیّد الطباطبائی أحد أحفاد السیّد کاظم الیزدی، ومن محققی الشیعة فی الحاضر، وهو عمید اُسرة الیزدی، ویحتفظ بمجموعة وثائقیة نادرة لمراسلات السیّد الیزدی المتبادلة مع علماء الدین ورؤساء العشائر والسیاسة فی تلک الفترة</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اجتماعیة من تاریخ العراق الحدیث،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اجتماعیة من تاریخ العراق الحدیث،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4/189</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موسوعة العتبات المقدّسة، قسم النجف، جعفر الخلیلی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الوثیقة من السیّد عبدالعزیز الطباطبائی ضمن وثائق خطّیة أثبتناها آنفاً</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نشأة الدولة،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غسان العطیة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اجتماعیة من تاریخ العراق الحدیث،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الحلّة، القسم الأوّل،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الوردی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لمحات تاریخیة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الحقائق الناصعة فی الثورة العراقیة، الفریق مزهر آل فرعون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وثیقة مخطوطة فی مجموعة الوثائق الخاصة للسیّد الیزدی التی یحتفظ بها السیّد عبدالعزیز الطباطبائی</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وثیقة مخطوطة من الوثائق الخاصة للسیّد الیزدی، السیّد عبدالعزیز الطباطبائی</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اجتماعیة من تاریخ العراق الحدیث،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الوردی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لمحات اجتماعیة من تاریخ العراق الحدیث،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الوردی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فصول من تاریخ العراق القریب، المس بیل، ترجمة جعفر الخیاط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ماضی النجف وحاضرها، جعفر الشیخ باقر آل محبوبة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العشرین فی ذکراها الخمسین، محمّد علی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تاریخ العراق السیاسی المعاصر، حسن شبّر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العشرین فی ذکراها الخمسین، محمّد علی کمال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النجف، عبدالرزاق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دور الشیعة فی تطّور العراق السیاسی الحدیث،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عبداللّه النفیسی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مقابلة مع السیّد عبدالعزیز الطباطبائی فی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رمضان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هـ</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آذار </w:t>
      </w:r>
      <w:r>
        <w:rPr>
          <w:rFonts w:eastAsia="IRNazanin" w:cs="IRNazanin"/>
          <w:b w:val="false"/>
          <w:bCs w:val="false"/>
          <w:i w:val="false"/>
          <w:iCs w:val="false"/>
          <w:color w:val="333333"/>
          <w:sz w:val="20"/>
          <w:szCs w:val="20"/>
        </w:rPr>
        <w:t>1994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النجف، عبدالرزاق الحسنی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ثورة النجف علی الإنجلیز، حسن الأسدی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عموم البلوی نسبی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بإلزام من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ملتفت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سائر ما یحتاج إلیه من اُموره وأفعاله الّتی یشکّ فی حکمها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معاملاته وعباداته، بل رجحانه عقلاً ونقلاً بشرط عدم استلزامه أحد المحاذیر من الوسوسة وفقدان الجزم وقصد التمییز ومخالفة الاحتیاط من جهة اُخری، کالاحتیاط فی صورة انحصار الماء بالقلیل المُلاقی بالمتنجّس مع عدم سعة الوقت لتکرار الصلاة، ونحوها ممّا هو مجتنبٌ عنه ومتبرّئ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بالتکرار بإتیان فعلین أم أزید، أم التکرار بترک شیئین أو أزید، أو الاحتیاط بالفعل والترک معاً، کما فی جمع المرأة بین تروک ذات الحمرة وأفعال الطاهرة فی بعض الموارد، أو الاحتیاط فی فعل واحد، أو ترک واحد، وسیأتی منه قدس‌سره التصریح ببعض هذه الصور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بوجوب عقلی فی عباداته ومعاملاته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معرفة موارد الاحتیاط متعذّراً غالباً أو متعسّراً علی العوام، کما یأتی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کانت الکیفیّة من المسائل النظریّة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بُعید هذا فی الحاشیة أنّ الوجوه المتصوّرة فی الاحتیاط أکثر ممّا أفاده قدس‌سره ، ثمّ من الواضح اختلاف صوره فی الحکم من حیث الوجوب وعدمه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ترکین کما فی الخنثی، أو فعل وترک کما فی مورد التردّد بین الحیض والاستحاضة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بدونه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 اللنکرانی</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أنّه قد یکون الاحتیاط فی اختیار أحد الفعلین أو الأفعال، کما فی موارد دوران الأمر بین التعیین والتخییر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والمناقشات الخمسة أو الستّة الواردة علیه کلّها مدفوعة، والتفصیل فی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کانت عبادة، فإنّ الأحوط بل الأقوی حینئذٍ تعیّن الاجتهاد أو التقلید، نعم لو أتی بالمحتمل الآخر رجاءً للمحبوبیّة وإدراک الواقع بعد الإتیان بما أدّی إلیه تقلیده أو اجتهاده کان حسناً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لو دری کون الاحتیاط فی العمل سبباً لأداء الواقع المستلزم للأمن من کوارث مخالفته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لو عمل بالاحتیاط بغیر اجتهاد ولا تقلید أجزأه؛ لأنّه أحرز الواقع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عنده ضروریّاً، وأمّا الشاکّ فیجب علیه التقلید، ولو فیما کان ضروریّاً عند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وافق الواقع، أو رأی من یقلِّده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یکفی الالتزام فی ترتیب الآثار، کعدم جواز العدول والبقاء علی تقلید المیّت، بل لابدّ من العمل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أجاد قدس‌سره ، حیث عبّر بالمجتهد بدل لفظ الغیر؛ لشمول ذلک الأخذ بقول البیّنة ونحوها، لکن الّذی یسهّل الخطب إرادة الرأی من القول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تحقّقه بالعمل بفتواه، وفی تحقّقه بتعلّم الفتوی للعمل بها إشکال، أمّا الالتزام وعقد القلب وأخذ الرسالة ونحو ذلک فالأقوی عدم تحقّقه بشیء من ذلک، لکنّ الأحوط الأخذ به ما لم یجب العدول عنه، إمّا لموت ذلک المجتهد، أو لأعلمیّة الآخر منه، أو نحو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والظاهر أنّه یتحقّق بأخذ فتوی المجتهد للعمل به، وإن لم یعمل بعد، لکنّ الأولی والأحوط فی مسألة جواز البقاء علی تقلید المیّت الاقتصار علی ما عمل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رضا الگلپایگانی</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الکفایة، بل لابدّ من الأخذ للعمل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ذلک مطلقاً من غیر تفصیل بین کون المیّت أعلم من الحیّ أو مساویاً له أو مفضولاً بالنسبة إلیه، ومن غیر تفصیل بین کون قوله أحوط الأقوال وعدمه، وغیر ذلک من التفاصیل المقولة أو المحتملة فی المسألة، ثمّ تقیید الجواز واختصاصه بالمسائل المعمولة للمکلّف زمن حیاة مقلّده مبنیٌّ علی بعض الوجوه دون کلّها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الرجوع إلی الحیّ فی جمیع المسائل إلاّ فیما یعلمه فعلاً من فتاوی المیّت الّتی توافق الاحتیاط فیعمل بها، ولا یلزم الفحص عنها مع عدم العلم فعلاً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عدم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أخذ الفتوی من المیّت فی زمان حیاته ولم یعمل بها حتّی مات، فلا یبعد کون العمل بتلک الفتاوی داخلاً فی تقلید المیّت ابتداءً، فالأحوط فی هذه الصورة الرجوع إلی الحیّ، نعم لو عمل ببعض فتاواه بانیاً علی الرجوع إلیه فی کلّ مسألة یحتاج إلیها فالأقوی جواز البقاء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فرض جواز العدول، وهی صورة التساوی علی إشکال فیها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 محمّد الشیرازی، حسن القمّی</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الجواز، وإن کان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یبعد الجواز فی المساوی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صورة العلم بالمخالفة تفصیلاً أو إجمالاً مع کون جمیع الأطراف محلاًّ للابتلاء، وهکذا فی جمیع الفروع الآتیة الّتی أوجب فیها الرجوع إلی الأعلم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 النائینی، الکوه کَمَرئی، البروجردی، الحکیم، الروحانی</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وجوبه تأمّل، فیجوز تقلید غیر الأعلم ابتداءًمع عدم العلم بالمخالفة للأعلم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الموارد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غیر مورد العلم باختلافها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فتواه تطابق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لم یتیسّر للمکلّف استعلامها حین الابتلاء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 اللنکرانی</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وغیرها مع عدم العلم بالمخالفة، کما عرفت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الأعلم فالأعلم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تقدّم الطریقین علیه أو عرضیّة الطرق الثلاثة، وأمّا لو قیل بتقدّمه علی التقلید فی صورة عدم لوزم المحاذیر المذکورة سابقاً ـ کما عن بعض ـ فیشکل الرجوع إلی الأعلم فکیف إلی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جواز تقلید المیّت فی بعض الفروض ، بل وجوبه ، لکنّ العامّی الجاهل لا یمکنه إلاّ الرجوع إلی العالم کی یقطع بالحکم الشرعی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متّکلاً فی البقاء إلی المیّت من دون الاتّکال إلی الحیّ، ومع الاتّکال یجوز حتّی فی هذه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الملتفت إلی امتثال الأحکام حتّی حین العمل ولو کان تارکاً للتعلّم تهاوناً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مع تحقّق قصد القربة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ما تقدّم منّا فی المسألة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العمل الّذی أتی به جازماً به، ولو کان ملتفتاً إلی الأحکام قبل العمل وغفل حینه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تمشّی القربة من المقصّر الملتفت لا ریب فی إمکانه، فکیف بالقاصر والمقصّر الغیر الملتفت؟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الّذی لا یتحقّق من الملتفت هو الجزم بالنیّة، ولا دلیل علی لزومه فی صحّة الاُمور العبادیّة، والتحقیق موکول إلی محلّه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للواقع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المعتبر المطابقة للواقع، نعم طریق المقلِّد إلی الواقع فتوی المجتهد الّذی یجب تقلیده فعلاً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یکفی الحکم بصحّة العمل وعدم لزوم الإعادة أو القضاء ممّن یقلِّده فعلاً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مفهوم الأعلم من الواضحات الّتی لا تحتاج إلی التفسیر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المراد بالأعلم هو الأوصل، ولعلّ بعض هذه الاُمور لها مدخلیّة فی الأوصلیّة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الموجب لجودة استنباطه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تمیّز المناط المنقّح المقطوع بحیث لا یشتبه بالقیاس، وعدم کون کثرة الاطّلاع منشأ لفقد جهة اُخری لقلّة المجال واشتغال الوقت بذکرها، فیحرم عن التعمّق فی الفروع والتدقیق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مهامّ الاُمور فی مقام الاستنباط، واختلاف المراجعین إلی الکتاب والسنّة فی فقههما ممّا لیس بقابل للإنکار، وبالجملة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أهمّ ما لا محیص للمستنبط عنه الوقوف علی معاریض الأصلین الأصیلین المذکورین ومدالیلهما الخفیّة؛ کی لا یتسرّع إلی الحکم بفقدان الدلیل والالتجاء إلی الوظائف المقرّرة لفاقد الحجّة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ثبّتَ اللّه أقدام الأفهام فی تلک المزالق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تصویره بهذا المعنی مشکل، وتمییزه أشکل، فلا یقاس بالصناعات، نعم علی التفاسیر الاُخر لا إشکال فی تصویره وتمییزه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یجوز الرجوع فی تعیین الأعلم إلی من لا خبرة له بذلک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أن یکون المرجع العارف بالقواعد قریباً من الاجتهاد، وإن لم تکن له ملکة الاستنباط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الجواز کما عرفت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الأقوی 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کونه طریقاً، وذلک واضحٌ بعد فرض عدم صدق العالم والفقیه وأهل الذِکر والناظر فی حلالهم وحرامهم وغیرها من العناوین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یأخذ بالاحتیاط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وبالاطمئنان الناشئ من المبادئ العقلائیّة، وبخبر من یثق به من أهل الخبرة فی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حجّیّة البیّنة فی مطلق الموضوعات، وفی النفس منها شیء، وفی ثبوته بإخبار العدل الواحد أو بقول الثقة الغیر العادل مجال للتأمّل، إلاّ أن یستفاد المناط الاطمئنانی من حجّیّتهما فی بعض الموارد المنصوصة، وهو کما 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یثبت الاجتهاد والأعلمیّة بما ذکر، وکذا ثبوتهما بقول مطلق الثقة لا یخلو من قوّة إذا حصل منه الاطمئنان النوعی لا الشخصی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کفایة الوثوق والاطمئنان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 تقلید من یحتمل کونه أعلم عند الاختلاف فی الفتوی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یحتمل أعلمیّة الآخر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کان الأخذ بقول الأعلم من باب وجود المرجّح فی أحد الطریقین تعبّداً، فالاکتفاء بالظنّ مشکل، وبالاحتمال أشکل، وهکذا الإشکال إن کان من باب بناء العقلاء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وإذا احتملها فالأحوط الأخذ بأحوط القولین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الشاهرودی، الآملی، اللنکرانی</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التسالم لکان للإشکال فی الشروط المذکورة مجال، ولابدّ من رعایة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مجموع المذکورات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حسن القمّی</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ضعیف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 الروحانی، اللنکرانی</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کان أعلم من المجتهدین الأحیاء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عدم جوازه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لیست الأعلمیّة شرطاً لجواز تقلید المجتهد، بل الشرط أن لا یکون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فتواه مخالفاً لفتوی من هو أفضل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مراده منه بملاحظة ما یأتی فی مطاوی کلماته من تقدیم العدل الأورع علی العدل الورع، هو الورع والزهد ولو بمثل هذه المرتبة، وإن کان هذا الإقبال وذلک الطلب علی وجه محلّل لا محرّم، فلا یکون راجعاً إلی اشتراط العدالة حتّی یکون اشتراطها مغنیاً عن اشتراطه، ویظهر ذلک من الخبر الشریف بالتأمّل الصادق لا صرف العدالة، کما یرشد إلیه ما فی بعض الأخبار الاُخر، مثل قوله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رأیتم العالم محبّاً لدنیاه فاتّهموه علی دینکم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یستلزم سدّ الطریق فی هذه الأعصار،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وجه ینافی العدالة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الأوصاف عبارة اُخری عن العدالة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عبارة عن ملکة إتیان الواجبات وترک خصوص الکبائر من المحرّمات، وتحقّق الإتیان والترک خارجاً بضمیمة ملکة المروءة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هی عبارة عن الاعتدال والاستقامة فی مقام الامتثال بإتیان الواجبات وترک المحرّمات، وتلازمها الملکة النفسیّة، لا أنّها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یکتفی بحسن الظاهر کما ذکره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عبارة عن الاستقامة فی جادّة الشرع وعدم الانحراف عنها یمیناً وشمالاً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أنّ حُسن الظاهر طریق شرعاً إلی وجود الملکة، وإن لم یفد الظنّ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فرق بین حصول الظنّ منها بوجودها وعدمه، وکذا من غیر فرق بین الشهادة القولیّة والفعلیّة، کصلواتهما خلفه، أو ترتیبهما آثار العدالة علی الرجل فی موارد اشتراطها، کما فی باب الطلاق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 بعض الشرائط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إذا طابق فتوی من علیه تقلیده مع تمشّی قصد القربة إذا کان عبادة، وقد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حتّی فیما إذا عمل بالموازین الشرعیّة محلّ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منّا التفصیل بین الجاهل المقصّر والقاصر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بالتفصیل الّذی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بقسمیه الملتفت وغیره، کما أسلفناه فراجع، وأمّا الاجتزاء بأعماله السابقة الّتی أتی بها علی رأی المجتهد الفاقد للشرائط، فتفصیل الکلام فیه موکول إلی مبحث الإجزاء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منّا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قال بوجوب البقاء إن کان أعلم ـ کما هو المختار ـ وکان المیّت أعلم وجب البقاء علی تقلیده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تعیّن تقلیده فی مسألة حرمة البقاء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بوجوب عقلی تعیینی، حیث لم یتمکّن من الاحتیاط، أو تخییری حیث تمکّن منه، من غیر فرق بین بعد دخول الوقت وکون التکلیف فعلیّاً أو قبله، حیث یعلم الشخص عدم تمکّنه من تعلّمها بعد دخول الوقت، وقد مرّ منّا ما هو مرتبط بالمقام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ولا إجمالاً؛ لأنّ ملاک صحّة عمله کونه مطابقاً للواقع، أو لرأی مرجع تقلیده مع تحقّق قصد القربة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مراده من الوجوب هو الوجوب الشرطی، مع أنّه لا وجه له، فإنّه لو لم یتعلّم واتّفق عدم الابتلاء بهما، أو اتّفق وعمل علی طبق الوظیفة رجاءً، أو رفع الید عن هذه الصلاة وأتی بصلاة اُخری خالیة عنهما تکون صلاته صحیحة بلا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بوجوب عقلی بإحدی الملاکات، کوجوب شکر المنعم، أو لزوم دفع الضرر المحتمل، أو غیرهما، ولکنّ ذلک حیث لا یجوز الامتثال الإجمالی بالاحتیاط فی حقّه، أو لم یتمکّن منه، وإلاّ ففی الوجوب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الملاک فی صحّة العمل ماذا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بالمقدار الّذی یطمئنّ معه بعدم مخالفته لحکم إلزامی متوجّه إلیه عند طروّهما لو لم یتعلّم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ولو لم یطمئنّ وقصد القربة صحّ عمله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لو لم یطمئنّ فلم یتحقّق الابتلاء، أو ابتلی به ولکنّه قد أتی بوظیفة الشکّ أو السهو رجاءً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یصحّ أیضاً مع العلم بالابتلاء غالباً إذا أتی بوظیفة الشکّ والسهو ولو اتّفاقاً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التعلّم مقدّمی، فلو اتّفق عدم الابتلاء لم یحرم عدم التعلّم، وإن کان وجوبه النفسی غیر بعید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دلیل علی وجوب التقلید والتعلّم فی هذه الثلاثة بخصوصها، وأمّا اللازم العلم بالواجبات والمحرّمات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وجوبه فیها بعد العلم بعدم وجوبها وحرمتها غیر ظاهر، نعم یجب فی إحراز عدمهما عند احتمالهما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المراد بها المعنی الأعمّ لکان ذکر العادیّات مستدرکاً، ولو کان المراد بها المعنی الأخصّ ـ أی العقود والإیقاعات ـ لکان الحریّ ذکر السیاسات ونحوها من الاُمور الّتی لا تشملها العادیّات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التخییر بینه وبین الاستعلام، وإلاّ فما لم یستعلم یجب الإتیان به أو الترک له فی الفرضین المذکورین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معنی للبقاء حینئذٍ</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لزوال الرأی وعدم بقائه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الحال فی الاحتیاطات المطلقة الّتی ذکرها المجتهد، فإنّه یجب علیه الاحتیاط أو الرجوع إلی من یجوز تقلیده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إلی غیر الأعلم ، لکن مع عدم العلم بالمخالفة علی الأحوط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حسین القمّی </w:t>
      </w:r>
      <w:r>
        <w:rPr>
          <w:rFonts w:eastAsia="IRNazanin" w:cs="IRNazanin"/>
          <w:b w:val="false"/>
          <w:bCs w:val="false"/>
          <w:i w:val="false"/>
          <w:iCs w:val="false"/>
          <w:color w:val="333333"/>
          <w:sz w:val="20"/>
          <w:szCs w:val="20"/>
          <w:rtl w:val="true"/>
        </w:rPr>
        <w:t>) .</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یعلم مخالفتهما فی الفتوی، وإلاّ فالأولی الرجوع إلی الأحوط من قولیهما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تفصیل الحال فی المسألة التاسعة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بلا إشکال فیما لا یعلم بمخالفتهما ولو إجمالاً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لو قال الأعلم بعدم وجوب تقلید الأعلم، فیجوز لهذا الشخص أن یعمل برأیه أو برأی الأعلم فی سائر المسائل، وأمّا فی مسألة العدول لا یجوز العمل بها؛ لأنّه یستلزم من وجوده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الأقوی فیما إذا قلّد فی غیر هذه المسألة، وأمّا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قلّده فیها أیضاً فالأحوط الأخذ بأحوط القولین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ما علیه المدار فی نظیر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أفتی الأعلم بعدم وجوبه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ولو کانا مختلفین وکان من قلَّده هو الأفضل، أمّا التقیید فلا أثر له فی باب التقلید، خصوصاً علی القول بالطریقیّة المحضة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عدم العلم بالمخالفة، بل لا یبعد الصحّة فیها حتّی مع التقیید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السؤال منه بالمکاتبة مع الاطمئنان بخطّه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کلامه ظاهراً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 لو کان فرض المقام إخباراً عن الأحکام، وأمّا إن کان إخباراً عن الموضوعات فقد مرّ الکلام فی حجّیّة البیّنة فی أمثاله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ولابدّ هاهنا من الفرق بین کون المُخْبَر به الأحکام وبین کونه من الموضوعات، فإن کان من الثانی فیبتنی حجّیّته علی حجّیّة خبر العدل الواحد فی الموضوعات، وسیأتی الکلام فیه متناً منه قدس‌سره وحاشیةً منّا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بخطّه أو ملحوظةً له بتمامها، وإلاّ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الشیاع المفید للعلم من إخبار جماعة وإن لم یکونوا عدولاً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کاشف‌الغطاء</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حکم المسألة بجمیع شقوقها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معذوراً بأن کان رجوعه إلیه بالموازین المقرّرة أم لا، ثمّ التعبیر بالعدول لعلّه مسامحیٌّ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علی الأقوی فیه وفیما بعده، لکن علی تفصیل مرّ فی وجوب تقلید الأعلم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التفصیل المتقدّم،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وکذا فی الفرض السابق أیضاً علی 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یحتمل تساویهما، وإلاّ کان مخیّراً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وکانت المخالفة معلومة، وإلاّ فالتخییر من الابتداء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علم بأعلمیّة أحدهما یتعیّن الاحتیاط مع الإمکان، وإلاّ فیتخیّر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مع عدم العلم بالاختلاف فالحکم التخییر، وأمّا مع العلم به فلابدّ من الاحتیاط إن أمکن، ومع عدم إمکانه یأخذ بقول مظنون الأعلمیّة أو محتملها، وإلاّ یکون مخیّراً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سبقه بتقلید أحدهما، وإلاّ فربما یجیء احتمال تعیینه فیستصحب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آقاضیاء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یجب علیه البقاء فی غیر موارد العدول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یجب علیه الفحص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احتمل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کان مکلّفاً بالرجوع إلیه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الّذی یقلّده فعلاً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الّذی کان مرجعه حین العمل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ویمکن القول بعدم القضاء إلاّ فیما عَلِم بمخالفته للواقع، فإذا قضاه واحتمل المخالفة فی الزائد فلا یجب شیء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طبقاً للموازین المقرّرة شرعاً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جریان أصالة الصحّة فی الأخذ بالحجج الشرعیّة نظر؛ للشکّ فی موضوع الحجّة الشرعیّة، الّذی هو عنوان نفس العمل، نعم فی التقلید وإن کان جهة الصحّة صفة زائدة، لکن قد أشرنا سابقاً أنّ التقلید لیس موضوعاً للحکم الشرعی، وإنّما هو موضوع إلزام العقل بمناط لزوم تحصیل الحجّة، ومثل هذا الحکم من الأحکام العقلیّة الخارجة عن مورد التعبّدات الشرعیّة کما لا یخفی، کما أنّ لنفس العمل بعنوان نفسه أیضاً جهة صحّة وفساد، ولکنّ الشکّ فیها من جهته راجع إلی الشبهة الحکمیّة غیر الجاری فیها الأصل المزبور، واللّه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إذا اعتقد بجامعیّته، فزال اعتقاده وسری منه الشکّ إلی أصل جامعیّته، وأمّا لو شکّ فی بقائه علی جامعیّته فیبنی علیه، ولا یجب الفحص</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المجتهد، وأمّا المجتهد غیر الجامع للشرائط فیحرم علیه التصدّی للمنصب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یجوز إذا کان مجتهداً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 حسن القمّی</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کان اتّخذ القضاء منصباً لنفسه أم قضی اتّفاقاً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للتوصّل بها إلی فصل الخصومة، وإلاّ فلا وجه لإطلاق حرمته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المال المحکوم به عیناً خارجیّة فلصاحبها أخذها بحکمه وإن أثم بمراجعته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المراجع إلیه عالماً وجداناً أو تعبّداً بحقّه، سواء کان الانحصار لفقدان الحاکم الشرعی، أو لتعذّر الوصول إلیه، أو تعسّره، أو عدم إمکان الإثبات عنده، أو عدم نفوذ حکمه، ونحوها من الضرورات المبیحة للمحذور، کلّ ذلک لمحکومیّة أدلّة حرمة الرکون وعدم جواز التصرّف وغیرها بالنسبة إلی أدلّة الضرر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فیجوز الترافع عنده، فإذا کان الحقّ فی الذمّة یستأذن احتیاطاً من الحاکم الشرعی فی المال الّذی یصل إلیه بحکمه، ولا فرق فی انحصار الاستنقاذ بین أن یکون المدّعی لا یقبل الحکومة الشرعیّة، وبین أن یفقد الحاکم الشرعی، أو لعسر الوصول إلیه وبین عدم کونه مأذوناً من الحکومة؛ لأنّ یده قاصرة عن الحکومة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الکلام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 حکمه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وجوب إقامتها فی مطلق الشبهات الموضوعیّة حتّی ما ینتهی بالأخرة إلی الأحکام الکلّیة ، وفی استفادة ذلک مع قیام السیرة علی حجّیّة مطلق الخبر الموثّق ومطلقات الأخبار نظر ؛ إذ غایـة ما فی البین ذیـل روایة مسعدة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ما یکتسب به،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وغیرها الصالحة للرادعیّة ، وفی شموله لمثل هذه الموضوعات نظر ، نعم الأحوط الاقتصار بما یجتمع فیه شرائط الشهادة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آقا ضیاء </w:t>
      </w:r>
      <w:r>
        <w:rPr>
          <w:rFonts w:eastAsia="IRNazanin" w:cs="IRNazanin"/>
          <w:b w:val="false"/>
          <w:bCs w:val="false"/>
          <w:i w:val="false"/>
          <w:iCs w:val="false"/>
          <w:color w:val="333333"/>
          <w:sz w:val="20"/>
          <w:szCs w:val="20"/>
          <w:rtl w:val="true"/>
        </w:rPr>
        <w:t>) .</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ویکفی حسن الظاهر الطریق إلیها تعبّداً ولو لم یفد الاطمئنان علی ما یستفاد من روایات الباب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قـد تقدّم وجه الإشکال فی جریان أصالة الصحّة فی أمثال المقام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 .</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کان الشکّ من جهة صحّة تقلیده أوّلاً، لم یبعد البناء علی الصحّة حتّی فی أعماله اللاحقة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وجوب تقلید الأعلم فی موارده کوجوب أصل التقلید لیس من المسائل التقلیدیّة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لم یکن للأعلم فتوی فی خصوص هذه المسألة، أو کان ولم یعلمها المقلِّد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فیه علی مبناه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لعدم جواز اتّباع قوله، وإن کان فی نظر المقلِّد ـ بالکسر ـ وجوب الرجوع إلی الأعلم من باب الاحتیاط والقدر المتیقّن، فإنّ فتوی الأعلم لمّا کان اجتهاداً وطریقاً فهو مقدّم علی هذا الأصل العملی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إذا تیقّن خطأ الأعلم فی الفتوی لا یجب اتّباعه، ولا اختصاص له بالمقام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 علی 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للوجوب فی الموردین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لنقله دخل فی عدم جری المنقول إلیه علی وفق وظیفته الشرعیّة، فالأحوط الإعلام، وإلاّ لم یجب، وهکذا الحال 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وجـوب إعلام الجاهل المعـذور فی جهله، وکذا السائل مطلقاً، ولا یختصّ الوجوب بالناقل ولا بالمفتی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یعلم وجه الاحتیاط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أمکنه الاحتیاط له ذلک أیضاً، ومع ظهور المطابقة یجزی ولو لم یبنِ علی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بقصده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القصد لیس بمعتبر، والملاک فی صحّة العمل مطابقته للواقع، سواء قصد السؤال حین العمل أو لا، وسواء بنی علی الإعادة مع المخالفة أو 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مطابقة الواقع کافیة مطلقاً وإن لم یبنِ علی السوءال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بحکم العقل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ویحصل بأن یأخذ الأحوط من أقوال علماء عصره الّذین هم من أطراف الشبهة فی الأعلمیّة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إذا عرض له ما یوجب فقده للشروط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ثبوت الولایة له فی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مرّت صحّة أعماله الماضیة فی بعض الصور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الفروع المذکورة فی هذه المسألة تأمّل، نعم لا تُعاد الصلاة فی مثل مسألتَی التسبیحات والغُسالة المستعملة إذا کان استعمالها فی غیر الطهور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الفروع المذکورة فی المتن إشکال، نعم لو لم یکن للعمل السابق أثر فی اللاحق، کما لو أکل لحم الحیوان المذبوح بغیر الحدید بفتوی المجتهد لم یکن معاقباً علی ذلک الأکل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ومنه لو أدّی الاجتهاد اللاحق إلی فساد العقد السابق أو الإیقاع، وکان مورد العقد أو الإیقاع محلاًّ للابتلاء فعلاً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فیه وفی ما بعده هو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أدّی التقلید اللاحق إلی فساد عقدٍ أو إیقاع، وکذا نجاسة شیء أو حرمته أو عدم ملکیّة مال ونحو ذلک، فمع فعلیّة الابتلاء بمورده یقوی لزوم رعایته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الشاهرودی</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هذا المقام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الأثر الثابت حال تقلید الثانی إن کان مترتّباً علی أمرٍ واقع حال تقلید الأوّل الّذی لا بقاء له ولیس للزمان علیه مروران، کملاقاة النجاسة الّتی یترتّب علیها حکم الغسالة الموجودة فعلاً، فالعمل فیه علی تقلید الأوّل فیحکم بطهارتها فی المثال، وإن کان مترتّباً علی أمرٍ حاصل فعلاً، کما إذا أفتی الأوّل بطهارة مسکر ورتّب علیه أحکام الطهارة، ثمّ مات وقلّد من یقول بنجاسته وهو باقٍ فلا یحکم بطهارته، وبذلک یظهر حکم الذبح بغیر الحدید، وأنّ الحیوان المذبوح إذا کان باقیاً یحلّ أکله ویجوز بیعه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والاحتیاط فی ترک الأکل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المقصود الإتیان بما یکون صحیحاً فی نظر الموکِّل یجب أن یکون صحیحاً کذلک، وأمّا إن کان متعلّق الوکالة الإتیان بما یکون صحیحاً شرعاً أو إفراغ الذمّة فیلزم أن یکون مطابقاً لما یراه الوکیل صحیحاً، وممّا ذکر یظهر الحکم 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المتبرّع ونحوه، ثمّ ما أفاده یتمّ إن علم توکیله فی إیجاد العمل الصحیح بنظر الموکِّل، کما هو المنصرف إلیه فی إطلاق الإذن والوکالة وما أشبههما، فیجب العمل بطبق مراد الموکِّل؛ إذ هو فی مقام إبراء ذمّته، فعلی الوکیل أن یأتی بما یری موکِّله صحیحاً ومبرئاً لذمّته، نعم لو دلّت قرینة علی کون الغرض أعمّ فیجوز للوکیل أن یعمل بمقتضی وظیفة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الوکیل رعایة التقلیدین، بل فی الأجیر یقوی لزومها، أمّا وصیّ المیّت والنائب الّذی یقضی عنه فوائته فإنّما یلزمهما العمل بما یقتضیه تقلیدهما، ولا یجب علیهما رعایة تقلید المیّت أیضاً مع عدم الوصیّة بها علی الأقوی، ولکنّها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وفی لاحقه إشکال، سیّما ثانیهما، فإنّه لا یبعد الالتزام بأنّ الوصیّ یراعی فتوی مجتهده، لا مجتهد المیّت، والأحوط رعایة کلیهما فی کلیهما، مثلاً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یُوقِع الوکیل العقد أو الإیقاع بالعربی دون الفارسی، ویدفع الخمس إلی المنتسب إلی هاشمٍ بالأب دون من انتسب إلیه بالاُمّ فقط، وهکذا، وکذا الکلام فی الوصیّ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ویأتی منه قدس‌سره فی فصل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صلاة الاستیجار عن المیّت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التقیید بما إذا لم یکن ما وافق فتوی مجتهد المیّت باطلاً فی نظر الأجیر، کما لو کان مجتهد المیّت لا یشترط الإقامة فی صحّة الصلاة أو یکتفی بمرّة من التسبیحات الأربع وکانت الصلاة بغیر إقامة أو بمرّة من التسبیحات باطلة عند الأجیر، فإنّها لا تکفی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منع، بل یجب علیه أن یعمل موافقاً لتکلیفه فی العبادات، وولیّ المیّت أولی من الوصیّ فی العمل بتکلیف 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فلا یترک مراعاة ما یقتضیه الاحتیاط، بل وکذا فی الوکیل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حسین‌القمّی</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ولکن یکفی صحّة الطرفین عند أحد الطرفین فی ترتیب آثار الصحّة عنده وإن کان باطلاً عند الآخر، ومثل هذا التفکیک فی الفقه غیر عزیز، وأوضح منه ما لو أوجب البائع علی مذهبه بالفارسیّة وقَبِل المشتری علی مذهبه بالعربیّة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صحّة البیع للمشتری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الصحّة بالنسبة إلی البائع، والتعلیل علیل، وکذا فی سائر العقود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جواز ترتیب آثار الصحّة بالنسبة إلی القائل بصحّة العقد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أنّه لا یعتبر فی صحّة العقد بالنسبة إلی من یعتقد صحّته موافقة الآخر له فی الاجتهاد أو التقلید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تلازمهما فی الواقع لا یوجب التلازم فی الحکم الظاهری، فلا یبعد جواز ترتیب آثار الصحّة للبائع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یستلزم مختاره ضرراً آخر وحرجاً علی المدّعی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یجب فی الشبهات الموضوعیّة مطلقاً، ولا فی الشبهات الحکمیّة عند عدم إحراز الاختلاف فی الرأی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منشأ النزاع الاختلاف فی الحکم الشرعی واختلف الأعلم وغیر الأعلم فی الفتوی، وإلاّ فلا دلیل علی وجوب الرجوع إلی الأعلم فی القضاء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أی سواء کان المورد من موارد التخاصم أم لا، مثل ثبوت الهلال والدَین، ونحوهما من الموضوعات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فإنّ فی الالتزام بنفوذ حکم الحاکم علی الإطلاق وجهاً قویّاً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تبیّناً علمیّاً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الفرق بینه وبین ما إذا أخطأ فی النقل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التسبیب والإغراء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مقلِّداً له، وأمّا إذا کان له فالأحوط وجوبه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ذلک کذلک مـع مخالفة اعتقاده لرأیـه، وإلاّ فیجـب علیه إعلامه ثانیاً بتبدّل رأیه من باب وجوب إرشاد الجاهل فی الأحکام الکلّیة، کـما هـو الظاهر من آیتَی السـوءال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والنَـفر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وغیرهما، وربّما یدّعی إجماعهم علیه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 التعارض لیس علی نسقٍ واحد، بل یختلف بحسب المقامات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فی هذه الصورة وما بعدها علی حصول 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یختلف ذلک بحسب الموارد، وکذا 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تقدیم السماع مطلقاً نظر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الکلام فیه هو الکلام فی سابقه حذو النَعل بالنَعل والقذّة بالقذّة، لکن یتمّ فیما لم ینقل الناقل العدول عمّا فی الرسالة، وإلاّ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 إذ ربّما یکون النقل أوثق، فالمدار فی هذه المقامات علی الأوثقیّة، فتأمّل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کلّیّة فی جمیع ما ذکر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فی کلّ الفروع المذکورة 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فتوی الأعلم فی معرض الوصول إلیها حین الحاجة یتخیّر بین اُمور ثلاثة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الاحتیاط والرجوع إلی غیر الأعلم، وتأخیر الواقعة إلی حین التمکّن من السؤال، ومع عدم التمکّن من الثلاثة فإن کان الأمر دائراً بین المحذورین یتخیّر، وفی غیره إذا دار الأمر بین الامتثال الظنّی والاحتمالی یقدّم الأوّل، بل یأخذ بأقوی الظنون، وإن کان الشکّ فی أصل التکلیف فهو فی سعة عملاً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جواز الأخذ من غیر الأعلم مع اجتماع الشرائط، إلاّ أن یعلم إجمالاً مخالفة الأعلم معه فی موارد یحتمل کونه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 الرجوع إلی غیر الأعلم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هنا جواز الرجوع إلی غیر الأعلم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عدم العلم بالاختلاف یجوز تقلید غیر الأعلم، وأمّا مع العلم بالاختلاف یجوز الاحتیاط إن أمکن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یجوز وإن أمکن الاحتیاط؛ لعموم حجّیّة فتواه، وعموم الإجماع علی عدم وجوب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یجوز الرجوع إلیه وإن أمکن الاحتیاط أیضاً، ولا یتعیّن هو إلاّ مع عدم إمکان التقلید بالکلّیّة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 وکذا فی العمل بظنّه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الواجب علیه بعد موت الثانی الرجوع فی المسألة إلی أعلم الأحیاء، والمختار فیها أنّه مع العلم بالاختلاف بین الأوّل والثانی حین الرجوع إلی الثانی، وکذا بین الثلاثة حین الرجوع إلی الثالث یقلِّد الأعلم من الثلاثة، وإذا لم یعلم بالاختلاف ولو إجمالاً لم یبق علی تقلید الأوّل، وهنا صور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البقاء علی تقلید الأوّل إن قلّد من یقول بالوجوب، وعلی تقلید الثانی إن قلّد من یقول بالجواز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یعلم حکم هذه المسألة ممّا ذکرنا فی المسألة التاسعة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قلّد کلاًّ منهما الأقوی فیه تخییره فی البقاء علی أیّهما؛ لأنّ نسبة البقاء بالإضافة إلی کلّ منهما علی السویة، وتوهّم عدم صدق البقاء علی الأوّل بعد فرض تقلیده الثانی علی خلافه مدفوع؛ بأنّ مرجع فتوی الثالث بالبقاء إلی اعتقاده ـ ولو بمقتضی الاستصحاب ـ بقاء الأحکام المأخوذة من السابق ولو واقعاً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 الکلباسی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واحدة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وإلاّ فالحکم الظاهری تابع موضوعه وهو مرتفع قطعاً، وهذا الاحتمال بالنسبة إلی الحکمین السابقین علی السویّة، ولازمه اعتقاد الثالث جریان الاستصحاب فی حقّ مقلّده بالإضافة إلی کلّ منهما بلا ترجیح، فیجب علی مقلّده اتّباع هذا الرأی من الثالث بحیث لو استفتی منه لکان یفتی بالتخییر بالأخذ بإحدی الفتویَین من دون ترجیح کما هو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بالأخذ بأحوط القولین من المیّـتین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ما هو المختار فی معنی التقلید، ولکنّ الأقوی فی مسألة البقاء جوازه مع أیّ معنیً من معانی التقلید من الالتزام أو أخذ المسائل فضلاً عن العمل، وأمّا فی مسألة العدول من الحیّ إلی الحیّ المساوی فیجوز، إلاّ إذا تحقّق التقلید بالمعنی الّذی ذکرناه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عدم کفایته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أنّه لا یکفی فی ترتیب الآثار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أنّه عبارة عن تطبیق العمل علی رأی مجتهده، ولا تکفی المذکورات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عدم جواز البقاء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ÿ</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وجوباً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الإطلاق ممنوع إذا کان المیّت أعلمَ فیما عمل به، وکانت فتوی الحیّ مخالفة لفتوی المیّت ولم تکن موافقة للاحتیاط بالإضافة إلی فتوی المیّت، فإنّ الأحوط حینئذٍ البقاء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جواز الامتثال الإجمالی مع التمکّن من التفصیلی منه، وکذا فی صورة لا یکون الأعلم مخطّئاً غیره فی الفتوی جازماً بفقدان الطریق إلی الواقع علی مبناه قدس‌سره ،وإلاّ ففیه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لا یجوّزه الأعلم کما فی بعض الفروض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وجه لتقدیم الأعلم إلاّ مع العلم بالاختلاف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بین العمل بمطلق الاحتیاط وبین الرجوع إلی غیره الأعلم فالأعلم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مورد یحکم بالاستحباب أو یحکم بالکراهة، یؤتی به أو یُترک رجاءً لدرک الواقع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قوله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التفصیل فیه وفیما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أنّ التخییر فیما لم یعلم اختلافهما فی الفتوی، وإلاّ فیؤخذ بأحوط القولین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تـرک التبعیض إذا کـان العمـل باطـلاً عندهما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 .</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یجوز له الاکتفاء بالعمل الّذی یحکم ببطلانه کلّ منهما، کما لو أتی بالتسبیحات مرّة وترک الجلسة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ترک التبعیض فی مثل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 .</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نظر، بـل الأحـوط الأقـوی عـدم جـواز التبعیض فیما إذا کان مجمـوع عمله بفتوی کـلٍّ منهما باطلاً، ولا یرضی بـه واحـد منهما، کما إذااقتصـر علی تسبیحة واحـدة وتـرک جلسة الاستراحة فی المثال المذکـور، وکذا الحال فی نظائره، بل الأحوط ذلک أیضاً فی العملین اللذین‌بینهما ارتباط، فلایصحّ التقلید فی قصر الصلاة لواحدٍ، وفی عدم قصرالصوم لآخر فی السفر الّذی اختلفوا فی إیجابه القصر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 .</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بطل عمله جملة بفتوی کلّ واحد منهما لم یجز التبعیض، کما فی المثال وأشباهه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فلابدّ من رجوعه إلی المجتهد الأعلم فی تعیین مورد احتیاطه بمناط رجوع الجاهل إلی العالم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 أنّ الأحوط الأولی الجمع بین الصلاة بذلک الوضوء وبین الصلاة ثانیاً بالتوضّؤ بالماء الغیر مستعمل ، حیث یکون احتیاط الترک لزومیّاً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الجمع بینه وبین القضاء خارج الوقت مع تثلیث التسبیحات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کفایة التقلید فی کثیر من مقامات اُصول الدین، بل فی بعضها ممّا لابدّ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ولربّما کان المقلِّد أعرف بکلّیاتها من المجتهد، نعم فی تطبیق تلک الکلّیات علی الموارد وتشخیصها فی مقام العمل، کما فی قراءة الصلاة ربّما لایتمکّن العامّی منه، ولایعلم مثلاً أنّ هنا محلّ الوقف اللازم أو الوصل کذلک، أو المدّ الواجب، فلا مناصَ له حینئذٍ من التقلید فی هذا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جریان التقلید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الحکم لمثل الغناء والآنیة إذا کان منشأ الشبهة فیه هو الاشتباه فی المفهوم ممنوع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الموضوع المستنبط ککون الصَعید هو التراب الخالص أو مطلق وجه الأرض، وإن لم یکن بنفسه مورداً للتقلید، ولکنّه باستتباعه للحکم الشرعی الّذی هو جواز التیمّم ونحوه یکون مورداً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 .</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حجّیّة خبر العدل الواحد فی الموضوعات الصرفة الخارجیّة، وسیأتی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الموضوعات العرفیّة المستنبطة، کالغناء والوطن والمفازة وأمثال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 فی التقلید فتعتبر مع العلم بالاختلاف، وأمّا فی غیره ففی صورة إمکان تصدّی الأعلم یتعیّن؛ لعدم الدلیل علی جواز تصدّی المجتهد علی نحو الإطلاق، فیلزم الاقتصار علی المتیقّن، وعلیه یلزم رعایة جمیع القیود المحتملة کالأورعیّة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جواز الترافع إلی غیر الأعلم، إلاّ إذا کان منشأ التنازع هو الاختلاف فی الحکم الشرعی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تقدّم عدم اعتبار الأعلمیّة فی القاضی؛ لإطلاق المقبولة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باب</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کیفیة الحکم،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الشامل لبعض مراتب التجزّی أیضاً، نعم یعتبر ذلک فی ترجیح الحکمین فی واقعة واحدة للنصّ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القضاء، باب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القاضی،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إذا کان منشأ التنازع الاختلاف فی الحکم الشرعی؛ فحینئذٍ الأقوی تعیّن الرجوع إلی الأعلم، وإلاّ فالأقوی جواز الترافع إلی غیر الأعلم مطلقاً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عدم وجوب الإعلام فیه مطلقاً إذا کان الرأی الأوّل علی موازین الاجتهاد، کما هو ظاهر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یجوز إذا قلّد مجتهده فی حجّیّة الاُصول وکان متمکّناً من الفحص عن الدلیل وتفحَّص فلم یجد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معتمداً علی فحص نفسه عن الدلیل وإحرازه 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لمّا کانت الشبهة الموضوعیّة تتصوّر علی أقسام مفصّلة فی علـم الاُصول،أی قسم منهما یجری فیـه البراءة موکول إلی نظر المجتهد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 .</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احتیاج إجرائها إلی الفحص والبحث عن الدلیل ومعارضة وجهة صدوره وغیرها من الشؤون الصعبة المستصعبة، نعم فی بعض الشبهات الموضوعیّة کالشکّ فی وجود النصاب أو الاستطاعة لابدّ من الفحص فراراً عن الواقع فی المخالفة الکثیرة، ولکنّه ممّا لا یعجز عنه المقلِّد؛ لکون الشبهة فی تلک الموارد ناشئة من الاُمور الخارجیّة الّتی یتمکّن من تبیین حالها کمحاسبة أمواله فی المثالین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المجتهد یبیّن له الحکم الفرعی للموارد المشکوکة، لا أنّه یحیله علی الاستصحاب الّذی هو عنوان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تنقض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محلّ منع؛ لأنّه فی بعض الموارد یحتاج إلی علمه بشرائط الاُصول وتمیّز الأصل السببی عن المسبّبی وغیر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مسبوقاً بالعدالة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فی شرائط المجتهد ما له ربط بالمقام، فراجع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یکفی الوثوق من أیّ طریق حصل علی الأظهر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وصل إلی حدّ الاطمئنان من غیر باب الظهورات، فإنّه یکفی فیها الظنّ النوعی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من طریق معتبر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التقسیم إمّا حقیقی معنوی، أو لفظی باعتبار المستعمل فیه، وعلی أی حال المنصرف إلیه من اللفظ عند الإطلاق والتجرّد عن القرینة هو المطلق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ما لا یصحّ إطلاق الماء علیه حقیقةً إلاّ بإضافته إلی المتّخذ منه، أو المختلط به علی وجه یسلب الإطلاق 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وهل الآبار العمیقة المستخرج ماؤها بالکهرباء المتداولة فی هذا العصر ملحقة بالبئر حکماً، أو بالجاری، أو بالقلیل المتّصل بالکرّ؟ فیه وجوه،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لم یذکره من الفقهاء فی أقسام المیاه فلعلّه جعل المقسم میاه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الکلّیّة لا تخلو من شوب إشکال، کما یظهر من التعالیق الآتیة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لنفسه ولغیره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قلنا بأنّ الطهارة والنجاسة أمران عرفیّان أو تعبدیّان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المأخوذ من أصلٍ طاهر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کما عُزی إلی العمّانی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والمتّبع فی تنجّسه حکم عرف المتشرّعة بالسرایة وعدمها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لدفعه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یبعد أن یکون المدار فی عدم سرایة النجاسة عن موضع الملاقاة فی المضاف وفی القلیل المطلق علی التدافع بقوّة مطلقاً، ولو کان من الأسفل إلی الأعلی، کالفوّارة وشبهها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جهة أنّ الملاقاة الّتی هی شرط السرایة أمرٌ موکول إلی العرف، وهم فی هذه الموارد لا یرتکز فی ذهنهم موجبیّة هذه الملاقاة للنجاسة، وإلی هذا البیان نظر من تشبّث لعدم النجاسة بعدم المعقولیّة، ومن هنا یمکن التعدّی إلی کلّ مورد یخرج الماء عن المحلّ بدفع وقوّة نظیر الفوّارة فإنّ الأمر فیه بالعکس، وهکذا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یعتبر فی ذلک دفعه بقوّة، فإذا انحدر الماء المضاف متثاقلاً إلی موضعٍ نجسٍ لم ینجس عالیه بملاقاة سافله النجاسة، کذلک ومثله فی ذلک سائر المائعات الطاهرة کالدبس، نعم یعتبر الدفع بقوّة فی ما کان دفعه إلی الأعلی کالفوّارة فلا ینجس سافله بملاقاة عالیه للنجاسة إذا کان دفعه بقوّة، ومثله المساوی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تابع لصدق اسم المضاف، مثل الجلاّب وعدمه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منـع عن صدق الماء علیه لا مطلقاً، فإنّه قد یمتزج به غیره ویطلق الماء علی المصعّد ، فالمیزان صدق عنوانی الإطلاق والإضافة بنظر العرف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الممزوج به کثیراً بحیث لا یصدق علی المصعّد اسم الماء بلا إضافة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إطلاقه فی المضاف بالمزج ممنوع، والعبرة بصدق الإضافة بعد التصعید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کان الأحوط الاجتناب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کون الاستحالة موجبةً للطهارة، کما سیأتی، لکنّه فیما تکون النجاسة مترتّبة شرعاً علی العنوان الزائل بالاستحالة، وأمّا لو کانت مترتّبة علی الشیء لا بعنوان خاصّ، بل بما أ نّه شیء أو جسم مثلاً فلا تتحقّق الاستحالة بتبدّل اسمه؛ لبقاء موضوع الحکم، وهو الشیء أو الجسم مثلاً، ففی المضاف المتنجّس وسائر المتنجّسات النجاسة مترتّبة علی ما هو باقٍ بعد التصعید، اللهمّ إلاّ أن یتمسّک بالصدق العرفی أیضاً، وأنّ المضاف بنظرهم زائل،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طهارته بعد صیرورته ماءً محلّ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کانت الشبهة موضوعیّة یعمل علی الحالة السابقة من الإضافة أو الإطلاق، ومع الجهل بها وإن کان منشأ جهله توارد الحالتین علی هذا الماء فلا یحکم علیه بالإطلاق ولا الإضافة، فلا یرفع الحدث ولا الخبث، فإن کان قلیلاً ینجس بالملاقاة، وإن کان کثیراً فلا ینفعل بها</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القول بکونه محکوماً بالإطلاق، فإنّ جمیع المیاه المضافة تکون حالتها السابقة هی الإطلاق، أمّا فی الماء الممزوج بغیره فواضح، وأمّا فی مثل ماء الرمّان والتفّاح فلأ نّه قبل جریان الماء فی عروق الأرض وفی عروق الشجر وامتزاجه مع الموارد الرمّانیّة أو التفّاحیّة کان ماء مطلقاً، فنقول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المادّة المائعة کانت فی أوّل تکوّنها ماءً مطلقاً، ونشکّ فی امتزاجه مع غیره، أو جریانه فی عروق الأرض والشجر وامتزاجه مع موادّ الفواکه وصیرورته مضافاً، والأصل عدمه، وعلیه فیرفع الحدث والخبث، ومع ذلک فلا یُترک مقتضی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الانحصار، أمّا معه فلا بدّ من الجمع بین وظیفتی واجد الماء وفاقده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ولکنّ الأحوط مع الانحصار الجمع بین الوضوء والتیمّم، کما سیأتی فی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یشترط فیما یتیمّم به، وفی 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فصل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المشکوک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انحصر الماء به فالأحوط الجمع بین الوضوء به والتیمّم، کما یأتی فی شرائط التیمّم وفی الماء المشکوک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وکان ممّا یحکم بانفعاله علی فرض إطلاقه، وإلاّ لم ینجس؛ للأصل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 الشاهرودی، الرفیعی</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تفصیل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بحیث لا یوجب خروج المطلق إلی الإضافة، کما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إن لم یکن أقوی تنجّسه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الاستهلاک مع صیرورة المطلق مضافاً بسببه فی غایة البُعد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أ نّه غیر معقول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ینجس مطلقاً، سواء تصوّرنا حصول الاستهلاک مع فرض خروج الماء عن الإطلاق، أو قلنا باستحالة حصول الاستهلاک مع الإضافة بکلا شقّیه، وما ذکر من الوجه ـ وهو انتفاء موضوع حکم النجاسة فی رتبة وجود علّة الحکم، وهو إلقاء المضاف النجس لتأخّر المعلول عن العلّة ـ ضعیف لا یمکن الاعتماد علیه لوحدة الزمان، فالمتّبع استصحاب نجاسة الأجزاء الموجودة من المضاف النجس، فإنّها موجودة وإن کان الکرّ المضاف غالباً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عقلی، وهو أ نّه فی رتبة وجود علّة الحکم ـ وهو إلقاء المضاف النجس ـ موضوع حکم التنجّس منتفٍ وهو الکرّ المضاف لتأخّر المعلول عن العلّة، وفی رتبة وجود الموضوع ـ وهو الکرّ المضاف ـ علّة الحکم منتفیة للاستهلاک فلا یتحقّق الحکم بالنجاسة، ولمّا کان الوجه ضعیفاً، لا فی نظر العرف فالمترتّبات ذاتاً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أی الملاقاة والکرّ المضاف والتنجّس ـ موجودة فی زمان واحد فلا یمکن الاعتماد علیه فی الحکم الشرعی</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الأوجه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کانت إضافته بسبب خلطه بالطین، بحیث لولا خلطه به لکان ماءً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التمکّن من تصفیته بالطرق العادیّة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لم یتمکّن من تصفیة الماء بمقدّمات عادیّة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القلیل، وإلاّ فهو ینجس بمجرّد الملاقاة علی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اعتبار بتغیّره فی سائر الأوصاف، کالثخونة والحرارة والغلظة ونحوها، کما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والمدار فی إدراکها علی المتعارف، فلا عبرة بقویّ الإدراک ولا ضعیفه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صیّره مضافاً بعد استهلاکه أو مقارناً للاستهلاک فالأوجه طهارته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یکون التغیّر مستنداً إلی ملاقاة النجس الّذی فی ضمنه، وإلاّ فالحکم بالتنجّس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نقل بإجراء أحکام المجاورة فی مثله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إطلاقه تأمّل؛ إذ ربّما یکون التغییر واقعیّاً ولکن لا یراه البصر لضعف مرتبته مثلاً، فإنّه حینئذٍ لا بأس بشمول أدلّة التغییر لمثله، اللهمّ إلاّ أن ینزّل علی ما کان کذلک بأنظارهم، وذلک فرع تمامیّة مقدّمات الإطلاق المقامی فی مثل المورد، الّتی منها کون مصداقه مغفولاً عنه لدی العرف غالباً، ومثل هذه الجهة نمنع تحقّقها فی المقام، ومن الممکن حینئذٍ کونه من قبیل التحدیدات والأوزان الّتی یکون المدار فیها علی الدقّة، مع أ نّه ربّما ینتهی إلی بعض المصادیق الّتی لا یشخّص العرف نقصه وزیادته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عدّه لوناً طبیعیّاً له، وأمّا إذا صبغ بأحد اللونین فیجب الاجتناب عنه علی الأحوط؛ لعدم کون الماء بلحاظ کثرته بما له من الأوصاف الّتی تعدّ طبیعیّة له قاهراً علی النجس، وإن لم یکن مقهوراً 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المعبّر عنه بالتغیّر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ومن ذلک یظهر حکم الصورة 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کذلک بحسب الخلقة، وأمّا إذا کان ذلک بالعارض کالماء المصبوغ بالأحمر والأصفر، فالأحوط اجتنابه إن لم یکن أقوی، وکذا لو کان جائفاً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هذا الفرض والفرض الأوّل ینبغی مراعاة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البجنوردی</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بل الأقوی الحکم بالنجاسة فی الصورة الاُولی والثالثة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یکون من أوصاف النجس، ولو صفة حادثة بعد الملاقاة، وإن لم یکن من سنخ صفةٍ قبل الملاقاة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الوصف الحاصل وصف النجس لا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التغیّر بوصف النجاسة، وإلاّ فعلی الأحوط والأولی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صدق التغییر بنحو هذا التأثیر الموجب لعود الماء إلی صفاته الأصلیّة محلّ تأمّل وإشکال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الملاک فی طهارة الجمیع بعد زوال تغیّر البعض صدق وحدة الماء، ولعلّه یختلف باختلاف سطح مقرّ الماء استواءً وانحناءً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بالنجاسة فی هذه الصورة مبنیّ علی تنجیس المتنجّس، الّذی هو محلّ الکلام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اعتبار الامتزاج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اعتباره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دلیل علی اشتراط فوریّة التغییر فی التنجیس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فی الماء الکثیر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تقدّم منّا فی الحواشی السابقة حکم هذه الصورة، وأنّ الأحوط إن لم یکن الأقوی التنجّس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 الإصطهباناتی، عبداللّه الشیرازی، محمّد رضاالگلپایگانی، زین الدین</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ناحیة الشکّ فی قصور النجاسة، لا من ناحیة الشکّ فی قاهریة الماء وکثرته، وإلاّ فالأحوط الاجتناب عنه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بناءً علی اشتراط الملاقاة، وإلاّ لا أثر لهذا التردید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 بین هذا الفرع والمسألة الخامسة عشرة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لو کان الدم وحده لم یتغیّر الماء أصلاً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بغیر علاج، کما إذا أزالت التغیّر هبوب الریاح أو بعلاج، کما إذا کان الزوال بسبب ذرّ دواء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فی الکرّ المتغیّر إذا زال تغیّره بنفسه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الامتزاج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النابع السائل علی وجه الأرض، وهو من المفاهیم العرفیّة، ولیس من المفاهیم الاستنباطیّة حتّی یحتاج إلی نظر الفقیه، وعلی هذا فالظاهر عدم اعتبار خصوص النبع فی صدق الجاری عند العرف، بل المعتبر اتّصاله بالمادّة الموجب جریانه عرفاً وإن لم یکن نابعاً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الأظهر عدم اعتبار خصوص النبع فی صدق الجاری، بل یعتبر اتّصاله بمادّة توجب استمرار جریانه عرفاً وإن لم تنبع من الأرض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عدم تنجّسه بالملاقاة دون سائر أحکامه الخاصّة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انفعاله ما لم یصدق علیه اسم الجاری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عدم مدخلیّة خصوص النبع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الحائری</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عدم التنجّس التدافع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الکلام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العلوّ تسنیمیّاً أو تسریحیّاً، ومثله ما إذا کان الدفع بقوّة ولو من الأسفل إلی الأعلی، کما فی الفوّارة فلا ینجس الأسفل بملاقاة الأعلی للنجاسة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ذا مادّة قبل الشکّ وشکّ فی الانقطاع، ثمّ إنّ حکم المصنّف بالنجاسة فی المسألة یناقض حکمه بالطهارة فی مشکوک الکرّیّة فی المسألة السابعة من مسائل الکرّ والقلیل، إلاّ أن یکون نظره فی الفرق جریان أصالة عدم المادّة فی هذه المسألة الموجبة للحکم بالنجاسة، وهو مبنیّ علی جریان استصحاب العدم الأزلی الغیر الصحیح علی التحقیق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الشریعتمداری</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لم یکن ذا مادّة سابقاً وشکّ فی انقطاعها وزوالها، ثمّ حکمه بالنجاسة فی الفرض المذکور مبنیٌّ علی إجراء أصالة العدم، والمختار عندنا عدم جریانها، وعدم شمول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تنقض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إیّاها، والتفصیل فی الاُصول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هو الاستمداد الفعلی منها، ولا ینافیه الانفصال الطبیعی، نعم ینافیه الانفصال العرضی، کما سیأتی فی المسألة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لضعف المادّة، أو لوجود مانع من الموانع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ولکنّه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فلا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لم یبقَ علی ملاقاته حین انفصاله عن مادّته، ووجهه ظاهر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المدار فی صدق المادّة صیرورة الماء محسوباً من تبعات الأرض ولو لم یکن دائمیّاً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کونها طبیعیّة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یلحقه حکم الجاری فی بعض الأحیان، کما إذا صدق علیه کونه ذا مادّة عرفاً، کما أ نّه یلحقه حکم الکرّ إذا کان مجموع ما تحت الأرض مع اتّصال بعضه ببعض بالغاً حدّ الکرّ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لحوق حکم الجاری للثمد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الثَمَدُ والثَمْدُ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الماء القلیل الذی لا مادّة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ثَمَد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من الاتّصال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 مطلقاً کالجاری فی جمیع الأحکام محلّ نظر ومنع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أ نّه لا ینجس بالملاقاة دون الآثار الاُخر اللاحقة لعنوان الجاری، إلاّ أن یتّصل به علی نحو یعدّ منه عرفاً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الأنهار الجاریة الفصلیّة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یشکل ذلک فی أواخر نبعها لقلّة مادّتها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غیر المتّصل فحکمه حکم الراکد، فإذا کان ما بعد المتغیّر القاطع لعمود الماء قلیلاً ینفعل بالملاقاة؛ لعدم اتّصاله بالمادّة لحیلولة المتغیّر بینه وبین المادّة، وإن کان کرّاً فلا ینفعل إلاّ بالتغیّر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انفعاله بملاقاة المتنجّس الخالی من العین وجهان، أقواهما العدم، إلاّ أنّ الاحتیاط 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الوحدة العرفیّة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تساوی السطوح أو اختلافها بالتسریح، أمّا مع العلوّ التسنیمی بینها فالعالی الکثیر یعصم السافل مطلقاً رفعاً ودفعاً، دون العکس، حتّی مع کرّیة السافل وحده فینجس العالی بملاقاة النجاسة، إلاّ إذا کان وحده کثیراً فیعتصم ویعصم السافل أیضاً دفعاً ورفعاً، والأحوط فیما عدا هذه الصورة الاجتناب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الوارد الغیر المستقرّ نحو القطرات الّتی تقع علی الأرض الصلبة مثلاً، فتنزو بسرعة یقوی عدم الانفعال، والأحوط الاجتناب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 فی تحدید الکرّ، هی المساحة المذکورة فی کلام الماتن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فقد قدّر الکرّ بالمثقال الشرعی مائةَ ألف وتسعة الآف ومائتی مثقالٍ شرعیٍّ، وبالمثقال الصیرفی واحداً وثمانین ألف وتسعمائة مثقالٍ صیرفی، وبالمنّ التبریزی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إلاّ عشرین، وبالکیلو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ثلاثمائة وسبعة وسبعین کیلواً وتسعمائة وواحداً وعشرین غراماً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الرطل ـ بکسر الراء المهملة أو فتحها ـ فی الأصل وزن، ومقداره أربعة أشبار وأربعـة مثاقیل وربع المثقال من الصیرفی، ثمّ اُطلق کثیراً علی مکیال معیّن یکال بـه طریقاً إلی ذلـک الوزن المذکور، وحمـل الرطل فی الأخبار علی العراقی، کمـا علیه المشهور هو الحقّ المحقّق بمقتضی الجمع العرفی الواضح بین صحیحة محمّد بـن مسلم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ومرسلة ابن أبی عمیر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بجعل العقد السلبی مـن کلّ منهما قرینة علی الإیجابی مـن الآخـر، والتفصیل فی محلّه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المرعشی </w:t>
      </w:r>
      <w:r>
        <w:rPr>
          <w:rFonts w:eastAsia="IRNazanin" w:cs="IRNazanin"/>
          <w:b w:val="false"/>
          <w:bCs w:val="false"/>
          <w:i w:val="false"/>
          <w:iCs w:val="false"/>
          <w:color w:val="333333"/>
          <w:sz w:val="20"/>
          <w:szCs w:val="20"/>
          <w:rtl w:val="true"/>
        </w:rPr>
        <w:t>) .</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کفایة بلوغ مساحة الماء ستّة وثلاثین شبراً فی الکرّیّة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وإن کان الأرجح کفایة بلوغه سبعة وعشرین شبراً فی الاعتصام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ویعبّر عنه فی بعض کتب المکاییل والأوزان بالمنّ الإصفهانی أیضاً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وبالکیلو غرام یصیر ثلاثمائة وثمانین کیلو غرام وستّة عشر غراماً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وبالکیلوات ثلاثمائة وسبعة وسبعون کیلواً تقریباً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الخوئی</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اعتصام السافل بالعالی لا إشکال فیه، وأمّا عکسه ففیه نظر، إلاّ أن یکون التفاوت قلیلاً جدّاً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لابدّ أن یکون العلوّ علی أحد الوجهین، کما هو ظاهر العبارة، وإن لم یعتبرهما المصنّف قدس‌سره فی غیر هذا الکتاب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یشبه التسنیم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صدق الماء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کون المتنجّس منجّساً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هـذا مبنیٌّ علی أنّ الکرّیّة هـل هی مانـع عن الانفعال، أو شرط لعدم الانفعال؟ وظاهر قوله علیه‌السلام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الماء إذا بلغ</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1/158</w:t>
      </w:r>
      <w:r>
        <w:rPr>
          <w:rFonts w:ascii="IRNazanin" w:hAnsi="IRNazanin" w:eastAsia="IRNazanin"/>
          <w:b w:val="false"/>
          <w:b w:val="false"/>
          <w:bCs w:val="false"/>
          <w:i w:val="false"/>
          <w:i w:val="false"/>
          <w:iCs w:val="false"/>
          <w:color w:val="333333"/>
          <w:sz w:val="20"/>
          <w:sz w:val="20"/>
          <w:szCs w:val="20"/>
          <w:rtl w:val="true"/>
        </w:rPr>
        <w:t xml:space="preserve">، کتاب الطهارة،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الماء المطلق،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الثانی، وعلیه فالأقوی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الإصطهباناتی</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هو المختار؛ لعدم تمامیّة ما ذکروه مدرکاً للانفعال من الوجوه الأربعة، والقلیل المشکوک فی أنّ له مادّةً أیضاً من هذا القبیل، فعلی هذا لا وجه لما أفاده قدس‌سره من الحکم بالتنجّس فی مشکوک المادّة، وبالطهارة فی المقام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کون الماء محکوماً بالعصمة ولو للأصل لا بأس بإجراء الحکمین علیه؛ لأنّ المدار فی التطهیر علی الامتزاج بماء عاصم، ویطهّر الثوب به کما هو واضح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یکن التفاوت بمقدار یضرّ بالوحدة العرفیّة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صوره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إلحاق مجهولّی التاریخ مطلقاً بصورة العلم بتاریخ الملاقاة، والحکم بنجاسته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مبنیٌّ علی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تبیّن أنّ الحکم بالنجاسة فی مجهولَی التاریخ مطلقاً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فیما إذا جهل تاریخهما،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تُعلم من سابقتها، وقد ذکرنا فیها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ما جهل فیه التاریخان یحکم بنجاسته، کالمعلوم تاریخ وقوعه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جمال الدین الگلپایگانی</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یعدّ مع قلیله ماءً واحداً فی العرف، فإنّ الأحوط فیه الاجتناب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بأن تحصل الکرّیّة بالملاقاة، کالکرّ المتمّم بالماء المتنجّس، وسیأتی البحث فیه، وإمّا أن تحصل الکرّیّة بغیر سببیّة الملاقاة، وهذا مفروض المتن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بل الحکم بنجاسته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 یاسین</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لم یعلم سبق القلّة فیهما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لم یکونا مسبوقین بالقلّة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کلتیهما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تکن لها أثر زائد، کالتغییر ونحوه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إذا کان للنجاسة الحادثة أثر زائد فیجب الاجتناب عنهما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یعلم سبقه بالإضافة، وإلاّ تنجّس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الاجتناب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یحکم بنجاسة الملاقی للنجاسة، فإنّ أصالة عدم إطلاق الملاقی تقتضی نجاسته، وعلیه یجب الاجتناب من کلیهما بناءً علی تنجّز العلم الإجمالی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العلم التفصیلی بالمطلق، أو عدم سبقهما بالإضافة، لعدم العلم بتوجّه تکلیف من قبل هذه الملاقاة، وإلاّ فاستصحاب القلّة إلی حین الملاقاة فی کلّ واحد جارٍ بلا ضیر للعلم بکرّیة أحدهما کما سمعت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تقوّم بعضه ببعض حال کون قطراتها میاهاً قلیلة، لا أ نّه کالجاری فی تمام أحکامه الخاصة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اعتبار مسمّی الجریان فیه لو کان فی أرضٍ صلبة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بشرط الجریان علی وجه الأرض الصلبة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اعتبار مسمّی الجریان علی الأرض الصلبة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فی تطهیر المتنجّس به اعتبار الجریان فیه عرفاً وإن کان بالقوّة، کما فیما لا یمکن کالرمل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وإلاّ فالأقوی طهارة المغسول فیه وإن انقطع التقاطر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الجریان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الجریان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 نزول المطر، لا إذا انقطع مقارن نفوذه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 بمراعاته فی الثوب المتنجّس بالبول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بلوغه حدّاً یقتضی الجریان،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الآملی</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أن یکون فیه شرط مطهّریّـته وعدم انفعاله من کونه بنحو فیه مقتضی الجریان، بمقتضی ما دلّ علی أ نّه إذا جری لا بأس مفهوماً ومنطوقاً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یطهر بالتقاطر المزیل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الجواهری</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وأمّا المتروس بماء مضاف متنجّس فلا یطهر، إلاّ أن یستهلک المضاف ویصدق علیه ماء عرفاً، فیطهر مع تقاطر المطر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الامتزاج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الإناء متنجّساً بما لا یحتاج إلی التعدّد، وإلاّ لم یطهر، فینجس به الماء أیضاً بعد انقطاع المطر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یکفی صدق إصابة المطر إیّاه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 البروجردی، الشاهرودی، الرفیعی، الآملی، محمّد رضا الگلپایگانی، السبزواری</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بجریانه علیها علی ما ذکرناه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المعیار إصابة المطر إیّاه فی نظر العرف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الجریان، کما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الامتزاج کما تقدّم وجهه الغیر المختصّ بعاصم دون عاصم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کونه حال تقاطره کما أشرنا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إذا انفصل المتقاطر من السقف عن المتقاطر من السماء، کما إذا کان السقف من طین ونحوه، أمّا إذا کان مثل الحُصُر والبواری ممّا یعدّ المتقاطر متّصلاً بالمتقاطر من السماء فهو علی عاصمیّـته واعتصامه، وکذا ما یقع علی أوراق الشجر ثمّ یقع علی الأرض إنّما تزول عصمته وعاصمیّـته إذا انقطع أو انفصل عمّا یتقاطر من السماء، وصرف وقوعه علی الشجر لا یضرّ إذا کان الاتّصال باقیاً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بالعصمة إذا کان التقاطر مع التتابع والشدّة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الفانی</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یمکن القول بمطهّریّـته فیما لم یستقرّ علی الورق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 وإن کان بقاوءه علی المطهّریّة مع تتابع المطر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تحقّق الجریان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تحقّق الجریان علی ما 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لاعتصامها بالمطر فی حال ملاقاة النجاسة، وأمّا فی حال نفوذها فی باطن السقف فهی طاهرة ولم یتلاقَ معها شیء ینجّسها، واتّصال باطن السقف بالرطوبة المتنجّسة لا یوجب سرایة النجاسة إلیه حتّی تنجّس القطرات المارّة النافذة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لاقی النجاسة حال المطر وانفصل غیر مصاحب للنجاسة فهو طاهر حتّی لو جری من میزاب أو غیره بعد الانقطاع، فالجریان بعد انقطاع التقاطر لا یقدح إذا کان الانفصال عنها حین التقاطر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کاشف الغطاء</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کون التقاطر من المحلّ الواقع تحت البعض النجس من السطح، وأمّا إذا کان التقاطر من محلّ آخر فلا یکون نجساً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إطلاق الحکم مبنیّ علی تنجیس المتنجّس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المسألة مکرّرة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بقاء اسم المطر والماء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الرفیعی</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حفظ مائیّـته حین وصوله إلیه، وإلاّ فمجرّد وصول الرطوبة الّتی هی بنظر العرف من الأعراض ـ کالألوان ـ لا یکفی فی تطهیره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نفذ المطر إلی جمیع مواضع النجاسة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طهارتها لا تخلو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مراعاة التعدّد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السیستانی</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لا یطهر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الکوه‌کَمَرئی</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الماء القلیل الکائن فی الحیاض الصغار المتّصلة بالخزانة بساقیة أو اُنبوبة أو مزمّلة ونحوها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فرض وحدة الماء عرفاً، والفرض أ نّها حاصلة بسبب إحدی الوسائط الموصلة المذکورة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والمزج فیها وفی ما بعدها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استمرار الکرّیّة ما دام الماء یجری منها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لا خصوصیّة لعنوان الحمّام والمکان المخصوص، بل المعیار اعتصام القلیل بالمادّة الجاریة علیه، سواء کان فی الحمّام أم فی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محلّ إشکال، بل جریان حکم الراکد علیه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کونه 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بشرط کون المنبع أزید من الکرّ، ولو بمقدار العمود المتّصل بالحوض الصغیر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بالمعنی الّذی تقدّم فی الحمّام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وسواء کان ماء البئر بمقدار ذراعین فی ذراعین، أم أقلّ، کما نقل هذا التفصیل عن الجعفی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بشرط الامتزاج مع المتّصل بالمادّة، کما هو شأن تطهیر المتّصل بالعاصم کلّیةً، ولقد تقدّم وجهه سابقاً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امتزاجه بما یخرج من المادّة 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ینبغی ترکه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البروجردی</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بالمسامحة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وکالآبار الرضویّة المعمولة ببلدنا قم المشرّفة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اتّصالاً عرفیّاً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لکفایة اتّصال ماؤها بالمادّة، خرج منها أم لم یخرج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بالامتزاج علی الأحوط، وکذا فی المسائل الاُخر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 أنّ الأحوط اعتبار الامتزاج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علی حصول الطهارة بمجرّد الاتّصال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بعض أنحائه محلّ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یتوقّف حصول التطهیر حینئذٍ مع عدم إلقائه دفعة عرفیّة علی زیادته علی مقدار الکرّ بالقدر النازل منه إلی النجس،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إلاّ إذا کان مجموع النازل والممتزج به قبل الانقطاع بقدر الکرّ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لعدم تقوّی العالی بالسافل، وعدم صدق وجود المادّة فی الفرض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وعدم صدق الوحدة عرفاً مع جریان العالی وعدم الوقفة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مع الامتزاج</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الإصفهانی</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دلیل یُعتدّ به علی اشتراط کون الاتّصال بالعاصم بعد زوال التغیّر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عدم نقصانه عنه بالمقدار النازل منه لو لم یکن الإلقاء دفعة، بحیث لا یستلزم اختلاف السطوح مع التدافع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یحصل مقدار کرٍّ طاهر من الکرّ المُلقی، وممّا زال تغیّره من ذلک الماء المتغیّر، وإن لم یزل تغییر تمامه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صدر الدین الصدر</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وزیادته یسیراً بالمقدار النازل منه لو لم یکن الإلقاء بالدفعة العرفیّة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السبزواری</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یتحقّق ذلک بأن یکون المطهِّر أکثر من کرّ، فإذا اُلقی علی الماء المتغیّر أزال تغیّره ببعضه وطهّره بالباقی إذا کان کرّاً، أو یکون التغیّر ضعیفاً یزول بمجرّد إلقاء الکرّ علیه من غیر أن یتأثّر الکرّ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لکونه قلیلاً ملاقیاً للمتنجّس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الامتزاج کما تقدّم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وبالاطمئنان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أسلفنا الکلام والبحث عن إطلاق حجّیّة البیّنة فی الموضوعات وعدمها فی الحواشی السابقة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عدم الثبوت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الأراکی</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أوجب الاطمئنان، بل لا یخلو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المستولی علی الشیء بأیّ نحوٍ کان استیلاؤه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بالمالکیّة أو الاستیجار أو الاستعارة أو الوکالة، بل أو الغصب علی إشکالٍ 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مع إخبارهما بالطهارة والنجاسة فعلاً وعلماً، وکذا فی البیّنتین، أمّا مع استنادهما إلی شیء من أصلٍ أو أمارة، فیرجع إلی ما هو المرجع عند تعارض المستندین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مهدی الشیرازی</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استندت إلی العلم وکانت شهادة علی الإثبات، دون ما إذا استندت إلی الأصل أو کانت شهادة علی النفی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صورة عدم معلومیّة المستند أو اتّحاده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إذا کان مستندهما الأصل بشرط اتّحاد نوع الأصل، وإلاّ فلو کان أحد المستندین مقدّماً رتبةً علی الآخر جری ذاک الأصل دون الآخر، ولا مورد للتعارض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 العکس تُقدّم بیّنة الطهارة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یبعد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تقی الخونساری، مهدی الشیرازی ،الأراکی، حسن القمّی</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یبعد ذلک، والاحتیاط لا یُترک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أسلفنا الکلام فیها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بعید؛ لعدم قیام السیرة فی غیر جهة الطهارة والنجاسة والملکیّة؛ ولذا لا یثبت به النسب، ولا التذکیة أیضاً کما لا یخفی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ثبوتها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یکره ذلک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عدم مناولتهم کلّ متنجّس، کما سیأتی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احتمال استعماله فیما لا یکون حفظ طهارته فی عهدة هذا الشخص فی وجوب إعلامه نظر؛ للأصل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یخفی أنّ محلّ الخلاف جوازاً ومنعاً هو الماء الّذی لیس بکثیر ولا له مادّة، وأمّا هما فلا إشکال فی جواز التطهیر بهما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مطلقاً فی الوضوء الرافع أو المبیح، کما لا فرق بین ما یستعمل فی الغسل أو المضمضة أو الاستنشاق فی الوضوء إذا صدق الماء علیه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یرفع حدثاً ولا خبثاً، ونظیره المستعمل فی الوضوء التجدیدی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الأحوط الترک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أحمد الخونساری</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هذا الاحتیاط، والأحوط مع الانحصار به الجمع بین الوضوء أو الغسل به مع التیمّم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بطهارة الماء المستنجی به من البول کالمستنجی من العذرة، إمّا لتعمیم لفظ الاستنجاء، وإمّا لإلحاق غیر المنصوص بالمنصوص باستفادة المناط الاطمئنانی، أو لغلبة ملازمة النجو مع البول، أو لعدم القول بالفصل، وفی الکلّ تأمّل، ثمّ الظاهر أ نّه لا فرق فی الماء المستنجی به بین کونه مطهِّراً للنجو الخارج من المخرج الطبیعی وبین غیره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طهارته تأمّل، ولکنّه لا ینجّس ما یلاقیه، ومنه یعرف الإشکال فی رفع الخبث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آل‌یاسین</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للجواز وجه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المیلانی</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الغیر المتغیّر بالنجاسة وارداً کان أو موروداً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عدم الجواز مع الطهارة محلّ نظر، بل منع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النجاسة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الفیروزآبادی</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الأقوائیّة تأمّل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حسن القمّی</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الغسلة الاُولی وإن لم تکن مزیلة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الشاهرودی</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الغسلة الاُولی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الکوه کَمَرئی</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الأقوی النجاسة فی الجمیع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وتستهلک فی الماء، أمّا لو اجتمعت مستقلّة فلا یجوز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الأنسب ذکر هذه الشروط والمسائل الراجعة إلی الاستنجاء تلو أحکامه وقبل المستعمل فی رفع الخبث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النجو والبول المستنجی منهما، سواء کان وصول الخارج إلی الماء قبل انفصاله عن المحلّ أم بعده، وسواء کان الواصل من النجس أم المتنجّس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مانعة عن صدق ماء الاستنجاء علی الماء المصبّ للتطهیر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محمّد الشیرازی</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 إذا لم یکن مستهلکاً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عبداللّه الشیرازی</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اشتراط هذا الأمر مشکل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اللنکرانی</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الأحوط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عبدالهادی الشیرازی، محمّد الشیرازی</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الغرض من هذا الشرط أنّ المتعیّن من ماء الاستنجاء هو الملاقی للمحلّ، أمّا الماء الموجود فیه عین النجاسة فهو غیر محکوم بالطهارة؛ لعموم دلیل انفعال القلیل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ما لم یکن متنجّساً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یُراعی ما هو المتعارف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یُترک الاحتیاط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منّا فی الحواشی السابقة ذکر الملازمة العادیّة بین الأخبثین، واحتمال شمول لفظ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لهما أو غیرهما من الوجوه المؤیّدة لما أفاده فی هذه المسألة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إشکال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 حسن القمّی، اللنکرانی</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قد اُعدّ لخروج الغائط لم یبعد عموم الحکم 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الحکیم</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تأمّل، بل لا یخلو الاجتناب من 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الإصطهباناتی</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ومثلها الظرف الّذی لم یبلغ ماؤه قدر کرّ ولکنّه اتصـل بالأنابیب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مفتی الشیعة</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یصدق فی بعض الموارد، نعم لا یترتّب علیه حکم الغسالة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تقی القمّی</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 بالاستصحاب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تقدّمت بعینها فی المسألة الثامنة، ولکن یظهر من کثیر من الأخبار کراهة الاغتسال من المیاه الراکدة کالحمّام ونحوه، مثل خبر علیّ بن جعفر، عن أخیه موسی علیه‌السلام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وقع سهو فی نسبة الروایة وسندها عن علی بن جعفر للإمام الکاظم علیه‌السلام ، وإنّما هی عن محمّد بن علی بن جعفر، عن أبی الحسن الرضا علیه‌السلام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اغتسل من الماء الّذی اغتسل منه فأصابه الجذام فلا یلومنّ إلاّ نفسه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أهل المدینة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فیه شفاء من العین،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کذبوا، یغتسل فیه الجنب من الحرام، والزانی، والناصب، وکلّ من خلق اللّه ثمّ یکون فیه شفاء من العین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کراهة الاغتسال بماء الحمّام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الغسلة المطهِّرة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الخمینی</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أی فی الغسلة المطهّرة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الثابتة بالسیرة أو بخبر المِرْکَن علی احتمال، أو استقلالاً لمکان اغتسال الید والظرف بعد تحقّق صبّ الماء علیهما فی مقام تطهیر الثوب مثلاً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المرعشی</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طهارة الید إنّما هی لغسلها بتبع غسل المتنجّس فلا تحتاج إلی غسلها مستقلّة، وذلک غیر طهارتها بالتبعیّة، ولا یستفاد من أدلّة التطهیر ولا من السیرة أکثر من ذلک، ومعه فیشکل الحکم بطهارة الید إذا لم یتمّ غسلها علی الوجه المعتبر فی تطهیر الید، فإذا تنجّس أعلی الکفّ بمباشرة غسل المتنجّس ولم یجرِ الغسل التبعی إلاّ علی الأصابع مثلاً لم یطهر أعلی الکفّ بذلک، ونظیر ذلک یقال فی طهارة الظرف الّذی یغسل فیه الثوب، ولکنّ دلالة صحیحة محمّد ابن مسلم فی المِرْکَن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النجاسات،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وافیة بذلک مضافاً إلی الارتکاز العرفی الّذی تُنزّل علیه إطلاقات الغسل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زین الدین</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فیما جرت السیرة علی عدم تطهیره بعده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بحیث تحقّق هناک فی نظر العرف غسلة وزیادة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کان عالیاً أو دافعاً، وإلاّ فما دام یصدق اتّصاله بالزائل النجس عن المحلّ کان متنجّساً ولو حین زواله، لا مطلقاً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آقا ضیاء</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غسالة الغسلة الأخیرة، وأمّا فی غسالة ما قبلها فالأظهر اعتباره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الروحانی</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غسالة الغسلة الاُولی هو الأقوی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النائینی، جمال الدین الگلپایگانی</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فی حُسنه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حسین القمّی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image" Target="media/image3.jpeg"/><Relationship Id="rId494" Type="http://schemas.openxmlformats.org/officeDocument/2006/relationships/image" Target="media/image3.jpeg"/><Relationship Id="rId495" Type="http://schemas.openxmlformats.org/officeDocument/2006/relationships/footer" Target="footer488.xml"/><Relationship Id="rId496" Type="http://schemas.openxmlformats.org/officeDocument/2006/relationships/image" Target="media/image4.jpeg"/><Relationship Id="rId497" Type="http://schemas.openxmlformats.org/officeDocument/2006/relationships/image" Target="media/image4.jpeg"/><Relationship Id="rId498" Type="http://schemas.openxmlformats.org/officeDocument/2006/relationships/footer" Target="footer489.xml"/><Relationship Id="rId499" Type="http://schemas.openxmlformats.org/officeDocument/2006/relationships/image" Target="media/image5.jpeg"/><Relationship Id="rId500" Type="http://schemas.openxmlformats.org/officeDocument/2006/relationships/image" Target="media/image5.jpeg"/><Relationship Id="rId501" Type="http://schemas.openxmlformats.org/officeDocument/2006/relationships/footer" Target="footer490.xml"/><Relationship Id="rId502" Type="http://schemas.openxmlformats.org/officeDocument/2006/relationships/image" Target="media/image6.jpeg"/><Relationship Id="rId503" Type="http://schemas.openxmlformats.org/officeDocument/2006/relationships/image" Target="media/image6.jpeg"/><Relationship Id="rId504" Type="http://schemas.openxmlformats.org/officeDocument/2006/relationships/footer" Target="footer491.xml"/><Relationship Id="rId505" Type="http://schemas.openxmlformats.org/officeDocument/2006/relationships/image" Target="media/image7.jpeg"/><Relationship Id="rId506" Type="http://schemas.openxmlformats.org/officeDocument/2006/relationships/image" Target="media/image7.jpeg"/><Relationship Id="rId507" Type="http://schemas.openxmlformats.org/officeDocument/2006/relationships/footer" Target="footer492.xml"/><Relationship Id="rId508" Type="http://schemas.openxmlformats.org/officeDocument/2006/relationships/footer" Target="footer493.xml"/><Relationship Id="rId509" Type="http://schemas.openxmlformats.org/officeDocument/2006/relationships/footer" Target="footer494.xml"/><Relationship Id="rId510" Type="http://schemas.openxmlformats.org/officeDocument/2006/relationships/footer" Target="footer495.xml"/><Relationship Id="rId511" Type="http://schemas.openxmlformats.org/officeDocument/2006/relationships/footer" Target="footer496.xml"/><Relationship Id="rId512" Type="http://schemas.openxmlformats.org/officeDocument/2006/relationships/image" Target="media/image2.jpeg"/><Relationship Id="rId513" Type="http://schemas.openxmlformats.org/officeDocument/2006/relationships/image" Target="media/image2.jpeg"/><Relationship Id="rId514" Type="http://schemas.openxmlformats.org/officeDocument/2006/relationships/footer" Target="footer497.xml"/><Relationship Id="rId515" Type="http://schemas.openxmlformats.org/officeDocument/2006/relationships/footnotes" Target="footnotes.xml"/><Relationship Id="rId516" Type="http://schemas.openxmlformats.org/officeDocument/2006/relationships/numbering" Target="numbering.xml"/><Relationship Id="rId517" Type="http://schemas.openxmlformats.org/officeDocument/2006/relationships/fontTable" Target="fontTable.xml"/><Relationship Id="rId518" Type="http://schemas.openxmlformats.org/officeDocument/2006/relationships/settings" Target="settings.xml"/><Relationship Id="rId51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535</Pages>
  <Words>97106</Words>
  <Characters>451085</Characters>
  <CharactersWithSpaces>540021</CharactersWithSpaces>
  <Paragraphs>9111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2026-08-24T05:59:55Z</dcterms:created>
  <dc:creator>ghaemiyeh.com</dc:creator>
  <dc:description/>
  <dc:language>en-US</dc:language>
  <cp:lastModifiedBy/>
  <dcterms:modified xsi:type="dcterms:W3CDTF">2026-08-24T09:30:07Z</dcterms:modified>
  <cp:revision>1</cp:revision>
  <dc:subject/>
  <dc:title>العروة الوثقی والتعلیقات علیها جلد 1</dc:title>
</cp:coreProperties>
</file>

<file path=docProps/custom.xml><?xml version="1.0" encoding="utf-8"?>
<Properties xmlns="http://schemas.openxmlformats.org/officeDocument/2006/custom-properties" xmlns:vt="http://schemas.openxmlformats.org/officeDocument/2006/docPropsVTypes"/>
</file>