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تحریرات فی الاصول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3567_3244359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33569_3244359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33571_3244359995">
            <w:r>
              <w:rPr>
                <w:webHidden/>
                <w:rStyle w:val="IndexLink"/>
                <w:rtl w:val="true"/>
              </w:rPr>
              <w:t>[</w:t>
            </w:r>
            <w:r>
              <w:rPr>
                <w:rStyle w:val="IndexLink"/>
                <w:rtl w:val="true"/>
              </w:rPr>
              <w:t>تتمة المقصد الثانی فی الأوامر</w:t>
            </w:r>
            <w:r>
              <w:rPr>
                <w:rStyle w:val="IndexLink"/>
                <w:rtl w:val="true"/>
              </w:rPr>
              <w:t>]</w:t>
              <w:tab/>
            </w:r>
            <w:r>
              <w:rPr>
                <w:rStyle w:val="IndexLink"/>
              </w:rPr>
              <w:t>10</w:t>
            </w:r>
          </w:hyperlink>
        </w:p>
        <w:p>
          <w:pPr>
            <w:pStyle w:val="Contents3"/>
            <w:tabs>
              <w:tab w:val="clear" w:pos="8459"/>
              <w:tab w:val="right" w:pos="9026" w:leader="dot"/>
            </w:tabs>
            <w:rPr/>
          </w:pPr>
          <w:hyperlink w:anchor="__RefHeading___Toc533573_3244359995">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33575_3244359995">
            <w:r>
              <w:rPr>
                <w:webHidden/>
                <w:rStyle w:val="IndexLink"/>
                <w:rtl w:val="true"/>
              </w:rPr>
              <w:t>الفصل الثامن التعرض لبعض أنحاء الوجوب</w:t>
            </w:r>
            <w:r>
              <w:rPr>
                <w:rStyle w:val="IndexLink"/>
                <w:rtl w:val="true"/>
              </w:rPr>
              <w:tab/>
            </w:r>
            <w:r>
              <w:rPr>
                <w:rStyle w:val="IndexLink"/>
              </w:rPr>
              <w:t>10</w:t>
            </w:r>
          </w:hyperlink>
        </w:p>
        <w:p>
          <w:pPr>
            <w:pStyle w:val="Contents4"/>
            <w:tabs>
              <w:tab w:val="clear" w:pos="8176"/>
              <w:tab w:val="right" w:pos="9026" w:leader="dot"/>
            </w:tabs>
            <w:rPr/>
          </w:pPr>
          <w:hyperlink w:anchor="__RefHeading___Toc533577_3244359995">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533579_3244359995">
            <w:r>
              <w:rPr>
                <w:webHidden/>
                <w:rStyle w:val="IndexLink"/>
                <w:rtl w:val="true"/>
              </w:rPr>
              <w:t>النحو الأول فی التعیینی و التخییری</w:t>
            </w:r>
            <w:r>
              <w:rPr>
                <w:rStyle w:val="IndexLink"/>
                <w:rtl w:val="true"/>
              </w:rPr>
              <w:tab/>
            </w:r>
            <w:r>
              <w:rPr>
                <w:rStyle w:val="IndexLink"/>
              </w:rPr>
              <w:t>11</w:t>
            </w:r>
          </w:hyperlink>
        </w:p>
        <w:p>
          <w:pPr>
            <w:pStyle w:val="Contents5"/>
            <w:tabs>
              <w:tab w:val="clear" w:pos="7892"/>
              <w:tab w:val="right" w:pos="9026" w:leader="dot"/>
            </w:tabs>
            <w:rPr/>
          </w:pPr>
          <w:hyperlink w:anchor="__RefHeading___Toc533581_3244359995">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533583_3244359995">
            <w:r>
              <w:rPr>
                <w:webHidden/>
                <w:rStyle w:val="IndexLink"/>
                <w:rtl w:val="true"/>
              </w:rPr>
              <w:t>البحث الأول</w:t>
            </w:r>
            <w:r>
              <w:rPr>
                <w:rStyle w:val="IndexLink"/>
                <w:rtl w:val="true"/>
              </w:rPr>
              <w:t xml:space="preserve">: </w:t>
            </w:r>
            <w:r>
              <w:rPr>
                <w:rStyle w:val="IndexLink"/>
                <w:rtl w:val="true"/>
              </w:rPr>
              <w:t>أقسام التخییر</w:t>
            </w:r>
            <w:r>
              <w:rPr>
                <w:rStyle w:val="IndexLink"/>
                <w:rtl w:val="true"/>
              </w:rPr>
              <w:tab/>
            </w:r>
            <w:r>
              <w:rPr>
                <w:rStyle w:val="IndexLink"/>
              </w:rPr>
              <w:t>11</w:t>
            </w:r>
          </w:hyperlink>
        </w:p>
        <w:p>
          <w:pPr>
            <w:pStyle w:val="Contents5"/>
            <w:tabs>
              <w:tab w:val="clear" w:pos="7892"/>
              <w:tab w:val="right" w:pos="9026" w:leader="dot"/>
            </w:tabs>
            <w:rPr/>
          </w:pPr>
          <w:hyperlink w:anchor="__RefHeading___Toc533585_3244359995">
            <w:r>
              <w:rPr>
                <w:webHidden/>
                <w:rStyle w:val="IndexLink"/>
                <w:rtl w:val="true"/>
              </w:rPr>
              <w:t>البحث الثانی</w:t>
            </w:r>
            <w:r>
              <w:rPr>
                <w:rStyle w:val="IndexLink"/>
                <w:rtl w:val="true"/>
              </w:rPr>
              <w:t xml:space="preserve">: </w:t>
            </w:r>
            <w:r>
              <w:rPr>
                <w:rStyle w:val="IndexLink"/>
                <w:rtl w:val="true"/>
              </w:rPr>
              <w:t>مقتضی الأصل العقلائی فی الوجوب التخییری</w:t>
            </w:r>
            <w:r>
              <w:rPr>
                <w:rStyle w:val="IndexLink"/>
                <w:rtl w:val="true"/>
              </w:rPr>
              <w:tab/>
            </w:r>
            <w:r>
              <w:rPr>
                <w:rStyle w:val="IndexLink"/>
              </w:rPr>
              <w:t>13</w:t>
            </w:r>
          </w:hyperlink>
        </w:p>
        <w:p>
          <w:pPr>
            <w:pStyle w:val="Contents5"/>
            <w:tabs>
              <w:tab w:val="clear" w:pos="7892"/>
              <w:tab w:val="right" w:pos="9026" w:leader="dot"/>
            </w:tabs>
            <w:rPr/>
          </w:pPr>
          <w:hyperlink w:anchor="__RefHeading___Toc533587_3244359995">
            <w:r>
              <w:rPr>
                <w:webHidden/>
                <w:rStyle w:val="IndexLink"/>
                <w:rtl w:val="true"/>
              </w:rPr>
              <w:t>البحث الثالث</w:t>
            </w:r>
            <w:r>
              <w:rPr>
                <w:rStyle w:val="IndexLink"/>
                <w:rtl w:val="true"/>
              </w:rPr>
              <w:t xml:space="preserve">: </w:t>
            </w:r>
            <w:r>
              <w:rPr>
                <w:rStyle w:val="IndexLink"/>
                <w:rtl w:val="true"/>
              </w:rPr>
              <w:t>فی شبهات المسألة</w:t>
            </w:r>
            <w:r>
              <w:rPr>
                <w:rStyle w:val="IndexLink"/>
                <w:rtl w:val="true"/>
              </w:rPr>
              <w:tab/>
            </w:r>
            <w:r>
              <w:rPr>
                <w:rStyle w:val="IndexLink"/>
              </w:rPr>
              <w:t>15</w:t>
            </w:r>
          </w:hyperlink>
        </w:p>
        <w:p>
          <w:pPr>
            <w:pStyle w:val="Contents6"/>
            <w:tabs>
              <w:tab w:val="clear" w:pos="7609"/>
              <w:tab w:val="right" w:pos="9026" w:leader="dot"/>
            </w:tabs>
            <w:rPr/>
          </w:pPr>
          <w:hyperlink w:anchor="__RefHeading___Toc533589_3244359995">
            <w:r>
              <w:rPr>
                <w:webHidden/>
                <w:rStyle w:val="IndexLink"/>
                <w:rtl w:val="true"/>
              </w:rPr>
              <w:t>الشبهة الأولی</w:t>
            </w:r>
            <w:r>
              <w:rPr>
                <w:rStyle w:val="IndexLink"/>
                <w:rtl w:val="true"/>
              </w:rPr>
              <w:t>:</w:t>
              <w:tab/>
            </w:r>
            <w:r>
              <w:rPr>
                <w:rStyle w:val="IndexLink"/>
              </w:rPr>
              <w:t>15</w:t>
            </w:r>
          </w:hyperlink>
        </w:p>
        <w:p>
          <w:pPr>
            <w:pStyle w:val="Contents6"/>
            <w:tabs>
              <w:tab w:val="clear" w:pos="7609"/>
              <w:tab w:val="right" w:pos="9026" w:leader="dot"/>
            </w:tabs>
            <w:rPr/>
          </w:pPr>
          <w:hyperlink w:anchor="__RefHeading___Toc533591_3244359995">
            <w:r>
              <w:rPr>
                <w:webHidden/>
                <w:rStyle w:val="IndexLink"/>
                <w:rtl w:val="true"/>
              </w:rPr>
              <w:t>الشبهة الثانیة</w:t>
            </w:r>
            <w:r>
              <w:rPr>
                <w:rStyle w:val="IndexLink"/>
                <w:rtl w:val="true"/>
              </w:rPr>
              <w:tab/>
            </w:r>
            <w:r>
              <w:rPr>
                <w:rStyle w:val="IndexLink"/>
              </w:rPr>
              <w:t>17</w:t>
            </w:r>
          </w:hyperlink>
        </w:p>
        <w:p>
          <w:pPr>
            <w:pStyle w:val="Contents6"/>
            <w:tabs>
              <w:tab w:val="clear" w:pos="7609"/>
              <w:tab w:val="right" w:pos="9026" w:leader="dot"/>
            </w:tabs>
            <w:rPr/>
          </w:pPr>
          <w:hyperlink w:anchor="__RefHeading___Toc533593_3244359995">
            <w:r>
              <w:rPr>
                <w:webHidden/>
                <w:rStyle w:val="IndexLink"/>
                <w:rtl w:val="true"/>
              </w:rPr>
              <w:t>الشبهة الثالثة</w:t>
            </w:r>
            <w:r>
              <w:rPr>
                <w:rStyle w:val="IndexLink"/>
                <w:rtl w:val="true"/>
              </w:rPr>
              <w:tab/>
            </w:r>
            <w:r>
              <w:rPr>
                <w:rStyle w:val="IndexLink"/>
              </w:rPr>
              <w:t>22</w:t>
            </w:r>
          </w:hyperlink>
        </w:p>
        <w:p>
          <w:pPr>
            <w:pStyle w:val="Contents6"/>
            <w:tabs>
              <w:tab w:val="clear" w:pos="7609"/>
              <w:tab w:val="right" w:pos="9026" w:leader="dot"/>
            </w:tabs>
            <w:rPr/>
          </w:pPr>
          <w:hyperlink w:anchor="__RefHeading___Toc533595_3244359995">
            <w:r>
              <w:rPr>
                <w:webHidden/>
                <w:rStyle w:val="IndexLink"/>
                <w:rtl w:val="true"/>
              </w:rPr>
              <w:t>الشبهة الرابعة</w:t>
            </w:r>
            <w:r>
              <w:rPr>
                <w:rStyle w:val="IndexLink"/>
                <w:rtl w:val="true"/>
              </w:rPr>
              <w:tab/>
            </w:r>
            <w:r>
              <w:rPr>
                <w:rStyle w:val="IndexLink"/>
              </w:rPr>
              <w:t>23</w:t>
            </w:r>
          </w:hyperlink>
        </w:p>
        <w:p>
          <w:pPr>
            <w:pStyle w:val="Contents5"/>
            <w:tabs>
              <w:tab w:val="clear" w:pos="7892"/>
              <w:tab w:val="right" w:pos="9026" w:leader="dot"/>
            </w:tabs>
            <w:rPr/>
          </w:pPr>
          <w:hyperlink w:anchor="__RefHeading___Toc533597_3244359995">
            <w:r>
              <w:rPr>
                <w:webHidden/>
                <w:rStyle w:val="IndexLink"/>
                <w:rtl w:val="true"/>
              </w:rPr>
              <w:t>تذییل</w:t>
            </w:r>
            <w:r>
              <w:rPr>
                <w:rStyle w:val="IndexLink"/>
                <w:rtl w:val="true"/>
              </w:rPr>
              <w:t xml:space="preserve">: </w:t>
            </w:r>
            <w:r>
              <w:rPr>
                <w:rStyle w:val="IndexLink"/>
                <w:rtl w:val="true"/>
              </w:rPr>
              <w:t>حول إمکان التخییری بین الأقل و الأکثر و امتناعه</w:t>
            </w:r>
            <w:r>
              <w:rPr>
                <w:rStyle w:val="IndexLink"/>
                <w:rtl w:val="true"/>
              </w:rPr>
              <w:tab/>
            </w:r>
            <w:r>
              <w:rPr>
                <w:rStyle w:val="IndexLink"/>
              </w:rPr>
              <w:t>24</w:t>
            </w:r>
          </w:hyperlink>
        </w:p>
        <w:p>
          <w:pPr>
            <w:pStyle w:val="Contents6"/>
            <w:tabs>
              <w:tab w:val="clear" w:pos="7609"/>
              <w:tab w:val="right" w:pos="9026" w:leader="dot"/>
            </w:tabs>
            <w:rPr/>
          </w:pPr>
          <w:hyperlink w:anchor="__RefHeading___Toc533599_3244359995">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533601_3244359995">
            <w:r>
              <w:rPr>
                <w:webHidden/>
                <w:rStyle w:val="IndexLink"/>
                <w:rtl w:val="true"/>
              </w:rPr>
              <w:t>هل یجوز التخییر الشرعی بین الأقل اللابشرط و بین الأکثر؟</w:t>
            </w:r>
            <w:r>
              <w:rPr>
                <w:rStyle w:val="IndexLink"/>
                <w:rtl w:val="true"/>
              </w:rPr>
              <w:tab/>
            </w:r>
            <w:r>
              <w:rPr>
                <w:rStyle w:val="IndexLink"/>
              </w:rPr>
              <w:t>27</w:t>
            </w:r>
          </w:hyperlink>
        </w:p>
        <w:p>
          <w:pPr>
            <w:pStyle w:val="Contents6"/>
            <w:tabs>
              <w:tab w:val="clear" w:pos="7609"/>
              <w:tab w:val="right" w:pos="9026" w:leader="dot"/>
            </w:tabs>
            <w:rPr/>
          </w:pPr>
          <w:hyperlink w:anchor="__RefHeading___Toc533603_3244359995">
            <w:r>
              <w:rPr>
                <w:webHidden/>
                <w:rStyle w:val="IndexLink"/>
                <w:rtl w:val="true"/>
              </w:rPr>
              <w:t>هل یجوز التخییر الشرعی بین الأقل و الأکثر فی الکم المتصل؟</w:t>
            </w:r>
            <w:r>
              <w:rPr>
                <w:rStyle w:val="IndexLink"/>
                <w:rtl w:val="true"/>
              </w:rPr>
              <w:tab/>
            </w:r>
            <w:r>
              <w:rPr>
                <w:rStyle w:val="IndexLink"/>
              </w:rPr>
              <w:t>30</w:t>
            </w:r>
          </w:hyperlink>
        </w:p>
        <w:p>
          <w:pPr>
            <w:pStyle w:val="Contents6"/>
            <w:tabs>
              <w:tab w:val="clear" w:pos="7609"/>
              <w:tab w:val="right" w:pos="9026" w:leader="dot"/>
            </w:tabs>
            <w:rPr/>
          </w:pPr>
          <w:hyperlink w:anchor="__RefHeading___Toc533605_3244359995">
            <w:r>
              <w:rPr>
                <w:webHidden/>
                <w:rStyle w:val="IndexLink"/>
                <w:rtl w:val="true"/>
              </w:rPr>
              <w:t>هل یجوز التخییر الشرعی بین الأقل و الأکثر فی الدفعیّات؟</w:t>
            </w:r>
            <w:r>
              <w:rPr>
                <w:rStyle w:val="IndexLink"/>
                <w:rtl w:val="true"/>
              </w:rPr>
              <w:tab/>
            </w:r>
            <w:r>
              <w:rPr>
                <w:rStyle w:val="IndexLink"/>
              </w:rPr>
              <w:t>31</w:t>
            </w:r>
          </w:hyperlink>
        </w:p>
        <w:p>
          <w:pPr>
            <w:pStyle w:val="Contents5"/>
            <w:tabs>
              <w:tab w:val="clear" w:pos="7892"/>
              <w:tab w:val="right" w:pos="9026" w:leader="dot"/>
            </w:tabs>
            <w:rPr/>
          </w:pPr>
          <w:hyperlink w:anchor="__RefHeading___Toc533607_3244359995">
            <w:r>
              <w:rPr>
                <w:webHidden/>
                <w:rStyle w:val="IndexLink"/>
                <w:rtl w:val="true"/>
              </w:rPr>
              <w:t>تنبیهات</w:t>
            </w:r>
            <w:r>
              <w:rPr>
                <w:rStyle w:val="IndexLink"/>
                <w:rtl w:val="true"/>
              </w:rPr>
              <w:tab/>
            </w:r>
            <w:r>
              <w:rPr>
                <w:rStyle w:val="IndexLink"/>
              </w:rPr>
              <w:t>34</w:t>
            </w:r>
          </w:hyperlink>
        </w:p>
        <w:p>
          <w:pPr>
            <w:pStyle w:val="Contents6"/>
            <w:tabs>
              <w:tab w:val="clear" w:pos="7609"/>
              <w:tab w:val="right" w:pos="9026" w:leader="dot"/>
            </w:tabs>
            <w:rPr/>
          </w:pPr>
          <w:hyperlink w:anchor="__RefHeading___Toc533609_3244359995">
            <w:r>
              <w:rPr>
                <w:webHidden/>
                <w:rStyle w:val="IndexLink"/>
                <w:rtl w:val="true"/>
              </w:rPr>
              <w:t>أحدها</w:t>
            </w:r>
            <w:r>
              <w:rPr>
                <w:rStyle w:val="IndexLink"/>
                <w:rtl w:val="true"/>
              </w:rPr>
              <w:t xml:space="preserve">: </w:t>
            </w:r>
            <w:r>
              <w:rPr>
                <w:rStyle w:val="IndexLink"/>
                <w:rtl w:val="true"/>
              </w:rPr>
              <w:t>فی بیان متعلق الواجب التخییری</w:t>
            </w:r>
            <w:r>
              <w:rPr>
                <w:rStyle w:val="IndexLink"/>
                <w:rtl w:val="true"/>
              </w:rPr>
              <w:tab/>
            </w:r>
            <w:r>
              <w:rPr>
                <w:rStyle w:val="IndexLink"/>
              </w:rPr>
              <w:t>34</w:t>
            </w:r>
          </w:hyperlink>
        </w:p>
        <w:p>
          <w:pPr>
            <w:pStyle w:val="Contents6"/>
            <w:tabs>
              <w:tab w:val="clear" w:pos="7609"/>
              <w:tab w:val="right" w:pos="9026" w:leader="dot"/>
            </w:tabs>
            <w:rPr/>
          </w:pPr>
          <w:hyperlink w:anchor="__RefHeading___Toc533611_3244359995">
            <w:r>
              <w:rPr>
                <w:webHidden/>
                <w:rStyle w:val="IndexLink"/>
                <w:rtl w:val="true"/>
              </w:rPr>
              <w:t>ثانیها</w:t>
            </w:r>
            <w:r>
              <w:rPr>
                <w:rStyle w:val="IndexLink"/>
                <w:rtl w:val="true"/>
              </w:rPr>
              <w:t xml:space="preserve">: </w:t>
            </w:r>
            <w:r>
              <w:rPr>
                <w:rStyle w:val="IndexLink"/>
                <w:rtl w:val="true"/>
              </w:rPr>
              <w:t>فی أن التفصیل هل یقطع الشرکة أم لا؟</w:t>
            </w:r>
            <w:r>
              <w:rPr>
                <w:rStyle w:val="IndexLink"/>
                <w:rtl w:val="true"/>
              </w:rPr>
              <w:tab/>
            </w:r>
            <w:r>
              <w:rPr>
                <w:rStyle w:val="IndexLink"/>
              </w:rPr>
              <w:t>36</w:t>
            </w:r>
          </w:hyperlink>
        </w:p>
        <w:p>
          <w:pPr>
            <w:pStyle w:val="Contents6"/>
            <w:tabs>
              <w:tab w:val="clear" w:pos="7609"/>
              <w:tab w:val="right" w:pos="9026" w:leader="dot"/>
            </w:tabs>
            <w:rPr/>
          </w:pPr>
          <w:hyperlink w:anchor="__RefHeading___Toc533613_3244359995">
            <w:r>
              <w:rPr>
                <w:webHidden/>
                <w:rStyle w:val="IndexLink"/>
                <w:rtl w:val="true"/>
              </w:rPr>
              <w:t>ثالثها</w:t>
            </w:r>
            <w:r>
              <w:rPr>
                <w:rStyle w:val="IndexLink"/>
                <w:rtl w:val="true"/>
              </w:rPr>
              <w:t xml:space="preserve">: </w:t>
            </w:r>
            <w:r>
              <w:rPr>
                <w:rStyle w:val="IndexLink"/>
                <w:rtl w:val="true"/>
              </w:rPr>
              <w:t>مقتضی الأصول العملیة عند الدوران بین التعیین و التخییر</w:t>
            </w:r>
            <w:r>
              <w:rPr>
                <w:rStyle w:val="IndexLink"/>
                <w:rtl w:val="true"/>
              </w:rPr>
              <w:tab/>
            </w:r>
            <w:r>
              <w:rPr>
                <w:rStyle w:val="IndexLink"/>
              </w:rPr>
              <w:t>38</w:t>
            </w:r>
          </w:hyperlink>
        </w:p>
        <w:p>
          <w:pPr>
            <w:pStyle w:val="Contents6"/>
            <w:tabs>
              <w:tab w:val="clear" w:pos="7609"/>
              <w:tab w:val="right" w:pos="9026" w:leader="dot"/>
            </w:tabs>
            <w:rPr/>
          </w:pPr>
          <w:hyperlink w:anchor="__RefHeading___Toc533615_3244359995">
            <w:r>
              <w:rPr>
                <w:webHidden/>
                <w:rStyle w:val="IndexLink"/>
                <w:rtl w:val="true"/>
              </w:rPr>
              <w:t>رابعها</w:t>
            </w:r>
            <w:r>
              <w:rPr>
                <w:rStyle w:val="IndexLink"/>
                <w:rtl w:val="true"/>
              </w:rPr>
              <w:t xml:space="preserve">: </w:t>
            </w:r>
            <w:r>
              <w:rPr>
                <w:rStyle w:val="IndexLink"/>
                <w:rtl w:val="true"/>
              </w:rPr>
              <w:t>فی تصویر التخییر عند دوران الأمر بین المحذورین</w:t>
            </w:r>
            <w:r>
              <w:rPr>
                <w:rStyle w:val="IndexLink"/>
                <w:rtl w:val="true"/>
              </w:rPr>
              <w:tab/>
            </w:r>
            <w:r>
              <w:rPr>
                <w:rStyle w:val="IndexLink"/>
              </w:rPr>
              <w:t>40</w:t>
            </w:r>
          </w:hyperlink>
        </w:p>
        <w:p>
          <w:pPr>
            <w:pStyle w:val="Contents6"/>
            <w:tabs>
              <w:tab w:val="clear" w:pos="7609"/>
              <w:tab w:val="right" w:pos="9026" w:leader="dot"/>
            </w:tabs>
            <w:rPr/>
          </w:pPr>
          <w:hyperlink w:anchor="__RefHeading___Toc533617_3244359995">
            <w:r>
              <w:rPr>
                <w:webHidden/>
                <w:rStyle w:val="IndexLink"/>
                <w:rtl w:val="true"/>
              </w:rPr>
              <w:t>خامسها</w:t>
            </w:r>
            <w:r>
              <w:rPr>
                <w:rStyle w:val="IndexLink"/>
                <w:rtl w:val="true"/>
              </w:rPr>
              <w:t xml:space="preserve">: </w:t>
            </w:r>
            <w:r>
              <w:rPr>
                <w:rStyle w:val="IndexLink"/>
                <w:rtl w:val="true"/>
              </w:rPr>
              <w:t>فی تصویر الحرام التخییری و وقوعه</w:t>
            </w:r>
            <w:r>
              <w:rPr>
                <w:rStyle w:val="IndexLink"/>
                <w:rtl w:val="true"/>
              </w:rPr>
              <w:tab/>
            </w:r>
            <w:r>
              <w:rPr>
                <w:rStyle w:val="IndexLink"/>
              </w:rPr>
              <w:t>41</w:t>
            </w:r>
          </w:hyperlink>
        </w:p>
        <w:p>
          <w:pPr>
            <w:pStyle w:val="Contents4"/>
            <w:tabs>
              <w:tab w:val="clear" w:pos="8176"/>
              <w:tab w:val="right" w:pos="9026" w:leader="dot"/>
            </w:tabs>
            <w:rPr/>
          </w:pPr>
          <w:hyperlink w:anchor="__RefHeading___Toc533619_3244359995">
            <w:r>
              <w:rPr>
                <w:webHidden/>
                <w:rStyle w:val="IndexLink"/>
                <w:rtl w:val="true"/>
              </w:rPr>
              <w:t>النحو الثانی فی العینی و الکفائی</w:t>
            </w:r>
            <w:r>
              <w:rPr>
                <w:rStyle w:val="IndexLink"/>
                <w:rtl w:val="true"/>
              </w:rPr>
              <w:tab/>
            </w:r>
            <w:r>
              <w:rPr>
                <w:rStyle w:val="IndexLink"/>
              </w:rPr>
              <w:t>44</w:t>
            </w:r>
          </w:hyperlink>
        </w:p>
        <w:p>
          <w:pPr>
            <w:pStyle w:val="Contents5"/>
            <w:tabs>
              <w:tab w:val="clear" w:pos="7892"/>
              <w:tab w:val="right" w:pos="9026" w:leader="dot"/>
            </w:tabs>
            <w:rPr/>
          </w:pPr>
          <w:hyperlink w:anchor="__RefHeading___Toc533621_3244359995">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533623_3244359995">
            <w:r>
              <w:rPr>
                <w:webHidden/>
                <w:rStyle w:val="IndexLink"/>
                <w:rtl w:val="true"/>
              </w:rPr>
              <w:t>الأمر الأول</w:t>
            </w:r>
            <w:r>
              <w:rPr>
                <w:rStyle w:val="IndexLink"/>
                <w:rtl w:val="true"/>
              </w:rPr>
              <w:t xml:space="preserve">: </w:t>
            </w:r>
            <w:r>
              <w:rPr>
                <w:rStyle w:val="IndexLink"/>
                <w:rtl w:val="true"/>
              </w:rPr>
              <w:t>فی عدم تقوم الکفائی بالمبعوث إلیه</w:t>
            </w:r>
            <w:r>
              <w:rPr>
                <w:rStyle w:val="IndexLink"/>
                <w:rtl w:val="true"/>
              </w:rPr>
              <w:tab/>
            </w:r>
            <w:r>
              <w:rPr>
                <w:rStyle w:val="IndexLink"/>
              </w:rPr>
              <w:t>45</w:t>
            </w:r>
          </w:hyperlink>
        </w:p>
        <w:p>
          <w:pPr>
            <w:pStyle w:val="Contents5"/>
            <w:tabs>
              <w:tab w:val="clear" w:pos="7892"/>
              <w:tab w:val="right" w:pos="9026" w:leader="dot"/>
            </w:tabs>
            <w:rPr/>
          </w:pPr>
          <w:hyperlink w:anchor="__RefHeading___Toc533625_3244359995">
            <w:r>
              <w:rPr>
                <w:webHidden/>
                <w:rStyle w:val="IndexLink"/>
                <w:rtl w:val="true"/>
              </w:rPr>
              <w:t>الأمر الثانی</w:t>
            </w:r>
            <w:r>
              <w:rPr>
                <w:rStyle w:val="IndexLink"/>
                <w:rtl w:val="true"/>
              </w:rPr>
              <w:t xml:space="preserve">: </w:t>
            </w:r>
            <w:r>
              <w:rPr>
                <w:rStyle w:val="IndexLink"/>
                <w:rtl w:val="true"/>
              </w:rPr>
              <w:t>فیما یتصور من أقسام الواجب الکفائی</w:t>
            </w:r>
            <w:r>
              <w:rPr>
                <w:rStyle w:val="IndexLink"/>
                <w:rtl w:val="true"/>
              </w:rPr>
              <w:tab/>
            </w:r>
            <w:r>
              <w:rPr>
                <w:rStyle w:val="IndexLink"/>
              </w:rPr>
              <w:t>46</w:t>
            </w:r>
          </w:hyperlink>
        </w:p>
        <w:p>
          <w:pPr>
            <w:pStyle w:val="Contents5"/>
            <w:tabs>
              <w:tab w:val="clear" w:pos="7892"/>
              <w:tab w:val="right" w:pos="9026" w:leader="dot"/>
            </w:tabs>
            <w:rPr/>
          </w:pPr>
          <w:hyperlink w:anchor="__RefHeading___Toc533627_3244359995">
            <w:r>
              <w:rPr>
                <w:webHidden/>
                <w:rStyle w:val="IndexLink"/>
                <w:rtl w:val="true"/>
              </w:rPr>
              <w:t>الأمر الثالث</w:t>
            </w:r>
            <w:r>
              <w:rPr>
                <w:rStyle w:val="IndexLink"/>
                <w:rtl w:val="true"/>
              </w:rPr>
              <w:t xml:space="preserve">: </w:t>
            </w:r>
            <w:r>
              <w:rPr>
                <w:rStyle w:val="IndexLink"/>
                <w:rtl w:val="true"/>
              </w:rPr>
              <w:t>فی أنحاء موضوع الوجوب الکفائی</w:t>
            </w:r>
            <w:r>
              <w:rPr>
                <w:rStyle w:val="IndexLink"/>
                <w:rtl w:val="true"/>
              </w:rPr>
              <w:tab/>
            </w:r>
            <w:r>
              <w:rPr>
                <w:rStyle w:val="IndexLink"/>
              </w:rPr>
              <w:t>47</w:t>
            </w:r>
          </w:hyperlink>
        </w:p>
        <w:p>
          <w:pPr>
            <w:pStyle w:val="Contents5"/>
            <w:tabs>
              <w:tab w:val="clear" w:pos="7892"/>
              <w:tab w:val="right" w:pos="9026" w:leader="dot"/>
            </w:tabs>
            <w:rPr/>
          </w:pPr>
          <w:hyperlink w:anchor="__RefHeading___Toc533629_3244359995">
            <w:r>
              <w:rPr>
                <w:webHidden/>
                <w:rStyle w:val="IndexLink"/>
                <w:rtl w:val="true"/>
              </w:rPr>
              <w:t>إعادة و إفادة</w:t>
            </w:r>
            <w:r>
              <w:rPr>
                <w:rStyle w:val="IndexLink"/>
                <w:rtl w:val="true"/>
              </w:rPr>
              <w:tab/>
            </w:r>
            <w:r>
              <w:rPr>
                <w:rStyle w:val="IndexLink"/>
              </w:rPr>
              <w:t>51</w:t>
            </w:r>
          </w:hyperlink>
        </w:p>
        <w:p>
          <w:pPr>
            <w:pStyle w:val="Contents5"/>
            <w:tabs>
              <w:tab w:val="clear" w:pos="7892"/>
              <w:tab w:val="right" w:pos="9026" w:leader="dot"/>
            </w:tabs>
            <w:rPr/>
          </w:pPr>
          <w:hyperlink w:anchor="__RefHeading___Toc533631_3244359995">
            <w:r>
              <w:rPr>
                <w:webHidden/>
                <w:rStyle w:val="IndexLink"/>
                <w:rtl w:val="true"/>
              </w:rPr>
              <w:t>فذلکة الکلام</w:t>
            </w:r>
            <w:r>
              <w:rPr>
                <w:rStyle w:val="IndexLink"/>
                <w:rtl w:val="true"/>
              </w:rPr>
              <w:tab/>
            </w:r>
            <w:r>
              <w:rPr>
                <w:rStyle w:val="IndexLink"/>
              </w:rPr>
              <w:t>53</w:t>
            </w:r>
          </w:hyperlink>
        </w:p>
        <w:p>
          <w:pPr>
            <w:pStyle w:val="Contents5"/>
            <w:tabs>
              <w:tab w:val="clear" w:pos="7892"/>
              <w:tab w:val="right" w:pos="9026" w:leader="dot"/>
            </w:tabs>
            <w:rPr/>
          </w:pPr>
          <w:hyperlink w:anchor="__RefHeading___Toc533633_3244359995">
            <w:r>
              <w:rPr>
                <w:webHidden/>
                <w:rStyle w:val="IndexLink"/>
                <w:rtl w:val="true"/>
              </w:rPr>
              <w:t>تذنیب</w:t>
            </w:r>
            <w:r>
              <w:rPr>
                <w:rStyle w:val="IndexLink"/>
                <w:rtl w:val="true"/>
              </w:rPr>
              <w:t xml:space="preserve">: </w:t>
            </w:r>
            <w:r>
              <w:rPr>
                <w:rStyle w:val="IndexLink"/>
                <w:rtl w:val="true"/>
              </w:rPr>
              <w:t>فی إمکان صیرورة العینی کفائیا</w:t>
            </w:r>
            <w:r>
              <w:rPr>
                <w:rStyle w:val="IndexLink"/>
                <w:rtl w:val="true"/>
              </w:rPr>
              <w:tab/>
            </w:r>
            <w:r>
              <w:rPr>
                <w:rStyle w:val="IndexLink"/>
              </w:rPr>
              <w:t>54</w:t>
            </w:r>
          </w:hyperlink>
        </w:p>
        <w:p>
          <w:pPr>
            <w:pStyle w:val="Contents5"/>
            <w:tabs>
              <w:tab w:val="clear" w:pos="7892"/>
              <w:tab w:val="right" w:pos="9026" w:leader="dot"/>
            </w:tabs>
            <w:rPr/>
          </w:pPr>
          <w:hyperlink w:anchor="__RefHeading___Toc533635_3244359995">
            <w:r>
              <w:rPr>
                <w:webHidden/>
                <w:rStyle w:val="IndexLink"/>
                <w:rtl w:val="true"/>
              </w:rPr>
              <w:t>وهم و دفع</w:t>
            </w:r>
            <w:r>
              <w:rPr>
                <w:rStyle w:val="IndexLink"/>
                <w:rtl w:val="true"/>
              </w:rPr>
              <w:t xml:space="preserve">: </w:t>
            </w:r>
            <w:r>
              <w:rPr>
                <w:rStyle w:val="IndexLink"/>
                <w:rtl w:val="true"/>
              </w:rPr>
              <w:t>حول إتیان جماعة للواجب الکفائی عرضا</w:t>
            </w:r>
            <w:r>
              <w:rPr>
                <w:rStyle w:val="IndexLink"/>
                <w:rtl w:val="true"/>
              </w:rPr>
              <w:tab/>
            </w:r>
            <w:r>
              <w:rPr>
                <w:rStyle w:val="IndexLink"/>
              </w:rPr>
              <w:t>55</w:t>
            </w:r>
          </w:hyperlink>
        </w:p>
        <w:p>
          <w:pPr>
            <w:pStyle w:val="Contents4"/>
            <w:tabs>
              <w:tab w:val="clear" w:pos="8176"/>
              <w:tab w:val="right" w:pos="9026" w:leader="dot"/>
            </w:tabs>
            <w:rPr/>
          </w:pPr>
          <w:hyperlink w:anchor="__RefHeading___Toc533637_3244359995">
            <w:r>
              <w:rPr>
                <w:webHidden/>
                <w:rStyle w:val="IndexLink"/>
                <w:rtl w:val="true"/>
              </w:rPr>
              <w:t>النحو الثالث فی العینی المباشری و غیر المباشری</w:t>
            </w:r>
            <w:r>
              <w:rPr>
                <w:rStyle w:val="IndexLink"/>
                <w:rtl w:val="true"/>
              </w:rPr>
              <w:tab/>
            </w:r>
            <w:r>
              <w:rPr>
                <w:rStyle w:val="IndexLink"/>
              </w:rPr>
              <w:t>60</w:t>
            </w:r>
          </w:hyperlink>
        </w:p>
        <w:p>
          <w:pPr>
            <w:pStyle w:val="Contents4"/>
            <w:tabs>
              <w:tab w:val="clear" w:pos="8176"/>
              <w:tab w:val="right" w:pos="9026" w:leader="dot"/>
            </w:tabs>
            <w:rPr/>
          </w:pPr>
          <w:hyperlink w:anchor="__RefHeading___Toc533639_3244359995">
            <w:r>
              <w:rPr>
                <w:webHidden/>
                <w:rStyle w:val="IndexLink"/>
                <w:rtl w:val="true"/>
              </w:rPr>
              <w:t>النحو الرابع فی الموسع و المضیق</w:t>
            </w:r>
            <w:r>
              <w:rPr>
                <w:rStyle w:val="IndexLink"/>
                <w:rtl w:val="true"/>
              </w:rPr>
              <w:tab/>
            </w:r>
            <w:r>
              <w:rPr>
                <w:rStyle w:val="IndexLink"/>
              </w:rPr>
              <w:t>62</w:t>
            </w:r>
          </w:hyperlink>
        </w:p>
        <w:p>
          <w:pPr>
            <w:pStyle w:val="Contents5"/>
            <w:tabs>
              <w:tab w:val="clear" w:pos="7892"/>
              <w:tab w:val="right" w:pos="9026" w:leader="dot"/>
            </w:tabs>
            <w:rPr/>
          </w:pPr>
          <w:hyperlink w:anchor="__RefHeading___Toc533641_3244359995">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533643_3244359995">
            <w:r>
              <w:rPr>
                <w:webHidden/>
                <w:rStyle w:val="IndexLink"/>
                <w:rtl w:val="true"/>
              </w:rPr>
              <w:t>إشکالات الواجب الموقت و أجوبتها</w:t>
            </w:r>
            <w:r>
              <w:rPr>
                <w:rStyle w:val="IndexLink"/>
                <w:rtl w:val="true"/>
              </w:rPr>
              <w:tab/>
            </w:r>
            <w:r>
              <w:rPr>
                <w:rStyle w:val="IndexLink"/>
              </w:rPr>
              <w:t>63</w:t>
            </w:r>
          </w:hyperlink>
        </w:p>
        <w:p>
          <w:pPr>
            <w:pStyle w:val="Contents6"/>
            <w:tabs>
              <w:tab w:val="clear" w:pos="7609"/>
              <w:tab w:val="right" w:pos="9026" w:leader="dot"/>
            </w:tabs>
            <w:rPr/>
          </w:pPr>
          <w:hyperlink w:anchor="__RefHeading___Toc533645_3244359995">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533647_3244359995">
            <w:r>
              <w:rPr>
                <w:webHidden/>
                <w:rStyle w:val="IndexLink"/>
                <w:rtl w:val="true"/>
              </w:rPr>
              <w:t>الناحیة الأولی</w:t>
            </w:r>
            <w:r>
              <w:rPr>
                <w:rStyle w:val="IndexLink"/>
                <w:rtl w:val="true"/>
              </w:rPr>
              <w:t>:</w:t>
              <w:tab/>
            </w:r>
            <w:r>
              <w:rPr>
                <w:rStyle w:val="IndexLink"/>
              </w:rPr>
              <w:t>63</w:t>
            </w:r>
          </w:hyperlink>
        </w:p>
        <w:p>
          <w:pPr>
            <w:pStyle w:val="Contents6"/>
            <w:tabs>
              <w:tab w:val="clear" w:pos="7609"/>
              <w:tab w:val="right" w:pos="9026" w:leader="dot"/>
            </w:tabs>
            <w:rPr/>
          </w:pPr>
          <w:hyperlink w:anchor="__RefHeading___Toc533649_3244359995">
            <w:r>
              <w:rPr>
                <w:webHidden/>
                <w:rStyle w:val="IndexLink"/>
                <w:rtl w:val="true"/>
              </w:rPr>
              <w:t>الناحیة الثانیة</w:t>
            </w:r>
            <w:r>
              <w:rPr>
                <w:rStyle w:val="IndexLink"/>
                <w:rtl w:val="true"/>
              </w:rPr>
              <w:t>:</w:t>
              <w:tab/>
            </w:r>
            <w:r>
              <w:rPr>
                <w:rStyle w:val="IndexLink"/>
              </w:rPr>
              <w:t>64</w:t>
            </w:r>
          </w:hyperlink>
        </w:p>
        <w:p>
          <w:pPr>
            <w:pStyle w:val="Contents6"/>
            <w:tabs>
              <w:tab w:val="clear" w:pos="7609"/>
              <w:tab w:val="right" w:pos="9026" w:leader="dot"/>
            </w:tabs>
            <w:rPr/>
          </w:pPr>
          <w:hyperlink w:anchor="__RefHeading___Toc533651_3244359995">
            <w:r>
              <w:rPr>
                <w:webHidden/>
                <w:rStyle w:val="IndexLink"/>
                <w:rtl w:val="true"/>
              </w:rPr>
              <w:t>الناحیة الثالثة</w:t>
            </w:r>
            <w:r>
              <w:rPr>
                <w:rStyle w:val="IndexLink"/>
                <w:rtl w:val="true"/>
              </w:rPr>
              <w:t>:</w:t>
              <w:tab/>
            </w:r>
            <w:r>
              <w:rPr>
                <w:rStyle w:val="IndexLink"/>
              </w:rPr>
              <w:t>65</w:t>
            </w:r>
          </w:hyperlink>
        </w:p>
        <w:p>
          <w:pPr>
            <w:pStyle w:val="Contents6"/>
            <w:tabs>
              <w:tab w:val="clear" w:pos="7609"/>
              <w:tab w:val="right" w:pos="9026" w:leader="dot"/>
            </w:tabs>
            <w:rPr/>
          </w:pPr>
          <w:hyperlink w:anchor="__RefHeading___Toc533653_3244359995">
            <w:r>
              <w:rPr>
                <w:webHidden/>
                <w:rStyle w:val="IndexLink"/>
                <w:rtl w:val="true"/>
              </w:rPr>
              <w:t>الناحیة الرابعة</w:t>
            </w:r>
            <w:r>
              <w:rPr>
                <w:rStyle w:val="IndexLink"/>
                <w:rtl w:val="true"/>
              </w:rPr>
              <w:t>:</w:t>
              <w:tab/>
            </w:r>
            <w:r>
              <w:rPr>
                <w:rStyle w:val="IndexLink"/>
              </w:rPr>
              <w:t>67</w:t>
            </w:r>
          </w:hyperlink>
        </w:p>
        <w:p>
          <w:pPr>
            <w:pStyle w:val="Contents5"/>
            <w:tabs>
              <w:tab w:val="clear" w:pos="7892"/>
              <w:tab w:val="right" w:pos="9026" w:leader="dot"/>
            </w:tabs>
            <w:rPr/>
          </w:pPr>
          <w:hyperlink w:anchor="__RefHeading___Toc533655_3244359995">
            <w:r>
              <w:rPr>
                <w:webHidden/>
                <w:rStyle w:val="IndexLink"/>
                <w:rtl w:val="true"/>
              </w:rPr>
              <w:t>تنبیهات</w:t>
            </w:r>
            <w:r>
              <w:rPr>
                <w:rStyle w:val="IndexLink"/>
                <w:rtl w:val="true"/>
              </w:rPr>
              <w:tab/>
            </w:r>
            <w:r>
              <w:rPr>
                <w:rStyle w:val="IndexLink"/>
              </w:rPr>
              <w:t>67</w:t>
            </w:r>
          </w:hyperlink>
        </w:p>
        <w:p>
          <w:pPr>
            <w:pStyle w:val="Contents6"/>
            <w:tabs>
              <w:tab w:val="clear" w:pos="7609"/>
              <w:tab w:val="right" w:pos="9026" w:leader="dot"/>
            </w:tabs>
            <w:rPr/>
          </w:pPr>
          <w:hyperlink w:anchor="__RefHeading___Toc533657_3244359995">
            <w:r>
              <w:rPr>
                <w:webHidden/>
                <w:rStyle w:val="IndexLink"/>
                <w:rtl w:val="true"/>
              </w:rPr>
              <w:t>أحدها</w:t>
            </w:r>
            <w:r>
              <w:rPr>
                <w:rStyle w:val="IndexLink"/>
                <w:rtl w:val="true"/>
              </w:rPr>
              <w:t xml:space="preserve">: </w:t>
            </w:r>
            <w:r>
              <w:rPr>
                <w:rStyle w:val="IndexLink"/>
                <w:rtl w:val="true"/>
              </w:rPr>
              <w:t>فی صیرورة الموسع مضیقا</w:t>
            </w:r>
            <w:r>
              <w:rPr>
                <w:rStyle w:val="IndexLink"/>
                <w:rtl w:val="true"/>
              </w:rPr>
              <w:tab/>
            </w:r>
            <w:r>
              <w:rPr>
                <w:rStyle w:val="IndexLink"/>
              </w:rPr>
              <w:t>67</w:t>
            </w:r>
          </w:hyperlink>
        </w:p>
        <w:p>
          <w:pPr>
            <w:pStyle w:val="Contents6"/>
            <w:tabs>
              <w:tab w:val="clear" w:pos="7609"/>
              <w:tab w:val="right" w:pos="9026" w:leader="dot"/>
            </w:tabs>
            <w:rPr/>
          </w:pPr>
          <w:hyperlink w:anchor="__RefHeading___Toc533659_3244359995">
            <w:r>
              <w:rPr>
                <w:webHidden/>
                <w:rStyle w:val="IndexLink"/>
                <w:rtl w:val="true"/>
              </w:rPr>
              <w:t>ثانیها</w:t>
            </w:r>
            <w:r>
              <w:rPr>
                <w:rStyle w:val="IndexLink"/>
                <w:rtl w:val="true"/>
              </w:rPr>
              <w:t xml:space="preserve">: </w:t>
            </w:r>
            <w:r>
              <w:rPr>
                <w:rStyle w:val="IndexLink"/>
                <w:rtl w:val="true"/>
              </w:rPr>
              <w:t>فی عدم توقف إیجاب الموسع علی قدرة العبد</w:t>
            </w:r>
            <w:r>
              <w:rPr>
                <w:rStyle w:val="IndexLink"/>
                <w:rtl w:val="true"/>
              </w:rPr>
              <w:tab/>
            </w:r>
            <w:r>
              <w:rPr>
                <w:rStyle w:val="IndexLink"/>
              </w:rPr>
              <w:t>68</w:t>
            </w:r>
          </w:hyperlink>
        </w:p>
        <w:p>
          <w:pPr>
            <w:pStyle w:val="Contents6"/>
            <w:tabs>
              <w:tab w:val="clear" w:pos="7609"/>
              <w:tab w:val="right" w:pos="9026" w:leader="dot"/>
            </w:tabs>
            <w:rPr/>
          </w:pPr>
          <w:hyperlink w:anchor="__RefHeading___Toc533661_3244359995">
            <w:r>
              <w:rPr>
                <w:webHidden/>
                <w:rStyle w:val="IndexLink"/>
                <w:rtl w:val="true"/>
              </w:rPr>
              <w:t>ثالثها</w:t>
            </w:r>
            <w:r>
              <w:rPr>
                <w:rStyle w:val="IndexLink"/>
                <w:rtl w:val="true"/>
              </w:rPr>
              <w:t xml:space="preserve">: </w:t>
            </w:r>
            <w:r>
              <w:rPr>
                <w:rStyle w:val="IndexLink"/>
                <w:rtl w:val="true"/>
              </w:rPr>
              <w:t>فی أنّ التخییر فی الموسّع عقلیّ</w:t>
            </w:r>
            <w:r>
              <w:rPr>
                <w:rStyle w:val="IndexLink"/>
                <w:rtl w:val="true"/>
              </w:rPr>
              <w:tab/>
            </w:r>
            <w:r>
              <w:rPr>
                <w:rStyle w:val="IndexLink"/>
              </w:rPr>
              <w:t>70</w:t>
            </w:r>
          </w:hyperlink>
        </w:p>
        <w:p>
          <w:pPr>
            <w:pStyle w:val="Contents6"/>
            <w:tabs>
              <w:tab w:val="clear" w:pos="7609"/>
              <w:tab w:val="right" w:pos="9026" w:leader="dot"/>
            </w:tabs>
            <w:rPr/>
          </w:pPr>
          <w:hyperlink w:anchor="__RefHeading___Toc533663_3244359995">
            <w:r>
              <w:rPr>
                <w:webHidden/>
                <w:rStyle w:val="IndexLink"/>
                <w:rtl w:val="true"/>
              </w:rPr>
              <w:t>رابعها</w:t>
            </w:r>
            <w:r>
              <w:rPr>
                <w:rStyle w:val="IndexLink"/>
                <w:rtl w:val="true"/>
              </w:rPr>
              <w:t xml:space="preserve">: </w:t>
            </w:r>
            <w:r>
              <w:rPr>
                <w:rStyle w:val="IndexLink"/>
                <w:rtl w:val="true"/>
              </w:rPr>
              <w:t>فی أن القضاء بالأمر الأول أو الجدید</w:t>
            </w:r>
            <w:r>
              <w:rPr>
                <w:rStyle w:val="IndexLink"/>
                <w:rtl w:val="true"/>
              </w:rPr>
              <w:tab/>
            </w:r>
            <w:r>
              <w:rPr>
                <w:rStyle w:val="IndexLink"/>
              </w:rPr>
              <w:t>70</w:t>
            </w:r>
          </w:hyperlink>
        </w:p>
        <w:p>
          <w:pPr>
            <w:pStyle w:val="Contents5"/>
            <w:tabs>
              <w:tab w:val="clear" w:pos="7892"/>
              <w:tab w:val="right" w:pos="9026" w:leader="dot"/>
            </w:tabs>
            <w:rPr/>
          </w:pPr>
          <w:hyperlink w:anchor="__RefHeading___Toc533665_3244359995">
            <w:r>
              <w:rPr>
                <w:webHidden/>
                <w:rStyle w:val="IndexLink"/>
                <w:rtl w:val="true"/>
              </w:rPr>
              <w:t>تنبیه و إیقاظ</w:t>
            </w:r>
            <w:r>
              <w:rPr>
                <w:rStyle w:val="IndexLink"/>
                <w:rtl w:val="true"/>
              </w:rPr>
              <w:t xml:space="preserve">: </w:t>
            </w:r>
            <w:r>
              <w:rPr>
                <w:rStyle w:val="IndexLink"/>
                <w:rtl w:val="true"/>
              </w:rPr>
              <w:t>فی أنّ الأمر الجدید إرشاد إلی بقاء الأمر الأوّل اعتبارا</w:t>
            </w:r>
            <w:r>
              <w:rPr>
                <w:rStyle w:val="IndexLink"/>
                <w:rtl w:val="true"/>
              </w:rPr>
              <w:tab/>
            </w:r>
            <w:r>
              <w:rPr>
                <w:rStyle w:val="IndexLink"/>
              </w:rPr>
              <w:t>74</w:t>
            </w:r>
          </w:hyperlink>
        </w:p>
        <w:p>
          <w:pPr>
            <w:pStyle w:val="Contents5"/>
            <w:tabs>
              <w:tab w:val="clear" w:pos="7892"/>
              <w:tab w:val="right" w:pos="9026" w:leader="dot"/>
            </w:tabs>
            <w:rPr/>
          </w:pPr>
          <w:hyperlink w:anchor="__RefHeading___Toc533667_3244359995">
            <w:r>
              <w:rPr>
                <w:webHidden/>
                <w:rStyle w:val="IndexLink"/>
                <w:rtl w:val="true"/>
              </w:rPr>
              <w:t>تذنیب</w:t>
            </w:r>
            <w:r>
              <w:rPr>
                <w:rStyle w:val="IndexLink"/>
                <w:rtl w:val="true"/>
              </w:rPr>
              <w:t xml:space="preserve">: </w:t>
            </w:r>
            <w:r>
              <w:rPr>
                <w:rStyle w:val="IndexLink"/>
                <w:rtl w:val="true"/>
              </w:rPr>
              <w:t>فی بیان مقتضی الأصول العملیّة عند الشک فی أن القضاء بالأمر الأول أو الجدید</w:t>
            </w:r>
            <w:r>
              <w:rPr>
                <w:rStyle w:val="IndexLink"/>
                <w:rtl w:val="true"/>
              </w:rPr>
              <w:tab/>
            </w:r>
            <w:r>
              <w:rPr>
                <w:rStyle w:val="IndexLink"/>
              </w:rPr>
              <w:t>75</w:t>
            </w:r>
          </w:hyperlink>
        </w:p>
        <w:p>
          <w:pPr>
            <w:pStyle w:val="Contents6"/>
            <w:tabs>
              <w:tab w:val="clear" w:pos="7609"/>
              <w:tab w:val="right" w:pos="9026" w:leader="dot"/>
            </w:tabs>
            <w:rPr/>
          </w:pPr>
          <w:hyperlink w:anchor="__RefHeading___Toc533669_3244359995">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533671_3244359995">
            <w:r>
              <w:rPr>
                <w:webHidden/>
                <w:rStyle w:val="IndexLink"/>
                <w:rtl w:val="true"/>
              </w:rPr>
              <w:t>الجهة الأولی</w:t>
            </w:r>
            <w:r>
              <w:rPr>
                <w:rStyle w:val="IndexLink"/>
                <w:rtl w:val="true"/>
              </w:rPr>
              <w:t xml:space="preserve">: </w:t>
            </w:r>
            <w:r>
              <w:rPr>
                <w:rStyle w:val="IndexLink"/>
                <w:rtl w:val="true"/>
              </w:rPr>
              <w:t>فی استصحاب الشخصی</w:t>
            </w:r>
            <w:r>
              <w:rPr>
                <w:rStyle w:val="IndexLink"/>
                <w:rtl w:val="true"/>
              </w:rPr>
              <w:tab/>
            </w:r>
            <w:r>
              <w:rPr>
                <w:rStyle w:val="IndexLink"/>
              </w:rPr>
              <w:t>76</w:t>
            </w:r>
          </w:hyperlink>
        </w:p>
        <w:p>
          <w:pPr>
            <w:pStyle w:val="Contents6"/>
            <w:tabs>
              <w:tab w:val="clear" w:pos="7609"/>
              <w:tab w:val="right" w:pos="9026" w:leader="dot"/>
            </w:tabs>
            <w:rPr/>
          </w:pPr>
          <w:hyperlink w:anchor="__RefHeading___Toc533673_3244359995">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533675_3244359995">
            <w:r>
              <w:rPr>
                <w:webHidden/>
                <w:rStyle w:val="IndexLink"/>
                <w:rtl w:val="true"/>
              </w:rPr>
              <w:t>تنبیه</w:t>
            </w:r>
            <w:r>
              <w:rPr>
                <w:rStyle w:val="IndexLink"/>
                <w:rtl w:val="true"/>
              </w:rPr>
              <w:t xml:space="preserve">: </w:t>
            </w:r>
            <w:r>
              <w:rPr>
                <w:rStyle w:val="IndexLink"/>
                <w:rtl w:val="true"/>
              </w:rPr>
              <w:t>فی بیان محتملات استصحاب الشخصی</w:t>
            </w:r>
            <w:r>
              <w:rPr>
                <w:rStyle w:val="IndexLink"/>
                <w:rtl w:val="true"/>
              </w:rPr>
              <w:tab/>
            </w:r>
            <w:r>
              <w:rPr>
                <w:rStyle w:val="IndexLink"/>
              </w:rPr>
              <w:t>78</w:t>
            </w:r>
          </w:hyperlink>
        </w:p>
        <w:p>
          <w:pPr>
            <w:pStyle w:val="Contents6"/>
            <w:tabs>
              <w:tab w:val="clear" w:pos="7609"/>
              <w:tab w:val="right" w:pos="9026" w:leader="dot"/>
            </w:tabs>
            <w:rPr/>
          </w:pPr>
          <w:hyperlink w:anchor="__RefHeading___Toc533677_3244359995">
            <w:r>
              <w:rPr>
                <w:webHidden/>
                <w:rStyle w:val="IndexLink"/>
                <w:rtl w:val="true"/>
              </w:rPr>
              <w:t>الجهة الثانیة</w:t>
            </w:r>
            <w:r>
              <w:rPr>
                <w:rStyle w:val="IndexLink"/>
                <w:rtl w:val="true"/>
              </w:rPr>
              <w:t xml:space="preserve">: </w:t>
            </w:r>
            <w:r>
              <w:rPr>
                <w:rStyle w:val="IndexLink"/>
                <w:rtl w:val="true"/>
              </w:rPr>
              <w:t>فی استصحاب الکلی</w:t>
            </w:r>
            <w:r>
              <w:rPr>
                <w:rStyle w:val="IndexLink"/>
                <w:rtl w:val="true"/>
              </w:rPr>
              <w:tab/>
            </w:r>
            <w:r>
              <w:rPr>
                <w:rStyle w:val="IndexLink"/>
              </w:rPr>
              <w:t>79</w:t>
            </w:r>
          </w:hyperlink>
        </w:p>
        <w:p>
          <w:pPr>
            <w:pStyle w:val="Contents4"/>
            <w:tabs>
              <w:tab w:val="clear" w:pos="8176"/>
              <w:tab w:val="right" w:pos="9026" w:leader="dot"/>
            </w:tabs>
            <w:rPr/>
          </w:pPr>
          <w:hyperlink w:anchor="__RefHeading___Toc533679_3244359995">
            <w:r>
              <w:rPr>
                <w:webHidden/>
                <w:rStyle w:val="IndexLink"/>
                <w:rtl w:val="true"/>
              </w:rPr>
              <w:t>النحو الخامس فی الواجب بالأصالة و بالتبع</w:t>
            </w:r>
            <w:r>
              <w:rPr>
                <w:rStyle w:val="IndexLink"/>
                <w:rtl w:val="true"/>
              </w:rPr>
              <w:tab/>
            </w:r>
            <w:r>
              <w:rPr>
                <w:rStyle w:val="IndexLink"/>
              </w:rPr>
              <w:t>81</w:t>
            </w:r>
          </w:hyperlink>
        </w:p>
        <w:p>
          <w:pPr>
            <w:pStyle w:val="Contents2"/>
            <w:tabs>
              <w:tab w:val="clear" w:pos="8743"/>
              <w:tab w:val="right" w:pos="9026" w:leader="dot"/>
            </w:tabs>
            <w:rPr/>
          </w:pPr>
          <w:hyperlink w:anchor="__RefHeading___Toc533681_3244359995">
            <w:r>
              <w:rPr>
                <w:webHidden/>
                <w:rStyle w:val="IndexLink"/>
                <w:rtl w:val="true"/>
              </w:rPr>
              <w:t>المقصد الثالث فی النواهی</w:t>
            </w:r>
            <w:r>
              <w:rPr>
                <w:rStyle w:val="IndexLink"/>
                <w:rtl w:val="true"/>
              </w:rPr>
              <w:tab/>
            </w:r>
            <w:r>
              <w:rPr>
                <w:rStyle w:val="IndexLink"/>
              </w:rPr>
              <w:t>82</w:t>
            </w:r>
          </w:hyperlink>
        </w:p>
        <w:p>
          <w:pPr>
            <w:pStyle w:val="Contents3"/>
            <w:tabs>
              <w:tab w:val="clear" w:pos="8459"/>
              <w:tab w:val="right" w:pos="9026" w:leader="dot"/>
            </w:tabs>
            <w:rPr/>
          </w:pPr>
          <w:hyperlink w:anchor="__RefHeading___Toc533683_3244359995">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533685_3244359995">
            <w:r>
              <w:rPr>
                <w:webHidden/>
                <w:rStyle w:val="IndexLink"/>
                <w:rtl w:val="true"/>
              </w:rPr>
              <w:t>المبحث الأول فیما یتعلق بمادة النهی و هیئته وضعا و إطلاقا</w:t>
            </w:r>
            <w:r>
              <w:rPr>
                <w:rStyle w:val="IndexLink"/>
                <w:rtl w:val="true"/>
              </w:rPr>
              <w:tab/>
            </w:r>
            <w:r>
              <w:rPr>
                <w:rStyle w:val="IndexLink"/>
              </w:rPr>
              <w:t>83</w:t>
            </w:r>
          </w:hyperlink>
        </w:p>
        <w:p>
          <w:pPr>
            <w:pStyle w:val="Contents4"/>
            <w:tabs>
              <w:tab w:val="clear" w:pos="8176"/>
              <w:tab w:val="right" w:pos="9026" w:leader="dot"/>
            </w:tabs>
            <w:rPr/>
          </w:pPr>
          <w:hyperlink w:anchor="__RefHeading___Toc533687_3244359995">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533689_3244359995">
            <w:r>
              <w:rPr>
                <w:webHidden/>
                <w:rStyle w:val="IndexLink"/>
                <w:rtl w:val="true"/>
              </w:rPr>
              <w:t>الفصل الأول فی مادة النهی</w:t>
            </w:r>
            <w:r>
              <w:rPr>
                <w:rStyle w:val="IndexLink"/>
                <w:rtl w:val="true"/>
              </w:rPr>
              <w:tab/>
            </w:r>
            <w:r>
              <w:rPr>
                <w:rStyle w:val="IndexLink"/>
              </w:rPr>
              <w:t>83</w:t>
            </w:r>
          </w:hyperlink>
        </w:p>
        <w:p>
          <w:pPr>
            <w:pStyle w:val="Contents4"/>
            <w:tabs>
              <w:tab w:val="clear" w:pos="8176"/>
              <w:tab w:val="right" w:pos="9026" w:leader="dot"/>
            </w:tabs>
            <w:rPr/>
          </w:pPr>
          <w:hyperlink w:anchor="__RefHeading___Toc533691_3244359995">
            <w:r>
              <w:rPr>
                <w:webHidden/>
                <w:rStyle w:val="IndexLink"/>
                <w:rtl w:val="true"/>
              </w:rPr>
              <w:t>الفصل الثانی فی صیغة النهی</w:t>
            </w:r>
            <w:r>
              <w:rPr>
                <w:rStyle w:val="IndexLink"/>
                <w:rtl w:val="true"/>
              </w:rPr>
              <w:tab/>
            </w:r>
            <w:r>
              <w:rPr>
                <w:rStyle w:val="IndexLink"/>
              </w:rPr>
              <w:t>86</w:t>
            </w:r>
          </w:hyperlink>
        </w:p>
        <w:p>
          <w:pPr>
            <w:pStyle w:val="Contents5"/>
            <w:tabs>
              <w:tab w:val="clear" w:pos="7892"/>
              <w:tab w:val="right" w:pos="9026" w:leader="dot"/>
            </w:tabs>
            <w:rPr/>
          </w:pPr>
          <w:hyperlink w:anchor="__RefHeading___Toc533693_3244359995">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533695_3244359995">
            <w:r>
              <w:rPr>
                <w:webHidden/>
                <w:rStyle w:val="IndexLink"/>
                <w:rtl w:val="true"/>
              </w:rPr>
              <w:t>تذنیب</w:t>
            </w:r>
            <w:r>
              <w:rPr>
                <w:rStyle w:val="IndexLink"/>
                <w:rtl w:val="true"/>
              </w:rPr>
              <w:t xml:space="preserve">: </w:t>
            </w:r>
            <w:r>
              <w:rPr>
                <w:rStyle w:val="IndexLink"/>
                <w:rtl w:val="true"/>
              </w:rPr>
              <w:t>حول أن النهی لیس کفا</w:t>
            </w:r>
            <w:r>
              <w:rPr>
                <w:rStyle w:val="IndexLink"/>
                <w:rtl w:val="true"/>
              </w:rPr>
              <w:tab/>
            </w:r>
            <w:r>
              <w:rPr>
                <w:rStyle w:val="IndexLink"/>
              </w:rPr>
              <w:t>96</w:t>
            </w:r>
          </w:hyperlink>
        </w:p>
        <w:p>
          <w:pPr>
            <w:pStyle w:val="Contents5"/>
            <w:tabs>
              <w:tab w:val="clear" w:pos="7892"/>
              <w:tab w:val="right" w:pos="9026" w:leader="dot"/>
            </w:tabs>
            <w:rPr/>
          </w:pPr>
          <w:hyperlink w:anchor="__RefHeading___Toc533697_3244359995">
            <w:r>
              <w:rPr>
                <w:webHidden/>
                <w:rStyle w:val="IndexLink"/>
                <w:rtl w:val="true"/>
              </w:rPr>
              <w:t>إیقاظ و إفادة</w:t>
            </w:r>
            <w:r>
              <w:rPr>
                <w:rStyle w:val="IndexLink"/>
                <w:rtl w:val="true"/>
              </w:rPr>
              <w:t xml:space="preserve">: </w:t>
            </w:r>
            <w:r>
              <w:rPr>
                <w:rStyle w:val="IndexLink"/>
                <w:rtl w:val="true"/>
              </w:rPr>
              <w:t>حول أن مفاد الصیغة هل هی الحرمة أم لا؟</w:t>
            </w:r>
            <w:r>
              <w:rPr>
                <w:rStyle w:val="IndexLink"/>
                <w:rtl w:val="true"/>
              </w:rPr>
              <w:tab/>
            </w:r>
            <w:r>
              <w:rPr>
                <w:rStyle w:val="IndexLink"/>
              </w:rPr>
              <w:t>97</w:t>
            </w:r>
          </w:hyperlink>
        </w:p>
        <w:p>
          <w:pPr>
            <w:pStyle w:val="Contents5"/>
            <w:tabs>
              <w:tab w:val="clear" w:pos="7892"/>
              <w:tab w:val="right" w:pos="9026" w:leader="dot"/>
            </w:tabs>
            <w:rPr/>
          </w:pPr>
          <w:hyperlink w:anchor="__RefHeading___Toc533699_3244359995">
            <w:r>
              <w:rPr>
                <w:webHidden/>
                <w:rStyle w:val="IndexLink"/>
                <w:rtl w:val="true"/>
              </w:rPr>
              <w:t>بحث و تحصیل</w:t>
            </w:r>
            <w:r>
              <w:rPr>
                <w:rStyle w:val="IndexLink"/>
                <w:rtl w:val="true"/>
              </w:rPr>
              <w:t xml:space="preserve">: </w:t>
            </w:r>
            <w:r>
              <w:rPr>
                <w:rStyle w:val="IndexLink"/>
                <w:rtl w:val="true"/>
              </w:rPr>
              <w:t>فی الفرق بین الأمر و النهی من ناحیة المرة و التکرار</w:t>
            </w:r>
            <w:r>
              <w:rPr>
                <w:rStyle w:val="IndexLink"/>
                <w:rtl w:val="true"/>
              </w:rPr>
              <w:tab/>
            </w:r>
            <w:r>
              <w:rPr>
                <w:rStyle w:val="IndexLink"/>
              </w:rPr>
              <w:t>98</w:t>
            </w:r>
          </w:hyperlink>
        </w:p>
        <w:p>
          <w:pPr>
            <w:pStyle w:val="Contents5"/>
            <w:tabs>
              <w:tab w:val="clear" w:pos="7892"/>
              <w:tab w:val="right" w:pos="9026" w:leader="dot"/>
            </w:tabs>
            <w:rPr/>
          </w:pPr>
          <w:hyperlink w:anchor="__RefHeading___Toc533701_3244359995">
            <w:r>
              <w:rPr>
                <w:webHidden/>
                <w:rStyle w:val="IndexLink"/>
                <w:rtl w:val="true"/>
              </w:rPr>
              <w:t>تنبیه</w:t>
            </w:r>
            <w:r>
              <w:rPr>
                <w:rStyle w:val="IndexLink"/>
                <w:rtl w:val="true"/>
              </w:rPr>
              <w:t xml:space="preserve">: </w:t>
            </w:r>
            <w:r>
              <w:rPr>
                <w:rStyle w:val="IndexLink"/>
                <w:rtl w:val="true"/>
              </w:rPr>
              <w:t>حول النواهی التعبدیة و دلالة النهی علی الفور</w:t>
            </w:r>
            <w:r>
              <w:rPr>
                <w:rStyle w:val="IndexLink"/>
                <w:rtl w:val="true"/>
              </w:rPr>
              <w:tab/>
            </w:r>
            <w:r>
              <w:rPr>
                <w:rStyle w:val="IndexLink"/>
              </w:rPr>
              <w:t>111</w:t>
            </w:r>
          </w:hyperlink>
        </w:p>
        <w:p>
          <w:pPr>
            <w:pStyle w:val="Contents3"/>
            <w:tabs>
              <w:tab w:val="clear" w:pos="8459"/>
              <w:tab w:val="right" w:pos="9026" w:leader="dot"/>
            </w:tabs>
            <w:rPr/>
          </w:pPr>
          <w:hyperlink w:anchor="__RefHeading___Toc533703_3244359995">
            <w:r>
              <w:rPr>
                <w:webHidden/>
                <w:rStyle w:val="IndexLink"/>
                <w:rtl w:val="true"/>
              </w:rPr>
              <w:t>المبحث الثانی اجتماع الأمر و النهی</w:t>
            </w:r>
            <w:r>
              <w:rPr>
                <w:rStyle w:val="IndexLink"/>
                <w:rtl w:val="true"/>
              </w:rPr>
              <w:tab/>
            </w:r>
            <w:r>
              <w:rPr>
                <w:rStyle w:val="IndexLink"/>
              </w:rPr>
              <w:t>113</w:t>
            </w:r>
          </w:hyperlink>
        </w:p>
        <w:p>
          <w:pPr>
            <w:pStyle w:val="Contents4"/>
            <w:tabs>
              <w:tab w:val="clear" w:pos="8176"/>
              <w:tab w:val="right" w:pos="9026" w:leader="dot"/>
            </w:tabs>
            <w:rPr/>
          </w:pPr>
          <w:hyperlink w:anchor="__RefHeading___Toc533705_3244359995">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533707_3244359995">
            <w:r>
              <w:rPr>
                <w:webHidden/>
                <w:rStyle w:val="IndexLink"/>
                <w:rtl w:val="true"/>
              </w:rPr>
              <w:t>تمهید</w:t>
            </w:r>
            <w:r>
              <w:rPr>
                <w:rStyle w:val="IndexLink"/>
                <w:rtl w:val="true"/>
              </w:rPr>
              <w:tab/>
            </w:r>
            <w:r>
              <w:rPr>
                <w:rStyle w:val="IndexLink"/>
              </w:rPr>
              <w:t>114</w:t>
            </w:r>
          </w:hyperlink>
        </w:p>
        <w:p>
          <w:pPr>
            <w:pStyle w:val="Contents5"/>
            <w:tabs>
              <w:tab w:val="clear" w:pos="7892"/>
              <w:tab w:val="right" w:pos="9026" w:leader="dot"/>
            </w:tabs>
            <w:rPr/>
          </w:pPr>
          <w:hyperlink w:anchor="__RefHeading___Toc533709_3244359995">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533711_3244359995">
            <w:r>
              <w:rPr>
                <w:webHidden/>
                <w:rStyle w:val="IndexLink"/>
                <w:rtl w:val="true"/>
              </w:rPr>
              <w:t>المقدمة الأولی</w:t>
            </w:r>
            <w:r>
              <w:rPr>
                <w:rStyle w:val="IndexLink"/>
                <w:rtl w:val="true"/>
              </w:rPr>
              <w:t xml:space="preserve">: </w:t>
            </w:r>
            <w:r>
              <w:rPr>
                <w:rStyle w:val="IndexLink"/>
                <w:rtl w:val="true"/>
              </w:rPr>
              <w:t>فی عنوان المسألة و تحریر مصب النزاع</w:t>
            </w:r>
            <w:r>
              <w:rPr>
                <w:rStyle w:val="IndexLink"/>
                <w:rtl w:val="true"/>
              </w:rPr>
              <w:tab/>
            </w:r>
            <w:r>
              <w:rPr>
                <w:rStyle w:val="IndexLink"/>
              </w:rPr>
              <w:t>114</w:t>
            </w:r>
          </w:hyperlink>
        </w:p>
        <w:p>
          <w:pPr>
            <w:pStyle w:val="Contents5"/>
            <w:tabs>
              <w:tab w:val="clear" w:pos="7892"/>
              <w:tab w:val="right" w:pos="9026" w:leader="dot"/>
            </w:tabs>
            <w:rPr/>
          </w:pPr>
          <w:hyperlink w:anchor="__RefHeading___Toc533713_3244359995">
            <w:r>
              <w:rPr>
                <w:webHidden/>
                <w:rStyle w:val="IndexLink"/>
                <w:rtl w:val="true"/>
              </w:rPr>
              <w:t>المقدمة الثانیة</w:t>
            </w:r>
            <w:r>
              <w:rPr>
                <w:rStyle w:val="IndexLink"/>
                <w:rtl w:val="true"/>
              </w:rPr>
              <w:t xml:space="preserve">: </w:t>
            </w:r>
            <w:r>
              <w:rPr>
                <w:rStyle w:val="IndexLink"/>
                <w:rtl w:val="true"/>
              </w:rPr>
              <w:t>فی الفرق بین هذه المسألة و مسألة النهی عن العبادة</w:t>
            </w:r>
            <w:r>
              <w:rPr>
                <w:rStyle w:val="IndexLink"/>
                <w:rtl w:val="true"/>
              </w:rPr>
              <w:tab/>
            </w:r>
            <w:r>
              <w:rPr>
                <w:rStyle w:val="IndexLink"/>
              </w:rPr>
              <w:t>122</w:t>
            </w:r>
          </w:hyperlink>
        </w:p>
        <w:p>
          <w:pPr>
            <w:pStyle w:val="Contents6"/>
            <w:tabs>
              <w:tab w:val="clear" w:pos="7609"/>
              <w:tab w:val="right" w:pos="9026" w:leader="dot"/>
            </w:tabs>
            <w:rPr/>
          </w:pPr>
          <w:hyperlink w:anchor="__RefHeading___Toc533715_3244359995">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533717_3244359995">
            <w:r>
              <w:rPr>
                <w:webHidden/>
                <w:rStyle w:val="IndexLink"/>
                <w:rtl w:val="true"/>
              </w:rPr>
              <w:t>الجهة الأولی</w:t>
            </w:r>
            <w:r>
              <w:rPr>
                <w:rStyle w:val="IndexLink"/>
                <w:rtl w:val="true"/>
              </w:rPr>
              <w:t xml:space="preserve">: </w:t>
            </w:r>
            <w:r>
              <w:rPr>
                <w:rStyle w:val="IndexLink"/>
                <w:rtl w:val="true"/>
              </w:rPr>
              <w:t>فی وجه اشتراک المسألتین</w:t>
            </w:r>
            <w:r>
              <w:rPr>
                <w:rStyle w:val="IndexLink"/>
                <w:rtl w:val="true"/>
              </w:rPr>
              <w:tab/>
            </w:r>
            <w:r>
              <w:rPr>
                <w:rStyle w:val="IndexLink"/>
              </w:rPr>
              <w:t>122</w:t>
            </w:r>
          </w:hyperlink>
        </w:p>
        <w:p>
          <w:pPr>
            <w:pStyle w:val="Contents6"/>
            <w:tabs>
              <w:tab w:val="clear" w:pos="7609"/>
              <w:tab w:val="right" w:pos="9026" w:leader="dot"/>
            </w:tabs>
            <w:rPr/>
          </w:pPr>
          <w:hyperlink w:anchor="__RefHeading___Toc533719_3244359995">
            <w:r>
              <w:rPr>
                <w:webHidden/>
                <w:rStyle w:val="IndexLink"/>
                <w:rtl w:val="true"/>
              </w:rPr>
              <w:t>الجهة الثانیة</w:t>
            </w:r>
            <w:r>
              <w:rPr>
                <w:rStyle w:val="IndexLink"/>
                <w:rtl w:val="true"/>
              </w:rPr>
              <w:t xml:space="preserve">: </w:t>
            </w:r>
            <w:r>
              <w:rPr>
                <w:rStyle w:val="IndexLink"/>
                <w:rtl w:val="true"/>
              </w:rPr>
              <w:t>فی بیان الفارق بینهما</w:t>
            </w:r>
            <w:r>
              <w:rPr>
                <w:rStyle w:val="IndexLink"/>
                <w:rtl w:val="true"/>
              </w:rPr>
              <w:tab/>
            </w:r>
            <w:r>
              <w:rPr>
                <w:rStyle w:val="IndexLink"/>
              </w:rPr>
              <w:t>124</w:t>
            </w:r>
          </w:hyperlink>
        </w:p>
        <w:p>
          <w:pPr>
            <w:pStyle w:val="Contents6"/>
            <w:tabs>
              <w:tab w:val="clear" w:pos="7609"/>
              <w:tab w:val="right" w:pos="9026" w:leader="dot"/>
            </w:tabs>
            <w:rPr/>
          </w:pPr>
          <w:hyperlink w:anchor="__RefHeading___Toc533721_3244359995">
            <w:r>
              <w:rPr>
                <w:webHidden/>
                <w:rStyle w:val="IndexLink"/>
                <w:rtl w:val="true"/>
              </w:rPr>
              <w:t>تتمیم</w:t>
            </w:r>
            <w:r>
              <w:rPr>
                <w:rStyle w:val="IndexLink"/>
                <w:rtl w:val="true"/>
              </w:rPr>
              <w:t xml:space="preserve">: </w:t>
            </w:r>
            <w:r>
              <w:rPr>
                <w:rStyle w:val="IndexLink"/>
                <w:rtl w:val="true"/>
              </w:rPr>
              <w:t>حول کفایة مسألة النهی عن العبادة عن هذه المسألة</w:t>
            </w:r>
            <w:r>
              <w:rPr>
                <w:rStyle w:val="IndexLink"/>
                <w:rtl w:val="true"/>
              </w:rPr>
              <w:tab/>
            </w:r>
            <w:r>
              <w:rPr>
                <w:rStyle w:val="IndexLink"/>
              </w:rPr>
              <w:t>126</w:t>
            </w:r>
          </w:hyperlink>
        </w:p>
        <w:p>
          <w:pPr>
            <w:pStyle w:val="Contents5"/>
            <w:tabs>
              <w:tab w:val="clear" w:pos="7892"/>
              <w:tab w:val="right" w:pos="9026" w:leader="dot"/>
            </w:tabs>
            <w:rPr/>
          </w:pPr>
          <w:hyperlink w:anchor="__RefHeading___Toc533723_3244359995">
            <w:r>
              <w:rPr>
                <w:webHidden/>
                <w:rStyle w:val="IndexLink"/>
                <w:rtl w:val="true"/>
              </w:rPr>
              <w:t>المقدمة الثالثة</w:t>
            </w:r>
            <w:r>
              <w:rPr>
                <w:rStyle w:val="IndexLink"/>
                <w:rtl w:val="true"/>
              </w:rPr>
              <w:t xml:space="preserve">: </w:t>
            </w:r>
            <w:r>
              <w:rPr>
                <w:rStyle w:val="IndexLink"/>
                <w:rtl w:val="true"/>
              </w:rPr>
              <w:t>حول أصولیة مسألة اجتماع الأمر و النهی و عدمها</w:t>
            </w:r>
            <w:r>
              <w:rPr>
                <w:rStyle w:val="IndexLink"/>
                <w:rtl w:val="true"/>
              </w:rPr>
              <w:tab/>
            </w:r>
            <w:r>
              <w:rPr>
                <w:rStyle w:val="IndexLink"/>
              </w:rPr>
              <w:t>127</w:t>
            </w:r>
          </w:hyperlink>
        </w:p>
        <w:p>
          <w:pPr>
            <w:pStyle w:val="Contents6"/>
            <w:tabs>
              <w:tab w:val="clear" w:pos="7609"/>
              <w:tab w:val="right" w:pos="9026" w:leader="dot"/>
            </w:tabs>
            <w:rPr/>
          </w:pPr>
          <w:hyperlink w:anchor="__RefHeading___Toc533725_3244359995">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533727_3244359995">
            <w:r>
              <w:rPr>
                <w:webHidden/>
                <w:rStyle w:val="IndexLink"/>
                <w:rtl w:val="true"/>
              </w:rPr>
              <w:t>ذنابة</w:t>
            </w:r>
            <w:r>
              <w:rPr>
                <w:rStyle w:val="IndexLink"/>
                <w:rtl w:val="true"/>
              </w:rPr>
              <w:tab/>
            </w:r>
            <w:r>
              <w:rPr>
                <w:rStyle w:val="IndexLink"/>
              </w:rPr>
              <w:t>134</w:t>
            </w:r>
          </w:hyperlink>
        </w:p>
        <w:p>
          <w:pPr>
            <w:pStyle w:val="Contents6"/>
            <w:tabs>
              <w:tab w:val="clear" w:pos="7609"/>
              <w:tab w:val="right" w:pos="9026" w:leader="dot"/>
            </w:tabs>
            <w:rPr/>
          </w:pPr>
          <w:hyperlink w:anchor="__RefHeading___Toc533729_3244359995">
            <w:r>
              <w:rPr>
                <w:webHidden/>
                <w:rStyle w:val="IndexLink"/>
                <w:rtl w:val="true"/>
              </w:rPr>
              <w:t>إفادة و إیقاظ</w:t>
            </w:r>
            <w:r>
              <w:rPr>
                <w:rStyle w:val="IndexLink"/>
                <w:rtl w:val="true"/>
              </w:rPr>
              <w:t xml:space="preserve">: </w:t>
            </w:r>
            <w:r>
              <w:rPr>
                <w:rStyle w:val="IndexLink"/>
                <w:rtl w:val="true"/>
              </w:rPr>
              <w:t>حول اقتضاء عقلیة المسألة لسقوط التفصیل بین العقل و العرف</w:t>
            </w:r>
            <w:r>
              <w:rPr>
                <w:rStyle w:val="IndexLink"/>
                <w:rtl w:val="true"/>
              </w:rPr>
              <w:tab/>
            </w:r>
            <w:r>
              <w:rPr>
                <w:rStyle w:val="IndexLink"/>
              </w:rPr>
              <w:t>136</w:t>
            </w:r>
          </w:hyperlink>
        </w:p>
        <w:p>
          <w:pPr>
            <w:pStyle w:val="Contents5"/>
            <w:tabs>
              <w:tab w:val="clear" w:pos="7892"/>
              <w:tab w:val="right" w:pos="9026" w:leader="dot"/>
            </w:tabs>
            <w:rPr/>
          </w:pPr>
          <w:hyperlink w:anchor="__RefHeading___Toc533731_3244359995">
            <w:r>
              <w:rPr>
                <w:webHidden/>
                <w:rStyle w:val="IndexLink"/>
                <w:rtl w:val="true"/>
              </w:rPr>
              <w:t>المقدمة الرابعة</w:t>
            </w:r>
            <w:r>
              <w:rPr>
                <w:rStyle w:val="IndexLink"/>
                <w:rtl w:val="true"/>
              </w:rPr>
              <w:t xml:space="preserve">: </w:t>
            </w:r>
            <w:r>
              <w:rPr>
                <w:rStyle w:val="IndexLink"/>
                <w:rtl w:val="true"/>
              </w:rPr>
              <w:t>فی عموم النزاع من ناحیة بعض الجهات الأخر</w:t>
            </w:r>
            <w:r>
              <w:rPr>
                <w:rStyle w:val="IndexLink"/>
                <w:rtl w:val="true"/>
              </w:rPr>
              <w:tab/>
            </w:r>
            <w:r>
              <w:rPr>
                <w:rStyle w:val="IndexLink"/>
              </w:rPr>
              <w:t>137</w:t>
            </w:r>
          </w:hyperlink>
        </w:p>
        <w:p>
          <w:pPr>
            <w:pStyle w:val="Contents6"/>
            <w:tabs>
              <w:tab w:val="clear" w:pos="7609"/>
              <w:tab w:val="right" w:pos="9026" w:leader="dot"/>
            </w:tabs>
            <w:rPr/>
          </w:pPr>
          <w:hyperlink w:anchor="__RefHeading___Toc533733_3244359995">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533735_3244359995">
            <w:r>
              <w:rPr>
                <w:webHidden/>
                <w:rStyle w:val="IndexLink"/>
                <w:rtl w:val="true"/>
              </w:rPr>
              <w:t>الجهة الأولی</w:t>
            </w:r>
            <w:r>
              <w:rPr>
                <w:rStyle w:val="IndexLink"/>
                <w:rtl w:val="true"/>
              </w:rPr>
              <w:t xml:space="preserve">: </w:t>
            </w:r>
            <w:r>
              <w:rPr>
                <w:rStyle w:val="IndexLink"/>
                <w:rtl w:val="true"/>
              </w:rPr>
              <w:t>فی شمول النزاع للتکلیف غیر الإلزامیّ</w:t>
            </w:r>
            <w:r>
              <w:rPr>
                <w:rStyle w:val="IndexLink"/>
                <w:rtl w:val="true"/>
              </w:rPr>
              <w:tab/>
            </w:r>
            <w:r>
              <w:rPr>
                <w:rStyle w:val="IndexLink"/>
              </w:rPr>
              <w:t>138</w:t>
            </w:r>
          </w:hyperlink>
        </w:p>
        <w:p>
          <w:pPr>
            <w:pStyle w:val="Contents6"/>
            <w:tabs>
              <w:tab w:val="clear" w:pos="7609"/>
              <w:tab w:val="right" w:pos="9026" w:leader="dot"/>
            </w:tabs>
            <w:rPr/>
          </w:pPr>
          <w:hyperlink w:anchor="__RefHeading___Toc533737_3244359995">
            <w:r>
              <w:rPr>
                <w:webHidden/>
                <w:rStyle w:val="IndexLink"/>
                <w:rtl w:val="true"/>
              </w:rPr>
              <w:t>الجهة الثانیة</w:t>
            </w:r>
            <w:r>
              <w:rPr>
                <w:rStyle w:val="IndexLink"/>
                <w:rtl w:val="true"/>
              </w:rPr>
              <w:t xml:space="preserve">: </w:t>
            </w:r>
            <w:r>
              <w:rPr>
                <w:rStyle w:val="IndexLink"/>
                <w:rtl w:val="true"/>
              </w:rPr>
              <w:t>فی شمول النزاع للأوامر الإرشادیة</w:t>
            </w:r>
            <w:r>
              <w:rPr>
                <w:rStyle w:val="IndexLink"/>
                <w:rtl w:val="true"/>
              </w:rPr>
              <w:tab/>
            </w:r>
            <w:r>
              <w:rPr>
                <w:rStyle w:val="IndexLink"/>
              </w:rPr>
              <w:t>138</w:t>
            </w:r>
          </w:hyperlink>
        </w:p>
        <w:p>
          <w:pPr>
            <w:pStyle w:val="Contents6"/>
            <w:tabs>
              <w:tab w:val="clear" w:pos="7609"/>
              <w:tab w:val="right" w:pos="9026" w:leader="dot"/>
            </w:tabs>
            <w:rPr/>
          </w:pPr>
          <w:hyperlink w:anchor="__RefHeading___Toc533739_3244359995">
            <w:r>
              <w:rPr>
                <w:webHidden/>
                <w:rStyle w:val="IndexLink"/>
                <w:rtl w:val="true"/>
              </w:rPr>
              <w:t>الجهة الثالثة</w:t>
            </w:r>
            <w:r>
              <w:rPr>
                <w:rStyle w:val="IndexLink"/>
                <w:rtl w:val="true"/>
              </w:rPr>
              <w:t xml:space="preserve">: </w:t>
            </w:r>
            <w:r>
              <w:rPr>
                <w:rStyle w:val="IndexLink"/>
                <w:rtl w:val="true"/>
              </w:rPr>
              <w:t>فی شمول النزاع لجمیع أنحاء الإیجاب و التحریم</w:t>
            </w:r>
            <w:r>
              <w:rPr>
                <w:rStyle w:val="IndexLink"/>
                <w:rtl w:val="true"/>
              </w:rPr>
              <w:tab/>
            </w:r>
            <w:r>
              <w:rPr>
                <w:rStyle w:val="IndexLink"/>
              </w:rPr>
              <w:t>140</w:t>
            </w:r>
          </w:hyperlink>
        </w:p>
        <w:p>
          <w:pPr>
            <w:pStyle w:val="Contents6"/>
            <w:tabs>
              <w:tab w:val="clear" w:pos="7609"/>
              <w:tab w:val="right" w:pos="9026" w:leader="dot"/>
            </w:tabs>
            <w:rPr/>
          </w:pPr>
          <w:hyperlink w:anchor="__RefHeading___Toc533741_3244359995">
            <w:r>
              <w:rPr>
                <w:webHidden/>
                <w:rStyle w:val="IndexLink"/>
                <w:rtl w:val="true"/>
              </w:rPr>
              <w:t>الجهة الرابعة</w:t>
            </w:r>
            <w:r>
              <w:rPr>
                <w:rStyle w:val="IndexLink"/>
                <w:rtl w:val="true"/>
              </w:rPr>
              <w:t xml:space="preserve">: </w:t>
            </w:r>
            <w:r>
              <w:rPr>
                <w:rStyle w:val="IndexLink"/>
                <w:rtl w:val="true"/>
              </w:rPr>
              <w:t>شمول النزاع للعنوانین اللذین بینهما عموم و خصوص مطلقاً</w:t>
            </w:r>
            <w:r>
              <w:rPr>
                <w:rStyle w:val="IndexLink"/>
                <w:rtl w:val="true"/>
              </w:rPr>
              <w:tab/>
            </w:r>
            <w:r>
              <w:rPr>
                <w:rStyle w:val="IndexLink"/>
              </w:rPr>
              <w:t>143</w:t>
            </w:r>
          </w:hyperlink>
        </w:p>
        <w:p>
          <w:pPr>
            <w:pStyle w:val="Contents6"/>
            <w:tabs>
              <w:tab w:val="clear" w:pos="7609"/>
              <w:tab w:val="right" w:pos="9026" w:leader="dot"/>
            </w:tabs>
            <w:rPr/>
          </w:pPr>
          <w:hyperlink w:anchor="__RefHeading___Toc533743_3244359995">
            <w:r>
              <w:rPr>
                <w:webHidden/>
                <w:rStyle w:val="IndexLink"/>
                <w:rtl w:val="true"/>
              </w:rPr>
              <w:t>شرائط اندراج العنوانین اللذین بینهما عموم و خصوص من وجه</w:t>
            </w:r>
            <w:r>
              <w:rPr>
                <w:rStyle w:val="IndexLink"/>
                <w:rtl w:val="true"/>
              </w:rPr>
              <w:tab/>
            </w:r>
            <w:r>
              <w:rPr>
                <w:rStyle w:val="IndexLink"/>
              </w:rPr>
              <w:t>147</w:t>
            </w:r>
          </w:hyperlink>
        </w:p>
        <w:p>
          <w:pPr>
            <w:pStyle w:val="Contents6"/>
            <w:tabs>
              <w:tab w:val="clear" w:pos="7609"/>
              <w:tab w:val="right" w:pos="9026" w:leader="dot"/>
            </w:tabs>
            <w:rPr/>
          </w:pPr>
          <w:hyperlink w:anchor="__RefHeading___Toc533745_3244359995">
            <w:r>
              <w:rPr>
                <w:webHidden/>
                <w:rStyle w:val="IndexLink"/>
                <w:rtl w:val="true"/>
              </w:rPr>
              <w:t>تذنیب</w:t>
            </w:r>
            <w:r>
              <w:rPr>
                <w:rStyle w:val="IndexLink"/>
                <w:rtl w:val="true"/>
              </w:rPr>
              <w:t xml:space="preserve">: </w:t>
            </w:r>
            <w:r>
              <w:rPr>
                <w:rStyle w:val="IndexLink"/>
                <w:rtl w:val="true"/>
              </w:rPr>
              <w:t>حول التمثیل لمسألة الاجتماع بالصلاة فی الدار المغصوبة</w:t>
            </w:r>
            <w:r>
              <w:rPr>
                <w:rStyle w:val="IndexLink"/>
                <w:rtl w:val="true"/>
              </w:rPr>
              <w:tab/>
            </w:r>
            <w:r>
              <w:rPr>
                <w:rStyle w:val="IndexLink"/>
              </w:rPr>
              <w:t>155</w:t>
            </w:r>
          </w:hyperlink>
        </w:p>
        <w:p>
          <w:pPr>
            <w:pStyle w:val="Contents5"/>
            <w:tabs>
              <w:tab w:val="clear" w:pos="7892"/>
              <w:tab w:val="right" w:pos="9026" w:leader="dot"/>
            </w:tabs>
            <w:rPr/>
          </w:pPr>
          <w:hyperlink w:anchor="__RefHeading___Toc533747_3244359995">
            <w:r>
              <w:rPr>
                <w:webHidden/>
                <w:rStyle w:val="IndexLink"/>
                <w:rtl w:val="true"/>
              </w:rPr>
              <w:t>المقدّمة الخامسة</w:t>
            </w:r>
            <w:r>
              <w:rPr>
                <w:rStyle w:val="IndexLink"/>
                <w:rtl w:val="true"/>
              </w:rPr>
              <w:t xml:space="preserve">: </w:t>
            </w:r>
            <w:r>
              <w:rPr>
                <w:rStyle w:val="IndexLink"/>
                <w:rtl w:val="true"/>
              </w:rPr>
              <w:t>حول توهّمات فی مبنی مسألة الاجتماع و الامتناع</w:t>
            </w:r>
            <w:r>
              <w:rPr>
                <w:rStyle w:val="IndexLink"/>
                <w:rtl w:val="true"/>
              </w:rPr>
              <w:tab/>
            </w:r>
            <w:r>
              <w:rPr>
                <w:rStyle w:val="IndexLink"/>
              </w:rPr>
              <w:t>159</w:t>
            </w:r>
          </w:hyperlink>
        </w:p>
        <w:p>
          <w:pPr>
            <w:pStyle w:val="Contents6"/>
            <w:tabs>
              <w:tab w:val="clear" w:pos="7609"/>
              <w:tab w:val="right" w:pos="9026" w:leader="dot"/>
            </w:tabs>
            <w:rPr/>
          </w:pPr>
          <w:hyperlink w:anchor="__RefHeading___Toc533749_3244359995">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533751_3244359995">
            <w:r>
              <w:rPr>
                <w:webHidden/>
                <w:rStyle w:val="IndexLink"/>
                <w:rtl w:val="true"/>
              </w:rPr>
              <w:t>التوهّم الأوّل</w:t>
            </w:r>
            <w:r>
              <w:rPr>
                <w:rStyle w:val="IndexLink"/>
                <w:rtl w:val="true"/>
              </w:rPr>
              <w:t>:</w:t>
              <w:tab/>
            </w:r>
            <w:r>
              <w:rPr>
                <w:rStyle w:val="IndexLink"/>
              </w:rPr>
              <w:t>159</w:t>
            </w:r>
          </w:hyperlink>
        </w:p>
        <w:p>
          <w:pPr>
            <w:pStyle w:val="Contents6"/>
            <w:tabs>
              <w:tab w:val="clear" w:pos="7609"/>
              <w:tab w:val="right" w:pos="9026" w:leader="dot"/>
            </w:tabs>
            <w:rPr/>
          </w:pPr>
          <w:hyperlink w:anchor="__RefHeading___Toc533753_3244359995">
            <w:r>
              <w:rPr>
                <w:webHidden/>
                <w:rStyle w:val="IndexLink"/>
                <w:rtl w:val="true"/>
              </w:rPr>
              <w:t>التوهم الثانی</w:t>
            </w:r>
            <w:r>
              <w:rPr>
                <w:rStyle w:val="IndexLink"/>
                <w:rtl w:val="true"/>
              </w:rPr>
              <w:t>:</w:t>
              <w:tab/>
            </w:r>
            <w:r>
              <w:rPr>
                <w:rStyle w:val="IndexLink"/>
              </w:rPr>
              <w:t>165</w:t>
            </w:r>
          </w:hyperlink>
        </w:p>
        <w:p>
          <w:pPr>
            <w:pStyle w:val="Contents6"/>
            <w:tabs>
              <w:tab w:val="clear" w:pos="7609"/>
              <w:tab w:val="right" w:pos="9026" w:leader="dot"/>
            </w:tabs>
            <w:rPr/>
          </w:pPr>
          <w:hyperlink w:anchor="__RefHeading___Toc533755_3244359995">
            <w:r>
              <w:rPr>
                <w:webHidden/>
                <w:rStyle w:val="IndexLink"/>
                <w:rtl w:val="true"/>
              </w:rPr>
              <w:t>التوهم الثالث</w:t>
            </w:r>
            <w:r>
              <w:rPr>
                <w:rStyle w:val="IndexLink"/>
                <w:rtl w:val="true"/>
              </w:rPr>
              <w:t>:</w:t>
              <w:tab/>
            </w:r>
            <w:r>
              <w:rPr>
                <w:rStyle w:val="IndexLink"/>
              </w:rPr>
              <w:t>166</w:t>
            </w:r>
          </w:hyperlink>
        </w:p>
        <w:p>
          <w:pPr>
            <w:pStyle w:val="Contents6"/>
            <w:tabs>
              <w:tab w:val="clear" w:pos="7609"/>
              <w:tab w:val="right" w:pos="9026" w:leader="dot"/>
            </w:tabs>
            <w:rPr/>
          </w:pPr>
          <w:hyperlink w:anchor="__RefHeading___Toc533757_3244359995">
            <w:r>
              <w:rPr>
                <w:webHidden/>
                <w:rStyle w:val="IndexLink"/>
                <w:rtl w:val="true"/>
              </w:rPr>
              <w:t>التوهم الرابع</w:t>
            </w:r>
            <w:r>
              <w:rPr>
                <w:rStyle w:val="IndexLink"/>
                <w:rtl w:val="true"/>
              </w:rPr>
              <w:t>:</w:t>
              <w:tab/>
            </w:r>
            <w:r>
              <w:rPr>
                <w:rStyle w:val="IndexLink"/>
              </w:rPr>
              <w:t>166</w:t>
            </w:r>
          </w:hyperlink>
        </w:p>
        <w:p>
          <w:pPr>
            <w:pStyle w:val="Contents6"/>
            <w:tabs>
              <w:tab w:val="clear" w:pos="7609"/>
              <w:tab w:val="right" w:pos="9026" w:leader="dot"/>
            </w:tabs>
            <w:rPr/>
          </w:pPr>
          <w:hyperlink w:anchor="__RefHeading___Toc533759_3244359995">
            <w:r>
              <w:rPr>
                <w:webHidden/>
                <w:rStyle w:val="IndexLink"/>
                <w:rtl w:val="true"/>
              </w:rPr>
              <w:t>التوهم الخامس</w:t>
            </w:r>
            <w:r>
              <w:rPr>
                <w:rStyle w:val="IndexLink"/>
                <w:rtl w:val="true"/>
              </w:rPr>
              <w:t>:</w:t>
              <w:tab/>
            </w:r>
            <w:r>
              <w:rPr>
                <w:rStyle w:val="IndexLink"/>
              </w:rPr>
              <w:t>167</w:t>
            </w:r>
          </w:hyperlink>
        </w:p>
        <w:p>
          <w:pPr>
            <w:pStyle w:val="Contents6"/>
            <w:tabs>
              <w:tab w:val="clear" w:pos="7609"/>
              <w:tab w:val="right" w:pos="9026" w:leader="dot"/>
            </w:tabs>
            <w:rPr/>
          </w:pPr>
          <w:hyperlink w:anchor="__RefHeading___Toc533761_3244359995">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533763_3244359995">
            <w:r>
              <w:rPr>
                <w:webHidden/>
                <w:rStyle w:val="IndexLink"/>
                <w:rtl w:val="true"/>
              </w:rPr>
              <w:t>إیقاظ و إفادة</w:t>
            </w:r>
            <w:r>
              <w:rPr>
                <w:rStyle w:val="IndexLink"/>
                <w:rtl w:val="true"/>
              </w:rPr>
              <w:t xml:space="preserve">: </w:t>
            </w:r>
            <w:r>
              <w:rPr>
                <w:rStyle w:val="IndexLink"/>
                <w:rtl w:val="true"/>
              </w:rPr>
              <w:t xml:space="preserve">حول توجیه الوالد المحقّق لما فی </w:t>
            </w:r>
            <w:r>
              <w:rPr>
                <w:rStyle w:val="IndexLink"/>
                <w:rtl w:val="true"/>
              </w:rPr>
              <w:t>«</w:t>
            </w:r>
            <w:r>
              <w:rPr>
                <w:rStyle w:val="IndexLink"/>
                <w:rtl w:val="true"/>
              </w:rPr>
              <w:t>الکفایة</w:t>
            </w:r>
            <w:r>
              <w:rPr>
                <w:rStyle w:val="IndexLink"/>
                <w:rtl w:val="true"/>
              </w:rPr>
              <w:t>»</w:t>
              <w:tab/>
            </w:r>
            <w:r>
              <w:rPr>
                <w:rStyle w:val="IndexLink"/>
              </w:rPr>
              <w:t>169</w:t>
            </w:r>
          </w:hyperlink>
        </w:p>
        <w:p>
          <w:pPr>
            <w:pStyle w:val="Contents6"/>
            <w:tabs>
              <w:tab w:val="clear" w:pos="7609"/>
              <w:tab w:val="right" w:pos="9026" w:leader="dot"/>
            </w:tabs>
            <w:rPr/>
          </w:pPr>
          <w:hyperlink w:anchor="__RefHeading___Toc533765_3244359995">
            <w:r>
              <w:rPr>
                <w:webHidden/>
                <w:rStyle w:val="IndexLink"/>
                <w:rtl w:val="true"/>
              </w:rPr>
              <w:t>التوهم السادس</w:t>
            </w:r>
            <w:r>
              <w:rPr>
                <w:rStyle w:val="IndexLink"/>
                <w:rtl w:val="true"/>
              </w:rPr>
              <w:t>:</w:t>
              <w:tab/>
            </w:r>
            <w:r>
              <w:rPr>
                <w:rStyle w:val="IndexLink"/>
              </w:rPr>
              <w:t>171</w:t>
            </w:r>
          </w:hyperlink>
        </w:p>
        <w:p>
          <w:pPr>
            <w:pStyle w:val="Contents6"/>
            <w:tabs>
              <w:tab w:val="clear" w:pos="7609"/>
              <w:tab w:val="right" w:pos="9026" w:leader="dot"/>
            </w:tabs>
            <w:rPr/>
          </w:pPr>
          <w:hyperlink w:anchor="__RefHeading___Toc533767_3244359995">
            <w:r>
              <w:rPr>
                <w:webHidden/>
                <w:rStyle w:val="IndexLink"/>
                <w:rtl w:val="true"/>
              </w:rPr>
              <w:t>التوهم السابع</w:t>
            </w:r>
            <w:r>
              <w:rPr>
                <w:rStyle w:val="IndexLink"/>
                <w:rtl w:val="true"/>
              </w:rPr>
              <w:t>:</w:t>
              <w:tab/>
            </w:r>
            <w:r>
              <w:rPr>
                <w:rStyle w:val="IndexLink"/>
              </w:rPr>
              <w:t>173</w:t>
            </w:r>
          </w:hyperlink>
        </w:p>
        <w:p>
          <w:pPr>
            <w:pStyle w:val="Contents6"/>
            <w:tabs>
              <w:tab w:val="clear" w:pos="7609"/>
              <w:tab w:val="right" w:pos="9026" w:leader="dot"/>
            </w:tabs>
            <w:rPr/>
          </w:pPr>
          <w:hyperlink w:anchor="__RefHeading___Toc533769_3244359995">
            <w:r>
              <w:rPr>
                <w:webHidden/>
                <w:rStyle w:val="IndexLink"/>
                <w:rtl w:val="true"/>
              </w:rPr>
              <w:t>التوهم الثامن</w:t>
            </w:r>
            <w:r>
              <w:rPr>
                <w:rStyle w:val="IndexLink"/>
                <w:rtl w:val="true"/>
              </w:rPr>
              <w:t>:</w:t>
              <w:tab/>
            </w:r>
            <w:r>
              <w:rPr>
                <w:rStyle w:val="IndexLink"/>
              </w:rPr>
              <w:t>175</w:t>
            </w:r>
          </w:hyperlink>
        </w:p>
        <w:p>
          <w:pPr>
            <w:pStyle w:val="Contents5"/>
            <w:tabs>
              <w:tab w:val="clear" w:pos="7892"/>
              <w:tab w:val="right" w:pos="9026" w:leader="dot"/>
            </w:tabs>
            <w:rPr/>
          </w:pPr>
          <w:hyperlink w:anchor="__RefHeading___Toc533771_3244359995">
            <w:r>
              <w:rPr>
                <w:webHidden/>
                <w:rStyle w:val="IndexLink"/>
                <w:rtl w:val="true"/>
              </w:rPr>
              <w:t>المقدمة السادسة</w:t>
            </w:r>
            <w:r>
              <w:rPr>
                <w:rStyle w:val="IndexLink"/>
                <w:rtl w:val="true"/>
              </w:rPr>
              <w:t xml:space="preserve">: </w:t>
            </w:r>
            <w:r>
              <w:rPr>
                <w:rStyle w:val="IndexLink"/>
                <w:rtl w:val="true"/>
              </w:rPr>
              <w:t>فیما یعدّ أو یمکن عدّه من الشرائط فی نزاع الامتناع و الاجتماع</w:t>
            </w:r>
            <w:r>
              <w:rPr>
                <w:rStyle w:val="IndexLink"/>
                <w:rtl w:val="true"/>
              </w:rPr>
              <w:tab/>
            </w:r>
            <w:r>
              <w:rPr>
                <w:rStyle w:val="IndexLink"/>
              </w:rPr>
              <w:t>175</w:t>
            </w:r>
          </w:hyperlink>
        </w:p>
        <w:p>
          <w:pPr>
            <w:pStyle w:val="Contents6"/>
            <w:tabs>
              <w:tab w:val="clear" w:pos="7609"/>
              <w:tab w:val="right" w:pos="9026" w:leader="dot"/>
            </w:tabs>
            <w:rPr/>
          </w:pPr>
          <w:hyperlink w:anchor="__RefHeading___Toc533773_3244359995">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533775_3244359995">
            <w:r>
              <w:rPr>
                <w:webHidden/>
                <w:rStyle w:val="IndexLink"/>
                <w:rtl w:val="true"/>
              </w:rPr>
              <w:t>الأمر الأول</w:t>
            </w:r>
            <w:r>
              <w:rPr>
                <w:rStyle w:val="IndexLink"/>
                <w:rtl w:val="true"/>
              </w:rPr>
              <w:t xml:space="preserve">: </w:t>
            </w:r>
            <w:r>
              <w:rPr>
                <w:rStyle w:val="IndexLink"/>
                <w:rtl w:val="true"/>
              </w:rPr>
              <w:t>ثبوت الإطلاقین المفیدین للتنجیز</w:t>
            </w:r>
            <w:r>
              <w:rPr>
                <w:rStyle w:val="IndexLink"/>
                <w:rtl w:val="true"/>
              </w:rPr>
              <w:tab/>
            </w:r>
            <w:r>
              <w:rPr>
                <w:rStyle w:val="IndexLink"/>
              </w:rPr>
              <w:t>175</w:t>
            </w:r>
          </w:hyperlink>
        </w:p>
        <w:p>
          <w:pPr>
            <w:pStyle w:val="Contents6"/>
            <w:tabs>
              <w:tab w:val="clear" w:pos="7609"/>
              <w:tab w:val="right" w:pos="9026" w:leader="dot"/>
            </w:tabs>
            <w:rPr/>
          </w:pPr>
          <w:hyperlink w:anchor="__RefHeading___Toc533777_3244359995">
            <w:r>
              <w:rPr>
                <w:webHidden/>
                <w:rStyle w:val="IndexLink"/>
                <w:rtl w:val="true"/>
              </w:rPr>
              <w:t>الأمر الثانی</w:t>
            </w:r>
            <w:r>
              <w:rPr>
                <w:rStyle w:val="IndexLink"/>
                <w:rtl w:val="true"/>
              </w:rPr>
              <w:t xml:space="preserve">: </w:t>
            </w:r>
            <w:r>
              <w:rPr>
                <w:rStyle w:val="IndexLink"/>
                <w:rtl w:val="true"/>
              </w:rPr>
              <w:t>وحدة الکون</w:t>
            </w:r>
            <w:r>
              <w:rPr>
                <w:rStyle w:val="IndexLink"/>
                <w:rtl w:val="true"/>
              </w:rPr>
              <w:tab/>
            </w:r>
            <w:r>
              <w:rPr>
                <w:rStyle w:val="IndexLink"/>
              </w:rPr>
              <w:t>176</w:t>
            </w:r>
          </w:hyperlink>
        </w:p>
        <w:p>
          <w:pPr>
            <w:pStyle w:val="Contents6"/>
            <w:tabs>
              <w:tab w:val="clear" w:pos="7609"/>
              <w:tab w:val="right" w:pos="9026" w:leader="dot"/>
            </w:tabs>
            <w:rPr/>
          </w:pPr>
          <w:hyperlink w:anchor="__RefHeading___Toc533779_3244359995">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533781_3244359995">
            <w:r>
              <w:rPr>
                <w:webHidden/>
                <w:rStyle w:val="IndexLink"/>
                <w:rtl w:val="true"/>
              </w:rPr>
              <w:t>إفادة</w:t>
            </w:r>
            <w:r>
              <w:rPr>
                <w:rStyle w:val="IndexLink"/>
                <w:rtl w:val="true"/>
              </w:rPr>
              <w:t xml:space="preserve">: </w:t>
            </w:r>
            <w:r>
              <w:rPr>
                <w:rStyle w:val="IndexLink"/>
                <w:rtl w:val="true"/>
              </w:rPr>
              <w:t>حول جریان النزاع فی الإکراه علی النّظر إلی الأجنبیة حال الصلاة</w:t>
            </w:r>
            <w:r>
              <w:rPr>
                <w:rStyle w:val="IndexLink"/>
                <w:rtl w:val="true"/>
              </w:rPr>
              <w:tab/>
            </w:r>
            <w:r>
              <w:rPr>
                <w:rStyle w:val="IndexLink"/>
              </w:rPr>
              <w:t>177</w:t>
            </w:r>
          </w:hyperlink>
        </w:p>
        <w:p>
          <w:pPr>
            <w:pStyle w:val="Contents6"/>
            <w:tabs>
              <w:tab w:val="clear" w:pos="7609"/>
              <w:tab w:val="right" w:pos="9026" w:leader="dot"/>
            </w:tabs>
            <w:rPr/>
          </w:pPr>
          <w:hyperlink w:anchor="__RefHeading___Toc533783_3244359995">
            <w:r>
              <w:rPr>
                <w:webHidden/>
                <w:rStyle w:val="IndexLink"/>
                <w:rtl w:val="true"/>
              </w:rPr>
              <w:t>الأمر الثالث</w:t>
            </w:r>
            <w:r>
              <w:rPr>
                <w:rStyle w:val="IndexLink"/>
                <w:rtl w:val="true"/>
              </w:rPr>
              <w:t xml:space="preserve">: </w:t>
            </w:r>
            <w:r>
              <w:rPr>
                <w:rStyle w:val="IndexLink"/>
                <w:rtl w:val="true"/>
              </w:rPr>
              <w:t>حول اعتبار المندوحة</w:t>
            </w:r>
            <w:r>
              <w:rPr>
                <w:rStyle w:val="IndexLink"/>
                <w:rtl w:val="true"/>
              </w:rPr>
              <w:tab/>
            </w:r>
            <w:r>
              <w:rPr>
                <w:rStyle w:val="IndexLink"/>
              </w:rPr>
              <w:t>178</w:t>
            </w:r>
          </w:hyperlink>
        </w:p>
        <w:p>
          <w:pPr>
            <w:pStyle w:val="Contents6"/>
            <w:tabs>
              <w:tab w:val="clear" w:pos="7609"/>
              <w:tab w:val="right" w:pos="9026" w:leader="dot"/>
            </w:tabs>
            <w:rPr/>
          </w:pPr>
          <w:hyperlink w:anchor="__RefHeading___Toc533785_3244359995">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533787_3244359995">
            <w:r>
              <w:rPr>
                <w:webHidden/>
                <w:rStyle w:val="IndexLink"/>
                <w:rtl w:val="true"/>
              </w:rPr>
              <w:t>الوجه الأول</w:t>
            </w:r>
            <w:r>
              <w:rPr>
                <w:rStyle w:val="IndexLink"/>
                <w:rtl w:val="true"/>
              </w:rPr>
              <w:t>:</w:t>
              <w:tab/>
            </w:r>
            <w:r>
              <w:rPr>
                <w:rStyle w:val="IndexLink"/>
              </w:rPr>
              <w:t>178</w:t>
            </w:r>
          </w:hyperlink>
        </w:p>
        <w:p>
          <w:pPr>
            <w:pStyle w:val="Contents6"/>
            <w:tabs>
              <w:tab w:val="clear" w:pos="7609"/>
              <w:tab w:val="right" w:pos="9026" w:leader="dot"/>
            </w:tabs>
            <w:rPr/>
          </w:pPr>
          <w:hyperlink w:anchor="__RefHeading___Toc533789_3244359995">
            <w:r>
              <w:rPr>
                <w:webHidden/>
                <w:rStyle w:val="IndexLink"/>
                <w:rtl w:val="true"/>
              </w:rPr>
              <w:t>الوجه الثانی</w:t>
            </w:r>
            <w:r>
              <w:rPr>
                <w:rStyle w:val="IndexLink"/>
                <w:rtl w:val="true"/>
              </w:rPr>
              <w:t>:</w:t>
              <w:tab/>
            </w:r>
            <w:r>
              <w:rPr>
                <w:rStyle w:val="IndexLink"/>
              </w:rPr>
              <w:t>179</w:t>
            </w:r>
          </w:hyperlink>
        </w:p>
        <w:p>
          <w:pPr>
            <w:pStyle w:val="Contents6"/>
            <w:tabs>
              <w:tab w:val="clear" w:pos="7609"/>
              <w:tab w:val="right" w:pos="9026" w:leader="dot"/>
            </w:tabs>
            <w:rPr/>
          </w:pPr>
          <w:hyperlink w:anchor="__RefHeading___Toc533791_3244359995">
            <w:r>
              <w:rPr>
                <w:webHidden/>
                <w:rStyle w:val="IndexLink"/>
                <w:rtl w:val="true"/>
              </w:rPr>
              <w:t>الوجه الثالث</w:t>
            </w:r>
            <w:r>
              <w:rPr>
                <w:rStyle w:val="IndexLink"/>
                <w:rtl w:val="true"/>
              </w:rPr>
              <w:t>:</w:t>
              <w:tab/>
            </w:r>
            <w:r>
              <w:rPr>
                <w:rStyle w:val="IndexLink"/>
              </w:rPr>
              <w:t>180</w:t>
            </w:r>
          </w:hyperlink>
        </w:p>
        <w:p>
          <w:pPr>
            <w:pStyle w:val="Contents6"/>
            <w:tabs>
              <w:tab w:val="clear" w:pos="7609"/>
              <w:tab w:val="right" w:pos="9026" w:leader="dot"/>
            </w:tabs>
            <w:rPr/>
          </w:pPr>
          <w:hyperlink w:anchor="__RefHeading___Toc533793_3244359995">
            <w:r>
              <w:rPr>
                <w:webHidden/>
                <w:rStyle w:val="IndexLink"/>
                <w:rtl w:val="true"/>
              </w:rPr>
              <w:t>الوجه الرابع</w:t>
            </w:r>
            <w:r>
              <w:rPr>
                <w:rStyle w:val="IndexLink"/>
                <w:rtl w:val="true"/>
              </w:rPr>
              <w:t>:</w:t>
              <w:tab/>
            </w:r>
            <w:r>
              <w:rPr>
                <w:rStyle w:val="IndexLink"/>
              </w:rPr>
              <w:t>181</w:t>
            </w:r>
          </w:hyperlink>
        </w:p>
        <w:p>
          <w:pPr>
            <w:pStyle w:val="Contents6"/>
            <w:tabs>
              <w:tab w:val="clear" w:pos="7609"/>
              <w:tab w:val="right" w:pos="9026" w:leader="dot"/>
            </w:tabs>
            <w:rPr/>
          </w:pPr>
          <w:hyperlink w:anchor="__RefHeading___Toc533795_3244359995">
            <w:r>
              <w:rPr>
                <w:webHidden/>
                <w:rStyle w:val="IndexLink"/>
                <w:rtl w:val="true"/>
              </w:rPr>
              <w:t>الوجه الخامس</w:t>
            </w:r>
            <w:r>
              <w:rPr>
                <w:rStyle w:val="IndexLink"/>
                <w:rtl w:val="true"/>
              </w:rPr>
              <w:t>:</w:t>
              <w:tab/>
            </w:r>
            <w:r>
              <w:rPr>
                <w:rStyle w:val="IndexLink"/>
              </w:rPr>
              <w:t>182</w:t>
            </w:r>
          </w:hyperlink>
        </w:p>
        <w:p>
          <w:pPr>
            <w:pStyle w:val="Contents6"/>
            <w:tabs>
              <w:tab w:val="clear" w:pos="7609"/>
              <w:tab w:val="right" w:pos="9026" w:leader="dot"/>
            </w:tabs>
            <w:rPr/>
          </w:pPr>
          <w:hyperlink w:anchor="__RefHeading___Toc533797_3244359995">
            <w:r>
              <w:rPr>
                <w:webHidden/>
                <w:rStyle w:val="IndexLink"/>
                <w:rtl w:val="true"/>
              </w:rPr>
              <w:t>التحقیق فی عدم اعتبار المندوحة</w:t>
            </w:r>
            <w:r>
              <w:rPr>
                <w:rStyle w:val="IndexLink"/>
                <w:rtl w:val="true"/>
              </w:rPr>
              <w:tab/>
            </w:r>
            <w:r>
              <w:rPr>
                <w:rStyle w:val="IndexLink"/>
              </w:rPr>
              <w:t>183</w:t>
            </w:r>
          </w:hyperlink>
        </w:p>
        <w:p>
          <w:pPr>
            <w:pStyle w:val="Contents6"/>
            <w:tabs>
              <w:tab w:val="clear" w:pos="7609"/>
              <w:tab w:val="right" w:pos="9026" w:leader="dot"/>
            </w:tabs>
            <w:rPr/>
          </w:pPr>
          <w:hyperlink w:anchor="__RefHeading___Toc533799_3244359995">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533801_3244359995">
            <w:r>
              <w:rPr>
                <w:webHidden/>
                <w:rStyle w:val="IndexLink"/>
                <w:rtl w:val="true"/>
              </w:rPr>
              <w:t>و فذلکة الکلام فی المقام</w:t>
            </w:r>
            <w:r>
              <w:rPr>
                <w:rStyle w:val="IndexLink"/>
                <w:rtl w:val="true"/>
              </w:rPr>
              <w:tab/>
            </w:r>
            <w:r>
              <w:rPr>
                <w:rStyle w:val="IndexLink"/>
              </w:rPr>
              <w:t>184</w:t>
            </w:r>
          </w:hyperlink>
        </w:p>
        <w:p>
          <w:pPr>
            <w:pStyle w:val="Contents6"/>
            <w:tabs>
              <w:tab w:val="clear" w:pos="7609"/>
              <w:tab w:val="right" w:pos="9026" w:leader="dot"/>
            </w:tabs>
            <w:rPr/>
          </w:pPr>
          <w:hyperlink w:anchor="__RefHeading___Toc533803_3244359995">
            <w:r>
              <w:rPr>
                <w:webHidden/>
                <w:rStyle w:val="IndexLink"/>
                <w:rtl w:val="true"/>
              </w:rPr>
              <w:t>تذنیب</w:t>
            </w:r>
            <w:r>
              <w:rPr>
                <w:rStyle w:val="IndexLink"/>
                <w:rtl w:val="true"/>
              </w:rPr>
              <w:t xml:space="preserve">: </w:t>
            </w:r>
            <w:r>
              <w:rPr>
                <w:rStyle w:val="IndexLink"/>
                <w:rtl w:val="true"/>
              </w:rPr>
              <w:t>فی کلام المحقّق القمّی</w:t>
            </w:r>
            <w:r>
              <w:rPr>
                <w:rStyle w:val="IndexLink"/>
                <w:rtl w:val="true"/>
              </w:rPr>
              <w:tab/>
            </w:r>
            <w:r>
              <w:rPr>
                <w:rStyle w:val="IndexLink"/>
              </w:rPr>
              <w:t>185</w:t>
            </w:r>
          </w:hyperlink>
        </w:p>
        <w:p>
          <w:pPr>
            <w:pStyle w:val="Contents6"/>
            <w:tabs>
              <w:tab w:val="clear" w:pos="7609"/>
              <w:tab w:val="right" w:pos="9026" w:leader="dot"/>
            </w:tabs>
            <w:rPr/>
          </w:pPr>
          <w:hyperlink w:anchor="__RefHeading___Toc533805_3244359995">
            <w:r>
              <w:rPr>
                <w:webHidden/>
                <w:rStyle w:val="IndexLink"/>
                <w:rtl w:val="true"/>
              </w:rPr>
              <w:t>إفادة</w:t>
            </w:r>
            <w:r>
              <w:rPr>
                <w:rStyle w:val="IndexLink"/>
                <w:rtl w:val="true"/>
              </w:rPr>
              <w:t xml:space="preserve">: </w:t>
            </w:r>
            <w:r>
              <w:rPr>
                <w:rStyle w:val="IndexLink"/>
                <w:rtl w:val="true"/>
              </w:rPr>
              <w:t>حول مختار المحقّق الإیروانی قدس سره فی عدم اعتبار المندوحة</w:t>
            </w:r>
            <w:r>
              <w:rPr>
                <w:rStyle w:val="IndexLink"/>
                <w:rtl w:val="true"/>
              </w:rPr>
              <w:tab/>
            </w:r>
            <w:r>
              <w:rPr>
                <w:rStyle w:val="IndexLink"/>
              </w:rPr>
              <w:t>185</w:t>
            </w:r>
          </w:hyperlink>
        </w:p>
        <w:p>
          <w:pPr>
            <w:pStyle w:val="Contents6"/>
            <w:tabs>
              <w:tab w:val="clear" w:pos="7609"/>
              <w:tab w:val="right" w:pos="9026" w:leader="dot"/>
            </w:tabs>
            <w:rPr/>
          </w:pPr>
          <w:hyperlink w:anchor="__RefHeading___Toc533807_3244359995">
            <w:r>
              <w:rPr>
                <w:webHidden/>
                <w:rStyle w:val="IndexLink"/>
                <w:rtl w:val="true"/>
              </w:rPr>
              <w:t>إیقاظ</w:t>
            </w:r>
            <w:r>
              <w:rPr>
                <w:rStyle w:val="IndexLink"/>
                <w:rtl w:val="true"/>
              </w:rPr>
              <w:t xml:space="preserve">: </w:t>
            </w:r>
            <w:r>
              <w:rPr>
                <w:rStyle w:val="IndexLink"/>
                <w:rtl w:val="true"/>
              </w:rPr>
              <w:t>فی تحقّق المندوحة بالتمکّن الطولی من الفرد المباح</w:t>
            </w:r>
            <w:r>
              <w:rPr>
                <w:rStyle w:val="IndexLink"/>
                <w:rtl w:val="true"/>
              </w:rPr>
              <w:tab/>
            </w:r>
            <w:r>
              <w:rPr>
                <w:rStyle w:val="IndexLink"/>
              </w:rPr>
              <w:t>186</w:t>
            </w:r>
          </w:hyperlink>
        </w:p>
        <w:p>
          <w:pPr>
            <w:pStyle w:val="Contents6"/>
            <w:tabs>
              <w:tab w:val="clear" w:pos="7609"/>
              <w:tab w:val="right" w:pos="9026" w:leader="dot"/>
            </w:tabs>
            <w:rPr/>
          </w:pPr>
          <w:hyperlink w:anchor="__RefHeading___Toc533809_3244359995">
            <w:r>
              <w:rPr>
                <w:webHidden/>
                <w:rStyle w:val="IndexLink"/>
                <w:rtl w:val="true"/>
              </w:rPr>
              <w:t>الأمر الرابع</w:t>
            </w:r>
            <w:r>
              <w:rPr>
                <w:rStyle w:val="IndexLink"/>
                <w:rtl w:val="true"/>
              </w:rPr>
              <w:t xml:space="preserve">: </w:t>
            </w:r>
            <w:r>
              <w:rPr>
                <w:rStyle w:val="IndexLink"/>
                <w:rtl w:val="true"/>
              </w:rPr>
              <w:t>ترتّب الثمرة المقصودة</w:t>
            </w:r>
            <w:r>
              <w:rPr>
                <w:rStyle w:val="IndexLink"/>
                <w:rtl w:val="true"/>
              </w:rPr>
              <w:tab/>
            </w:r>
            <w:r>
              <w:rPr>
                <w:rStyle w:val="IndexLink"/>
              </w:rPr>
              <w:t>186</w:t>
            </w:r>
          </w:hyperlink>
        </w:p>
        <w:p>
          <w:pPr>
            <w:pStyle w:val="Contents6"/>
            <w:tabs>
              <w:tab w:val="clear" w:pos="7609"/>
              <w:tab w:val="right" w:pos="9026" w:leader="dot"/>
            </w:tabs>
            <w:rPr/>
          </w:pPr>
          <w:hyperlink w:anchor="__RefHeading___Toc533811_3244359995">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533813_3244359995">
            <w:r>
              <w:rPr>
                <w:webHidden/>
                <w:rStyle w:val="IndexLink"/>
                <w:rtl w:val="true"/>
              </w:rPr>
              <w:t>الإشکال الأوّل</w:t>
            </w:r>
            <w:r>
              <w:rPr>
                <w:rStyle w:val="IndexLink"/>
                <w:rtl w:val="true"/>
              </w:rPr>
              <w:t>:</w:t>
              <w:tab/>
            </w:r>
            <w:r>
              <w:rPr>
                <w:rStyle w:val="IndexLink"/>
              </w:rPr>
              <w:t>187</w:t>
            </w:r>
          </w:hyperlink>
        </w:p>
        <w:p>
          <w:pPr>
            <w:pStyle w:val="Contents6"/>
            <w:tabs>
              <w:tab w:val="clear" w:pos="7609"/>
              <w:tab w:val="right" w:pos="9026" w:leader="dot"/>
            </w:tabs>
            <w:rPr/>
          </w:pPr>
          <w:hyperlink w:anchor="__RefHeading___Toc533815_3244359995">
            <w:r>
              <w:rPr>
                <w:webHidden/>
                <w:rStyle w:val="IndexLink"/>
                <w:rtl w:val="true"/>
              </w:rPr>
              <w:t>الإشکال الثانی</w:t>
            </w:r>
            <w:r>
              <w:rPr>
                <w:rStyle w:val="IndexLink"/>
                <w:rtl w:val="true"/>
              </w:rPr>
              <w:t>:</w:t>
              <w:tab/>
            </w:r>
            <w:r>
              <w:rPr>
                <w:rStyle w:val="IndexLink"/>
              </w:rPr>
              <w:t>190</w:t>
            </w:r>
          </w:hyperlink>
        </w:p>
        <w:p>
          <w:pPr>
            <w:pStyle w:val="Contents6"/>
            <w:tabs>
              <w:tab w:val="clear" w:pos="7609"/>
              <w:tab w:val="right" w:pos="9026" w:leader="dot"/>
            </w:tabs>
            <w:rPr/>
          </w:pPr>
          <w:hyperlink w:anchor="__RefHeading___Toc533817_3244359995">
            <w:r>
              <w:rPr>
                <w:webHidden/>
                <w:rStyle w:val="IndexLink"/>
                <w:rtl w:val="true"/>
              </w:rPr>
              <w:t>الإشکال الثالث</w:t>
            </w:r>
            <w:r>
              <w:rPr>
                <w:rStyle w:val="IndexLink"/>
                <w:rtl w:val="true"/>
              </w:rPr>
              <w:t>:</w:t>
              <w:tab/>
            </w:r>
            <w:r>
              <w:rPr>
                <w:rStyle w:val="IndexLink"/>
              </w:rPr>
              <w:t>191</w:t>
            </w:r>
          </w:hyperlink>
        </w:p>
        <w:p>
          <w:pPr>
            <w:pStyle w:val="Contents6"/>
            <w:tabs>
              <w:tab w:val="clear" w:pos="7609"/>
              <w:tab w:val="right" w:pos="9026" w:leader="dot"/>
            </w:tabs>
            <w:rPr/>
          </w:pPr>
          <w:hyperlink w:anchor="__RefHeading___Toc533819_3244359995">
            <w:r>
              <w:rPr>
                <w:webHidden/>
                <w:rStyle w:val="IndexLink"/>
                <w:rtl w:val="true"/>
              </w:rPr>
              <w:t>الإشکال الرابع</w:t>
            </w:r>
            <w:r>
              <w:rPr>
                <w:rStyle w:val="IndexLink"/>
                <w:rtl w:val="true"/>
              </w:rPr>
              <w:t>:</w:t>
              <w:tab/>
            </w:r>
            <w:r>
              <w:rPr>
                <w:rStyle w:val="IndexLink"/>
              </w:rPr>
              <w:t>192</w:t>
            </w:r>
          </w:hyperlink>
        </w:p>
        <w:p>
          <w:pPr>
            <w:pStyle w:val="Contents6"/>
            <w:tabs>
              <w:tab w:val="clear" w:pos="7609"/>
              <w:tab w:val="right" w:pos="9026" w:leader="dot"/>
            </w:tabs>
            <w:rPr/>
          </w:pPr>
          <w:hyperlink w:anchor="__RefHeading___Toc533821_3244359995">
            <w:r>
              <w:rPr>
                <w:webHidden/>
                <w:rStyle w:val="IndexLink"/>
                <w:rtl w:val="true"/>
              </w:rPr>
              <w:t>الإشکال الخامس</w:t>
            </w:r>
            <w:r>
              <w:rPr>
                <w:rStyle w:val="IndexLink"/>
                <w:rtl w:val="true"/>
              </w:rPr>
              <w:t>:</w:t>
              <w:tab/>
            </w:r>
            <w:r>
              <w:rPr>
                <w:rStyle w:val="IndexLink"/>
              </w:rPr>
              <w:t>194</w:t>
            </w:r>
          </w:hyperlink>
        </w:p>
        <w:p>
          <w:pPr>
            <w:pStyle w:val="Contents6"/>
            <w:tabs>
              <w:tab w:val="clear" w:pos="7609"/>
              <w:tab w:val="right" w:pos="9026" w:leader="dot"/>
            </w:tabs>
            <w:rPr/>
          </w:pPr>
          <w:hyperlink w:anchor="__RefHeading___Toc533823_3244359995">
            <w:r>
              <w:rPr>
                <w:webHidden/>
                <w:rStyle w:val="IndexLink"/>
                <w:rtl w:val="true"/>
              </w:rPr>
              <w:t>تذنیب</w:t>
            </w:r>
            <w:r>
              <w:rPr>
                <w:rStyle w:val="IndexLink"/>
                <w:rtl w:val="true"/>
              </w:rPr>
              <w:t xml:space="preserve">: </w:t>
            </w:r>
            <w:r>
              <w:rPr>
                <w:rStyle w:val="IndexLink"/>
                <w:rtl w:val="true"/>
              </w:rPr>
              <w:t>حول صحّة عبادة الجاهل و الناسی علی القواعد</w:t>
            </w:r>
            <w:r>
              <w:rPr>
                <w:rStyle w:val="IndexLink"/>
                <w:rtl w:val="true"/>
              </w:rPr>
              <w:tab/>
            </w:r>
            <w:r>
              <w:rPr>
                <w:rStyle w:val="IndexLink"/>
              </w:rPr>
              <w:t>197</w:t>
            </w:r>
          </w:hyperlink>
        </w:p>
        <w:p>
          <w:pPr>
            <w:pStyle w:val="Contents4"/>
            <w:tabs>
              <w:tab w:val="clear" w:pos="8176"/>
              <w:tab w:val="right" w:pos="9026" w:leader="dot"/>
            </w:tabs>
            <w:rPr/>
          </w:pPr>
          <w:hyperlink w:anchor="__RefHeading___Toc533825_3244359995">
            <w:r>
              <w:rPr>
                <w:webHidden/>
                <w:rStyle w:val="IndexLink"/>
                <w:rtl w:val="true"/>
              </w:rPr>
              <w:t>التحقیق فی جواز الاجتماع و عدمه</w:t>
            </w:r>
            <w:r>
              <w:rPr>
                <w:rStyle w:val="IndexLink"/>
                <w:rtl w:val="true"/>
              </w:rPr>
              <w:tab/>
            </w:r>
            <w:r>
              <w:rPr>
                <w:rStyle w:val="IndexLink"/>
              </w:rPr>
              <w:t>200</w:t>
            </w:r>
          </w:hyperlink>
        </w:p>
        <w:p>
          <w:pPr>
            <w:pStyle w:val="Contents5"/>
            <w:tabs>
              <w:tab w:val="clear" w:pos="7892"/>
              <w:tab w:val="right" w:pos="9026" w:leader="dot"/>
            </w:tabs>
            <w:rPr/>
          </w:pPr>
          <w:hyperlink w:anchor="__RefHeading___Toc533827_3244359995">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533829_3244359995">
            <w:r>
              <w:rPr>
                <w:webHidden/>
                <w:rStyle w:val="IndexLink"/>
                <w:rtl w:val="true"/>
              </w:rPr>
              <w:t>المقام الأوّل</w:t>
            </w:r>
            <w:r>
              <w:rPr>
                <w:rStyle w:val="IndexLink"/>
                <w:rtl w:val="true"/>
              </w:rPr>
              <w:t xml:space="preserve">: </w:t>
            </w:r>
            <w:r>
              <w:rPr>
                <w:rStyle w:val="IndexLink"/>
                <w:rtl w:val="true"/>
              </w:rPr>
              <w:t>فی کفایة اختلاف العنوانین لرفع غائلة الاجتماع</w:t>
            </w:r>
            <w:r>
              <w:rPr>
                <w:rStyle w:val="IndexLink"/>
                <w:rtl w:val="true"/>
              </w:rPr>
              <w:tab/>
            </w:r>
            <w:r>
              <w:rPr>
                <w:rStyle w:val="IndexLink"/>
              </w:rPr>
              <w:t>202</w:t>
            </w:r>
          </w:hyperlink>
        </w:p>
        <w:p>
          <w:pPr>
            <w:pStyle w:val="Contents6"/>
            <w:tabs>
              <w:tab w:val="clear" w:pos="7609"/>
              <w:tab w:val="right" w:pos="9026" w:leader="dot"/>
            </w:tabs>
            <w:rPr/>
          </w:pPr>
          <w:hyperlink w:anchor="__RefHeading___Toc533831_3244359995">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533833_3244359995">
            <w:r>
              <w:rPr>
                <w:webHidden/>
                <w:rStyle w:val="IndexLink"/>
                <w:rtl w:val="true"/>
              </w:rPr>
              <w:t>فذلکة الکلام</w:t>
            </w:r>
            <w:r>
              <w:rPr>
                <w:rStyle w:val="IndexLink"/>
                <w:rtl w:val="true"/>
              </w:rPr>
              <w:tab/>
            </w:r>
            <w:r>
              <w:rPr>
                <w:rStyle w:val="IndexLink"/>
              </w:rPr>
              <w:t>210</w:t>
            </w:r>
          </w:hyperlink>
        </w:p>
        <w:p>
          <w:pPr>
            <w:pStyle w:val="Contents6"/>
            <w:tabs>
              <w:tab w:val="clear" w:pos="7609"/>
              <w:tab w:val="right" w:pos="9026" w:leader="dot"/>
            </w:tabs>
            <w:rPr/>
          </w:pPr>
          <w:hyperlink w:anchor="__RefHeading___Toc533835_3244359995">
            <w:r>
              <w:rPr>
                <w:webHidden/>
                <w:rStyle w:val="IndexLink"/>
                <w:rtl w:val="true"/>
              </w:rPr>
              <w:t>إیضاح و إفادة</w:t>
            </w:r>
            <w:r>
              <w:rPr>
                <w:rStyle w:val="IndexLink"/>
                <w:rtl w:val="true"/>
              </w:rPr>
              <w:tab/>
            </w:r>
            <w:r>
              <w:rPr>
                <w:rStyle w:val="IndexLink"/>
              </w:rPr>
              <w:t>212</w:t>
            </w:r>
          </w:hyperlink>
        </w:p>
        <w:p>
          <w:pPr>
            <w:pStyle w:val="Contents5"/>
            <w:tabs>
              <w:tab w:val="clear" w:pos="7892"/>
              <w:tab w:val="right" w:pos="9026" w:leader="dot"/>
            </w:tabs>
            <w:rPr/>
          </w:pPr>
          <w:hyperlink w:anchor="__RefHeading___Toc533837_3244359995">
            <w:r>
              <w:rPr>
                <w:webHidden/>
                <w:rStyle w:val="IndexLink"/>
                <w:rtl w:val="true"/>
              </w:rPr>
              <w:t>المقام الثانی</w:t>
            </w:r>
            <w:r>
              <w:rPr>
                <w:rStyle w:val="IndexLink"/>
                <w:rtl w:val="true"/>
              </w:rPr>
              <w:t xml:space="preserve">: </w:t>
            </w:r>
            <w:r>
              <w:rPr>
                <w:rStyle w:val="IndexLink"/>
                <w:rtl w:val="true"/>
              </w:rPr>
              <w:t>فی معقولیّة أمر المولی و نهیه عن عنوانین مع وحدة المعنون</w:t>
            </w:r>
            <w:r>
              <w:rPr>
                <w:rStyle w:val="IndexLink"/>
                <w:rtl w:val="true"/>
              </w:rPr>
              <w:tab/>
            </w:r>
            <w:r>
              <w:rPr>
                <w:rStyle w:val="IndexLink"/>
              </w:rPr>
              <w:t>213</w:t>
            </w:r>
          </w:hyperlink>
        </w:p>
        <w:p>
          <w:pPr>
            <w:pStyle w:val="Contents4"/>
            <w:tabs>
              <w:tab w:val="clear" w:pos="8176"/>
              <w:tab w:val="right" w:pos="9026" w:leader="dot"/>
            </w:tabs>
            <w:rPr/>
          </w:pPr>
          <w:hyperlink w:anchor="__RefHeading___Toc533839_3244359995">
            <w:r>
              <w:rPr>
                <w:webHidden/>
                <w:rStyle w:val="IndexLink"/>
                <w:rtl w:val="true"/>
              </w:rPr>
              <w:t>تنبیهات</w:t>
            </w:r>
            <w:r>
              <w:rPr>
                <w:rStyle w:val="IndexLink"/>
                <w:rtl w:val="true"/>
              </w:rPr>
              <w:tab/>
            </w:r>
            <w:r>
              <w:rPr>
                <w:rStyle w:val="IndexLink"/>
              </w:rPr>
              <w:t>217</w:t>
            </w:r>
          </w:hyperlink>
        </w:p>
        <w:p>
          <w:pPr>
            <w:pStyle w:val="Contents5"/>
            <w:tabs>
              <w:tab w:val="clear" w:pos="7892"/>
              <w:tab w:val="right" w:pos="9026" w:leader="dot"/>
            </w:tabs>
            <w:rPr/>
          </w:pPr>
          <w:hyperlink w:anchor="__RefHeading___Toc533841_3244359995">
            <w:r>
              <w:rPr>
                <w:webHidden/>
                <w:rStyle w:val="IndexLink"/>
                <w:rtl w:val="true"/>
              </w:rPr>
              <w:t>التنبیه الأوّل محذور اجتماع الأوصاف المتقابلة فی المجمع</w:t>
            </w:r>
            <w:r>
              <w:rPr>
                <w:rStyle w:val="IndexLink"/>
                <w:rtl w:val="true"/>
              </w:rPr>
              <w:tab/>
            </w:r>
            <w:r>
              <w:rPr>
                <w:rStyle w:val="IndexLink"/>
              </w:rPr>
              <w:t>217</w:t>
            </w:r>
          </w:hyperlink>
        </w:p>
        <w:p>
          <w:pPr>
            <w:pStyle w:val="Contents5"/>
            <w:tabs>
              <w:tab w:val="clear" w:pos="7892"/>
              <w:tab w:val="right" w:pos="9026" w:leader="dot"/>
            </w:tabs>
            <w:rPr/>
          </w:pPr>
          <w:hyperlink w:anchor="__RefHeading___Toc533843_3244359995">
            <w:r>
              <w:rPr>
                <w:webHidden/>
                <w:rStyle w:val="IndexLink"/>
                <w:rtl w:val="true"/>
              </w:rPr>
              <w:t>التنبیه الثانی حول اندراج المسألة فی باب التعارض أو التزاحم</w:t>
            </w:r>
            <w:r>
              <w:rPr>
                <w:rStyle w:val="IndexLink"/>
                <w:rtl w:val="true"/>
              </w:rPr>
              <w:tab/>
            </w:r>
            <w:r>
              <w:rPr>
                <w:rStyle w:val="IndexLink"/>
              </w:rPr>
              <w:t>220</w:t>
            </w:r>
          </w:hyperlink>
        </w:p>
        <w:p>
          <w:pPr>
            <w:pStyle w:val="Contents5"/>
            <w:tabs>
              <w:tab w:val="clear" w:pos="7892"/>
              <w:tab w:val="right" w:pos="9026" w:leader="dot"/>
            </w:tabs>
            <w:rPr/>
          </w:pPr>
          <w:hyperlink w:anchor="__RefHeading___Toc533845_3244359995">
            <w:r>
              <w:rPr>
                <w:webHidden/>
                <w:rStyle w:val="IndexLink"/>
                <w:rtl w:val="true"/>
              </w:rPr>
              <w:t>التنبیه الثالث فی حکم الشک فی الاجتماع و الامتناع صحة و فسادا</w:t>
            </w:r>
            <w:r>
              <w:rPr>
                <w:rStyle w:val="IndexLink"/>
                <w:rtl w:val="true"/>
              </w:rPr>
              <w:tab/>
            </w:r>
            <w:r>
              <w:rPr>
                <w:rStyle w:val="IndexLink"/>
              </w:rPr>
              <w:t>224</w:t>
            </w:r>
          </w:hyperlink>
        </w:p>
        <w:p>
          <w:pPr>
            <w:pStyle w:val="Contents6"/>
            <w:tabs>
              <w:tab w:val="clear" w:pos="7609"/>
              <w:tab w:val="right" w:pos="9026" w:leader="dot"/>
            </w:tabs>
            <w:rPr/>
          </w:pPr>
          <w:hyperlink w:anchor="__RefHeading___Toc533847_3244359995">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533849_3244359995">
            <w:r>
              <w:rPr>
                <w:webHidden/>
                <w:rStyle w:val="IndexLink"/>
                <w:rtl w:val="true"/>
              </w:rPr>
              <w:t>فذلکة الکلام</w:t>
            </w:r>
            <w:r>
              <w:rPr>
                <w:rStyle w:val="IndexLink"/>
                <w:rtl w:val="true"/>
              </w:rPr>
              <w:tab/>
            </w:r>
            <w:r>
              <w:rPr>
                <w:rStyle w:val="IndexLink"/>
              </w:rPr>
              <w:t>225</w:t>
            </w:r>
          </w:hyperlink>
        </w:p>
        <w:p>
          <w:pPr>
            <w:pStyle w:val="Contents6"/>
            <w:tabs>
              <w:tab w:val="clear" w:pos="7609"/>
              <w:tab w:val="right" w:pos="9026" w:leader="dot"/>
            </w:tabs>
            <w:rPr/>
          </w:pPr>
          <w:hyperlink w:anchor="__RefHeading___Toc533851_3244359995">
            <w:r>
              <w:rPr>
                <w:webHidden/>
                <w:rStyle w:val="IndexLink"/>
                <w:rtl w:val="true"/>
              </w:rPr>
              <w:t>تکمیل</w:t>
            </w:r>
            <w:r>
              <w:rPr>
                <w:rStyle w:val="IndexLink"/>
                <w:rtl w:val="true"/>
              </w:rPr>
              <w:tab/>
            </w:r>
            <w:r>
              <w:rPr>
                <w:rStyle w:val="IndexLink"/>
              </w:rPr>
              <w:t>227</w:t>
            </w:r>
          </w:hyperlink>
        </w:p>
        <w:p>
          <w:pPr>
            <w:pStyle w:val="Contents5"/>
            <w:tabs>
              <w:tab w:val="clear" w:pos="7892"/>
              <w:tab w:val="right" w:pos="9026" w:leader="dot"/>
            </w:tabs>
            <w:rPr/>
          </w:pPr>
          <w:hyperlink w:anchor="__RefHeading___Toc533853_3244359995">
            <w:r>
              <w:rPr>
                <w:webHidden/>
                <w:rStyle w:val="IndexLink"/>
                <w:rtl w:val="true"/>
              </w:rPr>
              <w:t>التنبیه الرابع الاستدلال علی الاجتماع ببعض الروایات</w:t>
            </w:r>
            <w:r>
              <w:rPr>
                <w:rStyle w:val="IndexLink"/>
                <w:rtl w:val="true"/>
              </w:rPr>
              <w:tab/>
            </w:r>
            <w:r>
              <w:rPr>
                <w:rStyle w:val="IndexLink"/>
              </w:rPr>
              <w:t>228</w:t>
            </w:r>
          </w:hyperlink>
        </w:p>
        <w:p>
          <w:pPr>
            <w:pStyle w:val="Contents6"/>
            <w:tabs>
              <w:tab w:val="clear" w:pos="7609"/>
              <w:tab w:val="right" w:pos="9026" w:leader="dot"/>
            </w:tabs>
            <w:rPr/>
          </w:pPr>
          <w:hyperlink w:anchor="__RefHeading___Toc533855_3244359995">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533857_3244359995">
            <w:r>
              <w:rPr>
                <w:webHidden/>
                <w:rStyle w:val="IndexLink"/>
                <w:rtl w:val="true"/>
              </w:rPr>
              <w:t>توهّم و دفع</w:t>
            </w:r>
            <w:r>
              <w:rPr>
                <w:rStyle w:val="IndexLink"/>
                <w:rtl w:val="true"/>
              </w:rPr>
              <w:tab/>
            </w:r>
            <w:r>
              <w:rPr>
                <w:rStyle w:val="IndexLink"/>
              </w:rPr>
              <w:t>230</w:t>
            </w:r>
          </w:hyperlink>
        </w:p>
        <w:p>
          <w:pPr>
            <w:pStyle w:val="Contents6"/>
            <w:tabs>
              <w:tab w:val="clear" w:pos="7609"/>
              <w:tab w:val="right" w:pos="9026" w:leader="dot"/>
            </w:tabs>
            <w:rPr/>
          </w:pPr>
          <w:hyperlink w:anchor="__RefHeading___Toc533859_3244359995">
            <w:r>
              <w:rPr>
                <w:webHidden/>
                <w:rStyle w:val="IndexLink"/>
                <w:rtl w:val="true"/>
              </w:rPr>
              <w:t>تلخیص</w:t>
            </w:r>
            <w:r>
              <w:rPr>
                <w:rStyle w:val="IndexLink"/>
                <w:rtl w:val="true"/>
              </w:rPr>
              <w:tab/>
            </w:r>
            <w:r>
              <w:rPr>
                <w:rStyle w:val="IndexLink"/>
              </w:rPr>
              <w:t>232</w:t>
            </w:r>
          </w:hyperlink>
        </w:p>
        <w:p>
          <w:pPr>
            <w:pStyle w:val="Contents5"/>
            <w:tabs>
              <w:tab w:val="clear" w:pos="7892"/>
              <w:tab w:val="right" w:pos="9026" w:leader="dot"/>
            </w:tabs>
            <w:rPr/>
          </w:pPr>
          <w:hyperlink w:anchor="__RefHeading___Toc533861_3244359995">
            <w:r>
              <w:rPr>
                <w:webHidden/>
                <w:rStyle w:val="IndexLink"/>
                <w:rtl w:val="true"/>
              </w:rPr>
              <w:t>التنبیه الخامس حول الاستدلال علی الاجتماع بالعبادات المکروهة</w:t>
            </w:r>
            <w:r>
              <w:rPr>
                <w:rStyle w:val="IndexLink"/>
                <w:rtl w:val="true"/>
              </w:rPr>
              <w:tab/>
            </w:r>
            <w:r>
              <w:rPr>
                <w:rStyle w:val="IndexLink"/>
              </w:rPr>
              <w:t>233</w:t>
            </w:r>
          </w:hyperlink>
        </w:p>
        <w:p>
          <w:pPr>
            <w:pStyle w:val="Contents6"/>
            <w:tabs>
              <w:tab w:val="clear" w:pos="7609"/>
              <w:tab w:val="right" w:pos="9026" w:leader="dot"/>
            </w:tabs>
            <w:rPr/>
          </w:pPr>
          <w:hyperlink w:anchor="__RefHeading___Toc533863_3244359995">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533865_3244359995">
            <w:r>
              <w:rPr>
                <w:webHidden/>
                <w:rStyle w:val="IndexLink"/>
                <w:rtl w:val="true"/>
              </w:rPr>
              <w:t>الأقسام الثلاثة للعبادات المکروهة و أحکامها</w:t>
            </w:r>
            <w:r>
              <w:rPr>
                <w:rStyle w:val="IndexLink"/>
                <w:rtl w:val="true"/>
              </w:rPr>
              <w:tab/>
            </w:r>
            <w:r>
              <w:rPr>
                <w:rStyle w:val="IndexLink"/>
              </w:rPr>
              <w:t>233</w:t>
            </w:r>
          </w:hyperlink>
        </w:p>
        <w:p>
          <w:pPr>
            <w:pStyle w:val="Contents6"/>
            <w:tabs>
              <w:tab w:val="clear" w:pos="7609"/>
              <w:tab w:val="right" w:pos="9026" w:leader="dot"/>
            </w:tabs>
            <w:rPr/>
          </w:pPr>
          <w:hyperlink w:anchor="__RefHeading___Toc533867_3244359995">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533869_3244359995">
            <w:r>
              <w:rPr>
                <w:webHidden/>
                <w:rStyle w:val="IndexLink"/>
                <w:rtl w:val="true"/>
              </w:rPr>
              <w:t>الجهة الأولی</w:t>
            </w:r>
            <w:r>
              <w:rPr>
                <w:rStyle w:val="IndexLink"/>
                <w:rtl w:val="true"/>
              </w:rPr>
              <w:t xml:space="preserve">: </w:t>
            </w:r>
            <w:r>
              <w:rPr>
                <w:rStyle w:val="IndexLink"/>
                <w:rtl w:val="true"/>
              </w:rPr>
              <w:t>فی القسم الثالث من العبادات المکروهة</w:t>
            </w:r>
            <w:r>
              <w:rPr>
                <w:rStyle w:val="IndexLink"/>
                <w:rtl w:val="true"/>
              </w:rPr>
              <w:tab/>
            </w:r>
            <w:r>
              <w:rPr>
                <w:rStyle w:val="IndexLink"/>
              </w:rPr>
              <w:t>236</w:t>
            </w:r>
          </w:hyperlink>
        </w:p>
        <w:p>
          <w:pPr>
            <w:pStyle w:val="Contents6"/>
            <w:tabs>
              <w:tab w:val="clear" w:pos="7609"/>
              <w:tab w:val="right" w:pos="9026" w:leader="dot"/>
            </w:tabs>
            <w:rPr/>
          </w:pPr>
          <w:hyperlink w:anchor="__RefHeading___Toc533871_3244359995">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533873_3244359995">
            <w:r>
              <w:rPr>
                <w:webHidden/>
                <w:rStyle w:val="IndexLink"/>
                <w:rtl w:val="true"/>
              </w:rPr>
              <w:t>ذنابة</w:t>
            </w:r>
            <w:r>
              <w:rPr>
                <w:rStyle w:val="IndexLink"/>
                <w:rtl w:val="true"/>
              </w:rPr>
              <w:t xml:space="preserve">: </w:t>
            </w:r>
            <w:r>
              <w:rPr>
                <w:rStyle w:val="IndexLink"/>
                <w:rtl w:val="true"/>
              </w:rPr>
              <w:t>حول صحّة العبادة مطلقا بناء علی تنزیهیّة النهی</w:t>
            </w:r>
            <w:r>
              <w:rPr>
                <w:rStyle w:val="IndexLink"/>
                <w:rtl w:val="true"/>
              </w:rPr>
              <w:tab/>
            </w:r>
            <w:r>
              <w:rPr>
                <w:rStyle w:val="IndexLink"/>
              </w:rPr>
              <w:t>237</w:t>
            </w:r>
          </w:hyperlink>
        </w:p>
        <w:p>
          <w:pPr>
            <w:pStyle w:val="Contents6"/>
            <w:tabs>
              <w:tab w:val="clear" w:pos="7609"/>
              <w:tab w:val="right" w:pos="9026" w:leader="dot"/>
            </w:tabs>
            <w:rPr/>
          </w:pPr>
          <w:hyperlink w:anchor="__RefHeading___Toc533875_3244359995">
            <w:r>
              <w:rPr>
                <w:webHidden/>
                <w:rStyle w:val="IndexLink"/>
                <w:rtl w:val="true"/>
              </w:rPr>
              <w:t>الجهة الثانیة</w:t>
            </w:r>
            <w:r>
              <w:rPr>
                <w:rStyle w:val="IndexLink"/>
                <w:rtl w:val="true"/>
              </w:rPr>
              <w:t xml:space="preserve">: </w:t>
            </w:r>
            <w:r>
              <w:rPr>
                <w:rStyle w:val="IndexLink"/>
                <w:rtl w:val="true"/>
              </w:rPr>
              <w:t>فی القسم الثانی منها</w:t>
            </w:r>
            <w:r>
              <w:rPr>
                <w:rStyle w:val="IndexLink"/>
                <w:rtl w:val="true"/>
              </w:rPr>
              <w:tab/>
            </w:r>
            <w:r>
              <w:rPr>
                <w:rStyle w:val="IndexLink"/>
              </w:rPr>
              <w:t>238</w:t>
            </w:r>
          </w:hyperlink>
        </w:p>
        <w:p>
          <w:pPr>
            <w:pStyle w:val="Contents6"/>
            <w:tabs>
              <w:tab w:val="clear" w:pos="7609"/>
              <w:tab w:val="right" w:pos="9026" w:leader="dot"/>
            </w:tabs>
            <w:rPr/>
          </w:pPr>
          <w:hyperlink w:anchor="__RefHeading___Toc533877_3244359995">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533879_3244359995">
            <w:r>
              <w:rPr>
                <w:webHidden/>
                <w:rStyle w:val="IndexLink"/>
                <w:rtl w:val="true"/>
              </w:rPr>
              <w:t>المقام الأول</w:t>
            </w:r>
            <w:r>
              <w:rPr>
                <w:rStyle w:val="IndexLink"/>
                <w:rtl w:val="true"/>
              </w:rPr>
              <w:t xml:space="preserve">: </w:t>
            </w:r>
            <w:r>
              <w:rPr>
                <w:rStyle w:val="IndexLink"/>
                <w:rtl w:val="true"/>
              </w:rPr>
              <w:t>حول معقولیة کراهة العبادة ثبوتا</w:t>
            </w:r>
            <w:r>
              <w:rPr>
                <w:rStyle w:val="IndexLink"/>
                <w:rtl w:val="true"/>
              </w:rPr>
              <w:tab/>
            </w:r>
            <w:r>
              <w:rPr>
                <w:rStyle w:val="IndexLink"/>
              </w:rPr>
              <w:t>238</w:t>
            </w:r>
          </w:hyperlink>
        </w:p>
        <w:p>
          <w:pPr>
            <w:pStyle w:val="Contents6"/>
            <w:tabs>
              <w:tab w:val="clear" w:pos="7609"/>
              <w:tab w:val="right" w:pos="9026" w:leader="dot"/>
            </w:tabs>
            <w:rPr/>
          </w:pPr>
          <w:hyperlink w:anchor="__RefHeading___Toc533881_3244359995">
            <w:r>
              <w:rPr>
                <w:webHidden/>
                <w:rStyle w:val="IndexLink"/>
                <w:rtl w:val="true"/>
              </w:rPr>
              <w:t>المقام الثانی</w:t>
            </w:r>
            <w:r>
              <w:rPr>
                <w:rStyle w:val="IndexLink"/>
                <w:rtl w:val="true"/>
              </w:rPr>
              <w:t xml:space="preserve">: </w:t>
            </w:r>
            <w:r>
              <w:rPr>
                <w:rStyle w:val="IndexLink"/>
                <w:rtl w:val="true"/>
              </w:rPr>
              <w:t>حول عدم مساعدة العرف علی کراهة العبادة إثباتا</w:t>
            </w:r>
            <w:r>
              <w:rPr>
                <w:rStyle w:val="IndexLink"/>
                <w:rtl w:val="true"/>
              </w:rPr>
              <w:tab/>
            </w:r>
            <w:r>
              <w:rPr>
                <w:rStyle w:val="IndexLink"/>
              </w:rPr>
              <w:t>239</w:t>
            </w:r>
          </w:hyperlink>
        </w:p>
        <w:p>
          <w:pPr>
            <w:pStyle w:val="Contents6"/>
            <w:tabs>
              <w:tab w:val="clear" w:pos="7609"/>
              <w:tab w:val="right" w:pos="9026" w:leader="dot"/>
            </w:tabs>
            <w:rPr/>
          </w:pPr>
          <w:hyperlink w:anchor="__RefHeading___Toc533883_3244359995">
            <w:r>
              <w:rPr>
                <w:webHidden/>
                <w:rStyle w:val="IndexLink"/>
                <w:rtl w:val="true"/>
              </w:rPr>
              <w:t>تذنیب</w:t>
            </w:r>
            <w:r>
              <w:rPr>
                <w:rStyle w:val="IndexLink"/>
                <w:rtl w:val="true"/>
              </w:rPr>
              <w:t xml:space="preserve">: </w:t>
            </w:r>
            <w:r>
              <w:rPr>
                <w:rStyle w:val="IndexLink"/>
                <w:rtl w:val="true"/>
              </w:rPr>
              <w:t>حول إمکان القول بالامتناع مع کون النهی نفسیّا</w:t>
            </w:r>
            <w:r>
              <w:rPr>
                <w:rStyle w:val="IndexLink"/>
                <w:rtl w:val="true"/>
              </w:rPr>
              <w:tab/>
            </w:r>
            <w:r>
              <w:rPr>
                <w:rStyle w:val="IndexLink"/>
              </w:rPr>
              <w:t>240</w:t>
            </w:r>
          </w:hyperlink>
        </w:p>
        <w:p>
          <w:pPr>
            <w:pStyle w:val="Contents6"/>
            <w:tabs>
              <w:tab w:val="clear" w:pos="7609"/>
              <w:tab w:val="right" w:pos="9026" w:leader="dot"/>
            </w:tabs>
            <w:rPr/>
          </w:pPr>
          <w:hyperlink w:anchor="__RefHeading___Toc533885_3244359995">
            <w:r>
              <w:rPr>
                <w:webHidden/>
                <w:rStyle w:val="IndexLink"/>
                <w:rtl w:val="true"/>
              </w:rPr>
              <w:t>بقی شی‌ء</w:t>
            </w:r>
            <w:r>
              <w:rPr>
                <w:rStyle w:val="IndexLink"/>
                <w:rtl w:val="true"/>
              </w:rPr>
              <w:t xml:space="preserve">: </w:t>
            </w:r>
            <w:r>
              <w:rPr>
                <w:rStyle w:val="IndexLink"/>
                <w:rtl w:val="true"/>
              </w:rPr>
              <w:t>حول صحّة الصلاة فی الحمّام و عدمها</w:t>
            </w:r>
            <w:r>
              <w:rPr>
                <w:rStyle w:val="IndexLink"/>
                <w:rtl w:val="true"/>
              </w:rPr>
              <w:tab/>
            </w:r>
            <w:r>
              <w:rPr>
                <w:rStyle w:val="IndexLink"/>
              </w:rPr>
              <w:t>242</w:t>
            </w:r>
          </w:hyperlink>
        </w:p>
        <w:p>
          <w:pPr>
            <w:pStyle w:val="Contents6"/>
            <w:tabs>
              <w:tab w:val="clear" w:pos="7609"/>
              <w:tab w:val="right" w:pos="9026" w:leader="dot"/>
            </w:tabs>
            <w:rPr/>
          </w:pPr>
          <w:hyperlink w:anchor="__RefHeading___Toc533887_3244359995">
            <w:r>
              <w:rPr>
                <w:webHidden/>
                <w:rStyle w:val="IndexLink"/>
                <w:rtl w:val="true"/>
              </w:rPr>
              <w:t>الجهة الثالثة</w:t>
            </w:r>
            <w:r>
              <w:rPr>
                <w:rStyle w:val="IndexLink"/>
                <w:rtl w:val="true"/>
              </w:rPr>
              <w:t xml:space="preserve">: </w:t>
            </w:r>
            <w:r>
              <w:rPr>
                <w:rStyle w:val="IndexLink"/>
                <w:rtl w:val="true"/>
              </w:rPr>
              <w:t>فی القسم الأوّل منها</w:t>
            </w:r>
            <w:r>
              <w:rPr>
                <w:rStyle w:val="IndexLink"/>
                <w:rtl w:val="true"/>
              </w:rPr>
              <w:tab/>
            </w:r>
            <w:r>
              <w:rPr>
                <w:rStyle w:val="IndexLink"/>
              </w:rPr>
              <w:t>244</w:t>
            </w:r>
          </w:hyperlink>
        </w:p>
        <w:p>
          <w:pPr>
            <w:pStyle w:val="Contents6"/>
            <w:tabs>
              <w:tab w:val="clear" w:pos="7609"/>
              <w:tab w:val="right" w:pos="9026" w:leader="dot"/>
            </w:tabs>
            <w:rPr/>
          </w:pPr>
          <w:hyperlink w:anchor="__RefHeading___Toc533889_3244359995">
            <w:r>
              <w:rPr>
                <w:webHidden/>
                <w:rStyle w:val="IndexLink"/>
                <w:rtl w:val="true"/>
              </w:rPr>
              <w:t>فذلکة الکلام</w:t>
            </w:r>
            <w:r>
              <w:rPr>
                <w:rStyle w:val="IndexLink"/>
                <w:rtl w:val="true"/>
              </w:rPr>
              <w:tab/>
            </w:r>
            <w:r>
              <w:rPr>
                <w:rStyle w:val="IndexLink"/>
              </w:rPr>
              <w:t>247</w:t>
            </w:r>
          </w:hyperlink>
        </w:p>
        <w:p>
          <w:pPr>
            <w:pStyle w:val="Contents6"/>
            <w:tabs>
              <w:tab w:val="clear" w:pos="7609"/>
              <w:tab w:val="right" w:pos="9026" w:leader="dot"/>
            </w:tabs>
            <w:rPr/>
          </w:pPr>
          <w:hyperlink w:anchor="__RefHeading___Toc533891_3244359995">
            <w:r>
              <w:rPr>
                <w:webHidden/>
                <w:rStyle w:val="IndexLink"/>
                <w:rtl w:val="true"/>
              </w:rPr>
              <w:t>تنبیه</w:t>
            </w:r>
            <w:r>
              <w:rPr>
                <w:rStyle w:val="IndexLink"/>
                <w:rtl w:val="true"/>
              </w:rPr>
              <w:t xml:space="preserve">: </w:t>
            </w:r>
            <w:r>
              <w:rPr>
                <w:rStyle w:val="IndexLink"/>
                <w:rtl w:val="true"/>
              </w:rPr>
              <w:t>فی دخول صوم عاشوراء فی القسم الثانی من أقسام العبادات</w:t>
            </w:r>
            <w:r>
              <w:rPr>
                <w:rStyle w:val="IndexLink"/>
                <w:rtl w:val="true"/>
              </w:rPr>
              <w:tab/>
            </w:r>
            <w:r>
              <w:rPr>
                <w:rStyle w:val="IndexLink"/>
              </w:rPr>
              <w:t>248</w:t>
            </w:r>
          </w:hyperlink>
        </w:p>
        <w:p>
          <w:pPr>
            <w:pStyle w:val="Contents6"/>
            <w:tabs>
              <w:tab w:val="clear" w:pos="7609"/>
              <w:tab w:val="right" w:pos="9026" w:leader="dot"/>
            </w:tabs>
            <w:rPr/>
          </w:pPr>
          <w:hyperlink w:anchor="__RefHeading___Toc533893_3244359995">
            <w:r>
              <w:rPr>
                <w:webHidden/>
                <w:rStyle w:val="IndexLink"/>
                <w:rtl w:val="true"/>
              </w:rPr>
              <w:t>تذنیب</w:t>
            </w:r>
            <w:r>
              <w:rPr>
                <w:rStyle w:val="IndexLink"/>
                <w:rtl w:val="true"/>
              </w:rPr>
              <w:t xml:space="preserve">: </w:t>
            </w:r>
            <w:r>
              <w:rPr>
                <w:rStyle w:val="IndexLink"/>
                <w:rtl w:val="true"/>
              </w:rPr>
              <w:t>حول الاستدلال علی الاجتماع بالعبادات الاستئجاریّة و المنذورة</w:t>
            </w:r>
            <w:r>
              <w:rPr>
                <w:rStyle w:val="IndexLink"/>
                <w:rtl w:val="true"/>
              </w:rPr>
              <w:tab/>
            </w:r>
            <w:r>
              <w:rPr>
                <w:rStyle w:val="IndexLink"/>
              </w:rPr>
              <w:t>248</w:t>
            </w:r>
          </w:hyperlink>
        </w:p>
        <w:p>
          <w:pPr>
            <w:pStyle w:val="Contents6"/>
            <w:tabs>
              <w:tab w:val="clear" w:pos="7609"/>
              <w:tab w:val="right" w:pos="9026" w:leader="dot"/>
            </w:tabs>
            <w:rPr/>
          </w:pPr>
          <w:hyperlink w:anchor="__RefHeading___Toc533895_3244359995">
            <w:r>
              <w:rPr>
                <w:webHidden/>
                <w:rStyle w:val="IndexLink"/>
                <w:rtl w:val="true"/>
              </w:rPr>
              <w:t>تنبیه</w:t>
            </w:r>
            <w:r>
              <w:rPr>
                <w:rStyle w:val="IndexLink"/>
                <w:rtl w:val="true"/>
              </w:rPr>
              <w:tab/>
            </w:r>
            <w:r>
              <w:rPr>
                <w:rStyle w:val="IndexLink"/>
              </w:rPr>
              <w:t>250</w:t>
            </w:r>
          </w:hyperlink>
        </w:p>
        <w:p>
          <w:pPr>
            <w:pStyle w:val="Contents6"/>
            <w:tabs>
              <w:tab w:val="clear" w:pos="7609"/>
              <w:tab w:val="right" w:pos="9026" w:leader="dot"/>
            </w:tabs>
            <w:rPr/>
          </w:pPr>
          <w:hyperlink w:anchor="__RefHeading___Toc533897_3244359995">
            <w:r>
              <w:rPr>
                <w:webHidden/>
                <w:rStyle w:val="IndexLink"/>
                <w:rtl w:val="true"/>
              </w:rPr>
              <w:t>تمحیص الاستدلالات السابقة</w:t>
            </w:r>
            <w:r>
              <w:rPr>
                <w:rStyle w:val="IndexLink"/>
                <w:rtl w:val="true"/>
              </w:rPr>
              <w:tab/>
            </w:r>
            <w:r>
              <w:rPr>
                <w:rStyle w:val="IndexLink"/>
              </w:rPr>
              <w:t>251</w:t>
            </w:r>
          </w:hyperlink>
        </w:p>
        <w:p>
          <w:pPr>
            <w:pStyle w:val="Contents5"/>
            <w:tabs>
              <w:tab w:val="clear" w:pos="7892"/>
              <w:tab w:val="right" w:pos="9026" w:leader="dot"/>
            </w:tabs>
            <w:rPr/>
          </w:pPr>
          <w:hyperlink w:anchor="__RefHeading___Toc533899_3244359995">
            <w:r>
              <w:rPr>
                <w:webHidden/>
                <w:rStyle w:val="IndexLink"/>
                <w:rtl w:val="true"/>
              </w:rPr>
              <w:t>التنبیه السادس فی حکم المضطرّ إلی المحرّم و حکم المتوسّط فی الأرض المغصوبة</w:t>
            </w:r>
            <w:r>
              <w:rPr>
                <w:rStyle w:val="IndexLink"/>
                <w:rtl w:val="true"/>
              </w:rPr>
              <w:tab/>
            </w:r>
            <w:r>
              <w:rPr>
                <w:rStyle w:val="IndexLink"/>
              </w:rPr>
              <w:t>256</w:t>
            </w:r>
          </w:hyperlink>
        </w:p>
        <w:p>
          <w:pPr>
            <w:pStyle w:val="Contents6"/>
            <w:tabs>
              <w:tab w:val="clear" w:pos="7609"/>
              <w:tab w:val="right" w:pos="9026" w:leader="dot"/>
            </w:tabs>
            <w:rPr/>
          </w:pPr>
          <w:hyperlink w:anchor="__RefHeading___Toc533901_3244359995">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533903_3244359995">
            <w:r>
              <w:rPr>
                <w:webHidden/>
                <w:rStyle w:val="IndexLink"/>
                <w:rtl w:val="true"/>
              </w:rPr>
              <w:t>بیان الحکم التکلیفی للمتوسّط</w:t>
            </w:r>
            <w:r>
              <w:rPr>
                <w:rStyle w:val="IndexLink"/>
                <w:rtl w:val="true"/>
              </w:rPr>
              <w:tab/>
            </w:r>
            <w:r>
              <w:rPr>
                <w:rStyle w:val="IndexLink"/>
              </w:rPr>
              <w:t>258</w:t>
            </w:r>
          </w:hyperlink>
        </w:p>
        <w:p>
          <w:pPr>
            <w:pStyle w:val="Contents6"/>
            <w:tabs>
              <w:tab w:val="clear" w:pos="7609"/>
              <w:tab w:val="right" w:pos="9026" w:leader="dot"/>
            </w:tabs>
            <w:rPr/>
          </w:pPr>
          <w:hyperlink w:anchor="__RefHeading___Toc533905_3244359995">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533907_3244359995">
            <w:r>
              <w:rPr>
                <w:webHidden/>
                <w:rStyle w:val="IndexLink"/>
                <w:rtl w:val="true"/>
              </w:rPr>
              <w:t>الدعاوی الثلاث التی یتوقّف علیها بیان الحکم التکلیفی</w:t>
            </w:r>
            <w:r>
              <w:rPr>
                <w:rStyle w:val="IndexLink"/>
                <w:rtl w:val="true"/>
              </w:rPr>
              <w:tab/>
            </w:r>
            <w:r>
              <w:rPr>
                <w:rStyle w:val="IndexLink"/>
              </w:rPr>
              <w:t>261</w:t>
            </w:r>
          </w:hyperlink>
        </w:p>
        <w:p>
          <w:pPr>
            <w:pStyle w:val="Contents6"/>
            <w:tabs>
              <w:tab w:val="clear" w:pos="7609"/>
              <w:tab w:val="right" w:pos="9026" w:leader="dot"/>
            </w:tabs>
            <w:rPr/>
          </w:pPr>
          <w:hyperlink w:anchor="__RefHeading___Toc533909_3244359995">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533911_3244359995">
            <w:r>
              <w:rPr>
                <w:webHidden/>
                <w:rStyle w:val="IndexLink"/>
                <w:rtl w:val="true"/>
              </w:rPr>
              <w:t>الدعوی الأُولی</w:t>
            </w:r>
            <w:r>
              <w:rPr>
                <w:rStyle w:val="IndexLink"/>
                <w:rtl w:val="true"/>
              </w:rPr>
              <w:t>:</w:t>
              <w:tab/>
            </w:r>
            <w:r>
              <w:rPr>
                <w:rStyle w:val="IndexLink"/>
              </w:rPr>
              <w:t>261</w:t>
            </w:r>
          </w:hyperlink>
        </w:p>
        <w:p>
          <w:pPr>
            <w:pStyle w:val="Contents6"/>
            <w:tabs>
              <w:tab w:val="clear" w:pos="7609"/>
              <w:tab w:val="right" w:pos="9026" w:leader="dot"/>
            </w:tabs>
            <w:rPr/>
          </w:pPr>
          <w:hyperlink w:anchor="__RefHeading___Toc533913_3244359995">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533915_3244359995">
            <w:r>
              <w:rPr>
                <w:webHidden/>
                <w:rStyle w:val="IndexLink"/>
                <w:rtl w:val="true"/>
              </w:rPr>
              <w:t>بقی شی‌ء</w:t>
            </w:r>
            <w:r>
              <w:rPr>
                <w:rStyle w:val="IndexLink"/>
                <w:rtl w:val="true"/>
              </w:rPr>
              <w:t xml:space="preserve">: </w:t>
            </w:r>
            <w:r>
              <w:rPr>
                <w:rStyle w:val="IndexLink"/>
                <w:rtl w:val="true"/>
              </w:rPr>
              <w:t>فی بیان حکم المتوسّط الغاصب و غیر الغاصب</w:t>
            </w:r>
            <w:r>
              <w:rPr>
                <w:rStyle w:val="IndexLink"/>
                <w:rtl w:val="true"/>
              </w:rPr>
              <w:tab/>
            </w:r>
            <w:r>
              <w:rPr>
                <w:rStyle w:val="IndexLink"/>
              </w:rPr>
              <w:t>262</w:t>
            </w:r>
          </w:hyperlink>
        </w:p>
        <w:p>
          <w:pPr>
            <w:pStyle w:val="Contents6"/>
            <w:tabs>
              <w:tab w:val="clear" w:pos="7609"/>
              <w:tab w:val="right" w:pos="9026" w:leader="dot"/>
            </w:tabs>
            <w:rPr/>
          </w:pPr>
          <w:hyperlink w:anchor="__RefHeading___Toc533917_3244359995">
            <w:r>
              <w:rPr>
                <w:webHidden/>
                <w:rStyle w:val="IndexLink"/>
                <w:rtl w:val="true"/>
              </w:rPr>
              <w:t>ذنابة</w:t>
            </w:r>
            <w:r>
              <w:rPr>
                <w:rStyle w:val="IndexLink"/>
                <w:rtl w:val="true"/>
              </w:rPr>
              <w:t xml:space="preserve">: </w:t>
            </w:r>
            <w:r>
              <w:rPr>
                <w:rStyle w:val="IndexLink"/>
                <w:rtl w:val="true"/>
              </w:rPr>
              <w:t>فی توهّم عدم الوجوب النفسیّ للردّ و دفعه</w:t>
            </w:r>
            <w:r>
              <w:rPr>
                <w:rStyle w:val="IndexLink"/>
                <w:rtl w:val="true"/>
              </w:rPr>
              <w:tab/>
            </w:r>
            <w:r>
              <w:rPr>
                <w:rStyle w:val="IndexLink"/>
              </w:rPr>
              <w:t>262</w:t>
            </w:r>
          </w:hyperlink>
        </w:p>
        <w:p>
          <w:pPr>
            <w:pStyle w:val="Contents6"/>
            <w:tabs>
              <w:tab w:val="clear" w:pos="7609"/>
              <w:tab w:val="right" w:pos="9026" w:leader="dot"/>
            </w:tabs>
            <w:rPr/>
          </w:pPr>
          <w:hyperlink w:anchor="__RefHeading___Toc533919_3244359995">
            <w:r>
              <w:rPr>
                <w:webHidden/>
                <w:rStyle w:val="IndexLink"/>
                <w:rtl w:val="true"/>
              </w:rPr>
              <w:t>تنبیه</w:t>
            </w:r>
            <w:r>
              <w:rPr>
                <w:rStyle w:val="IndexLink"/>
                <w:rtl w:val="true"/>
              </w:rPr>
              <w:t xml:space="preserve">: </w:t>
            </w:r>
            <w:r>
              <w:rPr>
                <w:rStyle w:val="IndexLink"/>
                <w:rtl w:val="true"/>
              </w:rPr>
              <w:t>فی توهّم عدم وجوب الردّ إن کان بجهالة و لا بسوء الاختیار</w:t>
            </w:r>
            <w:r>
              <w:rPr>
                <w:rStyle w:val="IndexLink"/>
                <w:rtl w:val="true"/>
              </w:rPr>
              <w:tab/>
            </w:r>
            <w:r>
              <w:rPr>
                <w:rStyle w:val="IndexLink"/>
              </w:rPr>
              <w:t>263</w:t>
            </w:r>
          </w:hyperlink>
        </w:p>
        <w:p>
          <w:pPr>
            <w:pStyle w:val="Contents6"/>
            <w:tabs>
              <w:tab w:val="clear" w:pos="7609"/>
              <w:tab w:val="right" w:pos="9026" w:leader="dot"/>
            </w:tabs>
            <w:rPr/>
          </w:pPr>
          <w:hyperlink w:anchor="__RefHeading___Toc533921_3244359995">
            <w:r>
              <w:rPr>
                <w:webHidden/>
                <w:rStyle w:val="IndexLink"/>
                <w:rtl w:val="true"/>
              </w:rPr>
              <w:t>إفادة</w:t>
            </w:r>
            <w:r>
              <w:rPr>
                <w:rStyle w:val="IndexLink"/>
                <w:rtl w:val="true"/>
              </w:rPr>
              <w:t xml:space="preserve">: </w:t>
            </w:r>
            <w:r>
              <w:rPr>
                <w:rStyle w:val="IndexLink"/>
                <w:rtl w:val="true"/>
              </w:rPr>
              <w:t xml:space="preserve">حول تصویر وجوب عنوان </w:t>
            </w:r>
            <w:r>
              <w:rPr>
                <w:rStyle w:val="IndexLink"/>
                <w:rtl w:val="true"/>
              </w:rPr>
              <w:t>«</w:t>
            </w:r>
            <w:r>
              <w:rPr>
                <w:rStyle w:val="IndexLink"/>
                <w:rtl w:val="true"/>
              </w:rPr>
              <w:t>الخروج</w:t>
            </w:r>
            <w:r>
              <w:rPr>
                <w:rStyle w:val="IndexLink"/>
                <w:rtl w:val="true"/>
              </w:rPr>
              <w:t>»</w:t>
              <w:tab/>
            </w:r>
            <w:r>
              <w:rPr>
                <w:rStyle w:val="IndexLink"/>
              </w:rPr>
              <w:t>264</w:t>
            </w:r>
          </w:hyperlink>
        </w:p>
        <w:p>
          <w:pPr>
            <w:pStyle w:val="Contents6"/>
            <w:tabs>
              <w:tab w:val="clear" w:pos="7609"/>
              <w:tab w:val="right" w:pos="9026" w:leader="dot"/>
            </w:tabs>
            <w:rPr/>
          </w:pPr>
          <w:hyperlink w:anchor="__RefHeading___Toc533923_3244359995">
            <w:r>
              <w:rPr>
                <w:webHidden/>
                <w:rStyle w:val="IndexLink"/>
                <w:rtl w:val="true"/>
              </w:rPr>
              <w:t>الدعوی الثانیة</w:t>
            </w:r>
            <w:r>
              <w:rPr>
                <w:rStyle w:val="IndexLink"/>
                <w:rtl w:val="true"/>
              </w:rPr>
              <w:t>:</w:t>
              <w:tab/>
            </w:r>
            <w:r>
              <w:rPr>
                <w:rStyle w:val="IndexLink"/>
              </w:rPr>
              <w:t>267</w:t>
            </w:r>
          </w:hyperlink>
        </w:p>
        <w:p>
          <w:pPr>
            <w:pStyle w:val="Contents6"/>
            <w:tabs>
              <w:tab w:val="clear" w:pos="7609"/>
              <w:tab w:val="right" w:pos="9026" w:leader="dot"/>
            </w:tabs>
            <w:rPr/>
          </w:pPr>
          <w:hyperlink w:anchor="__RefHeading___Toc533925_3244359995">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533927_3244359995">
            <w:r>
              <w:rPr>
                <w:webHidden/>
                <w:rStyle w:val="IndexLink"/>
                <w:rtl w:val="true"/>
              </w:rPr>
              <w:t>تنبیه</w:t>
            </w:r>
            <w:r>
              <w:rPr>
                <w:rStyle w:val="IndexLink"/>
                <w:rtl w:val="true"/>
              </w:rPr>
              <w:t xml:space="preserve">: </w:t>
            </w:r>
            <w:r>
              <w:rPr>
                <w:rStyle w:val="IndexLink"/>
                <w:rtl w:val="true"/>
              </w:rPr>
              <w:t>حول نفی التحریم مع إثبات استحقاق العقاب</w:t>
            </w:r>
            <w:r>
              <w:rPr>
                <w:rStyle w:val="IndexLink"/>
                <w:rtl w:val="true"/>
              </w:rPr>
              <w:tab/>
            </w:r>
            <w:r>
              <w:rPr>
                <w:rStyle w:val="IndexLink"/>
              </w:rPr>
              <w:t>268</w:t>
            </w:r>
          </w:hyperlink>
        </w:p>
        <w:p>
          <w:pPr>
            <w:pStyle w:val="Contents6"/>
            <w:tabs>
              <w:tab w:val="clear" w:pos="7609"/>
              <w:tab w:val="right" w:pos="9026" w:leader="dot"/>
            </w:tabs>
            <w:rPr/>
          </w:pPr>
          <w:hyperlink w:anchor="__RefHeading___Toc533929_3244359995">
            <w:r>
              <w:rPr>
                <w:webHidden/>
                <w:rStyle w:val="IndexLink"/>
                <w:rtl w:val="true"/>
              </w:rPr>
              <w:t>تذنیب</w:t>
            </w:r>
            <w:r>
              <w:rPr>
                <w:rStyle w:val="IndexLink"/>
                <w:rtl w:val="true"/>
              </w:rPr>
              <w:t xml:space="preserve">: </w:t>
            </w:r>
            <w:r>
              <w:rPr>
                <w:rStyle w:val="IndexLink"/>
                <w:rtl w:val="true"/>
              </w:rPr>
              <w:t>حول إثبات استحقاق العقاب باعتبار النهی الساقط</w:t>
            </w:r>
            <w:r>
              <w:rPr>
                <w:rStyle w:val="IndexLink"/>
                <w:rtl w:val="true"/>
              </w:rPr>
              <w:tab/>
            </w:r>
            <w:r>
              <w:rPr>
                <w:rStyle w:val="IndexLink"/>
              </w:rPr>
              <w:t>270</w:t>
            </w:r>
          </w:hyperlink>
        </w:p>
        <w:p>
          <w:pPr>
            <w:pStyle w:val="Contents6"/>
            <w:tabs>
              <w:tab w:val="clear" w:pos="7609"/>
              <w:tab w:val="right" w:pos="9026" w:leader="dot"/>
            </w:tabs>
            <w:rPr/>
          </w:pPr>
          <w:hyperlink w:anchor="__RefHeading___Toc533931_3244359995">
            <w:r>
              <w:rPr>
                <w:webHidden/>
                <w:rStyle w:val="IndexLink"/>
                <w:rtl w:val="true"/>
              </w:rPr>
              <w:t>إشارة</w:t>
            </w:r>
            <w:r>
              <w:rPr>
                <w:rStyle w:val="IndexLink"/>
                <w:rtl w:val="true"/>
              </w:rPr>
              <w:t xml:space="preserve">: </w:t>
            </w:r>
            <w:r>
              <w:rPr>
                <w:rStyle w:val="IndexLink"/>
                <w:rtl w:val="true"/>
              </w:rPr>
              <w:t>حول نفی حرمة التصرّف الخروجیّ مطلقاً</w:t>
            </w:r>
            <w:r>
              <w:rPr>
                <w:rStyle w:val="IndexLink"/>
                <w:rtl w:val="true"/>
              </w:rPr>
              <w:tab/>
            </w:r>
            <w:r>
              <w:rPr>
                <w:rStyle w:val="IndexLink"/>
              </w:rPr>
              <w:t>270</w:t>
            </w:r>
          </w:hyperlink>
        </w:p>
        <w:p>
          <w:pPr>
            <w:pStyle w:val="Contents6"/>
            <w:tabs>
              <w:tab w:val="clear" w:pos="7609"/>
              <w:tab w:val="right" w:pos="9026" w:leader="dot"/>
            </w:tabs>
            <w:rPr/>
          </w:pPr>
          <w:hyperlink w:anchor="__RefHeading___Toc533933_3244359995">
            <w:r>
              <w:rPr>
                <w:webHidden/>
                <w:rStyle w:val="IndexLink"/>
                <w:rtl w:val="true"/>
              </w:rPr>
              <w:t>توضیح و إفادة</w:t>
            </w:r>
            <w:r>
              <w:rPr>
                <w:rStyle w:val="IndexLink"/>
                <w:rtl w:val="true"/>
              </w:rPr>
              <w:tab/>
            </w:r>
            <w:r>
              <w:rPr>
                <w:rStyle w:val="IndexLink"/>
              </w:rPr>
              <w:t>272</w:t>
            </w:r>
          </w:hyperlink>
        </w:p>
        <w:p>
          <w:pPr>
            <w:pStyle w:val="Contents6"/>
            <w:tabs>
              <w:tab w:val="clear" w:pos="7609"/>
              <w:tab w:val="right" w:pos="9026" w:leader="dot"/>
            </w:tabs>
            <w:rPr/>
          </w:pPr>
          <w:hyperlink w:anchor="__RefHeading___Toc533935_3244359995">
            <w:r>
              <w:rPr>
                <w:webHidden/>
                <w:rStyle w:val="IndexLink"/>
                <w:rtl w:val="true"/>
              </w:rPr>
              <w:t>ذنابة</w:t>
            </w:r>
            <w:r>
              <w:rPr>
                <w:rStyle w:val="IndexLink"/>
                <w:rtl w:val="true"/>
              </w:rPr>
              <w:t xml:space="preserve">: </w:t>
            </w:r>
            <w:r>
              <w:rPr>
                <w:rStyle w:val="IndexLink"/>
                <w:rtl w:val="true"/>
              </w:rPr>
              <w:t>فی حرمة الغصب حدوثاً لا بقاءً</w:t>
            </w:r>
            <w:r>
              <w:rPr>
                <w:rStyle w:val="IndexLink"/>
                <w:rtl w:val="true"/>
              </w:rPr>
              <w:tab/>
            </w:r>
            <w:r>
              <w:rPr>
                <w:rStyle w:val="IndexLink"/>
              </w:rPr>
              <w:t>275</w:t>
            </w:r>
          </w:hyperlink>
        </w:p>
        <w:p>
          <w:pPr>
            <w:pStyle w:val="Contents6"/>
            <w:tabs>
              <w:tab w:val="clear" w:pos="7609"/>
              <w:tab w:val="right" w:pos="9026" w:leader="dot"/>
            </w:tabs>
            <w:rPr/>
          </w:pPr>
          <w:hyperlink w:anchor="__RefHeading___Toc533937_3244359995">
            <w:r>
              <w:rPr>
                <w:webHidden/>
                <w:rStyle w:val="IndexLink"/>
                <w:rtl w:val="true"/>
              </w:rPr>
              <w:t>تتمیم</w:t>
            </w:r>
            <w:r>
              <w:rPr>
                <w:rStyle w:val="IndexLink"/>
                <w:rtl w:val="true"/>
              </w:rPr>
              <w:t xml:space="preserve">: </w:t>
            </w:r>
            <w:r>
              <w:rPr>
                <w:rStyle w:val="IndexLink"/>
                <w:rtl w:val="true"/>
              </w:rPr>
              <w:t>حول عدم اجتماع الوجوب و الحرمة بالنسبة للمتوسّط</w:t>
            </w:r>
            <w:r>
              <w:rPr>
                <w:rStyle w:val="IndexLink"/>
                <w:rtl w:val="true"/>
              </w:rPr>
              <w:tab/>
            </w:r>
            <w:r>
              <w:rPr>
                <w:rStyle w:val="IndexLink"/>
              </w:rPr>
              <w:t>275</w:t>
            </w:r>
          </w:hyperlink>
        </w:p>
        <w:p>
          <w:pPr>
            <w:pStyle w:val="Contents6"/>
            <w:tabs>
              <w:tab w:val="clear" w:pos="7609"/>
              <w:tab w:val="right" w:pos="9026" w:leader="dot"/>
            </w:tabs>
            <w:rPr/>
          </w:pPr>
          <w:hyperlink w:anchor="__RefHeading___Toc533939_3244359995">
            <w:r>
              <w:rPr>
                <w:webHidden/>
                <w:rStyle w:val="IndexLink"/>
                <w:rtl w:val="true"/>
              </w:rPr>
              <w:t>الدعوی الثالثة</w:t>
            </w:r>
            <w:r>
              <w:rPr>
                <w:rStyle w:val="IndexLink"/>
                <w:rtl w:val="true"/>
              </w:rPr>
              <w:t>:</w:t>
              <w:tab/>
            </w:r>
            <w:r>
              <w:rPr>
                <w:rStyle w:val="IndexLink"/>
              </w:rPr>
              <w:t>276</w:t>
            </w:r>
          </w:hyperlink>
        </w:p>
        <w:p>
          <w:pPr>
            <w:pStyle w:val="Contents6"/>
            <w:tabs>
              <w:tab w:val="clear" w:pos="7609"/>
              <w:tab w:val="right" w:pos="9026" w:leader="dot"/>
            </w:tabs>
            <w:rPr/>
          </w:pPr>
          <w:hyperlink w:anchor="__RefHeading___Toc533941_3244359995">
            <w:r>
              <w:rPr>
                <w:webHidden/>
                <w:rStyle w:val="IndexLink"/>
                <w:rtl w:val="true"/>
              </w:rPr>
              <w:t>الجهة الثانیة</w:t>
            </w:r>
            <w:r>
              <w:rPr>
                <w:rStyle w:val="IndexLink"/>
                <w:rtl w:val="true"/>
              </w:rPr>
              <w:t xml:space="preserve">: </w:t>
            </w:r>
            <w:r>
              <w:rPr>
                <w:rStyle w:val="IndexLink"/>
                <w:rtl w:val="true"/>
              </w:rPr>
              <w:t>فی بیان الحکم الوضعیّ و صحّة الصلاة حال الخروج</w:t>
            </w:r>
            <w:r>
              <w:rPr>
                <w:rStyle w:val="IndexLink"/>
                <w:rtl w:val="true"/>
              </w:rPr>
              <w:tab/>
            </w:r>
            <w:r>
              <w:rPr>
                <w:rStyle w:val="IndexLink"/>
              </w:rPr>
              <w:t>278</w:t>
            </w:r>
          </w:hyperlink>
        </w:p>
        <w:p>
          <w:pPr>
            <w:pStyle w:val="Contents6"/>
            <w:tabs>
              <w:tab w:val="clear" w:pos="7609"/>
              <w:tab w:val="right" w:pos="9026" w:leader="dot"/>
            </w:tabs>
            <w:rPr/>
          </w:pPr>
          <w:hyperlink w:anchor="__RefHeading___Toc533943_3244359995">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533945_3244359995">
            <w:r>
              <w:rPr>
                <w:webHidden/>
                <w:rStyle w:val="IndexLink"/>
                <w:rtl w:val="true"/>
              </w:rPr>
              <w:t>تنبیه</w:t>
            </w:r>
            <w:r>
              <w:rPr>
                <w:rStyle w:val="IndexLink"/>
                <w:rtl w:val="true"/>
              </w:rPr>
              <w:t xml:space="preserve">: </w:t>
            </w:r>
            <w:r>
              <w:rPr>
                <w:rStyle w:val="IndexLink"/>
                <w:rtl w:val="true"/>
              </w:rPr>
              <w:t>فی لزوم اتخاذ أقصر الطرق فی المغصوب و أسرع الحرکة</w:t>
            </w:r>
            <w:r>
              <w:rPr>
                <w:rStyle w:val="IndexLink"/>
                <w:rtl w:val="true"/>
              </w:rPr>
              <w:tab/>
            </w:r>
            <w:r>
              <w:rPr>
                <w:rStyle w:val="IndexLink"/>
              </w:rPr>
              <w:t>280</w:t>
            </w:r>
          </w:hyperlink>
        </w:p>
        <w:p>
          <w:pPr>
            <w:pStyle w:val="Contents6"/>
            <w:tabs>
              <w:tab w:val="clear" w:pos="7609"/>
              <w:tab w:val="right" w:pos="9026" w:leader="dot"/>
            </w:tabs>
            <w:rPr/>
          </w:pPr>
          <w:hyperlink w:anchor="__RefHeading___Toc533947_3244359995">
            <w:r>
              <w:rPr>
                <w:webHidden/>
                <w:rStyle w:val="IndexLink"/>
                <w:rtl w:val="true"/>
              </w:rPr>
              <w:t>صحّة العبادة حال الاضطرار و لو کان بسوء الاختیار</w:t>
            </w:r>
            <w:r>
              <w:rPr>
                <w:rStyle w:val="IndexLink"/>
                <w:rtl w:val="true"/>
              </w:rPr>
              <w:tab/>
            </w:r>
            <w:r>
              <w:rPr>
                <w:rStyle w:val="IndexLink"/>
              </w:rPr>
              <w:t>281</w:t>
            </w:r>
          </w:hyperlink>
        </w:p>
        <w:p>
          <w:pPr>
            <w:pStyle w:val="Contents6"/>
            <w:tabs>
              <w:tab w:val="clear" w:pos="7609"/>
              <w:tab w:val="right" w:pos="9026" w:leader="dot"/>
            </w:tabs>
            <w:rPr/>
          </w:pPr>
          <w:hyperlink w:anchor="__RefHeading___Toc533949_3244359995">
            <w:r>
              <w:rPr>
                <w:webHidden/>
                <w:rStyle w:val="IndexLink"/>
                <w:rtl w:val="true"/>
              </w:rPr>
              <w:t>تنبیه</w:t>
            </w:r>
            <w:r>
              <w:rPr>
                <w:rStyle w:val="IndexLink"/>
                <w:rtl w:val="true"/>
              </w:rPr>
              <w:t xml:space="preserve">: </w:t>
            </w:r>
            <w:r>
              <w:rPr>
                <w:rStyle w:val="IndexLink"/>
                <w:rtl w:val="true"/>
              </w:rPr>
              <w:t>عدم صحّة العبادة مع المندوحة أو العجز العقلی</w:t>
            </w:r>
            <w:r>
              <w:rPr>
                <w:rStyle w:val="IndexLink"/>
                <w:rtl w:val="true"/>
              </w:rPr>
              <w:tab/>
            </w:r>
            <w:r>
              <w:rPr>
                <w:rStyle w:val="IndexLink"/>
              </w:rPr>
              <w:t>283</w:t>
            </w:r>
          </w:hyperlink>
        </w:p>
        <w:p>
          <w:pPr>
            <w:pStyle w:val="Contents3"/>
            <w:tabs>
              <w:tab w:val="clear" w:pos="8459"/>
              <w:tab w:val="right" w:pos="9026" w:leader="dot"/>
            </w:tabs>
            <w:rPr/>
          </w:pPr>
          <w:hyperlink w:anchor="__RefHeading___Toc533951_3244359995">
            <w:r>
              <w:rPr>
                <w:webHidden/>
                <w:rStyle w:val="IndexLink"/>
                <w:rtl w:val="true"/>
              </w:rPr>
              <w:t>المبحث الثالث دلالة النهی علی الفساد</w:t>
            </w:r>
            <w:r>
              <w:rPr>
                <w:rStyle w:val="IndexLink"/>
                <w:rtl w:val="true"/>
              </w:rPr>
              <w:tab/>
            </w:r>
            <w:r>
              <w:rPr>
                <w:rStyle w:val="IndexLink"/>
              </w:rPr>
              <w:t>285</w:t>
            </w:r>
          </w:hyperlink>
        </w:p>
        <w:p>
          <w:pPr>
            <w:pStyle w:val="Contents4"/>
            <w:tabs>
              <w:tab w:val="clear" w:pos="8176"/>
              <w:tab w:val="right" w:pos="9026" w:leader="dot"/>
            </w:tabs>
            <w:rPr/>
          </w:pPr>
          <w:hyperlink w:anchor="__RefHeading___Toc533953_3244359995">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533955_3244359995">
            <w:r>
              <w:rPr>
                <w:webHidden/>
                <w:rStyle w:val="IndexLink"/>
                <w:rtl w:val="true"/>
              </w:rPr>
              <w:t>الأمر الأوّل</w:t>
            </w:r>
            <w:r>
              <w:rPr>
                <w:rStyle w:val="IndexLink"/>
                <w:rtl w:val="true"/>
              </w:rPr>
              <w:t xml:space="preserve">: </w:t>
            </w:r>
            <w:r>
              <w:rPr>
                <w:rStyle w:val="IndexLink"/>
                <w:rtl w:val="true"/>
              </w:rPr>
              <w:t>حول عنوان المسألة</w:t>
            </w:r>
            <w:r>
              <w:rPr>
                <w:rStyle w:val="IndexLink"/>
                <w:rtl w:val="true"/>
              </w:rPr>
              <w:tab/>
            </w:r>
            <w:r>
              <w:rPr>
                <w:rStyle w:val="IndexLink"/>
              </w:rPr>
              <w:t>286</w:t>
            </w:r>
          </w:hyperlink>
        </w:p>
        <w:p>
          <w:pPr>
            <w:pStyle w:val="Contents5"/>
            <w:tabs>
              <w:tab w:val="clear" w:pos="7892"/>
              <w:tab w:val="right" w:pos="9026" w:leader="dot"/>
            </w:tabs>
            <w:rPr/>
          </w:pPr>
          <w:hyperlink w:anchor="__RefHeading___Toc533957_3244359995">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533959_3244359995">
            <w:r>
              <w:rPr>
                <w:webHidden/>
                <w:rStyle w:val="IndexLink"/>
                <w:rtl w:val="true"/>
              </w:rPr>
              <w:t>حلّ الشبهات الثلاثة السابقة</w:t>
            </w:r>
            <w:r>
              <w:rPr>
                <w:rStyle w:val="IndexLink"/>
                <w:rtl w:val="true"/>
              </w:rPr>
              <w:tab/>
            </w:r>
            <w:r>
              <w:rPr>
                <w:rStyle w:val="IndexLink"/>
              </w:rPr>
              <w:t>289</w:t>
            </w:r>
          </w:hyperlink>
        </w:p>
        <w:p>
          <w:pPr>
            <w:pStyle w:val="Contents4"/>
            <w:tabs>
              <w:tab w:val="clear" w:pos="8176"/>
              <w:tab w:val="right" w:pos="9026" w:leader="dot"/>
            </w:tabs>
            <w:rPr/>
          </w:pPr>
          <w:hyperlink w:anchor="__RefHeading___Toc533961_3244359995">
            <w:r>
              <w:rPr>
                <w:webHidden/>
                <w:rStyle w:val="IndexLink"/>
                <w:rtl w:val="true"/>
              </w:rPr>
              <w:t>الأمر الثانی</w:t>
            </w:r>
            <w:r>
              <w:rPr>
                <w:rStyle w:val="IndexLink"/>
                <w:rtl w:val="true"/>
              </w:rPr>
              <w:t xml:space="preserve">: </w:t>
            </w:r>
            <w:r>
              <w:rPr>
                <w:rStyle w:val="IndexLink"/>
                <w:rtl w:val="true"/>
              </w:rPr>
              <w:t>فی أُصولیّة المسألة و فرقها عن مسألة الاجتماع</w:t>
            </w:r>
            <w:r>
              <w:rPr>
                <w:rStyle w:val="IndexLink"/>
                <w:rtl w:val="true"/>
              </w:rPr>
              <w:tab/>
            </w:r>
            <w:r>
              <w:rPr>
                <w:rStyle w:val="IndexLink"/>
              </w:rPr>
              <w:t>290</w:t>
            </w:r>
          </w:hyperlink>
        </w:p>
        <w:p>
          <w:pPr>
            <w:pStyle w:val="Contents4"/>
            <w:tabs>
              <w:tab w:val="clear" w:pos="8176"/>
              <w:tab w:val="right" w:pos="9026" w:leader="dot"/>
            </w:tabs>
            <w:rPr/>
          </w:pPr>
          <w:hyperlink w:anchor="__RefHeading___Toc533963_3244359995">
            <w:r>
              <w:rPr>
                <w:webHidden/>
                <w:rStyle w:val="IndexLink"/>
                <w:rtl w:val="true"/>
              </w:rPr>
              <w:t>الأمر الثالث</w:t>
            </w:r>
            <w:r>
              <w:rPr>
                <w:rStyle w:val="IndexLink"/>
                <w:rtl w:val="true"/>
              </w:rPr>
              <w:t xml:space="preserve">: </w:t>
            </w:r>
            <w:r>
              <w:rPr>
                <w:rStyle w:val="IndexLink"/>
                <w:rtl w:val="true"/>
              </w:rPr>
              <w:t>فی قلّة ثمرة هذه المسألة</w:t>
            </w:r>
            <w:r>
              <w:rPr>
                <w:rStyle w:val="IndexLink"/>
                <w:rtl w:val="true"/>
              </w:rPr>
              <w:tab/>
            </w:r>
            <w:r>
              <w:rPr>
                <w:rStyle w:val="IndexLink"/>
              </w:rPr>
              <w:t>291</w:t>
            </w:r>
          </w:hyperlink>
        </w:p>
        <w:p>
          <w:pPr>
            <w:pStyle w:val="Contents5"/>
            <w:tabs>
              <w:tab w:val="clear" w:pos="7892"/>
              <w:tab w:val="right" w:pos="9026" w:leader="dot"/>
            </w:tabs>
            <w:rPr/>
          </w:pPr>
          <w:hyperlink w:anchor="__RefHeading___Toc533965_3244359995">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533967_3244359995">
            <w:r>
              <w:rPr>
                <w:webHidden/>
                <w:rStyle w:val="IndexLink"/>
                <w:rtl w:val="true"/>
              </w:rPr>
              <w:t>وهم و دفع</w:t>
            </w:r>
            <w:r>
              <w:rPr>
                <w:rStyle w:val="IndexLink"/>
                <w:rtl w:val="true"/>
              </w:rPr>
              <w:tab/>
            </w:r>
            <w:r>
              <w:rPr>
                <w:rStyle w:val="IndexLink"/>
              </w:rPr>
              <w:t>293</w:t>
            </w:r>
          </w:hyperlink>
        </w:p>
        <w:p>
          <w:pPr>
            <w:pStyle w:val="Contents5"/>
            <w:tabs>
              <w:tab w:val="clear" w:pos="7892"/>
              <w:tab w:val="right" w:pos="9026" w:leader="dot"/>
            </w:tabs>
            <w:rPr/>
          </w:pPr>
          <w:hyperlink w:anchor="__RefHeading___Toc533969_3244359995">
            <w:r>
              <w:rPr>
                <w:webHidden/>
                <w:rStyle w:val="IndexLink"/>
                <w:rtl w:val="true"/>
              </w:rPr>
              <w:t>تذنیب</w:t>
            </w:r>
            <w:r>
              <w:rPr>
                <w:rStyle w:val="IndexLink"/>
                <w:rtl w:val="true"/>
              </w:rPr>
              <w:t xml:space="preserve">: </w:t>
            </w:r>
            <w:r>
              <w:rPr>
                <w:rStyle w:val="IndexLink"/>
                <w:rtl w:val="true"/>
              </w:rPr>
              <w:t>حول حصر النزاع بوجود دلیل شرعیّ علی الصحّة لو لا النهی</w:t>
            </w:r>
            <w:r>
              <w:rPr>
                <w:rStyle w:val="IndexLink"/>
                <w:rtl w:val="true"/>
              </w:rPr>
              <w:tab/>
            </w:r>
            <w:r>
              <w:rPr>
                <w:rStyle w:val="IndexLink"/>
              </w:rPr>
              <w:t>294</w:t>
            </w:r>
          </w:hyperlink>
        </w:p>
        <w:p>
          <w:pPr>
            <w:pStyle w:val="Contents4"/>
            <w:tabs>
              <w:tab w:val="clear" w:pos="8176"/>
              <w:tab w:val="right" w:pos="9026" w:leader="dot"/>
            </w:tabs>
            <w:rPr/>
          </w:pPr>
          <w:hyperlink w:anchor="__RefHeading___Toc533971_3244359995">
            <w:r>
              <w:rPr>
                <w:webHidden/>
                <w:rStyle w:val="IndexLink"/>
                <w:rtl w:val="true"/>
              </w:rPr>
              <w:t>الأمر الرابع</w:t>
            </w:r>
            <w:r>
              <w:rPr>
                <w:rStyle w:val="IndexLink"/>
                <w:rtl w:val="true"/>
              </w:rPr>
              <w:t xml:space="preserve">: </w:t>
            </w:r>
            <w:r>
              <w:rPr>
                <w:rStyle w:val="IndexLink"/>
                <w:rtl w:val="true"/>
              </w:rPr>
              <w:t>فی بیان أقسام الوجوب و التحریم التی یشملها النزاع</w:t>
            </w:r>
            <w:r>
              <w:rPr>
                <w:rStyle w:val="IndexLink"/>
                <w:rtl w:val="true"/>
              </w:rPr>
              <w:tab/>
            </w:r>
            <w:r>
              <w:rPr>
                <w:rStyle w:val="IndexLink"/>
              </w:rPr>
              <w:t>295</w:t>
            </w:r>
          </w:hyperlink>
        </w:p>
        <w:p>
          <w:pPr>
            <w:pStyle w:val="Contents5"/>
            <w:tabs>
              <w:tab w:val="clear" w:pos="7892"/>
              <w:tab w:val="right" w:pos="9026" w:leader="dot"/>
            </w:tabs>
            <w:rPr/>
          </w:pPr>
          <w:hyperlink w:anchor="__RefHeading___Toc533973_3244359995">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533975_3244359995">
            <w:r>
              <w:rPr>
                <w:webHidden/>
                <w:rStyle w:val="IndexLink"/>
                <w:rtl w:val="true"/>
              </w:rPr>
              <w:t>الطائفة الأُولی</w:t>
            </w:r>
            <w:r>
              <w:rPr>
                <w:rStyle w:val="IndexLink"/>
                <w:rtl w:val="true"/>
              </w:rPr>
              <w:t xml:space="preserve">: </w:t>
            </w:r>
            <w:r>
              <w:rPr>
                <w:rStyle w:val="IndexLink"/>
                <w:rtl w:val="true"/>
              </w:rPr>
              <w:t>النواهی التنزیهیّة</w:t>
            </w:r>
            <w:r>
              <w:rPr>
                <w:rStyle w:val="IndexLink"/>
                <w:rtl w:val="true"/>
              </w:rPr>
              <w:tab/>
            </w:r>
            <w:r>
              <w:rPr>
                <w:rStyle w:val="IndexLink"/>
              </w:rPr>
              <w:t>296</w:t>
            </w:r>
          </w:hyperlink>
        </w:p>
        <w:p>
          <w:pPr>
            <w:pStyle w:val="Contents5"/>
            <w:tabs>
              <w:tab w:val="clear" w:pos="7892"/>
              <w:tab w:val="right" w:pos="9026" w:leader="dot"/>
            </w:tabs>
            <w:rPr/>
          </w:pPr>
          <w:hyperlink w:anchor="__RefHeading___Toc533977_3244359995">
            <w:r>
              <w:rPr>
                <w:webHidden/>
                <w:rStyle w:val="IndexLink"/>
                <w:rtl w:val="true"/>
              </w:rPr>
              <w:t>الطائفة الثانیة</w:t>
            </w:r>
            <w:r>
              <w:rPr>
                <w:rStyle w:val="IndexLink"/>
                <w:rtl w:val="true"/>
              </w:rPr>
              <w:t xml:space="preserve">: </w:t>
            </w:r>
            <w:r>
              <w:rPr>
                <w:rStyle w:val="IndexLink"/>
                <w:rtl w:val="true"/>
              </w:rPr>
              <w:t>النواهی الغیریّة</w:t>
            </w:r>
            <w:r>
              <w:rPr>
                <w:rStyle w:val="IndexLink"/>
                <w:rtl w:val="true"/>
              </w:rPr>
              <w:tab/>
            </w:r>
            <w:r>
              <w:rPr>
                <w:rStyle w:val="IndexLink"/>
              </w:rPr>
              <w:t>297</w:t>
            </w:r>
          </w:hyperlink>
        </w:p>
        <w:p>
          <w:pPr>
            <w:pStyle w:val="Contents5"/>
            <w:tabs>
              <w:tab w:val="clear" w:pos="7892"/>
              <w:tab w:val="right" w:pos="9026" w:leader="dot"/>
            </w:tabs>
            <w:rPr/>
          </w:pPr>
          <w:hyperlink w:anchor="__RefHeading___Toc533979_3244359995">
            <w:r>
              <w:rPr>
                <w:webHidden/>
                <w:rStyle w:val="IndexLink"/>
                <w:rtl w:val="true"/>
              </w:rPr>
              <w:t>و هنا طائفة ثالثة</w:t>
            </w:r>
            <w:r>
              <w:rPr>
                <w:rStyle w:val="IndexLink"/>
                <w:rtl w:val="true"/>
              </w:rPr>
              <w:t>:</w:t>
              <w:tab/>
            </w:r>
            <w:r>
              <w:rPr>
                <w:rStyle w:val="IndexLink"/>
              </w:rPr>
              <w:t>298</w:t>
            </w:r>
          </w:hyperlink>
        </w:p>
        <w:p>
          <w:pPr>
            <w:pStyle w:val="Contents4"/>
            <w:tabs>
              <w:tab w:val="clear" w:pos="8176"/>
              <w:tab w:val="right" w:pos="9026" w:leader="dot"/>
            </w:tabs>
            <w:rPr/>
          </w:pPr>
          <w:hyperlink w:anchor="__RefHeading___Toc533981_3244359995">
            <w:r>
              <w:rPr>
                <w:webHidden/>
                <w:rStyle w:val="IndexLink"/>
                <w:rtl w:val="true"/>
              </w:rPr>
              <w:t>الأمر الخامس</w:t>
            </w:r>
            <w:r>
              <w:rPr>
                <w:rStyle w:val="IndexLink"/>
                <w:rtl w:val="true"/>
              </w:rPr>
              <w:t xml:space="preserve">: </w:t>
            </w:r>
            <w:r>
              <w:rPr>
                <w:rStyle w:val="IndexLink"/>
                <w:rtl w:val="true"/>
              </w:rPr>
              <w:t>الأصل فی النهی عن العبادة و المعاملة هو الإرشاد</w:t>
            </w:r>
            <w:r>
              <w:rPr>
                <w:rStyle w:val="IndexLink"/>
                <w:rtl w:val="true"/>
              </w:rPr>
              <w:tab/>
            </w:r>
            <w:r>
              <w:rPr>
                <w:rStyle w:val="IndexLink"/>
              </w:rPr>
              <w:t>298</w:t>
            </w:r>
          </w:hyperlink>
        </w:p>
        <w:p>
          <w:pPr>
            <w:pStyle w:val="Contents5"/>
            <w:tabs>
              <w:tab w:val="clear" w:pos="7892"/>
              <w:tab w:val="right" w:pos="9026" w:leader="dot"/>
            </w:tabs>
            <w:rPr/>
          </w:pPr>
          <w:hyperlink w:anchor="__RefHeading___Toc533983_3244359995">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533985_3244359995">
            <w:r>
              <w:rPr>
                <w:webHidden/>
                <w:rStyle w:val="IndexLink"/>
                <w:rtl w:val="true"/>
              </w:rPr>
              <w:t>تذنیب</w:t>
            </w:r>
            <w:r>
              <w:rPr>
                <w:rStyle w:val="IndexLink"/>
                <w:rtl w:val="true"/>
              </w:rPr>
              <w:t xml:space="preserve">: </w:t>
            </w:r>
            <w:r>
              <w:rPr>
                <w:rStyle w:val="IndexLink"/>
                <w:rtl w:val="true"/>
              </w:rPr>
              <w:t>حول عدم الفرق بین أنحاء تعلّق النهی</w:t>
            </w:r>
            <w:r>
              <w:rPr>
                <w:rStyle w:val="IndexLink"/>
                <w:rtl w:val="true"/>
              </w:rPr>
              <w:tab/>
            </w:r>
            <w:r>
              <w:rPr>
                <w:rStyle w:val="IndexLink"/>
              </w:rPr>
              <w:t>302</w:t>
            </w:r>
          </w:hyperlink>
        </w:p>
        <w:p>
          <w:pPr>
            <w:pStyle w:val="Contents5"/>
            <w:tabs>
              <w:tab w:val="clear" w:pos="7892"/>
              <w:tab w:val="right" w:pos="9026" w:leader="dot"/>
            </w:tabs>
            <w:rPr/>
          </w:pPr>
          <w:hyperlink w:anchor="__RefHeading___Toc533987_3244359995">
            <w:r>
              <w:rPr>
                <w:webHidden/>
                <w:rStyle w:val="IndexLink"/>
                <w:rtl w:val="true"/>
              </w:rPr>
              <w:t>تنبیه</w:t>
            </w:r>
            <w:r>
              <w:rPr>
                <w:rStyle w:val="IndexLink"/>
                <w:rtl w:val="true"/>
              </w:rPr>
              <w:t xml:space="preserve">: </w:t>
            </w:r>
            <w:r>
              <w:rPr>
                <w:rStyle w:val="IndexLink"/>
                <w:rtl w:val="true"/>
              </w:rPr>
              <w:t>حول عدم صغرویّة النزاع</w:t>
            </w:r>
            <w:r>
              <w:rPr>
                <w:rStyle w:val="IndexLink"/>
                <w:rtl w:val="true"/>
              </w:rPr>
              <w:tab/>
            </w:r>
            <w:r>
              <w:rPr>
                <w:rStyle w:val="IndexLink"/>
              </w:rPr>
              <w:t>302</w:t>
            </w:r>
          </w:hyperlink>
        </w:p>
        <w:p>
          <w:pPr>
            <w:pStyle w:val="Contents5"/>
            <w:tabs>
              <w:tab w:val="clear" w:pos="7892"/>
              <w:tab w:val="right" w:pos="9026" w:leader="dot"/>
            </w:tabs>
            <w:rPr/>
          </w:pPr>
          <w:hyperlink w:anchor="__RefHeading___Toc533989_3244359995">
            <w:r>
              <w:rPr>
                <w:webHidden/>
                <w:rStyle w:val="IndexLink"/>
                <w:rtl w:val="true"/>
              </w:rPr>
              <w:t>تذنیب</w:t>
            </w:r>
            <w:r>
              <w:rPr>
                <w:rStyle w:val="IndexLink"/>
                <w:rtl w:val="true"/>
              </w:rPr>
              <w:t xml:space="preserve">: </w:t>
            </w:r>
            <w:r>
              <w:rPr>
                <w:rStyle w:val="IndexLink"/>
                <w:rtl w:val="true"/>
              </w:rPr>
              <w:t>حول إرشادیّة النواهی فی المرکّبات</w:t>
            </w:r>
            <w:r>
              <w:rPr>
                <w:rStyle w:val="IndexLink"/>
                <w:rtl w:val="true"/>
              </w:rPr>
              <w:tab/>
            </w:r>
            <w:r>
              <w:rPr>
                <w:rStyle w:val="IndexLink"/>
              </w:rPr>
              <w:t>303</w:t>
            </w:r>
          </w:hyperlink>
        </w:p>
        <w:p>
          <w:pPr>
            <w:pStyle w:val="Contents5"/>
            <w:tabs>
              <w:tab w:val="clear" w:pos="7892"/>
              <w:tab w:val="right" w:pos="9026" w:leader="dot"/>
            </w:tabs>
            <w:rPr/>
          </w:pPr>
          <w:hyperlink w:anchor="__RefHeading___Toc533991_3244359995">
            <w:r>
              <w:rPr>
                <w:webHidden/>
                <w:rStyle w:val="IndexLink"/>
                <w:rtl w:val="true"/>
              </w:rPr>
              <w:t>فذلکة الکلام فی المقام</w:t>
            </w:r>
            <w:r>
              <w:rPr>
                <w:rStyle w:val="IndexLink"/>
                <w:rtl w:val="true"/>
              </w:rPr>
              <w:tab/>
            </w:r>
            <w:r>
              <w:rPr>
                <w:rStyle w:val="IndexLink"/>
              </w:rPr>
              <w:t>305</w:t>
            </w:r>
          </w:hyperlink>
        </w:p>
        <w:p>
          <w:pPr>
            <w:pStyle w:val="Contents4"/>
            <w:tabs>
              <w:tab w:val="clear" w:pos="8176"/>
              <w:tab w:val="right" w:pos="9026" w:leader="dot"/>
            </w:tabs>
            <w:rPr/>
          </w:pPr>
          <w:hyperlink w:anchor="__RefHeading___Toc533993_3244359995">
            <w:r>
              <w:rPr>
                <w:webHidden/>
                <w:rStyle w:val="IndexLink"/>
                <w:rtl w:val="true"/>
              </w:rPr>
              <w:t>الأمر السادس</w:t>
            </w:r>
            <w:r>
              <w:rPr>
                <w:rStyle w:val="IndexLink"/>
                <w:rtl w:val="true"/>
              </w:rPr>
              <w:t xml:space="preserve">: </w:t>
            </w:r>
            <w:r>
              <w:rPr>
                <w:rStyle w:val="IndexLink"/>
                <w:rtl w:val="true"/>
              </w:rPr>
              <w:t xml:space="preserve">حول المراد من </w:t>
            </w:r>
            <w:r>
              <w:rPr>
                <w:rStyle w:val="IndexLink"/>
                <w:rtl w:val="true"/>
              </w:rPr>
              <w:t>«</w:t>
            </w:r>
            <w:r>
              <w:rPr>
                <w:rStyle w:val="IndexLink"/>
                <w:rtl w:val="true"/>
              </w:rPr>
              <w:t>العبادة و المعاملة</w:t>
            </w:r>
            <w:r>
              <w:rPr>
                <w:rStyle w:val="IndexLink"/>
                <w:rtl w:val="true"/>
              </w:rPr>
              <w:t>»</w:t>
              <w:tab/>
            </w:r>
            <w:r>
              <w:rPr>
                <w:rStyle w:val="IndexLink"/>
              </w:rPr>
              <w:t>308</w:t>
            </w:r>
          </w:hyperlink>
        </w:p>
        <w:p>
          <w:pPr>
            <w:pStyle w:val="Contents5"/>
            <w:tabs>
              <w:tab w:val="clear" w:pos="7892"/>
              <w:tab w:val="right" w:pos="9026" w:leader="dot"/>
            </w:tabs>
            <w:rPr/>
          </w:pPr>
          <w:hyperlink w:anchor="__RefHeading___Toc533995_3244359995">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533997_3244359995">
            <w:r>
              <w:rPr>
                <w:webHidden/>
                <w:rStyle w:val="IndexLink"/>
                <w:rtl w:val="true"/>
              </w:rPr>
              <w:t>الجهة الأُولی</w:t>
            </w:r>
            <w:r>
              <w:rPr>
                <w:rStyle w:val="IndexLink"/>
                <w:rtl w:val="true"/>
              </w:rPr>
              <w:t xml:space="preserve">: </w:t>
            </w:r>
            <w:r>
              <w:rPr>
                <w:rStyle w:val="IndexLink"/>
                <w:rtl w:val="true"/>
              </w:rPr>
              <w:t>حول العبادة</w:t>
            </w:r>
            <w:r>
              <w:rPr>
                <w:rStyle w:val="IndexLink"/>
                <w:rtl w:val="true"/>
              </w:rPr>
              <w:tab/>
            </w:r>
            <w:r>
              <w:rPr>
                <w:rStyle w:val="IndexLink"/>
              </w:rPr>
              <w:t>309</w:t>
            </w:r>
          </w:hyperlink>
        </w:p>
        <w:p>
          <w:pPr>
            <w:pStyle w:val="Contents5"/>
            <w:tabs>
              <w:tab w:val="clear" w:pos="7892"/>
              <w:tab w:val="right" w:pos="9026" w:leader="dot"/>
            </w:tabs>
            <w:rPr/>
          </w:pPr>
          <w:hyperlink w:anchor="__RefHeading___Toc533999_3244359995">
            <w:r>
              <w:rPr>
                <w:webHidden/>
                <w:rStyle w:val="IndexLink"/>
                <w:rtl w:val="true"/>
              </w:rPr>
              <w:t>الجهة الثانیة</w:t>
            </w:r>
            <w:r>
              <w:rPr>
                <w:rStyle w:val="IndexLink"/>
                <w:rtl w:val="true"/>
              </w:rPr>
              <w:t xml:space="preserve">: </w:t>
            </w:r>
            <w:r>
              <w:rPr>
                <w:rStyle w:val="IndexLink"/>
                <w:rtl w:val="true"/>
              </w:rPr>
              <w:t>حول المعاملة</w:t>
            </w:r>
            <w:r>
              <w:rPr>
                <w:rStyle w:val="IndexLink"/>
                <w:rtl w:val="true"/>
              </w:rPr>
              <w:tab/>
            </w:r>
            <w:r>
              <w:rPr>
                <w:rStyle w:val="IndexLink"/>
              </w:rPr>
              <w:t>310</w:t>
            </w:r>
          </w:hyperlink>
        </w:p>
        <w:p>
          <w:pPr>
            <w:pStyle w:val="Contents5"/>
            <w:tabs>
              <w:tab w:val="clear" w:pos="7892"/>
              <w:tab w:val="right" w:pos="9026" w:leader="dot"/>
            </w:tabs>
            <w:rPr/>
          </w:pPr>
          <w:hyperlink w:anchor="__RefHeading___Toc534001_3244359995">
            <w:r>
              <w:rPr>
                <w:webHidden/>
                <w:rStyle w:val="IndexLink"/>
                <w:rtl w:val="true"/>
              </w:rPr>
              <w:t>الجهة الثالثة</w:t>
            </w:r>
            <w:r>
              <w:rPr>
                <w:rStyle w:val="IndexLink"/>
                <w:rtl w:val="true"/>
              </w:rPr>
              <w:t xml:space="preserve">: </w:t>
            </w:r>
            <w:r>
              <w:rPr>
                <w:rStyle w:val="IndexLink"/>
                <w:rtl w:val="true"/>
              </w:rPr>
              <w:t xml:space="preserve">فیما یتعلّق بعنوان </w:t>
            </w:r>
            <w:r>
              <w:rPr>
                <w:rStyle w:val="IndexLink"/>
                <w:rtl w:val="true"/>
              </w:rPr>
              <w:t>«</w:t>
            </w:r>
            <w:r>
              <w:rPr>
                <w:rStyle w:val="IndexLink"/>
                <w:rtl w:val="true"/>
              </w:rPr>
              <w:t>الفساد</w:t>
            </w:r>
            <w:r>
              <w:rPr>
                <w:rStyle w:val="IndexLink"/>
                <w:rtl w:val="true"/>
              </w:rPr>
              <w:t xml:space="preserve">» </w:t>
            </w:r>
            <w:r>
              <w:rPr>
                <w:rStyle w:val="IndexLink"/>
                <w:rtl w:val="true"/>
              </w:rPr>
              <w:t xml:space="preserve">أوّلاً و بالذات و ب </w:t>
            </w:r>
            <w:r>
              <w:rPr>
                <w:rStyle w:val="IndexLink"/>
                <w:rtl w:val="true"/>
              </w:rPr>
              <w:t>«</w:t>
            </w:r>
            <w:r>
              <w:rPr>
                <w:rStyle w:val="IndexLink"/>
                <w:rtl w:val="true"/>
              </w:rPr>
              <w:t>الصحّة</w:t>
            </w:r>
            <w:r>
              <w:rPr>
                <w:rStyle w:val="IndexLink"/>
                <w:rtl w:val="true"/>
              </w:rPr>
              <w:t xml:space="preserve">» </w:t>
            </w:r>
            <w:r>
              <w:rPr>
                <w:rStyle w:val="IndexLink"/>
                <w:rtl w:val="true"/>
              </w:rPr>
              <w:t>تبعاً له</w:t>
            </w:r>
            <w:r>
              <w:rPr>
                <w:rStyle w:val="IndexLink"/>
                <w:rtl w:val="true"/>
              </w:rPr>
              <w:tab/>
            </w:r>
            <w:r>
              <w:rPr>
                <w:rStyle w:val="IndexLink"/>
              </w:rPr>
              <w:t>311</w:t>
            </w:r>
          </w:hyperlink>
        </w:p>
        <w:p>
          <w:pPr>
            <w:pStyle w:val="Contents6"/>
            <w:tabs>
              <w:tab w:val="clear" w:pos="7609"/>
              <w:tab w:val="right" w:pos="9026" w:leader="dot"/>
            </w:tabs>
            <w:rPr/>
          </w:pPr>
          <w:hyperlink w:anchor="__RefHeading___Toc534003_3244359995">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534005_3244359995">
            <w:r>
              <w:rPr>
                <w:webHidden/>
                <w:rStyle w:val="IndexLink"/>
                <w:rtl w:val="true"/>
              </w:rPr>
              <w:t>أوّلها</w:t>
            </w:r>
            <w:r>
              <w:rPr>
                <w:rStyle w:val="IndexLink"/>
                <w:rtl w:val="true"/>
              </w:rPr>
              <w:t xml:space="preserve">: </w:t>
            </w:r>
            <w:r>
              <w:rPr>
                <w:rStyle w:val="IndexLink"/>
                <w:rtl w:val="true"/>
              </w:rPr>
              <w:t>فی مفهومهما اللغویّ</w:t>
            </w:r>
            <w:r>
              <w:rPr>
                <w:rStyle w:val="IndexLink"/>
                <w:rtl w:val="true"/>
              </w:rPr>
              <w:tab/>
            </w:r>
            <w:r>
              <w:rPr>
                <w:rStyle w:val="IndexLink"/>
              </w:rPr>
              <w:t>313</w:t>
            </w:r>
          </w:hyperlink>
        </w:p>
        <w:p>
          <w:pPr>
            <w:pStyle w:val="Contents6"/>
            <w:tabs>
              <w:tab w:val="clear" w:pos="7609"/>
              <w:tab w:val="right" w:pos="9026" w:leader="dot"/>
            </w:tabs>
            <w:rPr/>
          </w:pPr>
          <w:hyperlink w:anchor="__RefHeading___Toc534007_3244359995">
            <w:r>
              <w:rPr>
                <w:webHidden/>
                <w:rStyle w:val="IndexLink"/>
                <w:rtl w:val="true"/>
              </w:rPr>
              <w:t>ثانیها</w:t>
            </w:r>
            <w:r>
              <w:rPr>
                <w:rStyle w:val="IndexLink"/>
                <w:rtl w:val="true"/>
              </w:rPr>
              <w:t xml:space="preserve">: </w:t>
            </w:r>
            <w:r>
              <w:rPr>
                <w:rStyle w:val="IndexLink"/>
                <w:rtl w:val="true"/>
              </w:rPr>
              <w:t>فی اتصاف العناوین فی عالم العنوانیّة بالصحّة و الفساد</w:t>
            </w:r>
            <w:r>
              <w:rPr>
                <w:rStyle w:val="IndexLink"/>
                <w:rtl w:val="true"/>
              </w:rPr>
              <w:tab/>
            </w:r>
            <w:r>
              <w:rPr>
                <w:rStyle w:val="IndexLink"/>
              </w:rPr>
              <w:t>316</w:t>
            </w:r>
          </w:hyperlink>
        </w:p>
        <w:p>
          <w:pPr>
            <w:pStyle w:val="Contents6"/>
            <w:tabs>
              <w:tab w:val="clear" w:pos="7609"/>
              <w:tab w:val="right" w:pos="9026" w:leader="dot"/>
            </w:tabs>
            <w:rPr/>
          </w:pPr>
          <w:hyperlink w:anchor="__RefHeading___Toc534009_3244359995">
            <w:r>
              <w:rPr>
                <w:webHidden/>
                <w:rStyle w:val="IndexLink"/>
                <w:rtl w:val="true"/>
              </w:rPr>
              <w:t>ثالثها</w:t>
            </w:r>
            <w:r>
              <w:rPr>
                <w:rStyle w:val="IndexLink"/>
                <w:rtl w:val="true"/>
              </w:rPr>
              <w:t xml:space="preserve">: </w:t>
            </w:r>
            <w:r>
              <w:rPr>
                <w:rStyle w:val="IndexLink"/>
                <w:rtl w:val="true"/>
              </w:rPr>
              <w:t>فی أنّ الصحّة و الفساد من الأُمور الواقعیّة لا الإضافیّة</w:t>
            </w:r>
            <w:r>
              <w:rPr>
                <w:rStyle w:val="IndexLink"/>
                <w:rtl w:val="true"/>
              </w:rPr>
              <w:tab/>
            </w:r>
            <w:r>
              <w:rPr>
                <w:rStyle w:val="IndexLink"/>
              </w:rPr>
              <w:t>317</w:t>
            </w:r>
          </w:hyperlink>
        </w:p>
        <w:p>
          <w:pPr>
            <w:pStyle w:val="Contents6"/>
            <w:tabs>
              <w:tab w:val="clear" w:pos="7609"/>
              <w:tab w:val="right" w:pos="9026" w:leader="dot"/>
            </w:tabs>
            <w:rPr/>
          </w:pPr>
          <w:hyperlink w:anchor="__RefHeading___Toc534011_3244359995">
            <w:r>
              <w:rPr>
                <w:webHidden/>
                <w:rStyle w:val="IndexLink"/>
                <w:rtl w:val="true"/>
              </w:rPr>
              <w:t>رابعها</w:t>
            </w:r>
            <w:r>
              <w:rPr>
                <w:rStyle w:val="IndexLink"/>
                <w:rtl w:val="true"/>
              </w:rPr>
              <w:t xml:space="preserve">: </w:t>
            </w:r>
            <w:r>
              <w:rPr>
                <w:rStyle w:val="IndexLink"/>
                <w:rtl w:val="true"/>
              </w:rPr>
              <w:t>فی بطلان الصحّة التأهّلیة</w:t>
            </w:r>
            <w:r>
              <w:rPr>
                <w:rStyle w:val="IndexLink"/>
                <w:rtl w:val="true"/>
              </w:rPr>
              <w:tab/>
            </w:r>
            <w:r>
              <w:rPr>
                <w:rStyle w:val="IndexLink"/>
              </w:rPr>
              <w:t>319</w:t>
            </w:r>
          </w:hyperlink>
        </w:p>
        <w:p>
          <w:pPr>
            <w:pStyle w:val="Contents6"/>
            <w:tabs>
              <w:tab w:val="clear" w:pos="7609"/>
              <w:tab w:val="right" w:pos="9026" w:leader="dot"/>
            </w:tabs>
            <w:rPr/>
          </w:pPr>
          <w:hyperlink w:anchor="__RefHeading___Toc534013_3244359995">
            <w:r>
              <w:rPr>
                <w:webHidden/>
                <w:rStyle w:val="IndexLink"/>
                <w:rtl w:val="true"/>
              </w:rPr>
              <w:t>خامسها</w:t>
            </w:r>
            <w:r>
              <w:rPr>
                <w:rStyle w:val="IndexLink"/>
                <w:rtl w:val="true"/>
              </w:rPr>
              <w:t xml:space="preserve">: </w:t>
            </w:r>
            <w:r>
              <w:rPr>
                <w:rStyle w:val="IndexLink"/>
                <w:rtl w:val="true"/>
              </w:rPr>
              <w:t>فی تقابل الصحّة و الفساد</w:t>
            </w:r>
            <w:r>
              <w:rPr>
                <w:rStyle w:val="IndexLink"/>
                <w:rtl w:val="true"/>
              </w:rPr>
              <w:tab/>
            </w:r>
            <w:r>
              <w:rPr>
                <w:rStyle w:val="IndexLink"/>
              </w:rPr>
              <w:t>320</w:t>
            </w:r>
          </w:hyperlink>
        </w:p>
        <w:p>
          <w:pPr>
            <w:pStyle w:val="Contents6"/>
            <w:tabs>
              <w:tab w:val="clear" w:pos="7609"/>
              <w:tab w:val="right" w:pos="9026" w:leader="dot"/>
            </w:tabs>
            <w:rPr/>
          </w:pPr>
          <w:hyperlink w:anchor="__RefHeading___Toc534015_3244359995">
            <w:r>
              <w:rPr>
                <w:webHidden/>
                <w:rStyle w:val="IndexLink"/>
                <w:rtl w:val="true"/>
              </w:rPr>
              <w:t>سادسها</w:t>
            </w:r>
            <w:r>
              <w:rPr>
                <w:rStyle w:val="IndexLink"/>
                <w:rtl w:val="true"/>
              </w:rPr>
              <w:t xml:space="preserve">: </w:t>
            </w:r>
            <w:r>
              <w:rPr>
                <w:rStyle w:val="IndexLink"/>
                <w:rtl w:val="true"/>
              </w:rPr>
              <w:t>حول توهّم إضافیّة الصحّة و الفساد و دفعه</w:t>
            </w:r>
            <w:r>
              <w:rPr>
                <w:rStyle w:val="IndexLink"/>
                <w:rtl w:val="true"/>
              </w:rPr>
              <w:tab/>
            </w:r>
            <w:r>
              <w:rPr>
                <w:rStyle w:val="IndexLink"/>
              </w:rPr>
              <w:t>322</w:t>
            </w:r>
          </w:hyperlink>
        </w:p>
        <w:p>
          <w:pPr>
            <w:pStyle w:val="Contents6"/>
            <w:tabs>
              <w:tab w:val="clear" w:pos="7609"/>
              <w:tab w:val="right" w:pos="9026" w:leader="dot"/>
            </w:tabs>
            <w:rPr/>
          </w:pPr>
          <w:hyperlink w:anchor="__RefHeading___Toc534017_3244359995">
            <w:r>
              <w:rPr>
                <w:webHidden/>
                <w:rStyle w:val="IndexLink"/>
                <w:rtl w:val="true"/>
              </w:rPr>
              <w:t>سابعها</w:t>
            </w:r>
            <w:r>
              <w:rPr>
                <w:rStyle w:val="IndexLink"/>
                <w:rtl w:val="true"/>
              </w:rPr>
              <w:t xml:space="preserve">: </w:t>
            </w:r>
            <w:r>
              <w:rPr>
                <w:rStyle w:val="IndexLink"/>
                <w:rtl w:val="true"/>
              </w:rPr>
              <w:t>حول اندراج المعاملات فی محطّ النزاع</w:t>
            </w:r>
            <w:r>
              <w:rPr>
                <w:rStyle w:val="IndexLink"/>
                <w:rtl w:val="true"/>
              </w:rPr>
              <w:tab/>
            </w:r>
            <w:r>
              <w:rPr>
                <w:rStyle w:val="IndexLink"/>
              </w:rPr>
              <w:t>323</w:t>
            </w:r>
          </w:hyperlink>
        </w:p>
        <w:p>
          <w:pPr>
            <w:pStyle w:val="Contents6"/>
            <w:tabs>
              <w:tab w:val="clear" w:pos="7609"/>
              <w:tab w:val="right" w:pos="9026" w:leader="dot"/>
            </w:tabs>
            <w:rPr/>
          </w:pPr>
          <w:hyperlink w:anchor="__RefHeading___Toc534019_3244359995">
            <w:r>
              <w:rPr>
                <w:webHidden/>
                <w:rStyle w:val="IndexLink"/>
                <w:rtl w:val="true"/>
              </w:rPr>
              <w:t>ثامنها</w:t>
            </w:r>
            <w:r>
              <w:rPr>
                <w:rStyle w:val="IndexLink"/>
                <w:rtl w:val="true"/>
              </w:rPr>
              <w:t xml:space="preserve">: </w:t>
            </w:r>
            <w:r>
              <w:rPr>
                <w:rStyle w:val="IndexLink"/>
                <w:rtl w:val="true"/>
              </w:rPr>
              <w:t>حول مجعولیّة الصحّة و الفساد و عدمها</w:t>
            </w:r>
            <w:r>
              <w:rPr>
                <w:rStyle w:val="IndexLink"/>
                <w:rtl w:val="true"/>
              </w:rPr>
              <w:tab/>
            </w:r>
            <w:r>
              <w:rPr>
                <w:rStyle w:val="IndexLink"/>
              </w:rPr>
              <w:t>326</w:t>
            </w:r>
          </w:hyperlink>
        </w:p>
        <w:p>
          <w:pPr>
            <w:pStyle w:val="Contents6"/>
            <w:tabs>
              <w:tab w:val="clear" w:pos="7609"/>
              <w:tab w:val="right" w:pos="9026" w:leader="dot"/>
            </w:tabs>
            <w:rPr/>
          </w:pPr>
          <w:hyperlink w:anchor="__RefHeading___Toc534021_3244359995">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534023_3244359995">
            <w:r>
              <w:rPr>
                <w:webHidden/>
                <w:rStyle w:val="IndexLink"/>
                <w:rtl w:val="true"/>
              </w:rPr>
              <w:t>تذنیب</w:t>
            </w:r>
            <w:r>
              <w:rPr>
                <w:rStyle w:val="IndexLink"/>
                <w:rtl w:val="true"/>
              </w:rPr>
              <w:t xml:space="preserve">: </w:t>
            </w:r>
            <w:r>
              <w:rPr>
                <w:rStyle w:val="IndexLink"/>
                <w:rtl w:val="true"/>
              </w:rPr>
              <w:t>حول تحقّق الفساد فی الموضوعات الاعتباریّة</w:t>
            </w:r>
            <w:r>
              <w:rPr>
                <w:rStyle w:val="IndexLink"/>
                <w:rtl w:val="true"/>
              </w:rPr>
              <w:tab/>
            </w:r>
            <w:r>
              <w:rPr>
                <w:rStyle w:val="IndexLink"/>
              </w:rPr>
              <w:t>329</w:t>
            </w:r>
          </w:hyperlink>
        </w:p>
        <w:p>
          <w:pPr>
            <w:pStyle w:val="Contents6"/>
            <w:tabs>
              <w:tab w:val="clear" w:pos="7609"/>
              <w:tab w:val="right" w:pos="9026" w:leader="dot"/>
            </w:tabs>
            <w:rPr/>
          </w:pPr>
          <w:hyperlink w:anchor="__RefHeading___Toc534025_3244359995">
            <w:r>
              <w:rPr>
                <w:webHidden/>
                <w:rStyle w:val="IndexLink"/>
                <w:rtl w:val="true"/>
              </w:rPr>
              <w:t>تاسعها</w:t>
            </w:r>
            <w:r>
              <w:rPr>
                <w:rStyle w:val="IndexLink"/>
                <w:rtl w:val="true"/>
              </w:rPr>
              <w:t xml:space="preserve">: </w:t>
            </w:r>
            <w:r>
              <w:rPr>
                <w:rStyle w:val="IndexLink"/>
                <w:rtl w:val="true"/>
              </w:rPr>
              <w:t>فی مقتضی الأُصول العملیّة عند الشکّ فی استتباع النهی للفساد</w:t>
            </w:r>
            <w:r>
              <w:rPr>
                <w:rStyle w:val="IndexLink"/>
                <w:rtl w:val="true"/>
              </w:rPr>
              <w:tab/>
            </w:r>
            <w:r>
              <w:rPr>
                <w:rStyle w:val="IndexLink"/>
              </w:rPr>
              <w:t>330</w:t>
            </w:r>
          </w:hyperlink>
        </w:p>
        <w:p>
          <w:pPr>
            <w:pStyle w:val="Contents6"/>
            <w:tabs>
              <w:tab w:val="clear" w:pos="7609"/>
              <w:tab w:val="right" w:pos="9026" w:leader="dot"/>
            </w:tabs>
            <w:rPr/>
          </w:pPr>
          <w:hyperlink w:anchor="__RefHeading___Toc534027_3244359995">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534029_3244359995">
            <w:r>
              <w:rPr>
                <w:webHidden/>
                <w:rStyle w:val="IndexLink"/>
                <w:rtl w:val="true"/>
              </w:rPr>
              <w:t>المقام الأوّل</w:t>
            </w:r>
            <w:r>
              <w:rPr>
                <w:rStyle w:val="IndexLink"/>
                <w:rtl w:val="true"/>
              </w:rPr>
              <w:t xml:space="preserve">: </w:t>
            </w:r>
            <w:r>
              <w:rPr>
                <w:rStyle w:val="IndexLink"/>
                <w:rtl w:val="true"/>
              </w:rPr>
              <w:t>فی مقتضی الأُصول فی الشکّ فی المسألة الأُصولیّة</w:t>
            </w:r>
            <w:r>
              <w:rPr>
                <w:rStyle w:val="IndexLink"/>
                <w:rtl w:val="true"/>
              </w:rPr>
              <w:tab/>
            </w:r>
            <w:r>
              <w:rPr>
                <w:rStyle w:val="IndexLink"/>
              </w:rPr>
              <w:t>331</w:t>
            </w:r>
          </w:hyperlink>
        </w:p>
        <w:p>
          <w:pPr>
            <w:pStyle w:val="Contents6"/>
            <w:tabs>
              <w:tab w:val="clear" w:pos="7609"/>
              <w:tab w:val="right" w:pos="9026" w:leader="dot"/>
            </w:tabs>
            <w:rPr/>
          </w:pPr>
          <w:hyperlink w:anchor="__RefHeading___Toc534031_3244359995">
            <w:r>
              <w:rPr>
                <w:webHidden/>
                <w:rStyle w:val="IndexLink"/>
                <w:rtl w:val="true"/>
              </w:rPr>
              <w:t>المقام الثانی</w:t>
            </w:r>
            <w:r>
              <w:rPr>
                <w:rStyle w:val="IndexLink"/>
                <w:rtl w:val="true"/>
              </w:rPr>
              <w:t xml:space="preserve">: </w:t>
            </w:r>
            <w:r>
              <w:rPr>
                <w:rStyle w:val="IndexLink"/>
                <w:rtl w:val="true"/>
              </w:rPr>
              <w:t>فی مقتضی الأُصول العملیّة فی الشکّ فی المسألة الفرعیّة</w:t>
            </w:r>
            <w:r>
              <w:rPr>
                <w:rStyle w:val="IndexLink"/>
                <w:rtl w:val="true"/>
              </w:rPr>
              <w:tab/>
            </w:r>
            <w:r>
              <w:rPr>
                <w:rStyle w:val="IndexLink"/>
              </w:rPr>
              <w:t>331</w:t>
            </w:r>
          </w:hyperlink>
        </w:p>
        <w:p>
          <w:pPr>
            <w:pStyle w:val="Contents6"/>
            <w:tabs>
              <w:tab w:val="clear" w:pos="7609"/>
              <w:tab w:val="right" w:pos="9026" w:leader="dot"/>
            </w:tabs>
            <w:rPr/>
          </w:pPr>
          <w:hyperlink w:anchor="__RefHeading___Toc534033_3244359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534035_3244359995">
            <w:r>
              <w:rPr>
                <w:webHidden/>
                <w:rStyle w:val="IndexLink"/>
                <w:rtl w:val="true"/>
              </w:rPr>
              <w:t>الجهة الأُولی</w:t>
            </w:r>
            <w:r>
              <w:rPr>
                <w:rStyle w:val="IndexLink"/>
                <w:rtl w:val="true"/>
              </w:rPr>
              <w:t xml:space="preserve">: </w:t>
            </w:r>
            <w:r>
              <w:rPr>
                <w:rStyle w:val="IndexLink"/>
                <w:rtl w:val="true"/>
              </w:rPr>
              <w:t>فی العبادات</w:t>
            </w:r>
            <w:r>
              <w:rPr>
                <w:rStyle w:val="IndexLink"/>
                <w:rtl w:val="true"/>
              </w:rPr>
              <w:tab/>
            </w:r>
            <w:r>
              <w:rPr>
                <w:rStyle w:val="IndexLink"/>
              </w:rPr>
              <w:t>331</w:t>
            </w:r>
          </w:hyperlink>
        </w:p>
        <w:p>
          <w:pPr>
            <w:pStyle w:val="Contents6"/>
            <w:tabs>
              <w:tab w:val="clear" w:pos="7609"/>
              <w:tab w:val="right" w:pos="9026" w:leader="dot"/>
            </w:tabs>
            <w:rPr/>
          </w:pPr>
          <w:hyperlink w:anchor="__RefHeading___Toc534037_3244359995">
            <w:r>
              <w:rPr>
                <w:webHidden/>
                <w:rStyle w:val="IndexLink"/>
                <w:rtl w:val="true"/>
              </w:rPr>
              <w:t>الجهة الثانیة</w:t>
            </w:r>
            <w:r>
              <w:rPr>
                <w:rStyle w:val="IndexLink"/>
                <w:rtl w:val="true"/>
              </w:rPr>
              <w:t xml:space="preserve">: </w:t>
            </w:r>
            <w:r>
              <w:rPr>
                <w:rStyle w:val="IndexLink"/>
                <w:rtl w:val="true"/>
              </w:rPr>
              <w:t>فی المعاملات</w:t>
            </w:r>
            <w:r>
              <w:rPr>
                <w:rStyle w:val="IndexLink"/>
                <w:rtl w:val="true"/>
              </w:rPr>
              <w:tab/>
            </w:r>
            <w:r>
              <w:rPr>
                <w:rStyle w:val="IndexLink"/>
              </w:rPr>
              <w:t>332</w:t>
            </w:r>
          </w:hyperlink>
        </w:p>
        <w:p>
          <w:pPr>
            <w:pStyle w:val="Contents6"/>
            <w:tabs>
              <w:tab w:val="clear" w:pos="7609"/>
              <w:tab w:val="right" w:pos="9026" w:leader="dot"/>
            </w:tabs>
            <w:rPr/>
          </w:pPr>
          <w:hyperlink w:anchor="__RefHeading___Toc534039_3244359995">
            <w:r>
              <w:rPr>
                <w:webHidden/>
                <w:rStyle w:val="IndexLink"/>
                <w:rtl w:val="true"/>
              </w:rPr>
              <w:t>ذنابة</w:t>
            </w:r>
            <w:r>
              <w:rPr>
                <w:rStyle w:val="IndexLink"/>
                <w:rtl w:val="true"/>
              </w:rPr>
              <w:t xml:space="preserve">: </w:t>
            </w:r>
            <w:r>
              <w:rPr>
                <w:rStyle w:val="IndexLink"/>
                <w:rtl w:val="true"/>
              </w:rPr>
              <w:t>حول ابتناء النزاع علی عقلیّة النزاع و لفظیته</w:t>
            </w:r>
            <w:r>
              <w:rPr>
                <w:rStyle w:val="IndexLink"/>
                <w:rtl w:val="true"/>
              </w:rPr>
              <w:tab/>
            </w:r>
            <w:r>
              <w:rPr>
                <w:rStyle w:val="IndexLink"/>
              </w:rPr>
              <w:t>334</w:t>
            </w:r>
          </w:hyperlink>
        </w:p>
        <w:p>
          <w:pPr>
            <w:pStyle w:val="Contents4"/>
            <w:tabs>
              <w:tab w:val="clear" w:pos="8176"/>
              <w:tab w:val="right" w:pos="9026" w:leader="dot"/>
            </w:tabs>
            <w:rPr/>
          </w:pPr>
          <w:hyperlink w:anchor="__RefHeading___Toc534041_3244359995">
            <w:r>
              <w:rPr>
                <w:webHidden/>
                <w:rStyle w:val="IndexLink"/>
                <w:rtl w:val="true"/>
              </w:rPr>
              <w:t>المقام الأوّل فی النهی عن العبادة و الأفعال القربیّة</w:t>
            </w:r>
            <w:r>
              <w:rPr>
                <w:rStyle w:val="IndexLink"/>
                <w:rtl w:val="true"/>
              </w:rPr>
              <w:tab/>
            </w:r>
            <w:r>
              <w:rPr>
                <w:rStyle w:val="IndexLink"/>
              </w:rPr>
              <w:t>335</w:t>
            </w:r>
          </w:hyperlink>
        </w:p>
        <w:p>
          <w:pPr>
            <w:pStyle w:val="Contents5"/>
            <w:tabs>
              <w:tab w:val="clear" w:pos="7892"/>
              <w:tab w:val="right" w:pos="9026" w:leader="dot"/>
            </w:tabs>
            <w:rPr/>
          </w:pPr>
          <w:hyperlink w:anchor="__RefHeading___Toc534043_3244359995">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534045_3244359995">
            <w:r>
              <w:rPr>
                <w:webHidden/>
                <w:rStyle w:val="IndexLink"/>
                <w:rtl w:val="true"/>
              </w:rPr>
              <w:t>إعادة و إفادة</w:t>
            </w:r>
            <w:r>
              <w:rPr>
                <w:rStyle w:val="IndexLink"/>
                <w:rtl w:val="true"/>
              </w:rPr>
              <w:tab/>
            </w:r>
            <w:r>
              <w:rPr>
                <w:rStyle w:val="IndexLink"/>
              </w:rPr>
              <w:t>342</w:t>
            </w:r>
          </w:hyperlink>
        </w:p>
        <w:p>
          <w:pPr>
            <w:pStyle w:val="Contents5"/>
            <w:tabs>
              <w:tab w:val="clear" w:pos="7892"/>
              <w:tab w:val="right" w:pos="9026" w:leader="dot"/>
            </w:tabs>
            <w:rPr/>
          </w:pPr>
          <w:hyperlink w:anchor="__RefHeading___Toc534047_3244359995">
            <w:r>
              <w:rPr>
                <w:webHidden/>
                <w:rStyle w:val="IndexLink"/>
                <w:rtl w:val="true"/>
              </w:rPr>
              <w:t>بحث و إیقاظ</w:t>
            </w:r>
            <w:r>
              <w:rPr>
                <w:rStyle w:val="IndexLink"/>
                <w:rtl w:val="true"/>
              </w:rPr>
              <w:t xml:space="preserve">: </w:t>
            </w:r>
            <w:r>
              <w:rPr>
                <w:rStyle w:val="IndexLink"/>
                <w:rtl w:val="true"/>
              </w:rPr>
              <w:t>فی عدم اعتبار کون العبادة مقرّبة و لا طاعة</w:t>
            </w:r>
            <w:r>
              <w:rPr>
                <w:rStyle w:val="IndexLink"/>
                <w:rtl w:val="true"/>
              </w:rPr>
              <w:tab/>
            </w:r>
            <w:r>
              <w:rPr>
                <w:rStyle w:val="IndexLink"/>
              </w:rPr>
              <w:t>343</w:t>
            </w:r>
          </w:hyperlink>
        </w:p>
        <w:p>
          <w:pPr>
            <w:pStyle w:val="Contents5"/>
            <w:tabs>
              <w:tab w:val="clear" w:pos="7892"/>
              <w:tab w:val="right" w:pos="9026" w:leader="dot"/>
            </w:tabs>
            <w:rPr/>
          </w:pPr>
          <w:hyperlink w:anchor="__RefHeading___Toc534049_3244359995">
            <w:r>
              <w:rPr>
                <w:webHidden/>
                <w:rStyle w:val="IndexLink"/>
                <w:rtl w:val="true"/>
              </w:rPr>
              <w:t>وهم و دفع</w:t>
            </w:r>
            <w:r>
              <w:rPr>
                <w:rStyle w:val="IndexLink"/>
                <w:rtl w:val="true"/>
              </w:rPr>
              <w:tab/>
            </w:r>
            <w:r>
              <w:rPr>
                <w:rStyle w:val="IndexLink"/>
              </w:rPr>
              <w:t>347</w:t>
            </w:r>
          </w:hyperlink>
        </w:p>
        <w:p>
          <w:pPr>
            <w:pStyle w:val="Contents5"/>
            <w:tabs>
              <w:tab w:val="clear" w:pos="7892"/>
              <w:tab w:val="right" w:pos="9026" w:leader="dot"/>
            </w:tabs>
            <w:rPr/>
          </w:pPr>
          <w:hyperlink w:anchor="__RefHeading___Toc534051_3244359995">
            <w:r>
              <w:rPr>
                <w:webHidden/>
                <w:rStyle w:val="IndexLink"/>
                <w:rtl w:val="true"/>
              </w:rPr>
              <w:t>ذنابة</w:t>
            </w:r>
            <w:r>
              <w:rPr>
                <w:rStyle w:val="IndexLink"/>
                <w:rtl w:val="true"/>
              </w:rPr>
              <w:t xml:space="preserve">: </w:t>
            </w:r>
            <w:r>
              <w:rPr>
                <w:rStyle w:val="IndexLink"/>
                <w:rtl w:val="true"/>
              </w:rPr>
              <w:t>حول الإشکال فی استتباع النهی التنزیهیّ و الغیریّ غیر الإلزامیّ للفساد</w:t>
            </w:r>
            <w:r>
              <w:rPr>
                <w:rStyle w:val="IndexLink"/>
                <w:rtl w:val="true"/>
              </w:rPr>
              <w:tab/>
            </w:r>
            <w:r>
              <w:rPr>
                <w:rStyle w:val="IndexLink"/>
              </w:rPr>
              <w:t>348</w:t>
            </w:r>
          </w:hyperlink>
        </w:p>
        <w:p>
          <w:pPr>
            <w:pStyle w:val="Contents5"/>
            <w:tabs>
              <w:tab w:val="clear" w:pos="7892"/>
              <w:tab w:val="right" w:pos="9026" w:leader="dot"/>
            </w:tabs>
            <w:rPr/>
          </w:pPr>
          <w:hyperlink w:anchor="__RefHeading___Toc534053_3244359995">
            <w:r>
              <w:rPr>
                <w:webHidden/>
                <w:rStyle w:val="IndexLink"/>
                <w:rtl w:val="true"/>
              </w:rPr>
              <w:t>تنبیهات</w:t>
            </w:r>
            <w:r>
              <w:rPr>
                <w:rStyle w:val="IndexLink"/>
                <w:rtl w:val="true"/>
              </w:rPr>
              <w:t>:</w:t>
              <w:tab/>
            </w:r>
            <w:r>
              <w:rPr>
                <w:rStyle w:val="IndexLink"/>
              </w:rPr>
              <w:t>349</w:t>
            </w:r>
          </w:hyperlink>
        </w:p>
        <w:p>
          <w:pPr>
            <w:pStyle w:val="Contents6"/>
            <w:tabs>
              <w:tab w:val="clear" w:pos="7609"/>
              <w:tab w:val="right" w:pos="9026" w:leader="dot"/>
            </w:tabs>
            <w:rPr/>
          </w:pPr>
          <w:hyperlink w:anchor="__RefHeading___Toc534055_3244359995">
            <w:r>
              <w:rPr>
                <w:webHidden/>
                <w:rStyle w:val="IndexLink"/>
                <w:rtl w:val="true"/>
              </w:rPr>
              <w:t>التنبیه الأوّل</w:t>
            </w:r>
            <w:r>
              <w:rPr>
                <w:rStyle w:val="IndexLink"/>
                <w:rtl w:val="true"/>
              </w:rPr>
              <w:t xml:space="preserve">: </w:t>
            </w:r>
            <w:r>
              <w:rPr>
                <w:rStyle w:val="IndexLink"/>
                <w:rtl w:val="true"/>
              </w:rPr>
              <w:t>حول تصحیح العبادة بالنهی عنها</w:t>
            </w:r>
            <w:r>
              <w:rPr>
                <w:rStyle w:val="IndexLink"/>
                <w:rtl w:val="true"/>
              </w:rPr>
              <w:tab/>
            </w:r>
            <w:r>
              <w:rPr>
                <w:rStyle w:val="IndexLink"/>
              </w:rPr>
              <w:t>349</w:t>
            </w:r>
          </w:hyperlink>
        </w:p>
        <w:p>
          <w:pPr>
            <w:pStyle w:val="Contents6"/>
            <w:tabs>
              <w:tab w:val="clear" w:pos="7609"/>
              <w:tab w:val="right" w:pos="9026" w:leader="dot"/>
            </w:tabs>
            <w:rPr/>
          </w:pPr>
          <w:hyperlink w:anchor="__RefHeading___Toc534057_3244359995">
            <w:r>
              <w:rPr>
                <w:webHidden/>
                <w:rStyle w:val="IndexLink"/>
                <w:rtl w:val="true"/>
              </w:rPr>
              <w:t>التنبیه الثانی</w:t>
            </w:r>
            <w:r>
              <w:rPr>
                <w:rStyle w:val="IndexLink"/>
                <w:rtl w:val="true"/>
              </w:rPr>
              <w:t xml:space="preserve">: </w:t>
            </w:r>
            <w:r>
              <w:rPr>
                <w:rStyle w:val="IndexLink"/>
                <w:rtl w:val="true"/>
              </w:rPr>
              <w:t>حول بطلان العبادة المنهیة لأجل التشریع</w:t>
            </w:r>
            <w:r>
              <w:rPr>
                <w:rStyle w:val="IndexLink"/>
                <w:rtl w:val="true"/>
              </w:rPr>
              <w:tab/>
            </w:r>
            <w:r>
              <w:rPr>
                <w:rStyle w:val="IndexLink"/>
              </w:rPr>
              <w:t>350</w:t>
            </w:r>
          </w:hyperlink>
        </w:p>
        <w:p>
          <w:pPr>
            <w:pStyle w:val="Contents6"/>
            <w:tabs>
              <w:tab w:val="clear" w:pos="7609"/>
              <w:tab w:val="right" w:pos="9026" w:leader="dot"/>
            </w:tabs>
            <w:rPr/>
          </w:pPr>
          <w:hyperlink w:anchor="__RefHeading___Toc534059_3244359995">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534061_3244359995">
            <w:r>
              <w:rPr>
                <w:webHidden/>
                <w:rStyle w:val="IndexLink"/>
                <w:rtl w:val="true"/>
              </w:rPr>
              <w:t>الصورة الأولی</w:t>
            </w:r>
            <w:r>
              <w:rPr>
                <w:rStyle w:val="IndexLink"/>
                <w:rtl w:val="true"/>
              </w:rPr>
              <w:t xml:space="preserve">: </w:t>
            </w:r>
            <w:r>
              <w:rPr>
                <w:rStyle w:val="IndexLink"/>
                <w:rtl w:val="true"/>
              </w:rPr>
              <w:t>فیما إذا کانت العبادة بحسب الواقع مورد الأمر، و لکنّه لا یعلم به</w:t>
            </w:r>
            <w:r>
              <w:rPr>
                <w:rStyle w:val="IndexLink"/>
                <w:rtl w:val="true"/>
              </w:rPr>
              <w:tab/>
            </w:r>
            <w:r>
              <w:rPr>
                <w:rStyle w:val="IndexLink"/>
              </w:rPr>
              <w:t>350</w:t>
            </w:r>
          </w:hyperlink>
        </w:p>
        <w:p>
          <w:pPr>
            <w:pStyle w:val="Contents6"/>
            <w:tabs>
              <w:tab w:val="clear" w:pos="7609"/>
              <w:tab w:val="right" w:pos="9026" w:leader="dot"/>
            </w:tabs>
            <w:rPr/>
          </w:pPr>
          <w:hyperlink w:anchor="__RefHeading___Toc534063_3244359995">
            <w:r>
              <w:rPr>
                <w:webHidden/>
                <w:rStyle w:val="IndexLink"/>
                <w:rtl w:val="true"/>
              </w:rPr>
              <w:t>الصورة الثانیة</w:t>
            </w:r>
            <w:r>
              <w:rPr>
                <w:rStyle w:val="IndexLink"/>
                <w:rtl w:val="true"/>
              </w:rPr>
              <w:t xml:space="preserve">: </w:t>
            </w:r>
            <w:r>
              <w:rPr>
                <w:rStyle w:val="IndexLink"/>
                <w:rtl w:val="true"/>
              </w:rPr>
              <w:t>ما إذا کان الفعل المأتیّ به تشریعاً غیر مأمور به واقعاً</w:t>
            </w:r>
            <w:r>
              <w:rPr>
                <w:rStyle w:val="IndexLink"/>
                <w:rtl w:val="true"/>
              </w:rPr>
              <w:tab/>
            </w:r>
            <w:r>
              <w:rPr>
                <w:rStyle w:val="IndexLink"/>
              </w:rPr>
              <w:t>354</w:t>
            </w:r>
          </w:hyperlink>
        </w:p>
        <w:p>
          <w:pPr>
            <w:pStyle w:val="Contents6"/>
            <w:tabs>
              <w:tab w:val="clear" w:pos="7609"/>
              <w:tab w:val="right" w:pos="9026" w:leader="dot"/>
            </w:tabs>
            <w:rPr/>
          </w:pPr>
          <w:hyperlink w:anchor="__RefHeading___Toc534065_3244359995">
            <w:r>
              <w:rPr>
                <w:webHidden/>
                <w:rStyle w:val="IndexLink"/>
                <w:rtl w:val="true"/>
              </w:rPr>
              <w:t>التنبیه الثالث</w:t>
            </w:r>
            <w:r>
              <w:rPr>
                <w:rStyle w:val="IndexLink"/>
                <w:rtl w:val="true"/>
              </w:rPr>
              <w:t xml:space="preserve">: </w:t>
            </w:r>
            <w:r>
              <w:rPr>
                <w:rStyle w:val="IndexLink"/>
                <w:rtl w:val="true"/>
              </w:rPr>
              <w:t>حول استتباع الحرمة الذاتیّة للنهی التشریعیّ</w:t>
            </w:r>
            <w:r>
              <w:rPr>
                <w:rStyle w:val="IndexLink"/>
                <w:rtl w:val="true"/>
              </w:rPr>
              <w:tab/>
            </w:r>
            <w:r>
              <w:rPr>
                <w:rStyle w:val="IndexLink"/>
              </w:rPr>
              <w:t>356</w:t>
            </w:r>
          </w:hyperlink>
        </w:p>
        <w:p>
          <w:pPr>
            <w:pStyle w:val="Contents4"/>
            <w:tabs>
              <w:tab w:val="clear" w:pos="8176"/>
              <w:tab w:val="right" w:pos="9026" w:leader="dot"/>
            </w:tabs>
            <w:rPr/>
          </w:pPr>
          <w:hyperlink w:anchor="__RefHeading___Toc534067_3244359995">
            <w:r>
              <w:rPr>
                <w:webHidden/>
                <w:rStyle w:val="IndexLink"/>
                <w:rtl w:val="true"/>
              </w:rPr>
              <w:t>المقام الثانی فی النهی عن المعاملات و عن کلّ شی‌ء یشبهها</w:t>
            </w:r>
            <w:r>
              <w:rPr>
                <w:rStyle w:val="IndexLink"/>
                <w:rtl w:val="true"/>
              </w:rPr>
              <w:tab/>
            </w:r>
            <w:r>
              <w:rPr>
                <w:rStyle w:val="IndexLink"/>
              </w:rPr>
              <w:t>359</w:t>
            </w:r>
          </w:hyperlink>
        </w:p>
        <w:p>
          <w:pPr>
            <w:pStyle w:val="Contents5"/>
            <w:tabs>
              <w:tab w:val="clear" w:pos="7892"/>
              <w:tab w:val="right" w:pos="9026" w:leader="dot"/>
            </w:tabs>
            <w:rPr/>
          </w:pPr>
          <w:hyperlink w:anchor="__RefHeading___Toc534069_3244359995">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534071_3244359995">
            <w:r>
              <w:rPr>
                <w:webHidden/>
                <w:rStyle w:val="IndexLink"/>
                <w:rtl w:val="true"/>
              </w:rPr>
              <w:t>البحث الأوّل</w:t>
            </w:r>
            <w:r>
              <w:rPr>
                <w:rStyle w:val="IndexLink"/>
                <w:rtl w:val="true"/>
              </w:rPr>
              <w:t xml:space="preserve">: </w:t>
            </w:r>
            <w:r>
              <w:rPr>
                <w:rStyle w:val="IndexLink"/>
                <w:rtl w:val="true"/>
              </w:rPr>
              <w:t>فی النهی التنزیهیّ</w:t>
            </w:r>
            <w:r>
              <w:rPr>
                <w:rStyle w:val="IndexLink"/>
                <w:rtl w:val="true"/>
              </w:rPr>
              <w:tab/>
            </w:r>
            <w:r>
              <w:rPr>
                <w:rStyle w:val="IndexLink"/>
              </w:rPr>
              <w:t>359</w:t>
            </w:r>
          </w:hyperlink>
        </w:p>
        <w:p>
          <w:pPr>
            <w:pStyle w:val="Contents5"/>
            <w:tabs>
              <w:tab w:val="clear" w:pos="7892"/>
              <w:tab w:val="right" w:pos="9026" w:leader="dot"/>
            </w:tabs>
            <w:rPr/>
          </w:pPr>
          <w:hyperlink w:anchor="__RefHeading___Toc534073_3244359995">
            <w:r>
              <w:rPr>
                <w:webHidden/>
                <w:rStyle w:val="IndexLink"/>
                <w:rtl w:val="true"/>
              </w:rPr>
              <w:t>البحث الثانی</w:t>
            </w:r>
            <w:r>
              <w:rPr>
                <w:rStyle w:val="IndexLink"/>
                <w:rtl w:val="true"/>
              </w:rPr>
              <w:t xml:space="preserve">: </w:t>
            </w:r>
            <w:r>
              <w:rPr>
                <w:rStyle w:val="IndexLink"/>
                <w:rtl w:val="true"/>
              </w:rPr>
              <w:t>فی النهی الغیریّ</w:t>
            </w:r>
            <w:r>
              <w:rPr>
                <w:rStyle w:val="IndexLink"/>
                <w:rtl w:val="true"/>
              </w:rPr>
              <w:tab/>
            </w:r>
            <w:r>
              <w:rPr>
                <w:rStyle w:val="IndexLink"/>
              </w:rPr>
              <w:t>360</w:t>
            </w:r>
          </w:hyperlink>
        </w:p>
        <w:p>
          <w:pPr>
            <w:pStyle w:val="Contents5"/>
            <w:tabs>
              <w:tab w:val="clear" w:pos="7892"/>
              <w:tab w:val="right" w:pos="9026" w:leader="dot"/>
            </w:tabs>
            <w:rPr/>
          </w:pPr>
          <w:hyperlink w:anchor="__RefHeading___Toc534075_3244359995">
            <w:r>
              <w:rPr>
                <w:webHidden/>
                <w:rStyle w:val="IndexLink"/>
                <w:rtl w:val="true"/>
              </w:rPr>
              <w:t>البحث الثالث</w:t>
            </w:r>
            <w:r>
              <w:rPr>
                <w:rStyle w:val="IndexLink"/>
                <w:rtl w:val="true"/>
              </w:rPr>
              <w:t xml:space="preserve">: </w:t>
            </w:r>
            <w:r>
              <w:rPr>
                <w:rStyle w:val="IndexLink"/>
                <w:rtl w:val="true"/>
              </w:rPr>
              <w:t>فی النهی التحریمیّ و المعاملات المحرّمة و المکاسب الممنوعة</w:t>
            </w:r>
            <w:r>
              <w:rPr>
                <w:rStyle w:val="IndexLink"/>
                <w:rtl w:val="true"/>
              </w:rPr>
              <w:tab/>
            </w:r>
            <w:r>
              <w:rPr>
                <w:rStyle w:val="IndexLink"/>
              </w:rPr>
              <w:t>361</w:t>
            </w:r>
          </w:hyperlink>
        </w:p>
        <w:p>
          <w:pPr>
            <w:pStyle w:val="Contents6"/>
            <w:tabs>
              <w:tab w:val="clear" w:pos="7609"/>
              <w:tab w:val="right" w:pos="9026" w:leader="dot"/>
            </w:tabs>
            <w:rPr/>
          </w:pPr>
          <w:hyperlink w:anchor="__RefHeading___Toc534077_3244359995">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534079_3244359995">
            <w:r>
              <w:rPr>
                <w:webHidden/>
                <w:rStyle w:val="IndexLink"/>
                <w:rtl w:val="true"/>
              </w:rPr>
              <w:t>المقام الأوّل</w:t>
            </w:r>
            <w:r>
              <w:rPr>
                <w:rStyle w:val="IndexLink"/>
                <w:rtl w:val="true"/>
              </w:rPr>
              <w:t xml:space="preserve">: </w:t>
            </w:r>
            <w:r>
              <w:rPr>
                <w:rStyle w:val="IndexLink"/>
                <w:rtl w:val="true"/>
              </w:rPr>
              <w:t>فیما إذا فرض تعلّق النهی بأحد الوجوه المزبورة</w:t>
            </w:r>
            <w:r>
              <w:rPr>
                <w:rStyle w:val="IndexLink"/>
                <w:rtl w:val="true"/>
              </w:rPr>
              <w:tab/>
            </w:r>
            <w:r>
              <w:rPr>
                <w:rStyle w:val="IndexLink"/>
              </w:rPr>
              <w:t>364</w:t>
            </w:r>
          </w:hyperlink>
        </w:p>
        <w:p>
          <w:pPr>
            <w:pStyle w:val="Contents6"/>
            <w:tabs>
              <w:tab w:val="clear" w:pos="7609"/>
              <w:tab w:val="right" w:pos="9026" w:leader="dot"/>
            </w:tabs>
            <w:rPr/>
          </w:pPr>
          <w:hyperlink w:anchor="__RefHeading___Toc534081_3244359995">
            <w:r>
              <w:rPr>
                <w:webHidden/>
                <w:rStyle w:val="IndexLink"/>
                <w:rtl w:val="true"/>
              </w:rPr>
              <w:t>الأوّل</w:t>
            </w:r>
            <w:r>
              <w:rPr>
                <w:rStyle w:val="IndexLink"/>
                <w:rtl w:val="true"/>
              </w:rPr>
              <w:t xml:space="preserve">: </w:t>
            </w:r>
            <w:r>
              <w:rPr>
                <w:rStyle w:val="IndexLink"/>
                <w:rtl w:val="true"/>
              </w:rPr>
              <w:t>فی تعلّقه بالسبب</w:t>
            </w:r>
            <w:r>
              <w:rPr>
                <w:rStyle w:val="IndexLink"/>
                <w:rtl w:val="true"/>
              </w:rPr>
              <w:tab/>
            </w:r>
            <w:r>
              <w:rPr>
                <w:rStyle w:val="IndexLink"/>
              </w:rPr>
              <w:t>364</w:t>
            </w:r>
          </w:hyperlink>
        </w:p>
        <w:p>
          <w:pPr>
            <w:pStyle w:val="Contents6"/>
            <w:tabs>
              <w:tab w:val="clear" w:pos="7609"/>
              <w:tab w:val="right" w:pos="9026" w:leader="dot"/>
            </w:tabs>
            <w:rPr/>
          </w:pPr>
          <w:hyperlink w:anchor="__RefHeading___Toc534083_3244359995">
            <w:r>
              <w:rPr>
                <w:webHidden/>
                <w:rStyle w:val="IndexLink"/>
                <w:rtl w:val="true"/>
              </w:rPr>
              <w:t>الثانی</w:t>
            </w:r>
            <w:r>
              <w:rPr>
                <w:rStyle w:val="IndexLink"/>
                <w:rtl w:val="true"/>
              </w:rPr>
              <w:t xml:space="preserve">: </w:t>
            </w:r>
            <w:r>
              <w:rPr>
                <w:rStyle w:val="IndexLink"/>
                <w:rtl w:val="true"/>
              </w:rPr>
              <w:t>فی تعلّقه بالمسبّب</w:t>
            </w:r>
            <w:r>
              <w:rPr>
                <w:rStyle w:val="IndexLink"/>
                <w:rtl w:val="true"/>
              </w:rPr>
              <w:tab/>
            </w:r>
            <w:r>
              <w:rPr>
                <w:rStyle w:val="IndexLink"/>
              </w:rPr>
              <w:t>365</w:t>
            </w:r>
          </w:hyperlink>
        </w:p>
        <w:p>
          <w:pPr>
            <w:pStyle w:val="Contents6"/>
            <w:tabs>
              <w:tab w:val="clear" w:pos="7609"/>
              <w:tab w:val="right" w:pos="9026" w:leader="dot"/>
            </w:tabs>
            <w:rPr/>
          </w:pPr>
          <w:hyperlink w:anchor="__RefHeading___Toc534085_3244359995">
            <w:r>
              <w:rPr>
                <w:webHidden/>
                <w:rStyle w:val="IndexLink"/>
                <w:rtl w:val="true"/>
              </w:rPr>
              <w:t>الثالث</w:t>
            </w:r>
            <w:r>
              <w:rPr>
                <w:rStyle w:val="IndexLink"/>
                <w:rtl w:val="true"/>
              </w:rPr>
              <w:t xml:space="preserve">: </w:t>
            </w:r>
            <w:r>
              <w:rPr>
                <w:rStyle w:val="IndexLink"/>
                <w:rtl w:val="true"/>
              </w:rPr>
              <w:t>فی تعلّقه بالآثار</w:t>
            </w:r>
            <w:r>
              <w:rPr>
                <w:rStyle w:val="IndexLink"/>
                <w:rtl w:val="true"/>
              </w:rPr>
              <w:tab/>
            </w:r>
            <w:r>
              <w:rPr>
                <w:rStyle w:val="IndexLink"/>
              </w:rPr>
              <w:t>369</w:t>
            </w:r>
          </w:hyperlink>
        </w:p>
        <w:p>
          <w:pPr>
            <w:pStyle w:val="Contents6"/>
            <w:tabs>
              <w:tab w:val="clear" w:pos="7609"/>
              <w:tab w:val="right" w:pos="9026" w:leader="dot"/>
            </w:tabs>
            <w:rPr/>
          </w:pPr>
          <w:hyperlink w:anchor="__RefHeading___Toc534087_3244359995">
            <w:r>
              <w:rPr>
                <w:webHidden/>
                <w:rStyle w:val="IndexLink"/>
                <w:rtl w:val="true"/>
              </w:rPr>
              <w:t>الرابع</w:t>
            </w:r>
            <w:r>
              <w:rPr>
                <w:rStyle w:val="IndexLink"/>
                <w:rtl w:val="true"/>
              </w:rPr>
              <w:t xml:space="preserve">: </w:t>
            </w:r>
            <w:r>
              <w:rPr>
                <w:rStyle w:val="IndexLink"/>
                <w:rtl w:val="true"/>
              </w:rPr>
              <w:t>فی تعلّقه بالتسبّب</w:t>
            </w:r>
            <w:r>
              <w:rPr>
                <w:rStyle w:val="IndexLink"/>
                <w:rtl w:val="true"/>
              </w:rPr>
              <w:tab/>
            </w:r>
            <w:r>
              <w:rPr>
                <w:rStyle w:val="IndexLink"/>
              </w:rPr>
              <w:t>373</w:t>
            </w:r>
          </w:hyperlink>
        </w:p>
        <w:p>
          <w:pPr>
            <w:pStyle w:val="Contents6"/>
            <w:tabs>
              <w:tab w:val="clear" w:pos="7609"/>
              <w:tab w:val="right" w:pos="9026" w:leader="dot"/>
            </w:tabs>
            <w:rPr/>
          </w:pPr>
          <w:hyperlink w:anchor="__RefHeading___Toc534089_3244359995">
            <w:r>
              <w:rPr>
                <w:webHidden/>
                <w:rStyle w:val="IndexLink"/>
                <w:rtl w:val="true"/>
              </w:rPr>
              <w:t>المقام الثانی</w:t>
            </w:r>
            <w:r>
              <w:rPr>
                <w:rStyle w:val="IndexLink"/>
                <w:rtl w:val="true"/>
              </w:rPr>
              <w:t xml:space="preserve">: </w:t>
            </w:r>
            <w:r>
              <w:rPr>
                <w:rStyle w:val="IndexLink"/>
                <w:rtl w:val="true"/>
              </w:rPr>
              <w:t>فی الاستظهار من الأدلّة الناهیة عن حصّة من المعاملة</w:t>
            </w:r>
            <w:r>
              <w:rPr>
                <w:rStyle w:val="IndexLink"/>
                <w:rtl w:val="true"/>
              </w:rPr>
              <w:tab/>
            </w:r>
            <w:r>
              <w:rPr>
                <w:rStyle w:val="IndexLink"/>
              </w:rPr>
              <w:t>374</w:t>
            </w:r>
          </w:hyperlink>
        </w:p>
        <w:p>
          <w:pPr>
            <w:pStyle w:val="Contents4"/>
            <w:tabs>
              <w:tab w:val="clear" w:pos="8176"/>
              <w:tab w:val="right" w:pos="9026" w:leader="dot"/>
            </w:tabs>
            <w:rPr/>
          </w:pPr>
          <w:hyperlink w:anchor="__RefHeading___Toc534091_3244359995">
            <w:r>
              <w:rPr>
                <w:webHidden/>
                <w:rStyle w:val="IndexLink"/>
                <w:rtl w:val="true"/>
              </w:rPr>
              <w:t>تنبیهات</w:t>
            </w:r>
            <w:r>
              <w:rPr>
                <w:rStyle w:val="IndexLink"/>
                <w:rtl w:val="true"/>
              </w:rPr>
              <w:tab/>
            </w:r>
            <w:r>
              <w:rPr>
                <w:rStyle w:val="IndexLink"/>
              </w:rPr>
              <w:t>376</w:t>
            </w:r>
          </w:hyperlink>
        </w:p>
        <w:p>
          <w:pPr>
            <w:pStyle w:val="Contents5"/>
            <w:tabs>
              <w:tab w:val="clear" w:pos="7892"/>
              <w:tab w:val="right" w:pos="9026" w:leader="dot"/>
            </w:tabs>
            <w:rPr/>
          </w:pPr>
          <w:hyperlink w:anchor="__RefHeading___Toc534093_3244359995">
            <w:r>
              <w:rPr>
                <w:webHidden/>
                <w:rStyle w:val="IndexLink"/>
                <w:rtl w:val="true"/>
              </w:rPr>
              <w:t>التنبیه الأوّل</w:t>
            </w:r>
            <w:r>
              <w:rPr>
                <w:rStyle w:val="IndexLink"/>
                <w:rtl w:val="true"/>
              </w:rPr>
              <w:t xml:space="preserve">: </w:t>
            </w:r>
            <w:r>
              <w:rPr>
                <w:rStyle w:val="IndexLink"/>
                <w:rtl w:val="true"/>
              </w:rPr>
              <w:t>حول فساد المعاملة النوعیّة بالنهی عنها و عدمه</w:t>
            </w:r>
            <w:r>
              <w:rPr>
                <w:rStyle w:val="IndexLink"/>
                <w:rtl w:val="true"/>
              </w:rPr>
              <w:tab/>
            </w:r>
            <w:r>
              <w:rPr>
                <w:rStyle w:val="IndexLink"/>
              </w:rPr>
              <w:t>376</w:t>
            </w:r>
          </w:hyperlink>
        </w:p>
        <w:p>
          <w:pPr>
            <w:pStyle w:val="Contents6"/>
            <w:tabs>
              <w:tab w:val="clear" w:pos="7609"/>
              <w:tab w:val="right" w:pos="9026" w:leader="dot"/>
            </w:tabs>
            <w:rPr/>
          </w:pPr>
          <w:hyperlink w:anchor="__RefHeading___Toc534095_3244359995">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534097_3244359995">
            <w:r>
              <w:rPr>
                <w:webHidden/>
                <w:rStyle w:val="IndexLink"/>
                <w:rtl w:val="true"/>
              </w:rPr>
              <w:t>تذنیب</w:t>
            </w:r>
            <w:r>
              <w:rPr>
                <w:rStyle w:val="IndexLink"/>
                <w:rtl w:val="true"/>
              </w:rPr>
              <w:t xml:space="preserve">: </w:t>
            </w:r>
            <w:r>
              <w:rPr>
                <w:rStyle w:val="IndexLink"/>
                <w:rtl w:val="true"/>
              </w:rPr>
              <w:t>بیان بدیع فی إمکان تحریم الشارع لمعاملة مع إیجابه</w:t>
            </w:r>
            <w:r>
              <w:rPr>
                <w:rStyle w:val="IndexLink"/>
                <w:rtl w:val="true"/>
              </w:rPr>
              <w:tab/>
            </w:r>
            <w:r>
              <w:rPr>
                <w:rStyle w:val="IndexLink"/>
              </w:rPr>
              <w:t>381</w:t>
            </w:r>
          </w:hyperlink>
        </w:p>
        <w:p>
          <w:pPr>
            <w:pStyle w:val="Contents6"/>
            <w:tabs>
              <w:tab w:val="clear" w:pos="7609"/>
              <w:tab w:val="right" w:pos="9026" w:leader="dot"/>
            </w:tabs>
            <w:rPr/>
          </w:pPr>
          <w:hyperlink w:anchor="__RefHeading___Toc534099_3244359995">
            <w:r>
              <w:rPr>
                <w:webHidden/>
                <w:rStyle w:val="IndexLink"/>
                <w:rtl w:val="true"/>
              </w:rPr>
              <w:t>إعادة و إفادة</w:t>
            </w:r>
            <w:r>
              <w:rPr>
                <w:rStyle w:val="IndexLink"/>
                <w:rtl w:val="true"/>
              </w:rPr>
              <w:t>:</w:t>
              <w:tab/>
            </w:r>
            <w:r>
              <w:rPr>
                <w:rStyle w:val="IndexLink"/>
              </w:rPr>
              <w:t>383</w:t>
            </w:r>
          </w:hyperlink>
        </w:p>
        <w:p>
          <w:pPr>
            <w:pStyle w:val="Contents5"/>
            <w:tabs>
              <w:tab w:val="clear" w:pos="7892"/>
              <w:tab w:val="right" w:pos="9026" w:leader="dot"/>
            </w:tabs>
            <w:rPr/>
          </w:pPr>
          <w:hyperlink w:anchor="__RefHeading___Toc534101_3244359995">
            <w:r>
              <w:rPr>
                <w:webHidden/>
                <w:rStyle w:val="IndexLink"/>
                <w:rtl w:val="true"/>
              </w:rPr>
              <w:t>التنبیه الثانی</w:t>
            </w:r>
            <w:r>
              <w:rPr>
                <w:rStyle w:val="IndexLink"/>
                <w:rtl w:val="true"/>
              </w:rPr>
              <w:t xml:space="preserve">: </w:t>
            </w:r>
            <w:r>
              <w:rPr>
                <w:rStyle w:val="IndexLink"/>
                <w:rtl w:val="true"/>
              </w:rPr>
              <w:t>حول الاستدلال بالأخبار لدلالة النهی علی الفساد</w:t>
            </w:r>
            <w:r>
              <w:rPr>
                <w:rStyle w:val="IndexLink"/>
                <w:rtl w:val="true"/>
              </w:rPr>
              <w:tab/>
            </w:r>
            <w:r>
              <w:rPr>
                <w:rStyle w:val="IndexLink"/>
              </w:rPr>
              <w:t>384</w:t>
            </w:r>
          </w:hyperlink>
        </w:p>
        <w:p>
          <w:pPr>
            <w:pStyle w:val="Contents6"/>
            <w:tabs>
              <w:tab w:val="clear" w:pos="7609"/>
              <w:tab w:val="right" w:pos="9026" w:leader="dot"/>
            </w:tabs>
            <w:rPr/>
          </w:pPr>
          <w:hyperlink w:anchor="__RefHeading___Toc534103_3244359995">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534105_3244359995">
            <w:r>
              <w:rPr>
                <w:webHidden/>
                <w:rStyle w:val="IndexLink"/>
                <w:rtl w:val="true"/>
              </w:rPr>
              <w:t>أوهام و اندفاعات</w:t>
            </w:r>
            <w:r>
              <w:rPr>
                <w:rStyle w:val="IndexLink"/>
                <w:rtl w:val="true"/>
              </w:rPr>
              <w:t xml:space="preserve">: </w:t>
            </w:r>
            <w:r>
              <w:rPr>
                <w:rStyle w:val="IndexLink"/>
                <w:rtl w:val="true"/>
              </w:rPr>
              <w:t>حول الأخبار السابقة</w:t>
            </w:r>
            <w:r>
              <w:rPr>
                <w:rStyle w:val="IndexLink"/>
                <w:rtl w:val="true"/>
              </w:rPr>
              <w:tab/>
            </w:r>
            <w:r>
              <w:rPr>
                <w:rStyle w:val="IndexLink"/>
              </w:rPr>
              <w:t>386</w:t>
            </w:r>
          </w:hyperlink>
        </w:p>
        <w:p>
          <w:pPr>
            <w:pStyle w:val="Contents6"/>
            <w:tabs>
              <w:tab w:val="clear" w:pos="7609"/>
              <w:tab w:val="right" w:pos="9026" w:leader="dot"/>
            </w:tabs>
            <w:rPr/>
          </w:pPr>
          <w:hyperlink w:anchor="__RefHeading___Toc534107_3244359995">
            <w:r>
              <w:rPr>
                <w:webHidden/>
                <w:rStyle w:val="IndexLink"/>
                <w:rtl w:val="true"/>
              </w:rPr>
              <w:t>تذنیب</w:t>
            </w:r>
            <w:r>
              <w:rPr>
                <w:rStyle w:val="IndexLink"/>
                <w:rtl w:val="true"/>
              </w:rPr>
              <w:tab/>
            </w:r>
            <w:r>
              <w:rPr>
                <w:rStyle w:val="IndexLink"/>
              </w:rPr>
              <w:t>394</w:t>
            </w:r>
          </w:hyperlink>
        </w:p>
        <w:p>
          <w:pPr>
            <w:pStyle w:val="Contents6"/>
            <w:tabs>
              <w:tab w:val="clear" w:pos="7609"/>
              <w:tab w:val="right" w:pos="9026" w:leader="dot"/>
            </w:tabs>
            <w:rPr/>
          </w:pPr>
          <w:hyperlink w:anchor="__RefHeading___Toc534109_3244359995">
            <w:r>
              <w:rPr>
                <w:webHidden/>
                <w:rStyle w:val="IndexLink"/>
                <w:rtl w:val="true"/>
              </w:rPr>
              <w:t>تتمیم</w:t>
            </w:r>
            <w:r>
              <w:rPr>
                <w:rStyle w:val="IndexLink"/>
                <w:rtl w:val="true"/>
              </w:rPr>
              <w:t xml:space="preserve">: </w:t>
            </w:r>
            <w:r>
              <w:rPr>
                <w:rStyle w:val="IndexLink"/>
                <w:rtl w:val="true"/>
              </w:rPr>
              <w:t xml:space="preserve">حول مختار </w:t>
            </w:r>
            <w:r>
              <w:rPr>
                <w:rStyle w:val="IndexLink"/>
                <w:rtl w:val="true"/>
              </w:rPr>
              <w:t>«</w:t>
            </w:r>
            <w:r>
              <w:rPr>
                <w:rStyle w:val="IndexLink"/>
                <w:rtl w:val="true"/>
              </w:rPr>
              <w:t>الکفایة</w:t>
            </w:r>
            <w:r>
              <w:rPr>
                <w:rStyle w:val="IndexLink"/>
                <w:rtl w:val="true"/>
              </w:rPr>
              <w:t>»</w:t>
              <w:tab/>
            </w:r>
            <w:r>
              <w:rPr>
                <w:rStyle w:val="IndexLink"/>
              </w:rPr>
              <w:t>395</w:t>
            </w:r>
          </w:hyperlink>
        </w:p>
        <w:p>
          <w:pPr>
            <w:pStyle w:val="Contents6"/>
            <w:tabs>
              <w:tab w:val="clear" w:pos="7609"/>
              <w:tab w:val="right" w:pos="9026" w:leader="dot"/>
            </w:tabs>
            <w:rPr/>
          </w:pPr>
          <w:hyperlink w:anchor="__RefHeading___Toc534111_3244359995">
            <w:r>
              <w:rPr>
                <w:webHidden/>
                <w:rStyle w:val="IndexLink"/>
                <w:rtl w:val="true"/>
              </w:rPr>
              <w:t xml:space="preserve">نقل ما فی </w:t>
            </w:r>
            <w:r>
              <w:rPr>
                <w:rStyle w:val="IndexLink"/>
                <w:rtl w:val="true"/>
              </w:rPr>
              <w:t>«</w:t>
            </w:r>
            <w:r>
              <w:rPr>
                <w:rStyle w:val="IndexLink"/>
                <w:rtl w:val="true"/>
              </w:rPr>
              <w:t>تهذیب الأُصول</w:t>
            </w:r>
            <w:r>
              <w:rPr>
                <w:rStyle w:val="IndexLink"/>
                <w:rtl w:val="true"/>
              </w:rPr>
              <w:t xml:space="preserve">» </w:t>
            </w:r>
            <w:r>
              <w:rPr>
                <w:rStyle w:val="IndexLink"/>
                <w:rtl w:val="true"/>
              </w:rPr>
              <w:t>و نقده</w:t>
            </w:r>
            <w:r>
              <w:rPr>
                <w:rStyle w:val="IndexLink"/>
                <w:rtl w:val="true"/>
              </w:rPr>
              <w:tab/>
            </w:r>
            <w:r>
              <w:rPr>
                <w:rStyle w:val="IndexLink"/>
              </w:rPr>
              <w:t>396</w:t>
            </w:r>
          </w:hyperlink>
        </w:p>
        <w:p>
          <w:pPr>
            <w:pStyle w:val="Contents5"/>
            <w:tabs>
              <w:tab w:val="clear" w:pos="7892"/>
              <w:tab w:val="right" w:pos="9026" w:leader="dot"/>
            </w:tabs>
            <w:rPr/>
          </w:pPr>
          <w:hyperlink w:anchor="__RefHeading___Toc534113_3244359995">
            <w:r>
              <w:rPr>
                <w:webHidden/>
                <w:rStyle w:val="IndexLink"/>
                <w:rtl w:val="true"/>
              </w:rPr>
              <w:t>التنبیه الثالث</w:t>
            </w:r>
            <w:r>
              <w:rPr>
                <w:rStyle w:val="IndexLink"/>
                <w:rtl w:val="true"/>
              </w:rPr>
              <w:t xml:space="preserve">: </w:t>
            </w:r>
            <w:r>
              <w:rPr>
                <w:rStyle w:val="IndexLink"/>
                <w:rtl w:val="true"/>
              </w:rPr>
              <w:t>حول استتباع النهی عن الجزء أو الشرط أو الوصف للفساد</w:t>
            </w:r>
            <w:r>
              <w:rPr>
                <w:rStyle w:val="IndexLink"/>
                <w:rtl w:val="true"/>
              </w:rPr>
              <w:tab/>
            </w:r>
            <w:r>
              <w:rPr>
                <w:rStyle w:val="IndexLink"/>
              </w:rPr>
              <w:t>397</w:t>
            </w:r>
          </w:hyperlink>
        </w:p>
        <w:p>
          <w:pPr>
            <w:pStyle w:val="Contents6"/>
            <w:tabs>
              <w:tab w:val="clear" w:pos="7609"/>
              <w:tab w:val="right" w:pos="9026" w:leader="dot"/>
            </w:tabs>
            <w:rPr/>
          </w:pPr>
          <w:hyperlink w:anchor="__RefHeading___Toc534115_3244359995">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534117_3244359995">
            <w:r>
              <w:rPr>
                <w:webHidden/>
                <w:rStyle w:val="IndexLink"/>
                <w:rtl w:val="true"/>
              </w:rPr>
              <w:t>تنبیه</w:t>
            </w:r>
            <w:r>
              <w:rPr>
                <w:rStyle w:val="IndexLink"/>
                <w:rtl w:val="true"/>
              </w:rPr>
              <w:t xml:space="preserve">: </w:t>
            </w:r>
            <w:r>
              <w:rPr>
                <w:rStyle w:val="IndexLink"/>
                <w:rtl w:val="true"/>
              </w:rPr>
              <w:t>فی عدم اقتضاء النهی التشریعیّ للفساد</w:t>
            </w:r>
            <w:r>
              <w:rPr>
                <w:rStyle w:val="IndexLink"/>
                <w:rtl w:val="true"/>
              </w:rPr>
              <w:tab/>
            </w:r>
            <w:r>
              <w:rPr>
                <w:rStyle w:val="IndexLink"/>
              </w:rPr>
              <w:t>400</w:t>
            </w:r>
          </w:hyperlink>
        </w:p>
        <w:p>
          <w:pPr>
            <w:pStyle w:val="Contents4"/>
            <w:tabs>
              <w:tab w:val="clear" w:pos="8176"/>
              <w:tab w:val="right" w:pos="9026" w:leader="dot"/>
            </w:tabs>
            <w:rPr/>
          </w:pPr>
          <w:hyperlink w:anchor="__RefHeading___Toc534119_3244359995">
            <w:r>
              <w:rPr>
                <w:webHidden/>
                <w:rStyle w:val="IndexLink"/>
                <w:rtl w:val="true"/>
              </w:rPr>
              <w:t>خاتمة</w:t>
            </w:r>
            <w:r>
              <w:rPr>
                <w:rStyle w:val="IndexLink"/>
                <w:rtl w:val="true"/>
              </w:rPr>
              <w:t xml:space="preserve">: </w:t>
            </w:r>
            <w:r>
              <w:rPr>
                <w:rStyle w:val="IndexLink"/>
                <w:rtl w:val="true"/>
              </w:rPr>
              <w:t>الکلام فی النواهی حول أنّ الأمر أو النهی یستتبعان أحیاناً الضمان و عدم الضمان، أم لا؟</w:t>
            </w:r>
            <w:r>
              <w:rPr>
                <w:rStyle w:val="IndexLink"/>
                <w:rtl w:val="true"/>
              </w:rPr>
              <w:tab/>
            </w:r>
            <w:r>
              <w:rPr>
                <w:rStyle w:val="IndexLink"/>
              </w:rPr>
              <w:t>401</w:t>
            </w:r>
          </w:hyperlink>
        </w:p>
        <w:p>
          <w:pPr>
            <w:pStyle w:val="Contents5"/>
            <w:tabs>
              <w:tab w:val="clear" w:pos="7892"/>
              <w:tab w:val="right" w:pos="9026" w:leader="dot"/>
            </w:tabs>
            <w:rPr/>
          </w:pPr>
          <w:hyperlink w:anchor="__RefHeading___Toc534121_3244359995">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534123_3244359995">
            <w:r>
              <w:rPr>
                <w:webHidden/>
                <w:rStyle w:val="IndexLink"/>
                <w:rtl w:val="true"/>
              </w:rPr>
              <w:t>المسألة الأُولی</w:t>
            </w:r>
            <w:r>
              <w:rPr>
                <w:rStyle w:val="IndexLink"/>
                <w:rtl w:val="true"/>
              </w:rPr>
              <w:t xml:space="preserve">: </w:t>
            </w:r>
            <w:r>
              <w:rPr>
                <w:rStyle w:val="IndexLink"/>
                <w:rtl w:val="true"/>
              </w:rPr>
              <w:t>حول استتباع الأمر أو النهی للضمان</w:t>
            </w:r>
            <w:r>
              <w:rPr>
                <w:rStyle w:val="IndexLink"/>
                <w:rtl w:val="true"/>
              </w:rPr>
              <w:tab/>
            </w:r>
            <w:r>
              <w:rPr>
                <w:rStyle w:val="IndexLink"/>
              </w:rPr>
              <w:t>401</w:t>
            </w:r>
          </w:hyperlink>
        </w:p>
        <w:p>
          <w:pPr>
            <w:pStyle w:val="Contents6"/>
            <w:tabs>
              <w:tab w:val="clear" w:pos="7609"/>
              <w:tab w:val="right" w:pos="9026" w:leader="dot"/>
            </w:tabs>
            <w:rPr/>
          </w:pPr>
          <w:hyperlink w:anchor="__RefHeading___Toc534125_3244359995">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534127_3244359995">
            <w:r>
              <w:rPr>
                <w:webHidden/>
                <w:rStyle w:val="IndexLink"/>
                <w:rtl w:val="true"/>
              </w:rPr>
              <w:t>تنبیه</w:t>
            </w:r>
            <w:r>
              <w:rPr>
                <w:rStyle w:val="IndexLink"/>
                <w:rtl w:val="true"/>
              </w:rPr>
              <w:t xml:space="preserve">: </w:t>
            </w:r>
            <w:r>
              <w:rPr>
                <w:rStyle w:val="IndexLink"/>
                <w:rtl w:val="true"/>
              </w:rPr>
              <w:t>فی عدم ضمان الوالی و المفتی</w:t>
            </w:r>
            <w:r>
              <w:rPr>
                <w:rStyle w:val="IndexLink"/>
                <w:rtl w:val="true"/>
              </w:rPr>
              <w:tab/>
            </w:r>
            <w:r>
              <w:rPr>
                <w:rStyle w:val="IndexLink"/>
              </w:rPr>
              <w:t>403</w:t>
            </w:r>
          </w:hyperlink>
        </w:p>
        <w:p>
          <w:pPr>
            <w:pStyle w:val="Contents6"/>
            <w:tabs>
              <w:tab w:val="clear" w:pos="7609"/>
              <w:tab w:val="right" w:pos="9026" w:leader="dot"/>
            </w:tabs>
            <w:rPr/>
          </w:pPr>
          <w:hyperlink w:anchor="__RefHeading___Toc534129_3244359995">
            <w:r>
              <w:rPr>
                <w:webHidden/>
                <w:rStyle w:val="IndexLink"/>
                <w:rtl w:val="true"/>
              </w:rPr>
              <w:t>تذنیب</w:t>
            </w:r>
            <w:r>
              <w:rPr>
                <w:rStyle w:val="IndexLink"/>
                <w:rtl w:val="true"/>
              </w:rPr>
              <w:t xml:space="preserve">: </w:t>
            </w:r>
            <w:r>
              <w:rPr>
                <w:rStyle w:val="IndexLink"/>
                <w:rtl w:val="true"/>
              </w:rPr>
              <w:t>حول الأمر بالتصرّفات غیر الإتلافیة الموجبة للتلف أحیاناً</w:t>
            </w:r>
            <w:r>
              <w:rPr>
                <w:rStyle w:val="IndexLink"/>
                <w:rtl w:val="true"/>
              </w:rPr>
              <w:tab/>
            </w:r>
            <w:r>
              <w:rPr>
                <w:rStyle w:val="IndexLink"/>
              </w:rPr>
              <w:t>403</w:t>
            </w:r>
          </w:hyperlink>
        </w:p>
        <w:p>
          <w:pPr>
            <w:pStyle w:val="Contents5"/>
            <w:tabs>
              <w:tab w:val="clear" w:pos="7892"/>
              <w:tab w:val="right" w:pos="9026" w:leader="dot"/>
            </w:tabs>
            <w:rPr/>
          </w:pPr>
          <w:hyperlink w:anchor="__RefHeading___Toc534131_3244359995">
            <w:r>
              <w:rPr>
                <w:webHidden/>
                <w:rStyle w:val="IndexLink"/>
                <w:rtl w:val="true"/>
              </w:rPr>
              <w:t>المسألة الثانیة</w:t>
            </w:r>
            <w:r>
              <w:rPr>
                <w:rStyle w:val="IndexLink"/>
                <w:rtl w:val="true"/>
              </w:rPr>
              <w:t xml:space="preserve">: </w:t>
            </w:r>
            <w:r>
              <w:rPr>
                <w:rStyle w:val="IndexLink"/>
                <w:rtl w:val="true"/>
              </w:rPr>
              <w:t>حول عدم ضمان صاحب المتاع للأُجرة مع نهیه الحمّال</w:t>
            </w:r>
            <w:r>
              <w:rPr>
                <w:rStyle w:val="IndexLink"/>
                <w:rtl w:val="true"/>
              </w:rPr>
              <w:tab/>
            </w:r>
            <w:r>
              <w:rPr>
                <w:rStyle w:val="IndexLink"/>
              </w:rPr>
              <w:t>404</w:t>
            </w:r>
          </w:hyperlink>
        </w:p>
        <w:p>
          <w:pPr>
            <w:pStyle w:val="Contents6"/>
            <w:tabs>
              <w:tab w:val="clear" w:pos="7609"/>
              <w:tab w:val="right" w:pos="9026" w:leader="dot"/>
            </w:tabs>
            <w:rPr/>
          </w:pPr>
          <w:hyperlink w:anchor="__RefHeading___Toc534133_3244359995">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534135_3244359995">
            <w:r>
              <w:rPr>
                <w:webHidden/>
                <w:rStyle w:val="IndexLink"/>
                <w:rtl w:val="true"/>
              </w:rPr>
              <w:t>تنبیه</w:t>
            </w:r>
            <w:r>
              <w:rPr>
                <w:rStyle w:val="IndexLink"/>
                <w:rtl w:val="true"/>
              </w:rPr>
              <w:t xml:space="preserve">: </w:t>
            </w:r>
            <w:r>
              <w:rPr>
                <w:rStyle w:val="IndexLink"/>
                <w:rtl w:val="true"/>
              </w:rPr>
              <w:t>حول نهی الشخص عن حفظ مال ثمّ تبیّن أنّه له</w:t>
            </w:r>
            <w:r>
              <w:rPr>
                <w:rStyle w:val="IndexLink"/>
                <w:rtl w:val="true"/>
              </w:rPr>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63_142788"/>
      <w:bookmarkStart w:id="1" w:name="pg13163_142788"/>
      <w:bookmarkEnd w:id="1"/>
    </w:p>
    <w:p>
      <w:pPr>
        <w:pStyle w:val="Heading2"/>
        <w:numPr>
          <w:ilvl w:val="1"/>
          <w:numId w:val="1"/>
        </w:numPr>
        <w:rPr/>
      </w:pPr>
      <w:bookmarkStart w:id="2" w:name="pg13163_142788"/>
      <w:bookmarkStart w:id="3" w:name="__RefHeading___Toc533567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 الخمینی،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۰‌۴۲۰۰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الثقافه و الارشاد الاسلامی، موسسه الطبع و النشر،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3569_3244359995"/>
      <w:bookmarkStart w:id="6" w:name="_Toc2"/>
      <w:bookmarkEnd w:id="5"/>
      <w:r>
        <w:rPr>
          <w:rtl w:val="true"/>
        </w:rPr>
        <w:t>اشارة</w:t>
      </w:r>
      <w:bookmarkStart w:id="7" w:name="pg13163_142790"/>
      <w:bookmarkEnd w:id="6"/>
    </w:p>
    <w:p>
      <w:pPr>
        <w:pStyle w:val="Heading2"/>
        <w:numPr>
          <w:ilvl w:val="1"/>
          <w:numId w:val="1"/>
        </w:numPr>
        <w:rPr/>
      </w:pPr>
      <w:bookmarkStart w:id="8" w:name="__RefHeading___Toc533571_3244359995"/>
      <w:bookmarkStart w:id="9" w:name="_Toc3"/>
      <w:bookmarkEnd w:id="7"/>
      <w:bookmarkEnd w:id="8"/>
      <w:r>
        <w:rPr>
          <w:rtl w:val="true"/>
        </w:rPr>
        <w:t>[</w:t>
      </w:r>
      <w:r>
        <w:rPr>
          <w:rtl w:val="true"/>
        </w:rPr>
        <w:t>تتمة المقصد الثانی فی الأوامر</w:t>
      </w:r>
      <w:r>
        <w:rPr>
          <w:rtl w:val="true"/>
        </w:rPr>
        <w:t>]</w:t>
      </w:r>
      <w:bookmarkEnd w:id="9"/>
    </w:p>
    <w:p>
      <w:pPr>
        <w:pStyle w:val="Heading3"/>
        <w:numPr>
          <w:ilvl w:val="2"/>
          <w:numId w:val="1"/>
        </w:numPr>
        <w:rPr/>
      </w:pPr>
      <w:bookmarkStart w:id="10" w:name="__RefHeading___Toc533573_3244359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2" w:name="__RefHeading___Toc533575_3244359995"/>
      <w:bookmarkStart w:id="13" w:name="_Toc5"/>
      <w:bookmarkEnd w:id="12"/>
      <w:r>
        <w:rPr>
          <w:rtl w:val="true"/>
        </w:rPr>
        <w:t>الفصل الثامن التعرض لبعض أنحاء الوجوب</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533577_3244359995"/>
      <w:bookmarkStart w:id="15" w:name="_Toc6"/>
      <w:bookmarkEnd w:id="14"/>
      <w:r>
        <w:rPr>
          <w:rtl w:val="true"/>
        </w:rPr>
        <w:t>اشارة</w:t>
      </w:r>
      <w:bookmarkStart w:id="16" w:name="pg13163_142792"/>
      <w:bookmarkEnd w:id="15"/>
    </w:p>
    <w:p>
      <w:pPr>
        <w:pStyle w:val="BookText"/>
        <w:rPr/>
      </w:pPr>
      <w:bookmarkEnd w:id="16"/>
      <w:r>
        <w:rPr>
          <w:rFonts w:ascii="IRNazanin" w:hAnsi="IRNazanin" w:eastAsia="IRNazanin"/>
          <w:color w:val="111111"/>
          <w:sz w:val="28"/>
          <w:sz w:val="28"/>
          <w:szCs w:val="28"/>
          <w:rtl w:val="true"/>
          <w:lang w:bidi="fa-IR"/>
        </w:rPr>
        <w:t>کان ینبغی أن نذکر سائر أقسام الوجوب فی مقدمات بحث مقدمة الواجب استطرادا، و لکن التبعیة للأعلام اقتضت التأخیر، و لا بأس به</w:t>
      </w:r>
      <w:r>
        <w:rPr>
          <w:rFonts w:eastAsia="IRNazanin" w:cs="IRNazanin"/>
          <w:color w:val="111111"/>
          <w:sz w:val="28"/>
          <w:szCs w:val="28"/>
          <w:rtl w:val="true"/>
          <w:lang w:bidi="fa-IR"/>
        </w:rPr>
        <w:t>.</w:t>
      </w:r>
    </w:p>
    <w:p>
      <w:pPr>
        <w:pStyle w:val="Heading4"/>
        <w:numPr>
          <w:ilvl w:val="3"/>
          <w:numId w:val="1"/>
        </w:numPr>
        <w:rPr/>
      </w:pPr>
      <w:bookmarkStart w:id="17" w:name="__RefHeading___Toc533579_3244359995"/>
      <w:bookmarkStart w:id="18" w:name="_Toc7"/>
      <w:bookmarkEnd w:id="17"/>
      <w:r>
        <w:rPr>
          <w:rtl w:val="true"/>
        </w:rPr>
        <w:t>النحو الأول فی التعیینی و التخییری</w:t>
      </w:r>
      <w:bookmarkEnd w:id="18"/>
    </w:p>
    <w:p>
      <w:pPr>
        <w:pStyle w:val="Heading5"/>
        <w:numPr>
          <w:ilvl w:val="4"/>
          <w:numId w:val="1"/>
        </w:numPr>
        <w:rPr/>
      </w:pPr>
      <w:bookmarkStart w:id="19" w:name="__RefHeading___Toc533581_3244359995"/>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 یتم الکلام حوله فی بحوث</w:t>
      </w:r>
      <w:r>
        <w:rPr>
          <w:rFonts w:eastAsia="IRNazanin" w:cs="IRNazanin"/>
          <w:color w:val="111111"/>
          <w:sz w:val="28"/>
          <w:szCs w:val="28"/>
          <w:rtl w:val="true"/>
          <w:lang w:bidi="fa-IR"/>
        </w:rPr>
        <w:t>:</w:t>
      </w:r>
    </w:p>
    <w:p>
      <w:pPr>
        <w:pStyle w:val="Heading5"/>
        <w:numPr>
          <w:ilvl w:val="4"/>
          <w:numId w:val="1"/>
        </w:numPr>
        <w:rPr/>
      </w:pPr>
      <w:bookmarkStart w:id="21" w:name="__RefHeading___Toc533583_3244359995"/>
      <w:bookmarkStart w:id="22" w:name="_Toc9"/>
      <w:bookmarkEnd w:id="21"/>
      <w:r>
        <w:rPr>
          <w:rtl w:val="true"/>
        </w:rPr>
        <w:t>البحث الأول</w:t>
      </w:r>
      <w:r>
        <w:rPr>
          <w:rtl w:val="true"/>
        </w:rPr>
        <w:t xml:space="preserve">: </w:t>
      </w:r>
      <w:r>
        <w:rPr>
          <w:rtl w:val="true"/>
        </w:rPr>
        <w:t>أقسام التخییر</w:t>
      </w:r>
      <w:bookmarkEnd w:id="22"/>
    </w:p>
    <w:p>
      <w:pPr>
        <w:pStyle w:val="BookText"/>
        <w:rPr/>
      </w:pPr>
      <w:r>
        <w:rPr>
          <w:rFonts w:ascii="IRNazanin" w:hAnsi="IRNazanin" w:eastAsia="IRNazanin"/>
          <w:color w:val="111111"/>
          <w:sz w:val="28"/>
          <w:sz w:val="28"/>
          <w:szCs w:val="28"/>
          <w:rtl w:val="true"/>
          <w:lang w:bidi="fa-IR"/>
        </w:rPr>
        <w:t>لا کلام فی التعیینی، و إنما البحث حول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ینقسم إلی التخییر العقلی، و التخییر العقلائی، و التخییر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إدراک العقل أن العبد مخیر بین الفعل و الترک، أو مخیر بین فعل کذا و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واضح لا غبار علیه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المخالف فی هذه المسألة القائل بالجبر؛ و بأن العبد غیر مختار، فهو کما ینکر ذلک ینکر التخییر فی الشرع و العرف أیضا، و إن کان لا ینکر التخییر التوهمی و التخیلی؛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الاختیار و التخییر توهمی لا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المتکفل لهذه</w:t>
      </w:r>
    </w:p>
    <w:p>
      <w:pPr>
        <w:pStyle w:val="BookText"/>
        <w:rPr/>
      </w:pPr>
      <w:r>
        <w:rPr>
          <w:rFonts w:ascii="IRNazanin" w:hAnsi="IRNazanin" w:eastAsia="IRNazanin"/>
          <w:color w:val="111111"/>
          <w:sz w:val="28"/>
          <w:sz w:val="28"/>
          <w:szCs w:val="28"/>
          <w:rtl w:val="true"/>
          <w:lang w:bidi="fa-IR"/>
        </w:rPr>
        <w:t xml:space="preserve">المسألة بعض العلوم العالیة، و قد تصدینا لمباحثها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إدراک العرف و العقلاء فی معاشهم و معادهم أنهم مخیرون، و هکذا فی أخذهم بالحجج و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یتکفل البحث عن هذه المسألة، مسائل التعادل و الترجیح، و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تأتی بعض الشبهات الآتیة علی هذا النحو من التخییر؛ لأنه من قبیل حکم العرف بالتخییر، و لو امتنع الحکم بالتخییر شرعا، فربما یلزم الامتناع فی هذه المرحلة أیضا؛ لاتحاد المناط، و اشتراک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اتفاقهم علی الحکم التخییری فی هذه المسألة، و بقائه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الشرع بوجوب هذا، أو وجوب ذاک، کما فی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مورد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مورد یمکن الجمع بینهما عرضا، کما فی الخصال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لا یمکن الجمع بینهما عرضا، کما فی أماکن التخییر؛ فإن الجمع بین القصر و الإتمام لا یمکن عرضا و إن أمکن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الأفراد جامع ذاتی قریب، کالصلاة فإنها جامعة القصر و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بینها ذلک الجامع، کما فی خصال کفارة رمضان مثلا، و فی نوع الکفارات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الأقل و الأکثر من التدریجیات</w:t>
      </w:r>
      <w:r>
        <w:rPr>
          <w:rFonts w:eastAsia="IRNazanin" w:cs="IRNazanin"/>
          <w:color w:val="111111"/>
          <w:sz w:val="28"/>
          <w:szCs w:val="28"/>
          <w:rtl w:val="true"/>
          <w:lang w:bidi="fa-IR"/>
        </w:rPr>
        <w:t>.</w:t>
      </w:r>
      <w:bookmarkStart w:id="23" w:name="pg13163_142796"/>
    </w:p>
    <w:p>
      <w:pPr>
        <w:pStyle w:val="BookText"/>
        <w:rPr/>
      </w:pPr>
      <w:bookmarkEnd w:id="23"/>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الدفعیّات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التدریجی من الأنواع المشککة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الأنواع المتواطئة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الشرعی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بالدلیل الخاصّ الشرعی؛ من إجماع، أو سنة 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یستکشف من العقل، کما فی موارد التزاحم، و فی مسألة دوران الأمر بین المحذورین؛ بناء علی بعض المسالک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533585_3244359995"/>
      <w:bookmarkStart w:id="25" w:name="_Toc10"/>
      <w:bookmarkEnd w:id="24"/>
      <w:r>
        <w:rPr>
          <w:rtl w:val="true"/>
        </w:rPr>
        <w:t>البحث الثانی</w:t>
      </w:r>
      <w:r>
        <w:rPr>
          <w:rtl w:val="true"/>
        </w:rPr>
        <w:t xml:space="preserve">: </w:t>
      </w:r>
      <w:r>
        <w:rPr>
          <w:rtl w:val="true"/>
        </w:rPr>
        <w:t>مقتضی الأصل العقلائی فی الوجوب التخییری</w:t>
      </w:r>
      <w:bookmarkEnd w:id="25"/>
    </w:p>
    <w:p>
      <w:pPr>
        <w:pStyle w:val="BookText"/>
        <w:rPr/>
      </w:pPr>
      <w:r>
        <w:rPr>
          <w:rFonts w:ascii="IRNazanin" w:hAnsi="IRNazanin" w:eastAsia="IRNazanin"/>
          <w:color w:val="111111"/>
          <w:sz w:val="28"/>
          <w:sz w:val="28"/>
          <w:szCs w:val="28"/>
          <w:rtl w:val="true"/>
          <w:lang w:bidi="fa-IR"/>
        </w:rPr>
        <w:t>لا شبهة فی أن المتبادر العرفی و المتفاهم العقلائی من الأدلة المتکفلة لإثبات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واحد من الطرفین أو الأطراف، موصوف بنوع من الوجوب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کل واحد من الأطراف بخصوصیته متعلق الإیجاب، لا أمرا آخر؛ سواء کان ذلک الأمر الآخر عنوانا انتزاعیا، أو عنوانا ذاتیا و جامعا قریبا، و من غیر فرق بین کیفیة الأداء؛ بأن یخلل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تکرار الصیغة، أو لم یکرر صیغة الأمر أو ما یقوم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المتفاهم العرفی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إکرام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موضوعه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تخییریا، لا تعیینیا کسائر الواجبات التعیینیة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المأخوذة تحت الهیئة و ما فی حکمها، إذا کانت من قبیل العناوین الذاتیّة، فهی ظاهرة فی الوجوب التعیینی،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و زکوا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تکون الصلاة واجبة تعیینیة، بخلاف ما إذا کانت من قبیل العناوین الانتزاعیة، أو بعض منها من قبیل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ذهن العرف ینصرف منها إلی أن الواجب؛ هو منشأ الانتزاع، و یکون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إحدی هذه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عنوان ذاتی الخصال، کالعتق و الصوم و الإطعام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دعوی بعض الفضلاء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الأدلة الشرعیة فی أن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Style w:val="FootnoteAnchor"/>
          <w:rtl w:val="true"/>
        </w:rPr>
        <w:footnoteReference w:id="4"/>
      </w:r>
      <w:r>
        <w:rPr>
          <w:rFonts w:ascii="IRNazanin" w:hAnsi="IRNazanin" w:eastAsia="IRNazanin"/>
          <w:color w:val="111111"/>
          <w:sz w:val="28"/>
          <w:sz w:val="28"/>
          <w:szCs w:val="28"/>
          <w:rtl w:val="true"/>
          <w:lang w:bidi="fa-IR"/>
        </w:rPr>
        <w:t>، فینکر علی هذا الواجبات التخییریة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معنی ذلک أن ما هو الواجب، هو العنوان الانتزاعی تعیینا، إلا أن تطبیقه بید المکلفین فی نطاق اعتبره الشرع، فلا تغفل،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فی إبطاله إلی شی‌ء غیر الإحالة إلی الوجدان و 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بذلک إذا اقتضت الضرورة،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الأصل العقلائی فی المسألة، و حیث إن الوجوب التخییری الشرعی یستتبع شبهات؛ بین ما تتوجه إلی مطلق الأقسام المزبورة، و بین ما تتوجه إلی صنف خاص منه، و لأجل تلک الشبهات بنوا علی العدول عما هو الظاهر الابتدائی إلی المسالک المختلفة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أولا من النّظر إلی الشبهات العامة، و ثانیا إلی الشبهات الخاصة، فإن کانت هی تامة فنأخذ بما هو الأقرب إلی تلک الأدلة، و إلا فیتبع الأصل المزبور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کثیرا من الأعلام و الأفاضل غفلوا عن هذه النکتة، و ظنوا أن الأصحاب اختلفوا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التخییری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غافلین عن أن هذا الاختلاف ناشئ من الإشکالات العقلیة، و إلا فلا خلاف فیما هو الأصل، کما عرفت و تحرر</w:t>
      </w:r>
      <w:r>
        <w:rPr>
          <w:rFonts w:eastAsia="IRNazanin" w:cs="IRNazanin"/>
          <w:color w:val="111111"/>
          <w:sz w:val="28"/>
          <w:szCs w:val="28"/>
          <w:rtl w:val="true"/>
          <w:lang w:bidi="fa-IR"/>
        </w:rPr>
        <w:t>.</w:t>
      </w:r>
      <w:bookmarkStart w:id="26" w:name="pg13163_142800"/>
    </w:p>
    <w:p>
      <w:pPr>
        <w:pStyle w:val="Heading5"/>
        <w:numPr>
          <w:ilvl w:val="4"/>
          <w:numId w:val="1"/>
        </w:numPr>
        <w:rPr/>
      </w:pPr>
      <w:bookmarkStart w:id="27" w:name="__RefHeading___Toc533587_3244359995"/>
      <w:bookmarkStart w:id="28" w:name="_Toc11"/>
      <w:bookmarkEnd w:id="26"/>
      <w:bookmarkEnd w:id="27"/>
      <w:r>
        <w:rPr>
          <w:rtl w:val="true"/>
        </w:rPr>
        <w:t>البحث الثالث</w:t>
      </w:r>
      <w:r>
        <w:rPr>
          <w:rtl w:val="true"/>
        </w:rPr>
        <w:t xml:space="preserve">: </w:t>
      </w:r>
      <w:r>
        <w:rPr>
          <w:rtl w:val="true"/>
        </w:rPr>
        <w:t>فی شبهات المسألة</w:t>
      </w:r>
      <w:bookmarkEnd w:id="28"/>
    </w:p>
    <w:p>
      <w:pPr>
        <w:pStyle w:val="Heading6"/>
        <w:numPr>
          <w:ilvl w:val="5"/>
          <w:numId w:val="1"/>
        </w:numPr>
        <w:rPr/>
      </w:pPr>
      <w:bookmarkStart w:id="29" w:name="__RefHeading___Toc533589_3244359995"/>
      <w:bookmarkStart w:id="30" w:name="_Toc12"/>
      <w:bookmarkEnd w:id="29"/>
      <w:r>
        <w:rPr>
          <w:rtl w:val="true"/>
        </w:rPr>
        <w:t>الشبهة الأولی</w:t>
      </w:r>
      <w:r>
        <w:rPr>
          <w:rtl w:val="true"/>
        </w:rPr>
        <w:t>:</w:t>
      </w:r>
      <w:bookmarkEnd w:id="30"/>
    </w:p>
    <w:p>
      <w:pPr>
        <w:pStyle w:val="BookText"/>
        <w:rPr/>
      </w:pP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غرض المولی من الإیجاب التخییری؛ إما یکون واحدا بالذات و الحقیقة، فعلیه یستکشف وجود جامع بین الفعلین أو الأفعال؛ لأجل أن الأمور المختلفة المتباینة، لا یمکن أن یصدر منها الواحد، و لأجل اعتبار نحو من السنخیة بین المعلول و علته، فلا بدّ من کون ذلک الجامع هو الواجب الشرعی و إن کان مقتضی ظاهر الأدلة خلافه، فلا معنی للوجوب التخییری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غرض المولی متعددا، و یکون کل واحد منها قائما بفعل من تلک الأفعال الثلاثة، و لکنه لا یمکن تحصیلها معا؛ للمضادة بینها، و عندئذ لا بد من الالتزام بوجوب کل واحد منها؛ بنحو یجوز ترکه إلی بدل، لا مطلقا، و علی هذا یکون التخییر شرعیا؛ إذ لا نعنی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ذلک </w:t>
      </w:r>
      <w:r>
        <w:rPr>
          <w:rStyle w:val="FootnoteAnchor"/>
          <w:rtl w:val="true"/>
        </w:rPr>
        <w:footnoteReference w:id="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 کلامه بما لا یرجع إلی محصل، بل یناقض مسلکه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تتمیم هذه الشبهة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فی الشرع الجمع بین الأطراف جائزا، بل راجحا، فیعلم منه أن لا مضادة بینهما، و یستکشف بذلک أن ما هو الواجب حقیقة هو الجامع، فلا تخییر شرعی مطلقا، فافهم و اغتنم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إلی إرجاع الأدلة إلی أن الواجب حقیقة هو الجامع؛ لأن من المحتمل کون المولی ذا غرض متعدد؛ لعین الأغراض المتعددة فی الواجبات</w:t>
      </w:r>
    </w:p>
    <w:p>
      <w:pPr>
        <w:pStyle w:val="BookText"/>
        <w:rPr/>
      </w:pPr>
      <w:r>
        <w:rPr>
          <w:rFonts w:ascii="IRNazanin" w:hAnsi="IRNazanin" w:eastAsia="IRNazanin"/>
          <w:color w:val="111111"/>
          <w:sz w:val="28"/>
          <w:sz w:val="28"/>
          <w:szCs w:val="28"/>
          <w:rtl w:val="true"/>
          <w:lang w:bidi="fa-IR"/>
        </w:rPr>
        <w:t>المتعینة،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 علی العباد، و عدم إیقاعهم فی الکلفة و الشقة، حفاظا علی بعض الأغراض السیاسیة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یرتضی بواحد منها، و یخیر المکلفین فی ذلک، و لأجله یشتهی الجمع، أو یأمر بذلک أمرا ندبیا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قریب جدا؛ ضرورة أننا فی الخصال نجد أن الشرع یحب کل واحدة، لأنها الخیرات، و لکن لا یأمر إیجابا بالنسبة إلی الکل و إلی جمیع الأطراف؛ لتلک النکتة و العلة، فلو تم البرهان المزبور فلا یتم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المولی من الواجب التخییری، بمنزلة حرارة الماء بالنسبة إلی النار و الحرکة و الشمس و الکهرباء، فإن الحرارة کما تحصل بکل واحد من الأطراف، کذلک غرض المولی یحصل من کل واحد من الأفعال الواجبة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عدم صدور الواحد من الکثیر؟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للکفایة و لأصحابنا الأصولیین أن لا یدخلوا البیوت إلا من بابها، و من کان له حظ من الفلسفة العلیا، ما کان ینبغی له أن یتمسک بتلک القاعدة فی هذه المقامات؛ فإن مصبها و موردها الواحد المتوحد بالوحدة الحقة الحقیقیة الأصلیة، و فی جریانها فی سائر الوحدات البسیطة إشکال، فضلا عن العلل و المعالیل المرکبة، و لا سیما الطبیعیة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حدیث السنخیة بین العلة و المعلول؟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غرض المولی الحرارة التی توجدها النار، فلا یأمر إلا بإیجاد النار، و أما إذا کانت الغایة و الغرض مطلق الحرارة، فلا یأمر إلا بواحد منها علی سبیل التخییر، و حیث نجد الأدلة متکفلة للتخییر، فیعلم أن الغرض واحد بالوحدة النوعیة، دون الشخصیة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برهانه قدس سره لو کان تاما، یستلزم الامتناع الآخر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 الجامع فی الخارج؛ ضرورة أن الحرارة الخارجیة متقومة بالعلة الخارجیة،</w:t>
      </w:r>
      <w:bookmarkStart w:id="31" w:name="pg13163_142804"/>
    </w:p>
    <w:p>
      <w:pPr>
        <w:pStyle w:val="BookText"/>
        <w:rPr/>
      </w:pPr>
      <w:bookmarkEnd w:id="31"/>
      <w:r>
        <w:rPr>
          <w:rFonts w:ascii="IRNazanin" w:hAnsi="IRNazanin" w:eastAsia="IRNazanin"/>
          <w:color w:val="111111"/>
          <w:sz w:val="28"/>
          <w:sz w:val="28"/>
          <w:szCs w:val="28"/>
          <w:rtl w:val="true"/>
          <w:lang w:bidi="fa-IR"/>
        </w:rPr>
        <w:t>و تلک العلة إما النار، أو الکهرباء، أو الجامع بینهما، لا سبیل إلا إلی الثالث، فلا بدّ من خارجیته، و هو واضح البطلان، فیعلم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تلک القاعدة مقام آخر، فافهم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أفهام طلاب الأصول، و غیر راجعة إلی محصل فی الفن، و کفی بذلک شهیدا</w:t>
      </w:r>
      <w:r>
        <w:rPr>
          <w:rFonts w:eastAsia="IRNazanin" w:cs="IRNazanin"/>
          <w:color w:val="111111"/>
          <w:sz w:val="28"/>
          <w:szCs w:val="28"/>
          <w:rtl w:val="true"/>
          <w:lang w:bidi="fa-IR"/>
        </w:rPr>
        <w:t>.</w:t>
      </w:r>
    </w:p>
    <w:p>
      <w:pPr>
        <w:pStyle w:val="Heading6"/>
        <w:numPr>
          <w:ilvl w:val="5"/>
          <w:numId w:val="1"/>
        </w:numPr>
        <w:rPr/>
      </w:pPr>
      <w:bookmarkStart w:id="32" w:name="__RefHeading___Toc533591_3244359995"/>
      <w:bookmarkStart w:id="33" w:name="_Toc13"/>
      <w:bookmarkEnd w:id="32"/>
      <w:r>
        <w:rPr>
          <w:rtl w:val="true"/>
        </w:rPr>
        <w:t>الشبهة الثانیة</w:t>
      </w:r>
      <w:bookmarkEnd w:id="33"/>
    </w:p>
    <w:p>
      <w:pPr>
        <w:pStyle w:val="BookText"/>
        <w:rPr/>
      </w:pPr>
      <w:r>
        <w:rPr>
          <w:rFonts w:ascii="IRNazanin" w:hAnsi="IRNazanin" w:eastAsia="IRNazanin"/>
          <w:color w:val="111111"/>
          <w:sz w:val="28"/>
          <w:sz w:val="28"/>
          <w:szCs w:val="28"/>
          <w:rtl w:val="true"/>
          <w:lang w:bidi="fa-IR"/>
        </w:rPr>
        <w:t xml:space="preserve">أن التخییر مقابل التعیین و التعین، و التعین یساوق التشخص، و التشخص یساوق الوجود، و الوجود یقابل العدم، فیکون التخییر معنی راجعا إلی العدم، و ما کان حقیقته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حقیقة له رأسا، کیف یمکن أن یکون متحققا؟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فالتخییر غیر متحقق، فالوجوب التخییری مستحیل؛ لأن العدم المحض لا شی‌ء محض، و لا یتعلق به الإرادة، و لا البعث و الإیجاب، و لا التصور و الشوق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التخییر تردد، و هذا التردد یباین الوجود؛ لأنه عین التعین، فکیف یعقل تحقق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وعاء من الأوعیة؛ ذهنا کان، أو خارجا، أو کان من قبیل وعاء الاعتبار؛ ضرورة أن الاعتباریات کلها، وجودات لحاظیة اعتباریة لأغراض عقلائیة، و ما هو حقیقته التردد لا یمکن الإشارة إلیه، و لا لحاظه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العجیب، توهم العلامة النائینی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تعلق الإرادة التشریعیة و الآمریة بشی‌ء غیر معین، أو بکل واحد من الأطراف علی سبیل البدلیة، مستدلا بالفرق بین التکوینیة الفاعلیة، و بین التشریعیة الآمریة؛ ضرورة أن التکوینیة لا یمکن تعلقها بالکلی، بخلاف الآمریة، فإنها لا تتعلق إلا بما هو الکلی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حقیقة الإرادة التشریعیة لیست إلا إرادة البعث، و هی تکوینیة کسائر الإرادات، و سبب عدها تشریعیة أنها تعلقت بالبعث و التشریع و التقنین، فإذن کیف یعقل تعلقها بما هو اللاتعین؟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الإرادة بالمراد، و هذا یرجع إلی أن وجودها به علی حذو سائر الأوصاف الإضافیة، و کما لا یعقل تعلق الإرادة الفاعلیة إلا بالمعین، کذلک لا یعقل الأمر فی جانب تلک الإرادة؛ لأنها بالمراد تتشخص و توجد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فی الإرادة الفاعلیة جزئی، و فی الآمریة، کلی </w:t>
      </w:r>
      <w:r>
        <w:rPr>
          <w:rStyle w:val="FootnoteAnchor"/>
          <w:rtl w:val="true"/>
        </w:rPr>
        <w:footnoteReference w:id="8"/>
      </w:r>
      <w:r>
        <w:rPr>
          <w:rFonts w:ascii="IRNazanin" w:hAnsi="IRNazanin" w:eastAsia="IRNazanin"/>
          <w:color w:val="111111"/>
          <w:sz w:val="28"/>
          <w:sz w:val="28"/>
          <w:szCs w:val="28"/>
          <w:rtl w:val="true"/>
          <w:lang w:bidi="fa-IR"/>
        </w:rPr>
        <w:t>، غیر تام؛ فإن المراد فی الآمریة هو البعث نحو الکلی، و هذا أمر جزئی یوجد بالإشارة و بالشفتین، و یکون من قبیل أفعال النّفس، و إن کان لکل واحد من مبادئ هذا البعث أیضا إرادة خاصة، کسائر الأفعال التی تتعلق بها الإرادة، و تکون متقومة بمقدمات و خطوات، فلاحظ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المراد هو بعث الناس إلی المادة، و هو إذا تحقق یکون جزئیا، حذو سائر أفعاله، و ما هو الکلی هو متعلق ذلک البعث؛ حسب المفهوم المعلوم منه للمخاطب، و هو لیس مورد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فی أفق النّفس تعلقت بما هی موجودة فی النّفس، و تکون من صفاتها، فتکون جزئیة خارجیة، و أما کلیتها فباعتبار نفس طبیعة المراد، مع قطع النّظر عن هذا اللحاظ النورانی الساطع علیه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ختام هذه الشبهة تقریب آخر ینشعب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کل موجود إذا صح اتصافه بشی‌ء، فذلک الشی‌ء إما یکون بنفسه خارجیا، أو و إن لم یکن خارجیا، و لکنه ذهنی، و الاتصاف به خارجی، کما فی المعقولات الثانیة علی مصطلحات أرباب الحکمة مثل الوجوب و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القسم الثانی جمیع الأمور الاعتباریة، فإنها عناوین ذهنیة، إلا أن للاعتبار عرضا عریضا، و لأجله یعتبر الشی‌ء فی الخارج من غیر اشتغال الخارج به تکوینا، و ذلک مثل الملکیة و الحریة و الرقیة و غیرها، و مثل الوجوب و الندب التعینیین، فإن الشی‌ء یوصف بالبیاض معینا، و بالوجوب و الإمکان معینا، و بالوجوب و الندب معینا، و لکن لا یوصف بالبیاض التخییری، أو بالملکیة التخییریة، أو الإمکان و الوجوب التخییریین، فکیف یوصف بالوجوب التخییری، و کیف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 و موصوف بالوجوب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فی الاعتباریات ذلک، لصح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موصوف بالملک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مردد بین کونه لزید أو لعمر بالتردید الواقعی، و إلا ففی موارد العلم الإجمالی یتردد المعلوم بالإجمال بین الأطراف، و لکنه لیس ترددا واقعا، بل هو متعین واقعا، و مجهولة بعض خصوصیاته، مثل خصوصیة مقولة الأین فی الخمر، و التردد بین کونها فی هذا الإناء، أو الإناء الآخر، فلعدم الاطلاع علی بعض الخصوصیات، مع الاطلاع علی أصل وجوده فی البین،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المعلوم مردد بین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مثل 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الواجب التخییری یکون الواجب أحد الأطراف معینا</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یقول بذلک یعتقد بعدم وجوب الموافقة القطعیة هنا، و یکفی الموافقة الاحتمالیة،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الأغراض فی الواجبات التخییریة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مختلفة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للمولی أغراض إلزامیة، إلا أن مصلحة التسهیل</w:t>
      </w:r>
    </w:p>
    <w:p>
      <w:pPr>
        <w:pStyle w:val="BookText"/>
        <w:rPr/>
      </w:pPr>
      <w:r>
        <w:rPr>
          <w:rFonts w:ascii="IRNazanin" w:hAnsi="IRNazanin" w:eastAsia="IRNazanin"/>
          <w:color w:val="111111"/>
          <w:sz w:val="28"/>
          <w:sz w:val="28"/>
          <w:szCs w:val="28"/>
          <w:rtl w:val="true"/>
          <w:lang w:bidi="fa-IR"/>
        </w:rPr>
        <w:t xml:space="preserve">تقتضی عدم إیجاب الکل، کما تقدم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الأغراض متضادة غیر قابلة للجمع، و کلها 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غرض وحدانی، و لکنه یحصل بالمحصلات المتعددة، إلا أن لعدم إمکان الإشارة إلیه، أو للأغراض الاخر، أوجب تلک الأسباب و المحصلات، و لا بد من إیجابها تخییرا أیضا، کما هو الواضح، أو لعدم وجود الجامع أحیانا بین المحصلات، و إن کان الغرض الوحدانیّ نفسه الجامع،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المفاهیم الانتزاعیة التی لها المنشأ الخاصّ الخارجی، و یستعار للاستعمال فی الموارد المشابهة لذلک المنشأ، أو یدعی تشابهها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الربط و النسبة من المفاهیم الاسمیة، المنتزعة من المعانی الاسمیة؛ لعدم إمکان انتزاع المفهوم الاسمی من الحقیقة الحرفیة، و لکنه یستعار لإفادة تلک الحقیقة؛ لمشابهتها مع منشأ انتزاع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المعنی الحرفی غیر قابل لأن یخبر عنه، أو یعبر عنه مستقلا؛ لأنه غیره، کما تقرر تفصیل المسألة فی مباحث المعانی الحرفیة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المفاهیم الانتزاعیة عن صفة الاختیار الموجودة لکل إنسان، بل و حیوان، و یستعار لإفادة أن المکلف بالنسبة إلی الأطراف بالاختیار، بخلاف الواجب التعیینی، فإنه کأنه لیس مورد الاختیار، بل هو بالنسبة إلیه خارج عن الاختیار توهما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فی تلک الحالات من الأغراض، یتصور کل طرف، و یشتاق إلی کل طرف، و یرید کل واحد من الأطراف بالإرادة المستقلة، و یبعث إلی</w:t>
      </w:r>
    </w:p>
    <w:p>
      <w:pPr>
        <w:pStyle w:val="BookText"/>
        <w:rPr/>
      </w:pPr>
      <w:r>
        <w:rPr>
          <w:rFonts w:ascii="IRNazanin" w:hAnsi="IRNazanin" w:eastAsia="IRNazanin"/>
          <w:color w:val="111111"/>
          <w:sz w:val="28"/>
          <w:sz w:val="28"/>
          <w:szCs w:val="28"/>
          <w:rtl w:val="true"/>
          <w:lang w:bidi="fa-IR"/>
        </w:rPr>
        <w:t>کل واحد من الأطراف تعیینا فی عالم البعث و الإرادة، فلا تکون إرادة واحدة بالنسبة إلی المردد، بل هناک إرادتان، أو إرادات متعددة، فیرید بها بعث الناس إلی کل طرف، و لکنه لمکان أن الأغراض کانت علی النحو المزبور، فلا بدّ له من إفادة أن العبد مختار بالنسبة إلی کل واحد من الأطراف، و إن کان بالنسبة إلی ترک الکل غیر مختار، و عند ذلک یأتی بکلمة تفید ذلک الاختیار؛ سواء کانت من الحروف، أو کانت من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یتمکن المولی من إفادة الاختیار بعد إیجاب الکل تعیینا؛ فإنه إذا بعث إلی الکل، ثم توجه إلی لزوم مراعاة السهولة و التسهیل، أو توجه إلی أن الغرض لیس من قبیل الأغراض فی التعیینی، فیأتی بالقرینة المنفصلة لإفادة ذلک بجعل العبد بالخیرة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أمر بالاختیار فیکون کل طرف مورد الاختیار و الخیرة؛ بلحاظ الاختیار الثابت للإنسان، و فی مقابل الوجوب التعیینی المخرج عن الاختیار فی عالم الادعاء و التخیل، لا فی الواقع؛ انما قراءة القرآن ما کانَ لِمُؤْمِنٍ وَ لا مُؤْمِنَةٍ إِذا قَضَی اللَّهُ وَ رَسُولُهُ أَمْراً أَنْ یَکُونَ لَهُمُ الْخِیَرَةُ</w:t>
      </w:r>
      <w:r>
        <w:rPr>
          <w:rStyle w:val="FootnoteAnchor"/>
          <w:rtl w:val="true"/>
        </w:rPr>
        <w:footnoteReference w:id="12"/>
      </w:r>
      <w:r>
        <w:rPr>
          <w:rFonts w:ascii="IRNazanin" w:hAnsi="IRNazanin" w:eastAsia="IRNazanin"/>
          <w:color w:val="111111"/>
          <w:sz w:val="28"/>
          <w:sz w:val="28"/>
          <w:szCs w:val="28"/>
          <w:rtl w:val="true"/>
          <w:lang w:bidi="fa-IR"/>
        </w:rPr>
        <w:t>مع أن التکلیف فرع الاختیار، فهذا النفی بلحاظ الوجوب المنافی للاختیار توهما، و لذلک إذا قضی بنحو الواجب التخییری أیضا ما یکون لهم الخیرة بالنسبة إلی ترک الکل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حتی الآن، أن التردد لیس فی جمیع المبادئ، و لا فی التوصیف، بل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الشی‌ء موصوف بالوجوب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موصوف بالوجوب غیر المنافی للاختیار فی عالم الاعتبار و الادعاء، فتوصیف الوجوب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أن العبد بالخیرة بالنسبة إلی ترک هذا الطرف بخصوصه، فافهم و اغتنم</w:t>
      </w:r>
      <w:r>
        <w:rPr>
          <w:rFonts w:eastAsia="IRNazanin" w:cs="IRNazanin"/>
          <w:color w:val="111111"/>
          <w:sz w:val="28"/>
          <w:szCs w:val="28"/>
          <w:rtl w:val="true"/>
          <w:lang w:bidi="fa-IR"/>
        </w:rPr>
        <w:t>.</w:t>
      </w:r>
      <w:bookmarkStart w:id="34" w:name="pg13163_142814"/>
    </w:p>
    <w:p>
      <w:pPr>
        <w:pStyle w:val="Heading6"/>
        <w:numPr>
          <w:ilvl w:val="5"/>
          <w:numId w:val="1"/>
        </w:numPr>
        <w:rPr/>
      </w:pPr>
      <w:bookmarkStart w:id="35" w:name="__RefHeading___Toc533593_3244359995"/>
      <w:bookmarkStart w:id="36" w:name="_Toc14"/>
      <w:bookmarkEnd w:id="34"/>
      <w:bookmarkEnd w:id="35"/>
      <w:r>
        <w:rPr>
          <w:rtl w:val="true"/>
        </w:rPr>
        <w:t>الشبهة الثالثة</w:t>
      </w:r>
      <w:bookmarkEnd w:id="36"/>
    </w:p>
    <w:p>
      <w:pPr>
        <w:pStyle w:val="BookText"/>
        <w:rPr/>
      </w:pPr>
      <w:r>
        <w:rPr>
          <w:rFonts w:ascii="IRNazanin" w:hAnsi="IRNazanin" w:eastAsia="IRNazanin"/>
          <w:color w:val="111111"/>
          <w:sz w:val="28"/>
          <w:sz w:val="28"/>
          <w:szCs w:val="28"/>
          <w:rtl w:val="true"/>
          <w:lang w:bidi="fa-IR"/>
        </w:rPr>
        <w:t>فی کثیر من الواجبات التخییریة، ینتقل ذهن العرف إلی الجامع القریب، و یؤید ذلک ببعض القرائن الموجودة فی الأدلة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 ینتقل الناس إلی أن المولی یرید تکفیر الذنب، و حط الخطیئة، فإذن یتوجه إلی أن ما هو الواجب هو الجامع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المتبادر من الواجبات التخییریة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ذو غرض وحدانی یحصل بتلک المحصلات، فما هو الواجب و المطلوب بالذات، هو الجامع و لو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إفادة مرامه بنحو التخییر؛ فهو إما لأجل عدم وجود اللفظ الواقعی لفهم المرام منه، أو لأجل أن إیجاب الجامع غیر کاف؛ لأنه لا یحصل بمطلق السبب، بل سببه خاص بین الثلاثة و الأربعة مثلا، فلا بدّ من إفادة ذلک السبب الخاصّ، فعلیه تکون الأدلة فی باب إفادة الواجب التخییری، ناظرة إلی ذلک عرفا و إن لا یلزم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یمکن دعوی عقلیته؛ لأن ما هو الواجب النفسیّ التعیینی هو الغرض، دون الأسباب المنتهیة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من هذه الشبهة فی تقسیم الواجب إلی النفسیّ و الغیری، و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للعاقل البصیر الخلط بین مصب الإیجاب، و بین الأغراض، و إلا یلزم انحصار الوجوب النفسیّ بالشی‌ء الواحد البسیط، فلا بدّ من المحافظة علی الأدلة و ظواهرها، کما یحافظ فی الواجبات النفسیّة التعیینیة؛ من غیر فرق بین کونها من ذوات الجوامع القریبة، أو لم تکن منها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تکون الأدلة لأجل اقترانها بالقرائن، ظاهرة فی إفادة ذلک الجامع القریب، و لا سیما فی غیر الواجبات التکلیفیة، کالتخییر فی القصر بین خفاء</w:t>
      </w:r>
      <w:bookmarkStart w:id="37" w:name="pg13163_142816"/>
    </w:p>
    <w:p>
      <w:pPr>
        <w:pStyle w:val="BookText"/>
        <w:rPr/>
      </w:pPr>
      <w:bookmarkEnd w:id="37"/>
      <w:r>
        <w:rPr>
          <w:rFonts w:ascii="IRNazanin" w:hAnsi="IRNazanin" w:eastAsia="IRNazanin"/>
          <w:color w:val="111111"/>
          <w:sz w:val="28"/>
          <w:sz w:val="28"/>
          <w:szCs w:val="28"/>
          <w:rtl w:val="true"/>
          <w:lang w:bidi="fa-IR"/>
        </w:rPr>
        <w:t>الجدران و الأذان،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قربناه فی محله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دلیله ناظرا إلی إفادة بعد معین، و مقدار خاص من البعد عن البلد، و یکون هو السبب للانقلاب، دون الخصوصیات المأخوذة فی الدلیل</w:t>
      </w:r>
      <w:r>
        <w:rPr>
          <w:rFonts w:eastAsia="IRNazanin" w:cs="IRNazanin"/>
          <w:color w:val="111111"/>
          <w:sz w:val="28"/>
          <w:szCs w:val="28"/>
          <w:rtl w:val="true"/>
          <w:lang w:bidi="fa-IR"/>
        </w:rPr>
        <w:t>.</w:t>
      </w:r>
    </w:p>
    <w:p>
      <w:pPr>
        <w:pStyle w:val="Heading6"/>
        <w:numPr>
          <w:ilvl w:val="5"/>
          <w:numId w:val="1"/>
        </w:numPr>
        <w:rPr/>
      </w:pPr>
      <w:bookmarkStart w:id="38" w:name="__RefHeading___Toc533595_3244359995"/>
      <w:bookmarkStart w:id="39" w:name="_Toc15"/>
      <w:bookmarkEnd w:id="38"/>
      <w:r>
        <w:rPr>
          <w:rtl w:val="true"/>
        </w:rPr>
        <w:t>الشبهة الرابعة</w:t>
      </w:r>
      <w:bookmarkEnd w:id="39"/>
    </w:p>
    <w:p>
      <w:pPr>
        <w:pStyle w:val="BookText"/>
        <w:rPr/>
      </w:pPr>
      <w:r>
        <w:rPr>
          <w:rFonts w:ascii="IRNazanin" w:hAnsi="IRNazanin" w:eastAsia="IRNazanin"/>
          <w:color w:val="111111"/>
          <w:sz w:val="28"/>
          <w:sz w:val="28"/>
          <w:szCs w:val="28"/>
          <w:rtl w:val="true"/>
          <w:lang w:bidi="fa-IR"/>
        </w:rPr>
        <w:t>ما مر من الشبهات کان راجعا إلی مقام الجعل و التشریع، و هنا شبهة فی مقام الامتثال المستلزمة للإشکال فی 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مقتضی بناء الفقهاء فی الواجبات التخییریة، جواز الجمع بین الأطراف فی زمان واحد بالضرورة، و علی هذا یتوجه السؤال عما به یتحقق الامتثال؟ و لا یعقل الإهمال الثبوتی، و لا یمکن تعیین أحدها، و لا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فللزوم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الوجوب الواحد یسقط بالواحد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هو المسقط، فهو ممتنع؛ لعدم کونه مورد الأمر، و لا موجودا آخر وراءهما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لا بد من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هو مورد الأمر، و یکون الإتیان بهما موجبا لسقوط الأمر، کما إذا جمع بین المصداقین من الصدقة فیما کانت الصدقة مورد الأمر، فیثبت انتفاء الوجوب التخییری مطلقا، إلا فیما لا یمکن جمعهما عرضا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فیما سبق، أنه فی الواجب التخییری تکون الإرادة و الإیجاب و البعث متعددة؛ حسب تعدد الأطراف </w:t>
      </w:r>
      <w:r>
        <w:rPr>
          <w:rStyle w:val="FootnoteAnchor"/>
          <w:rtl w:val="true"/>
        </w:rPr>
        <w:footnoteReference w:id="15"/>
      </w:r>
      <w:r>
        <w:rPr>
          <w:rFonts w:ascii="IRNazanin" w:hAnsi="IRNazanin" w:eastAsia="IRNazanin"/>
          <w:color w:val="111111"/>
          <w:sz w:val="28"/>
          <w:sz w:val="28"/>
          <w:szCs w:val="28"/>
          <w:rtl w:val="true"/>
          <w:lang w:bidi="fa-IR"/>
        </w:rPr>
        <w:t>، و المفروض جواز اجتماع الأطراف أیضا، فیعلم منه أن الأغراض لیست متضادة، فعلیه یکون الجمع بینها موجبا لتحصیل</w:t>
      </w:r>
      <w:bookmarkStart w:id="40" w:name="pg13163_142818"/>
    </w:p>
    <w:p>
      <w:pPr>
        <w:pStyle w:val="BookText"/>
        <w:rPr/>
      </w:pPr>
      <w:bookmarkEnd w:id="40"/>
      <w:r>
        <w:rPr>
          <w:rFonts w:ascii="IRNazanin" w:hAnsi="IRNazanin" w:eastAsia="IRNazanin"/>
          <w:color w:val="111111"/>
          <w:sz w:val="28"/>
          <w:sz w:val="28"/>
          <w:szCs w:val="28"/>
          <w:rtl w:val="true"/>
          <w:lang w:bidi="fa-IR"/>
        </w:rPr>
        <w:t>جمیع مقاصد المولی المقاصد الإلزامیة، و لا إهمال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ذا غرض واحد، و کان واحدا مرکبا، فیمکن أن یحصل بعض الغرض ببعض منه، و لکن الامتثال حصل فی کل طرف؛ لأن فی کل ناحیة أمرا قد أتی بمتعلقه العبد و المکلف، و یکون ذلک سببا لسقوط ذلک الأمر و إن کان بسیطا و واحدا بالشخص، فتصیر الأطراف متعاضدة فی إیجاده، و متداخلة فی العلیة، کما إذا زهق روح المقتول بضربتین من الشخصین، فإن الإزهاق یستند إلی المعنی الجامع الحاصل من ضربتیهما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اجتماع الأطراف، لا یلزم کون الواجب التخییری واجبا تعیینیا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المتعارف الواقع فی الواجبات التخییریة، هو الفرض الأول؛ و هو تعدد الأغراض حسب تعدد الأطراف، مع وحدة الغرض الأعلی الحاصل بکل طرف، و لا یکون واحدا شخصیا، و إذا تعدد الأمر و الإیجاب و الإرادة یکون الجمع مسقطا بالنسبة إلی الکل، و العبد ممتثلا امتثالا راقیا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لحد الآن؛ أن شبهات الواجب التخییری، لا تورث صرف الأدلة عن ظاهرها، و عما هو مقتضی الأصل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یتوجه بعض شبهات بالنسبة إلی صنف خاص من الوجوب التخییری</w:t>
      </w:r>
      <w:r>
        <w:rPr>
          <w:rFonts w:eastAsia="IRNazanin" w:cs="IRNazanin"/>
          <w:color w:val="111111"/>
          <w:sz w:val="28"/>
          <w:szCs w:val="28"/>
          <w:rtl w:val="true"/>
          <w:lang w:bidi="fa-IR"/>
        </w:rPr>
        <w:t>.</w:t>
      </w:r>
    </w:p>
    <w:p>
      <w:pPr>
        <w:pStyle w:val="Heading5"/>
        <w:numPr>
          <w:ilvl w:val="4"/>
          <w:numId w:val="1"/>
        </w:numPr>
        <w:rPr/>
      </w:pPr>
      <w:bookmarkStart w:id="41" w:name="__RefHeading___Toc533597_3244359995"/>
      <w:bookmarkStart w:id="42" w:name="_Toc16"/>
      <w:bookmarkEnd w:id="41"/>
      <w:r>
        <w:rPr>
          <w:rtl w:val="true"/>
        </w:rPr>
        <w:t>تذییل</w:t>
      </w:r>
      <w:r>
        <w:rPr>
          <w:rtl w:val="true"/>
        </w:rPr>
        <w:t xml:space="preserve">: </w:t>
      </w:r>
      <w:r>
        <w:rPr>
          <w:rtl w:val="true"/>
        </w:rPr>
        <w:t>حول إمکان التخییری بین الأقل و الأکثر و امتناعه</w:t>
      </w:r>
      <w:bookmarkEnd w:id="42"/>
    </w:p>
    <w:p>
      <w:pPr>
        <w:pStyle w:val="Heading6"/>
        <w:numPr>
          <w:ilvl w:val="5"/>
          <w:numId w:val="1"/>
        </w:numPr>
        <w:rPr/>
      </w:pPr>
      <w:bookmarkStart w:id="43" w:name="__RefHeading___Toc533599_3244359995"/>
      <w:bookmarkStart w:id="44" w:name="_Toc17"/>
      <w:bookmarkEnd w:id="43"/>
      <w:r>
        <w:rPr>
          <w:rtl w:val="true"/>
        </w:rPr>
        <w:t>اشارة</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الفراغ من تلک الشبهات الراجعة إلی تصویر الوجوب التخییری مطلقا، یبقی الإشکال فی التخییر بین الأقل و الأکثر؛ و أنه هل یعقل ذلک مطلقا أو لا یعقل مطلقا؟</w:t>
      </w:r>
    </w:p>
    <w:p>
      <w:pPr>
        <w:pStyle w:val="BookText"/>
        <w:rPr/>
      </w:pPr>
      <w:r>
        <w:rPr>
          <w:rFonts w:ascii="IRNazanin" w:hAnsi="IRNazanin" w:eastAsia="IRNazanin"/>
          <w:color w:val="111111"/>
          <w:sz w:val="28"/>
          <w:sz w:val="28"/>
          <w:szCs w:val="28"/>
          <w:rtl w:val="true"/>
          <w:lang w:bidi="fa-IR"/>
        </w:rPr>
        <w:t>أو یعقل التخییر العقلی دون الشرعی؟</w:t>
      </w:r>
    </w:p>
    <w:p>
      <w:pPr>
        <w:pStyle w:val="BookText"/>
        <w:rPr/>
      </w:pPr>
      <w:r>
        <w:rPr>
          <w:rFonts w:ascii="IRNazanin" w:hAnsi="IRNazanin" w:eastAsia="IRNazanin"/>
          <w:color w:val="111111"/>
          <w:sz w:val="28"/>
          <w:sz w:val="28"/>
          <w:szCs w:val="28"/>
          <w:rtl w:val="true"/>
          <w:lang w:bidi="fa-IR"/>
        </w:rPr>
        <w:t>أم لا یتصور التخییر إذا کان الأقل لا بشرط، و یتصور إذا کان بشرط لا؟</w:t>
      </w:r>
    </w:p>
    <w:p>
      <w:pPr>
        <w:pStyle w:val="BookText"/>
        <w:rPr/>
      </w:pPr>
      <w:r>
        <w:rPr>
          <w:rFonts w:ascii="IRNazanin" w:hAnsi="IRNazanin" w:eastAsia="IRNazanin"/>
          <w:color w:val="111111"/>
          <w:sz w:val="28"/>
          <w:sz w:val="28"/>
          <w:szCs w:val="28"/>
          <w:rtl w:val="true"/>
          <w:lang w:bidi="fa-IR"/>
        </w:rPr>
        <w:t>أو یمکن فی الأقل و الأکثر الدفعیین، دون التدریجیین؟</w:t>
      </w:r>
    </w:p>
    <w:p>
      <w:pPr>
        <w:pStyle w:val="BookText"/>
        <w:rPr/>
      </w:pPr>
      <w:r>
        <w:rPr>
          <w:rFonts w:ascii="IRNazanin" w:hAnsi="IRNazanin" w:eastAsia="IRNazanin"/>
          <w:color w:val="111111"/>
          <w:sz w:val="28"/>
          <w:sz w:val="28"/>
          <w:szCs w:val="28"/>
          <w:rtl w:val="true"/>
          <w:lang w:bidi="fa-IR"/>
        </w:rPr>
        <w:t>أم یفصل بین الکم المتصل، و لکم المنفصل، فلا یجوز فی الأول، و یجوز فی الثانی؟</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إدراک العقل أن الإنسان مختار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إشکال فیه، کما یدرک اختیاره فی دوران الأمر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من إدراک التخییر بین الأقل و الأکثر، بل العقل یدرک أن الإنسان مختار فی فعل التسبیحة الواحدة و الثلاث و الخمس و هکذا، و أما المقابلة بین الواحدة و الثلاث فلا معنی له؛ لأن معنی المقابلة هو إمکان ترک أحد المتقابلین، و إتیان الآخر، و هو فی الأقل و الأکثر غیر معقول حتی فی الدفعیّات، فضلا عن التدریجیات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التخییر الشرعی، فبین الأقل بشرط لا و الأکثر فهو بمکان من الإمکان، بل هو واضح؛ لأنه یرجع إلی التخییر بین المتباینین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حیث اعتقد جواز التخییر بین الأقل و الأکثر، و استدل بإمکانه بین الأقل بشرط لا و الأکثر</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إمکانه أکثر الأفاضل، قائلین بخروجه عن محط النزاع </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ذاکرین أن التخییر بین القصر و الإتمام من التخییر بین المتباینین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الأقل بشرط لا، غیر ممکن أن یکون مورد الأمر، حتی یمکن التخییر بینه و بین الأکثر؛ و ذلک لأن الحد أمر عدمی لا واقعیة له، و لا یعقل کونه داخلا فی الغرض، أو مؤثرا فی شی‌ء، و الّذی یقوم به الغرض هو نفس المحدود بوجوده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یکون الزائد مضرا و مانعا، أو غیر لازم، فلا یأمر به أو ینهی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التخییر بین القصر و التمام فی أماکن التخییر، فهو لیس من التخییر فی التکلیف الشرعی؛ ضرورة أن القصر و الإتمام لیسا من الواجبات النفسیّة؛ بمعنی أنه یجب علیه إما القصر، أو الإتمام، بل یجب علیه صلاة الظهر، و إذا کان فی أماکن التخییر یجوز له أن یأتی بالسلام فی التشهد الأول، و یجوز له أن یأتی به فی الثانی، فلا یکون هناک تکلیف نفسی تخییری بالضرورة، حتی یکون من التخییر بین المتباینین، أو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أن هذا الأقل بشرط لا لا یکون مورد الأمر، عدم وجود مثال له فی الفقه، بل فی الفقه یتعین الأقل، و یستحب الأکثر، فالأقل بشرط لا لا تقوم به المصلحة حتی یتوجه إلیه الأمر، فافهم و تدبر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المناقشة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قیود المأمور به یمکن أن تکون عدمیة، بل لا بد منها؛ لأن المانعیة لا تتصور فی الاعتباریات، کما تحرر مرارا</w:t>
      </w:r>
      <w:r>
        <w:rPr>
          <w:rStyle w:val="FootnoteAnchor"/>
          <w:rtl w:val="true"/>
        </w:rPr>
        <w:footnoteReference w:id="19"/>
      </w:r>
      <w:r>
        <w:rPr>
          <w:rFonts w:ascii="IRNazanin" w:hAnsi="IRNazanin" w:eastAsia="IRNazanin"/>
          <w:color w:val="111111"/>
          <w:sz w:val="28"/>
          <w:sz w:val="28"/>
          <w:szCs w:val="28"/>
          <w:rtl w:val="true"/>
          <w:lang w:bidi="fa-IR"/>
        </w:rPr>
        <w:t>، و تفصیله فی مقام آخر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45" w:name="pg13163_142824"/>
    </w:p>
    <w:p>
      <w:pPr>
        <w:pStyle w:val="BookText"/>
        <w:rPr/>
      </w:pPr>
      <w:bookmarkEnd w:id="45"/>
      <w:r>
        <w:rPr>
          <w:rFonts w:ascii="IRNazanin" w:hAnsi="IRNazanin" w:eastAsia="IRNazanin"/>
          <w:color w:val="111111"/>
          <w:sz w:val="28"/>
          <w:sz w:val="28"/>
          <w:szCs w:val="28"/>
          <w:rtl w:val="true"/>
          <w:lang w:bidi="fa-IR"/>
        </w:rPr>
        <w:t>و أما المثال المزبور، فلا یکون من التخییر بین الأقل و الأکثر مطلقا، إلا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القصر و الإتمام من قیود الطبیعة، و تصیر الطبیعة متنوعة بهما، کما تتنوع بالظهریة و العصریة، و نتیجة ذلک کونها من العناوین القصدیة</w:t>
      </w:r>
      <w:r>
        <w:rPr>
          <w:rStyle w:val="FootnoteAnchor"/>
          <w:rtl w:val="true"/>
        </w:rPr>
        <w:footnoteReference w:id="21"/>
      </w:r>
      <w:r>
        <w:rPr>
          <w:rFonts w:ascii="IRNazanin" w:hAnsi="IRNazanin" w:eastAsia="IRNazanin"/>
          <w:color w:val="111111"/>
          <w:sz w:val="28"/>
          <w:sz w:val="28"/>
          <w:szCs w:val="28"/>
          <w:rtl w:val="true"/>
          <w:lang w:bidi="fa-IR"/>
        </w:rPr>
        <w:t xml:space="preserve">، إلا علی ما سلکناه فی محله </w:t>
      </w:r>
      <w:r>
        <w:rPr>
          <w:rStyle w:val="FootnoteAnchor"/>
          <w:rtl w:val="true"/>
        </w:rPr>
        <w:footnoteReference w:id="22"/>
      </w:r>
      <w:r>
        <w:rPr>
          <w:rFonts w:ascii="IRNazanin" w:hAnsi="IRNazanin" w:eastAsia="IRNazanin"/>
          <w:color w:val="111111"/>
          <w:sz w:val="28"/>
          <w:sz w:val="28"/>
          <w:szCs w:val="28"/>
          <w:rtl w:val="true"/>
          <w:lang w:bidi="fa-IR"/>
        </w:rPr>
        <w:t>، فلیتدبر جیدا</w:t>
      </w:r>
      <w:r>
        <w:rPr>
          <w:rFonts w:eastAsia="IRNazanin" w:cs="IRNazanin"/>
          <w:color w:val="111111"/>
          <w:sz w:val="28"/>
          <w:szCs w:val="28"/>
          <w:rtl w:val="true"/>
          <w:lang w:bidi="fa-IR"/>
        </w:rPr>
        <w:t>.</w:t>
      </w:r>
    </w:p>
    <w:p>
      <w:pPr>
        <w:pStyle w:val="Heading6"/>
        <w:numPr>
          <w:ilvl w:val="5"/>
          <w:numId w:val="1"/>
        </w:numPr>
        <w:rPr/>
      </w:pPr>
      <w:bookmarkStart w:id="46" w:name="__RefHeading___Toc533601_3244359995"/>
      <w:bookmarkStart w:id="47" w:name="_Toc18"/>
      <w:bookmarkEnd w:id="46"/>
      <w:r>
        <w:rPr>
          <w:rtl w:val="true"/>
        </w:rPr>
        <w:t>هل یجوز التخییر الشرعی بین الأقل اللابشرط و بین الأکثر؟</w:t>
      </w:r>
      <w:bookmarkEnd w:id="47"/>
    </w:p>
    <w:p>
      <w:pPr>
        <w:pStyle w:val="BookText"/>
        <w:rPr/>
      </w:pPr>
      <w:r>
        <w:rPr>
          <w:rFonts w:ascii="IRNazanin" w:hAnsi="IRNazanin" w:eastAsia="IRNazanin"/>
          <w:color w:val="111111"/>
          <w:sz w:val="28"/>
          <w:sz w:val="28"/>
          <w:szCs w:val="28"/>
          <w:rtl w:val="true"/>
          <w:lang w:bidi="fa-IR"/>
        </w:rPr>
        <w:t>و أما التخییر الشرعی بین الأقل اللابشرط و الأکثر، فالمعروف عنهم امتناعه فی التدریجیات فی الکم المنفصل، کالتسبیحة و التسبیحات، و ظاهرهم أن الامتناع ناشئ من أن النوبة فی مقام الامتثال لا تصل إلی الأکثر؛ لأن بوجود الأقل یحصل الامتثال دائما فی المرحلة السابقة، و ما کان حاله کذلک لا یعقل تصویر التخییر فیه إلا برجوعه إلی وجوب الأقل تعیینیا، و جواز الأکثر أو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الامتثال قهری و إذا أتی بالتسبیحة فقد أتی بأحد الأطراف، فلا معنی لکون الأکثر موجبا للامتثال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 دعوی الامتناع فی مقام الجعل و التشریع بالذات؛ و ذلک لأن إیجاب الشی‌ء الواحد لا یعقل مرتین تأسیسا، و إذا کان الأقل واجبا، و مورد البعث التخییری علی النحو المزبور فی الواجب التخییری، فکیف یعقل البعث الآخر إلی الأکثر الّذی فیه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معنی کون الأقل لا بشرط؛ هو أن الأکثر عبارة عن ذلک الأقل مع إضافة، فیلزم تعین الأقل، و یکون مورد البعث الثانی مرتین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محذور ناشئ من أصل الجعل، و یورث امتناع تعلق الإرادة الثانیة فی</w:t>
      </w:r>
    </w:p>
    <w:p>
      <w:pPr>
        <w:pStyle w:val="BookText"/>
        <w:rPr/>
      </w:pPr>
      <w:r>
        <w:rPr>
          <w:rFonts w:ascii="IRNazanin" w:hAnsi="IRNazanin" w:eastAsia="IRNazanin"/>
          <w:color w:val="111111"/>
          <w:sz w:val="28"/>
          <w:sz w:val="28"/>
          <w:szCs w:val="28"/>
          <w:rtl w:val="true"/>
          <w:lang w:bidi="fa-IR"/>
        </w:rPr>
        <w:t>البعث الثانی التخییری بالأقل، و یلزم تعلقها بالزائد، و یکون الزائد مورد الرخصة من غیر کونه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راجعنا وجداننا نجد فیما إذا نأمر عبدنا بإعطاء زید دینارا، أو دینارا و نصفا، أن ما هو مورد البعث تعیینا هو الدینار، و الزائد مورد الرخصة، و مطلوب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دقیقة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الأقل و الأکثر أیضا یتصوران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عنوان الأکثر عین عنوان الأقل مع الزیادة، کما فی المثال المزبور، و فی مثل التسبیحة و التسبیحات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الأقل و الأکثر متحدین عنوانا، و مختلفین حسب کثرة الأجزاء و قلتها، کما فی الأقل و الأکثر الارتباطیین فی الصلاة و سائر المرکبات الفانیة فیها الأجزاء، فإن الأکثر هی الصلاة، و هکذا الأقل، و لکن الاختلاف بینهما بحسب أن الصلاة فی الأکثر ذات عشرة أجزاء، و فی الأقل تسعة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هکذا، فالإیجاب التخییری المتعلق بالصلاة الکذائیة، أو الصلاة الکذائیة، ممکن بحسب مقام الجعل؛ لأن بین العنوانین فی عالم العنوان تباینا، و لا یلزم أن تتعلق الإرادة الثانیة بعین ما تعلق به الإرادة الأولی، و لکن فی مقام الامتثال یقدم الأقل دائما فی مرحلة الإسقاط، فلا تصل النوبة إلی الثانیة، و عند ذلک لا یمکن أن تترشح الإرادة المسانخة مع الإرادة الأولی فی الکفیة من المولی، و یمتنع ذلک امتناعا بالغیر، لا بالذات، فافهم و تدبر جیدا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من إمکان تصویر کون الامتثال اختیاریا، و أنه لیس من الأمور القهریة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تعرضنا لذلک فی مباحث الإجزاء</w:t>
      </w:r>
      <w:r>
        <w:rPr>
          <w:rStyle w:val="FootnoteAnchor"/>
          <w:rtl w:val="true"/>
        </w:rPr>
        <w:footnoteReference w:id="24"/>
      </w:r>
      <w:r>
        <w:rPr>
          <w:rFonts w:ascii="IRNazanin" w:hAnsi="IRNazanin" w:eastAsia="IRNazanin"/>
          <w:color w:val="111111"/>
          <w:sz w:val="28"/>
          <w:sz w:val="28"/>
          <w:szCs w:val="28"/>
          <w:rtl w:val="true"/>
          <w:lang w:bidi="fa-IR"/>
        </w:rPr>
        <w:t>و عرفت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عقیب الامتثال بمکان من الإمکان، و ذکرنا هناک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الأمر معناه سقوطه عن الباعثیة الإلزامیة، و بقاؤه علی باعثیته الندبیة حسب القرائن الخارجیة، و تفصیله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للشرع اعتبار عدم سقوط الأمر؛ بداعی قیام العبد نحو المصداق الأتم، و یعتبر للمکلف اختیار کون المصداق المأتی به فردا ممتثلا به الأمر، أو عدم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اعتبر المصداق المزبور عدما أو مستحبیا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أخبار الصلاة المعادة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إن شاء جعلها مستحبیا، و إن شاء جعلها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هو بالخیار فی وعاء الاعتبار و الادعاء لأغراض اخر، فلا بدّ أن یکون الامتثال تحت اختیاره، فإن اختار امتثال الأمر التخییری بالأقل فهو، و إن اختار امتثاله بالأکثر فهو مصداق الممتثل به، و یترتب علیه الآثار، و لا نقصد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التخییر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ذلک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حاسبنا حساب الأغراض و التکوین، و حصول الغرض تکوینا بحصول علته و سببه، فلا تخییر بین الأقل و الأکثر، و أما إذا حاسبنا هذا النحو من الحساب، و تذکرنا أن المسألة من الاعتبار القابل للتوسعة و التضییق؛ حسب الأغراض الاخر، فلا بدّ من الالتزام بصحته، و ترتب الآثار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نحتاج إلی القرینة القائمة علیه؛ و هی تکفل نفس الدلیل للتخییر ظاهرا، فإنه ربما یشهد علی أن المولی فی هذا الموقف من الاعتبار، فتدبر و اغتنم، و کن من الشاکرین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أومأنا إلیه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للمکلف اعتبار إفناء الأقل بعد الإتیان به، فیأتی بالزائد وجوبا، و یکون المأتی به جزء المأمور به و الطرف الآخر، و کما صح تبدیل الامتثال عقیب الامتثال بوجه، کذلک التخییر هنا ممکن بهذا المعنی، و نتیجة ذلک لزوم الإتیان بالطرف الآخر وجوبا؛ بناء علی اعتباره، أو جواز ذلک</w:t>
      </w:r>
      <w:r>
        <w:rPr>
          <w:rFonts w:eastAsia="IRNazanin" w:cs="IRNazanin"/>
          <w:color w:val="111111"/>
          <w:sz w:val="28"/>
          <w:szCs w:val="28"/>
          <w:rtl w:val="true"/>
          <w:lang w:bidi="fa-IR"/>
        </w:rPr>
        <w:t>.</w:t>
      </w:r>
      <w:bookmarkStart w:id="48" w:name="pg13163_142829"/>
    </w:p>
    <w:p>
      <w:pPr>
        <w:pStyle w:val="Heading6"/>
        <w:numPr>
          <w:ilvl w:val="5"/>
          <w:numId w:val="1"/>
        </w:numPr>
        <w:rPr/>
      </w:pPr>
      <w:bookmarkStart w:id="49" w:name="__RefHeading___Toc533603_3244359995"/>
      <w:bookmarkStart w:id="50" w:name="_Toc19"/>
      <w:bookmarkEnd w:id="48"/>
      <w:bookmarkEnd w:id="49"/>
      <w:r>
        <w:rPr>
          <w:rtl w:val="true"/>
        </w:rPr>
        <w:t>هل یجوز التخییر الشرعی بین الأقل و الأکثر فی الکم المتصل؟</w:t>
      </w:r>
      <w:bookmarkEnd w:id="50"/>
    </w:p>
    <w:p>
      <w:pPr>
        <w:pStyle w:val="BookText"/>
        <w:rPr/>
      </w:pPr>
      <w:r>
        <w:rPr>
          <w:rFonts w:ascii="IRNazanin" w:hAnsi="IRNazanin" w:eastAsia="IRNazanin"/>
          <w:color w:val="111111"/>
          <w:sz w:val="28"/>
          <w:sz w:val="28"/>
          <w:szCs w:val="28"/>
          <w:rtl w:val="true"/>
          <w:lang w:bidi="fa-IR"/>
        </w:rPr>
        <w:t>و أما التخییر الشرعی بین الأقل و الأکثر فی الکم المتصل کالخط، فقد أجازه سیدنا الأستاذ البروجردی قدس سره مستدلا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التخییر إن کان بین طبیعی الخطّ و الذراعین، فلا یعقل؛ لأن بمجرد تحقق بعض الخطّ یتحقق الطبیعی، فلا یمکن الامتثال بالذراعین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التخییر بین الذراع و الذراعین، فلا یتحقق الذراع بطبیعی الخطّ الممدود السیال حین سیلانه؛ لأن السیلان ینافیه، و هو قبل الانقطاع و فی حال الحرکة بلا تشخص من ناحیة، و یکون مهملا، فلا تحقق للفرد و مصداق الخطّ إلا بعد القطع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إذا وصل العبد فی المثال المزبور إلی الذراع الأول التوهمی، فهو لیس امتثالا؛ لأنه لیس ذراعا واقعا، فلا استحالة فی التخییر بین الأقل و الأکثر</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البیان و التقریب یندفع ما أورد علیه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یتمکن من امتثال الطرف الآخر؛ باستمرار الخطّ إلی الذراعین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سؤال؛ و هو أن المأمور به إما یکون الذراع الأعم من الواحد الواقعی المحدود خارجا، أو یکون الذراع الخارجی المحدود بالحد، فإن کان الأول فقد امتثل به، و إن کان الثانی فهو تخییر بین المتباینین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التخییر بین الذراع علی الفرض الأول، و بین الذراعین؛ من التخییر بین الطبیعی و المصداق الخاصّ، و إذا تحقق الخطّ خارجا، فهو تشخص بعد تحققه فی الخارج بالضرورة، و إهماله من ناحیة لا یضر بوجوده و تشخصه، کما</w:t>
      </w:r>
      <w:bookmarkStart w:id="51" w:name="pg13163_142831"/>
    </w:p>
    <w:p>
      <w:pPr>
        <w:pStyle w:val="BookText"/>
        <w:rPr/>
      </w:pPr>
      <w:bookmarkEnd w:id="51"/>
      <w:r>
        <w:rPr>
          <w:rFonts w:ascii="IRNazanin" w:hAnsi="IRNazanin" w:eastAsia="IRNazanin"/>
          <w:color w:val="111111"/>
          <w:sz w:val="28"/>
          <w:sz w:val="28"/>
          <w:szCs w:val="28"/>
          <w:rtl w:val="true"/>
          <w:lang w:bidi="fa-IR"/>
        </w:rPr>
        <w:t>فی الحرکة فی الکم المتصل بالتنمیة؛ فإن النماء الزائد لا یضر بعد وجود الحرکة الکمیة بالمتشخص و المتحرک فی الکم،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من العجب توهمه أن التخییر بین القصر و الإتمام من الأقل و الأکثر</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منه، و لا من المتباینین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 w:name="__RefHeading___Toc533605_3244359995"/>
      <w:bookmarkStart w:id="53" w:name="_Toc20"/>
      <w:bookmarkEnd w:id="52"/>
      <w:r>
        <w:rPr>
          <w:rtl w:val="true"/>
        </w:rPr>
        <w:t>هل یجوز التخییر الشرعی بین الأقل و الأکثر فی الدفعیّات؟</w:t>
      </w:r>
      <w:bookmarkEnd w:id="53"/>
    </w:p>
    <w:p>
      <w:pPr>
        <w:pStyle w:val="BookText"/>
        <w:rPr/>
      </w:pPr>
      <w:r>
        <w:rPr>
          <w:rFonts w:ascii="IRNazanin" w:hAnsi="IRNazanin" w:eastAsia="IRNazanin"/>
          <w:color w:val="111111"/>
          <w:sz w:val="28"/>
          <w:sz w:val="28"/>
          <w:szCs w:val="28"/>
          <w:rtl w:val="true"/>
          <w:lang w:bidi="fa-IR"/>
        </w:rPr>
        <w:t xml:space="preserve">و أما التخییر الشرعی بین الأقل و الأکثر فی الدفعیّات، ففی جوازه </w:t>
      </w:r>
      <w:r>
        <w:rPr>
          <w:rStyle w:val="FootnoteAnchor"/>
          <w:rtl w:val="true"/>
        </w:rPr>
        <w:footnoteReference w:id="30"/>
      </w:r>
      <w:r>
        <w:rPr>
          <w:rFonts w:ascii="IRNazanin" w:hAnsi="IRNazanin" w:eastAsia="IRNazanin"/>
          <w:color w:val="111111"/>
          <w:sz w:val="28"/>
          <w:sz w:val="28"/>
          <w:szCs w:val="28"/>
          <w:rtl w:val="true"/>
          <w:lang w:bidi="fa-IR"/>
        </w:rPr>
        <w:t xml:space="preserve">، و عدمه </w:t>
      </w:r>
      <w:r>
        <w:rPr>
          <w:rStyle w:val="FootnoteAnchor"/>
          <w:rtl w:val="true"/>
        </w:rPr>
        <w:footnoteReference w:id="31"/>
      </w:r>
      <w:r>
        <w:rPr>
          <w:rFonts w:ascii="IRNazanin" w:hAnsi="IRNazanin" w:eastAsia="IRNazanin"/>
          <w:color w:val="111111"/>
          <w:sz w:val="28"/>
          <w:sz w:val="28"/>
          <w:szCs w:val="28"/>
          <w:rtl w:val="true"/>
          <w:lang w:bidi="fa-IR"/>
        </w:rPr>
        <w:t>، و التفصیل بین أنحاء الأغراض؛ فیجوز إذا کان الغرضان قابلین للاجتماع، و لا یکون اجتماعهما مبغوضا للمولی و إن لم یکن مرادا له؛ فإنه إذا أوجد العبد الأکثر دفعة وجد متعلق الغرضین، و لا یجوز فی سائر الصور، و هذا هو خیار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نظرنا إلی أن الأخذ بظاهر الدلیل ما دام یمکن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 أن من الممکن أحیانا؛ أن لا یکون للمولی غرض وراء ما هو مورد الأمر، و یکون الغرض نفس المأمور به، لا الأمر الآخر الحاصل 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فی ظاهر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واحد من العلماء، أو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المحتمل أن یکون نظر المولی إلی عدم تحقق إکرام الحد المتوسط،</w:t>
      </w:r>
    </w:p>
    <w:p>
      <w:pPr>
        <w:pStyle w:val="BookText"/>
        <w:rPr/>
      </w:pPr>
      <w:r>
        <w:rPr>
          <w:rFonts w:ascii="IRNazanin" w:hAnsi="IRNazanin" w:eastAsia="IRNazanin"/>
          <w:color w:val="111111"/>
          <w:sz w:val="28"/>
          <w:sz w:val="28"/>
          <w:szCs w:val="28"/>
          <w:rtl w:val="true"/>
          <w:lang w:bidi="fa-IR"/>
        </w:rPr>
        <w:t>فلا یجوز التخطی عن الظاهر، و منه یعلم أن الغرض الحاصل من الواحد، غیر الغرض الحاصل من المائة، و لو کان یکفی الواحد فی المائة، لما کان یأمر بهذه الصورة و الشکل من التخییر، فیعلم من ظاهر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للمولی ربما تکون أغراض، و منها غرض التسهیل علی المکلفین، فعند ذلک یکون الأقل بالنسبة إلی الحدود المتوسطة بشرط لا، و بالنسبة إلی الأکثر لا بشرط، و یترتب عند الإتیان بالأکثر الأغراض الملزمة، و یکون مورد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الأمر بضیافة واحد أو اثنین، فیشکل الأمر؛ لأجل أن النّظر لا یمکن أن یکون لنفی الحدود المتوسطة، و حیث إن المفروض کون الأقل لا بشرط، و یکون الغرض یحصل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فهو خارج عن محط النزاع، و مصب النفی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الإقرار بالامتناع؛ ضرورة أن أخذ الزائد من اللغو، لحصوله بذلک الأقل؛ و بضیافة الواحد، فلا یمکن تمشی القصد و إرادة البعث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الزائد علی الواجب یجوز ترکه لا إلی البدل، و لا شی‌ء من الواجب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البدل، و لکن البدل دائما یتقدم علی المبدل منه، فلا معنی لإیجابه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أفاده من التقریب، العلامة الأصفهانی قدس سره </w:t>
      </w:r>
      <w:r>
        <w:rPr>
          <w:rStyle w:val="FootnoteAnchor"/>
          <w:rtl w:val="true"/>
        </w:rPr>
        <w:footnoteReference w:id="33"/>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بالمقدار الزائد ربما یکون لأجل غرض؛ و هو أن العبد فی مقام الامتثال، ربما لا یتمکن إلا من الإتیان بالأقل فی ضمن الأکثر، و لو کان الأقل واجبا فلا یقوم بالامتثال؛ لما یجد فی ذلک حرجا علی نفسه، أو ضررا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المولی بإعطاء زید تخییرا بین نصف الدینار و الدینار، و لا یوجد</w:t>
      </w:r>
    </w:p>
    <w:p>
      <w:pPr>
        <w:pStyle w:val="BookText"/>
        <w:rPr/>
      </w:pPr>
      <w:r>
        <w:rPr>
          <w:rFonts w:ascii="IRNazanin" w:hAnsi="IRNazanin" w:eastAsia="IRNazanin"/>
          <w:color w:val="111111"/>
          <w:sz w:val="28"/>
          <w:sz w:val="28"/>
          <w:szCs w:val="28"/>
          <w:rtl w:val="true"/>
          <w:lang w:bidi="fa-IR"/>
        </w:rPr>
        <w:t>فی الخارج إلا الدینار، فإنه یماطل فی ذلک، و لأجل عدم ابتلائه بالمماطلة یأمر المولی بنحو التخییر، و یکون الأکثر واجبا، فلا یکون البعث إلی الأکثر لغوا و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لیس إلا نفس إعطاء الدینار، أو الدینارین، و لیس وراء ذلک أمر یعد هو الغرض،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صورة الوحدة لا یعقل الأمر بالزائد، و فی صورة المضادة لا یعقل الأمر مطلقا، کما أفاده مد ظله، بل لا غرض للمولی إلا نفس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قربناه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الامتناع الذاتی بحسب مقام الجعل؛ و أن تعلق الإرادتین بشی‌ء واحد محال، و هکذا بالکل و ببعض أجزائه؛ بحیث لا یرجع إلی التباین فی الاعتبار</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فیستحیل التخییر؛ للزوم تعلق الإرادة الموجودة فی طرف بعین ما تعلقت به الإرادة الأخری، فإن الدینار المشترک بین الأطراف واحد، و مع وحدته لا تتعدد الإرادة التأسیسیة، حسبما برهنا علیه فی المواضع العدیدة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الأقل اللا بشرط القائم به الغرض، لا یوجد دائما إلا مع الأکثر، کالقیراط من الألماس، فإنه لا یوجد مثلا ألماس إلا هو أکثر من القیراط، فإن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أن الغرض یحصل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 أن العبد لو تمکن من إعطاء القیراط کان یکفی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دائما یکون الامتثال بالأکثر و الأقل، و لا یجب کون الأقل مورد الأمر التعیینی، إلا إذا کان الأکثر فی عالم العنوانیة و الجعل عین الأقل مع الزیادة، فإنه عندئذ یشکل کما مر</w:t>
      </w:r>
      <w:r>
        <w:rPr>
          <w:rStyle w:val="FootnoteAnchor"/>
          <w:rtl w:val="true"/>
        </w:rPr>
        <w:footnoteReference w:id="36"/>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bookmarkStart w:id="54" w:name="pg13163_142838"/>
    </w:p>
    <w:p>
      <w:pPr>
        <w:pStyle w:val="Heading5"/>
        <w:numPr>
          <w:ilvl w:val="4"/>
          <w:numId w:val="1"/>
        </w:numPr>
        <w:rPr/>
      </w:pPr>
      <w:bookmarkStart w:id="55" w:name="__RefHeading___Toc533607_3244359995"/>
      <w:bookmarkStart w:id="56" w:name="_Toc21"/>
      <w:bookmarkEnd w:id="54"/>
      <w:bookmarkEnd w:id="55"/>
      <w:r>
        <w:rPr>
          <w:rtl w:val="true"/>
        </w:rPr>
        <w:t>تنبیهات</w:t>
      </w:r>
      <w:bookmarkEnd w:id="56"/>
    </w:p>
    <w:p>
      <w:pPr>
        <w:pStyle w:val="Heading6"/>
        <w:numPr>
          <w:ilvl w:val="5"/>
          <w:numId w:val="1"/>
        </w:numPr>
        <w:rPr/>
      </w:pPr>
      <w:bookmarkStart w:id="57" w:name="__RefHeading___Toc533609_3244359995"/>
      <w:bookmarkStart w:id="58" w:name="_Toc22"/>
      <w:bookmarkEnd w:id="57"/>
      <w:r>
        <w:rPr>
          <w:rtl w:val="true"/>
        </w:rPr>
        <w:t>أحدها</w:t>
      </w:r>
      <w:r>
        <w:rPr>
          <w:rtl w:val="true"/>
        </w:rPr>
        <w:t xml:space="preserve">: </w:t>
      </w:r>
      <w:r>
        <w:rPr>
          <w:rtl w:val="true"/>
        </w:rPr>
        <w:t>فی بیان متعلق الواجب التخییری</w:t>
      </w:r>
      <w:bookmarkEnd w:id="58"/>
    </w:p>
    <w:p>
      <w:pPr>
        <w:pStyle w:val="BookText"/>
        <w:rPr/>
      </w:pPr>
      <w:r>
        <w:rPr>
          <w:rFonts w:ascii="IRNazanin" w:hAnsi="IRNazanin" w:eastAsia="IRNazanin"/>
          <w:color w:val="111111"/>
          <w:sz w:val="28"/>
          <w:sz w:val="28"/>
          <w:szCs w:val="28"/>
          <w:rtl w:val="true"/>
          <w:lang w:bidi="fa-IR"/>
        </w:rPr>
        <w:t>عن العلامة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التخییری هو أن یتعلق بکل واحد من الأطراف إرادة ناقصة، و لا توجب هذه الإرادات الناقصة سد جمیع أبواب العدم، بل تسد جمیع الأبواب إلا باب عدمه فی ظرف وجود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قبیل الواجبین أو الواجبات التعلیقیة، فیجب هذا حین ترک الآخر، و بالعکس </w:t>
      </w:r>
      <w:r>
        <w:rPr>
          <w:rStyle w:val="FootnoteAnchor"/>
          <w:rtl w:val="true"/>
        </w:rPr>
        <w:footnoteReference w:id="37"/>
      </w:r>
      <w:r>
        <w:rPr>
          <w:rFonts w:ascii="IRNazanin" w:hAnsi="IRNazanin" w:eastAsia="IRNazanin"/>
          <w:color w:val="111111"/>
          <w:sz w:val="28"/>
          <w:sz w:val="28"/>
          <w:szCs w:val="28"/>
          <w:rtl w:val="true"/>
          <w:lang w:bidi="fa-IR"/>
        </w:rPr>
        <w:t>، انتهی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فرغنا نحن بحمد اللَّه عن بطلان هذا المسلک فی المتزاحمین </w:t>
      </w:r>
      <w:r>
        <w:rPr>
          <w:rStyle w:val="FootnoteAnchor"/>
          <w:rtl w:val="true"/>
        </w:rPr>
        <w:footnoteReference w:id="38"/>
      </w:r>
      <w:r>
        <w:rPr>
          <w:rFonts w:ascii="IRNazanin" w:hAnsi="IRNazanin" w:eastAsia="IRNazanin"/>
          <w:color w:val="111111"/>
          <w:sz w:val="28"/>
          <w:sz w:val="28"/>
          <w:szCs w:val="28"/>
          <w:rtl w:val="true"/>
          <w:lang w:bidi="fa-IR"/>
        </w:rPr>
        <w:t>، و یلزم علیه تعدد العقاب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حین الترک لا یعقل أن یکون مطلقا، و إذا کان موقتا فبمضی وقت طرف یمضی وقت الطرف الآخر أیضا، کما هو الواضح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لزوم کون الجمع بین الأطراف، مضرا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الطرفین أو الأطراف، واجب مشروط بعدم الآخر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بما فیه من تعدد العقاب أولا، و لا یمکن دفعه کما توهم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عدم الآخر لا یمکن أن یلاحظ مطلقا، و إلا لا یحصل شرط وجوب الآخر، و إذا لوحظ الآخر فی زمان خاص، فبمضیه یمضی ظرف الزمان للطرف الآخر، فتدبر جیدا تعرف حقیقة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الإشکال الأخیر یتوجه إلیه أیضا؛ ضرورة أن قضیة الاشتراط عدم اتصاف کل طرف بالوجوب عند الجمع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طرف واجب تعیینا، إلا أنه یسقط بالإتیان بأحد الأطراف؛ لانتفاء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نظیر الواجب التعیینی علی الولی، فإن ذلک یسقط بالتبرع، و هکذا فی مثل الدین و أمثاله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تعدد العقاب عند الترک، و هو غیر مرضی فی الواجبات التخییریة عند کافة 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أقل محذورا من سائر المقالات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هکذا، فلا بدّ من أن تتعلق الإرادة بواحد من الأطراف </w:t>
      </w:r>
      <w:r>
        <w:rPr>
          <w:rStyle w:val="FootnoteAnchor"/>
          <w:rtl w:val="true"/>
        </w:rPr>
        <w:footnoteReference w:id="42"/>
      </w:r>
      <w:r>
        <w:rPr>
          <w:rFonts w:ascii="IRNazanin" w:hAnsi="IRNazanin" w:eastAsia="IRNazanin"/>
          <w:color w:val="111111"/>
          <w:sz w:val="28"/>
          <w:sz w:val="28"/>
          <w:szCs w:val="28"/>
          <w:rtl w:val="true"/>
          <w:lang w:bidi="fa-IR"/>
        </w:rPr>
        <w:t xml:space="preserve">، فی غیر محله؛ لأن المدعی توهم امتناع التخییری، فإذا کان کذلک فعلی المولی أن یرید الأطراف تعیینا حتی یصل إلی مرامه، 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سقوط موضوع التکلیف بإتیان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یمکن دفع شبهة تعدد العقاب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التخییری واجبا تعینیا معلوما عند اللَّه، و هو مجهول لنا، و فی تجهیل ذلک علینا مصلحة مخفیة عنا</w:t>
      </w:r>
      <w:r>
        <w:rPr>
          <w:rStyle w:val="FootnoteAnchor"/>
          <w:rtl w:val="true"/>
        </w:rPr>
        <w:footnoteReference w:id="43"/>
      </w:r>
      <w:r>
        <w:rPr>
          <w:rFonts w:ascii="IRNazanin" w:hAnsi="IRNazanin" w:eastAsia="IRNazanin"/>
          <w:color w:val="111111"/>
          <w:sz w:val="28"/>
          <w:sz w:val="28"/>
          <w:szCs w:val="28"/>
          <w:rtl w:val="true"/>
          <w:lang w:bidi="fa-IR"/>
        </w:rPr>
        <w:t>، و هو من قبیل إمضاء الأمارات المؤدیة إلی خلاف مصالح المولی؛ لمصالح اخر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توهم من الإشکالات علی هذا المسلک </w:t>
      </w:r>
      <w:r>
        <w:rPr>
          <w:rStyle w:val="FootnoteAnchor"/>
          <w:rtl w:val="true"/>
        </w:rPr>
        <w:footnoteReference w:id="44"/>
      </w:r>
      <w:r>
        <w:rPr>
          <w:rFonts w:ascii="IRNazanin" w:hAnsi="IRNazanin" w:eastAsia="IRNazanin"/>
          <w:color w:val="111111"/>
          <w:sz w:val="28"/>
          <w:sz w:val="28"/>
          <w:szCs w:val="28"/>
          <w:rtl w:val="true"/>
          <w:lang w:bidi="fa-IR"/>
        </w:rPr>
        <w:t>، غفلة و ذهول عن هذه الدقیقة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قد أحطت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داعی إلی اختیار هذه المسالک أو ما سبق فی</w:t>
      </w:r>
      <w:bookmarkStart w:id="59" w:name="pg13163_142842"/>
    </w:p>
    <w:p>
      <w:pPr>
        <w:pStyle w:val="BookText"/>
        <w:rPr/>
      </w:pPr>
      <w:bookmarkEnd w:id="59"/>
      <w:r>
        <w:rPr>
          <w:rFonts w:ascii="IRNazanin" w:hAnsi="IRNazanin" w:eastAsia="IRNazanin"/>
          <w:color w:val="111111"/>
          <w:sz w:val="28"/>
          <w:sz w:val="28"/>
          <w:szCs w:val="28"/>
          <w:rtl w:val="true"/>
          <w:lang w:bidi="fa-IR"/>
        </w:rPr>
        <w:t>أصل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لزوم الامتناع العقلی علی القول بالواجب التخییری الّذی هو ظاهر دلیله، و حیث قد تبین إمکانه، أو لم یتم دلیل علی امتناعه، فیتبع ذلک الظاهر، و تسقط هذه المسالک مع ما فیها من المفاسد</w:t>
      </w:r>
      <w:r>
        <w:rPr>
          <w:rFonts w:eastAsia="IRNazanin" w:cs="IRNazanin"/>
          <w:color w:val="111111"/>
          <w:sz w:val="28"/>
          <w:szCs w:val="28"/>
          <w:rtl w:val="true"/>
          <w:lang w:bidi="fa-IR"/>
        </w:rPr>
        <w:t>.</w:t>
      </w:r>
    </w:p>
    <w:p>
      <w:pPr>
        <w:pStyle w:val="Heading6"/>
        <w:numPr>
          <w:ilvl w:val="5"/>
          <w:numId w:val="1"/>
        </w:numPr>
        <w:rPr/>
      </w:pPr>
      <w:bookmarkStart w:id="60" w:name="__RefHeading___Toc533611_3244359995"/>
      <w:bookmarkStart w:id="61" w:name="_Toc23"/>
      <w:bookmarkEnd w:id="60"/>
      <w:r>
        <w:rPr>
          <w:rtl w:val="true"/>
        </w:rPr>
        <w:t>ثانیها</w:t>
      </w:r>
      <w:r>
        <w:rPr>
          <w:rtl w:val="true"/>
        </w:rPr>
        <w:t xml:space="preserve">: </w:t>
      </w:r>
      <w:r>
        <w:rPr>
          <w:rtl w:val="true"/>
        </w:rPr>
        <w:t>فی أن التفصیل هل یقطع الشرکة أم لا؟</w:t>
      </w:r>
      <w:bookmarkEnd w:id="61"/>
    </w:p>
    <w:p>
      <w:pPr>
        <w:pStyle w:val="BookText"/>
        <w:rPr/>
      </w:pPr>
      <w:r>
        <w:rPr>
          <w:rFonts w:ascii="IRNazanin" w:hAnsi="IRNazanin" w:eastAsia="IRNazanin"/>
          <w:color w:val="111111"/>
          <w:sz w:val="28"/>
          <w:sz w:val="28"/>
          <w:szCs w:val="28"/>
          <w:rtl w:val="true"/>
          <w:lang w:bidi="fa-IR"/>
        </w:rPr>
        <w:t>فی موارد التخییر، هل الظاهر من الدلیل هی القضیة المنفصلة الحقیقیة، أم المنفصلة المانعة الخلو، أو تختلف الموارد؛ لاختلاف القرائن و الموضوعات و الشواهد الخارجیة؟</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التفصیل بشکل التخییر و إن لم یکن من التخییر، قاطع للشرکة، أم لا؟</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القاطعیة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الأمرین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یقطع الشرکة بین الأطراف، فیکون کل واحد موضوعا مستقلا؛ بحیث لا یجوز الاشتراک بینهما، فلو اجتمعا فلا یثبت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یقطع شرکة الأجنبی و ما هو لیس من الأطراف، فیکون الحکم ثابتا لأحد المذکورین فی الدلیل دون غیره؛ بحیث یستظهر منه المفهوم عرفا، فینفی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ظاهر فی أن التحلیل یحصل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 الملکیة، فهل یستفاد منه عدم جواز زواج المملوکة؛ لما فیه زائدا علی الملکیة آثار اخر؟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یستفاد منه حصر سبب الحلیة بهما علی سبیل منع الخلو، فلا تصح المتعة؛</w:t>
      </w:r>
    </w:p>
    <w:p>
      <w:pPr>
        <w:pStyle w:val="BookText"/>
        <w:rPr/>
      </w:pPr>
      <w:r>
        <w:rPr>
          <w:rFonts w:ascii="IRNazanin" w:hAnsi="IRNazanin" w:eastAsia="IRNazanin"/>
          <w:color w:val="111111"/>
          <w:sz w:val="28"/>
          <w:sz w:val="28"/>
          <w:szCs w:val="28"/>
          <w:rtl w:val="true"/>
          <w:lang w:bidi="fa-IR"/>
        </w:rPr>
        <w:t xml:space="preserve">بناء علی کونها غیر زوجة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مستأجرات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کما عن أبناء العامة</w:t>
      </w:r>
      <w:r>
        <w:rPr>
          <w:rStyle w:val="FootnoteAnchor"/>
          <w:rtl w:val="true"/>
        </w:rPr>
        <w:footnoteReference w:id="47"/>
      </w:r>
      <w:r>
        <w:rPr>
          <w:rFonts w:ascii="Amiri" w:hAnsi="Amiri" w:eastAsia="Amiri" w:cs="Amiri"/>
          <w:color w:val="111111"/>
          <w:sz w:val="28"/>
          <w:sz w:val="28"/>
          <w:szCs w:val="28"/>
          <w:rtl w:val="true"/>
          <w:lang w:bidi="ar-SA"/>
        </w:rPr>
        <w:t>، فیکون للآیة مثلا مفهوم ناف للغیر و السبب الثالث، مع قطع النّظر عما فی ذیلها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التفصیل الأعم من التخییر فی الواجبات النفسیّة، یقطع الشرکة، أم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المسألة بحسب الثبوت، یمکن أن تکون بحیث لا تجتمع الأغراض، و لو جمع العبد فی مقام الامتثال لأخل بما هو غرض المولی، و یمکن أن تجتمع الأغراض، و لکن الشرع اعتبر التخییر تسهیلا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تفصیله فیما سبق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الموارد تختلف حسب فهم العقلاء و العرف، مثلا فی مورد تحریم إبداء الزینة فی سورة النور</w:t>
      </w:r>
      <w:r>
        <w:rPr>
          <w:rStyle w:val="FootnoteAnchor"/>
          <w:rtl w:val="true"/>
        </w:rPr>
        <w:footnoteReference w:id="50"/>
      </w:r>
      <w:r>
        <w:rPr>
          <w:rFonts w:ascii="IRNazanin" w:hAnsi="IRNazanin" w:eastAsia="IRNazanin"/>
          <w:color w:val="111111"/>
          <w:sz w:val="28"/>
          <w:sz w:val="28"/>
          <w:szCs w:val="28"/>
          <w:rtl w:val="true"/>
          <w:lang w:bidi="fa-IR"/>
        </w:rPr>
        <w:t>، لا شبهة فی أن عند اجتماع أحد العناوین مع عنوان ما مَلَکَتْ أَیْمانُهُنَّ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الحکم، فلو کان المملوک بنی أخواتهن، أو بنی إخوانهن و هکذا، یجوز أن یبدین زینتهن بالضرورة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فی مورد نفی الحرج عن الأکل من بیوتهم، أو بیوت آبائهم، أو ما ملکت أیمانهم، أو صدیقهم </w:t>
      </w:r>
      <w:r>
        <w:rPr>
          <w:rStyle w:val="FootnoteAnchor"/>
          <w:rtl w:val="true"/>
        </w:rPr>
        <w:footnoteReference w:id="51"/>
      </w:r>
      <w:r>
        <w:rPr>
          <w:rFonts w:ascii="IRNazanin" w:hAnsi="IRNazanin" w:eastAsia="IRNazanin"/>
          <w:color w:val="111111"/>
          <w:sz w:val="28"/>
          <w:sz w:val="28"/>
          <w:szCs w:val="28"/>
          <w:rtl w:val="true"/>
          <w:lang w:bidi="fa-IR"/>
        </w:rPr>
        <w:t>، فعند الاجتماع یجوز بالضرورة؛ لأن العرف لا یجد</w:t>
      </w:r>
      <w:bookmarkStart w:id="62" w:name="pg13163_142845"/>
    </w:p>
    <w:p>
      <w:pPr>
        <w:pStyle w:val="BookText"/>
        <w:rPr/>
      </w:pPr>
      <w:bookmarkEnd w:id="62"/>
      <w:r>
        <w:rPr>
          <w:rFonts w:ascii="IRNazanin" w:hAnsi="IRNazanin" w:eastAsia="IRNazanin"/>
          <w:color w:val="111111"/>
          <w:sz w:val="28"/>
          <w:sz w:val="28"/>
          <w:szCs w:val="28"/>
          <w:rtl w:val="true"/>
          <w:lang w:bidi="fa-IR"/>
        </w:rPr>
        <w:t>و لا یفهم من هذا التفصیل تباین الأغراض،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فالبحث یقع فیما إذا لم یکن قرینة واضحة، کالآیة السابقة بالنسبة إلی حال اجتماع العنوانین؛ و أنه یستفاد منها جواز ذلک أم لا، و هکذا بالنسبة إلی نفی الشریک و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الأجنبی بها مع قیام الدلیل الآخر المثبت له مشکل، بل لو کان یستفاد منها ذلک فهو عند عدم قیام الدلیل، و إلا فمعه لا تقاومه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یرجع إلی إنکار المفهوم عرفا بمثله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الناحیة الأولی، فلا تدل الآیة علی عدم جواز نکاح الأمة لسیدها؛ إذا کان مورد غرض عقلائی أو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فی کل مورد وردت، تکون طبعا محفوفة بالقرائن و الخصوصیات، منها یظهر المقصود، و مرام المولی و المتکلم، فعلی هذا لا یمکن استنباط القانون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التفصیل قاطع للشرکة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غیر راجع إلی محصل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المتضمنة لتحریم إبداء الزینة، خالیة فی مقام التفصیل عن ذکر الأخوال و الأعمام، مع أنها مورد الاستثناء بالضرورة</w:t>
      </w:r>
      <w:r>
        <w:rPr>
          <w:rFonts w:eastAsia="IRNazanin" w:cs="IRNazanin"/>
          <w:color w:val="111111"/>
          <w:sz w:val="28"/>
          <w:szCs w:val="28"/>
          <w:rtl w:val="true"/>
          <w:lang w:bidi="fa-IR"/>
        </w:rPr>
        <w:t>.</w:t>
      </w:r>
    </w:p>
    <w:p>
      <w:pPr>
        <w:pStyle w:val="Heading6"/>
        <w:numPr>
          <w:ilvl w:val="5"/>
          <w:numId w:val="1"/>
        </w:numPr>
        <w:rPr/>
      </w:pPr>
      <w:bookmarkStart w:id="63" w:name="__RefHeading___Toc533613_3244359995"/>
      <w:bookmarkStart w:id="64" w:name="_Toc24"/>
      <w:bookmarkEnd w:id="63"/>
      <w:r>
        <w:rPr>
          <w:rtl w:val="true"/>
        </w:rPr>
        <w:t>ثالثها</w:t>
      </w:r>
      <w:r>
        <w:rPr>
          <w:rtl w:val="true"/>
        </w:rPr>
        <w:t xml:space="preserve">: </w:t>
      </w:r>
      <w:r>
        <w:rPr>
          <w:rtl w:val="true"/>
        </w:rPr>
        <w:t>مقتضی الأصول العملیة عند الدوران بین التعیین و التخییر</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أن قضیة الأصول العملیة فی دوران الأمر بین التعیین و التخییر، هی البراءة، أم الاشتغال، أو المسالک فی ذلک مختلفة؟ و قد مر بعض الکلام فی مباحث</w:t>
      </w:r>
    </w:p>
    <w:p>
      <w:pPr>
        <w:pStyle w:val="BookText"/>
        <w:rPr/>
      </w:pPr>
      <w:r>
        <w:rPr>
          <w:rFonts w:ascii="IRNazanin" w:hAnsi="IRNazanin" w:eastAsia="IRNazanin"/>
          <w:color w:val="111111"/>
          <w:sz w:val="28"/>
          <w:sz w:val="28"/>
          <w:szCs w:val="28"/>
          <w:rtl w:val="true"/>
          <w:lang w:bidi="fa-IR"/>
        </w:rPr>
        <w:t xml:space="preserve">الترتب </w:t>
      </w:r>
      <w:r>
        <w:rPr>
          <w:rStyle w:val="FootnoteAnchor"/>
          <w:rtl w:val="true"/>
        </w:rPr>
        <w:footnoteReference w:id="53"/>
      </w:r>
      <w:r>
        <w:rPr>
          <w:rFonts w:ascii="IRNazanin" w:hAnsi="IRNazanin" w:eastAsia="IRNazanin"/>
          <w:color w:val="111111"/>
          <w:sz w:val="28"/>
          <w:sz w:val="28"/>
          <w:szCs w:val="28"/>
          <w:rtl w:val="true"/>
          <w:lang w:bidi="fa-IR"/>
        </w:rPr>
        <w:t>، و سیظهر تحقیقه فی مباحث الاشتغال و البراءة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بأن الوجوب التخییری نوع وجوب یوصف به الشی‌ء خارجا، فالقاعدة تقتضی الاشتغال؛ لرجوع الشک إلی الشک فی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قبیل الوجوب التعلیقی، أو المشروط، أو یرجع إلی الوجوب التعیینی و وجوب الجامع الذاتی، فالقاعدة تقتضی البراءة،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هو عنوان انتزاعی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یشکل إجراء البراءة،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شک فی أن الجمع بین الأطراف یجزئ، أم لا بد من الاکتفاء بأحد لأطراف، لاحتمال التضاد بین الأغراض، فعلی مسلکنا فی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الاقتصار علی إتیان أحد الأطراف؛ لأنه معلوم وجوبه، و أنه واضح کونه مورد الإرادة، و یحتمل عدم سقوط تلک الإرادة و ذلک الوجوب بالانضمام، و لا أصل یحرز به عدم المضادة و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حدیث الرفع رفع المانعیة عن الموجود،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المانعیة لا تتصور إلا برجوعها إلی اشتراط عدم کل طرف بالنسبة إلی الطرف الآخر، و عندئذ تجری البراءة عن القید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بالوجوب المشروط، فلا بدّ من الالتزام بعدم جواز الجمع کلا؛ لأن ترک کل طرف شرط لوجوب الطرف الآخر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هی ثمرة هذا القول و المسلک فی الواجب التخییری، و لا یلتزم به من اختار قطعا جواز الجمع فی بعض الموارد، أو فی کل مورد، بل و رجحانه</w:t>
      </w:r>
      <w:r>
        <w:rPr>
          <w:rFonts w:eastAsia="IRNazanin" w:cs="IRNazanin"/>
          <w:color w:val="111111"/>
          <w:sz w:val="28"/>
          <w:szCs w:val="28"/>
          <w:rtl w:val="true"/>
          <w:lang w:bidi="fa-IR"/>
        </w:rPr>
        <w:t>.</w:t>
      </w:r>
      <w:bookmarkStart w:id="65" w:name="pg13163_142850"/>
    </w:p>
    <w:p>
      <w:pPr>
        <w:pStyle w:val="BookText"/>
        <w:rPr/>
      </w:pPr>
      <w:bookmarkEnd w:id="65"/>
      <w:r>
        <w:rPr>
          <w:rFonts w:ascii="IRNazanin" w:hAnsi="IRNazanin" w:eastAsia="IRNazanin"/>
          <w:color w:val="111111"/>
          <w:sz w:val="28"/>
          <w:sz w:val="28"/>
          <w:szCs w:val="28"/>
          <w:rtl w:val="true"/>
          <w:lang w:bidi="fa-IR"/>
        </w:rPr>
        <w:t>هذا، و القول بالوجوب المعلق أیضا مثله؛ لأنه عند الجمع بینهما لم یتمثل الأمرین، لأن کل واحد واجب عند ترک الآخر،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هو الجامع الذاتی، و الأطراف أسباب و محصلات شرعیة، فجریان البراءة أو الاشتغال مورد الخلاف، و تفصیله فی محله و قد قوینا هناک إمکان التمسک بالبراءة فی المحصلات الشرعیة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إذا کان الواجب هو الجامع الانتزاعی، فالجمع لا یضر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أمر ینتزع عند الاجتماع أیضا، و کون الآخر مضرا و مضادا لا معنی له، فتأمل</w:t>
      </w:r>
      <w:r>
        <w:rPr>
          <w:rFonts w:eastAsia="IRNazanin" w:cs="IRNazanin"/>
          <w:color w:val="111111"/>
          <w:sz w:val="28"/>
          <w:szCs w:val="28"/>
          <w:rtl w:val="true"/>
          <w:lang w:bidi="fa-IR"/>
        </w:rPr>
        <w:t>.</w:t>
      </w:r>
    </w:p>
    <w:p>
      <w:pPr>
        <w:pStyle w:val="Heading6"/>
        <w:numPr>
          <w:ilvl w:val="5"/>
          <w:numId w:val="1"/>
        </w:numPr>
        <w:rPr/>
      </w:pPr>
      <w:bookmarkStart w:id="66" w:name="__RefHeading___Toc533615_3244359995"/>
      <w:bookmarkStart w:id="67" w:name="_Toc25"/>
      <w:bookmarkEnd w:id="66"/>
      <w:r>
        <w:rPr>
          <w:rtl w:val="true"/>
        </w:rPr>
        <w:t>رابعها</w:t>
      </w:r>
      <w:r>
        <w:rPr>
          <w:rtl w:val="true"/>
        </w:rPr>
        <w:t xml:space="preserve">: </w:t>
      </w:r>
      <w:r>
        <w:rPr>
          <w:rtl w:val="true"/>
        </w:rPr>
        <w:t>فی تصویر التخییر عند دوران الأمر بین المحذورین</w:t>
      </w:r>
      <w:bookmarkEnd w:id="67"/>
    </w:p>
    <w:p>
      <w:pPr>
        <w:pStyle w:val="BookText"/>
        <w:rPr/>
      </w:pPr>
      <w:r>
        <w:rPr>
          <w:rFonts w:ascii="IRNazanin" w:hAnsi="IRNazanin" w:eastAsia="IRNazanin"/>
          <w:color w:val="111111"/>
          <w:sz w:val="28"/>
          <w:sz w:val="28"/>
          <w:szCs w:val="28"/>
          <w:rtl w:val="true"/>
          <w:lang w:bidi="fa-IR"/>
        </w:rPr>
        <w:t>هل یمکن تصویر التخییر شرعا أو عقلا فی دوران الأمر بین المحذورین، أو لا؟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التخییر العقلی، فإن کان معناه درک العقل أن العبد و المکلف مختار فی المسألة، فهو واضح إمکانه و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معناه حکمه بذلک، فإن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مولد الحکم بکون التخلف جائزا فلا معنی له، و إلا فلا منع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العقل حاکم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ضرورة أن حقیقة العقل هی القوة المدرکة، و لا سلطنة له حتی یتکفل بالحکم علی شی‌ء، و تفصیله فی مقام آخر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التخییر الشرعی، فهو ممکن و إن کان لازم الحکم عرفا؛ هو أنه لو لا الحکم یجوز التخلف عن مورده؛ و ذلک لأن دلیل إیجاب التخییر، قانون کلی شامل</w:t>
      </w:r>
      <w:bookmarkStart w:id="68" w:name="pg13163_142852"/>
    </w:p>
    <w:p>
      <w:pPr>
        <w:pStyle w:val="BookText"/>
        <w:rPr/>
      </w:pPr>
      <w:bookmarkEnd w:id="68"/>
      <w:r>
        <w:rPr>
          <w:rFonts w:ascii="IRNazanin" w:hAnsi="IRNazanin" w:eastAsia="IRNazanin"/>
          <w:color w:val="111111"/>
          <w:sz w:val="28"/>
          <w:sz w:val="28"/>
          <w:szCs w:val="28"/>
          <w:rtl w:val="true"/>
          <w:lang w:bidi="fa-IR"/>
        </w:rPr>
        <w:t>لجمیع الموارد، و منها مورد دوران الأمر بین المحذورین، و لا بأس بشمول إطلاق القانون لهذا المورد و إن لم یمکن ذلک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التخییر شرعا بدلیل مستقل فی هذه المسألة غیر معقول؛ لامتناع ترشح الإرادة الجاعلیة، و أما إذا کان بدلیل عام فلا منع من ترشح تلک الإرادة؛ علی ما تحرر فی محله، و تبین لأهله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إن لم یکن لازم الحکم ذاک، فالأمر واضح لا غبار علیه، و سیأتی مزید تفصیل فی مباحث البراءة و الاشتغال إن شاء اللَّه تعالی </w:t>
      </w:r>
      <w:r>
        <w:rPr>
          <w:rStyle w:val="FootnoteAnchor"/>
          <w:rtl w:val="true"/>
        </w:rPr>
        <w:footnoteReference w:id="57"/>
      </w:r>
      <w:r>
        <w:rPr>
          <w:rFonts w:ascii="IRNazanin" w:hAnsi="IRNazanin" w:eastAsia="IRNazanin"/>
          <w:color w:val="111111"/>
          <w:sz w:val="28"/>
          <w:sz w:val="28"/>
          <w:szCs w:val="28"/>
          <w:rtl w:val="true"/>
          <w:lang w:bidi="fa-IR"/>
        </w:rPr>
        <w:t xml:space="preserve">، و فی بحث التعادل و الترجیح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 w:name="__RefHeading___Toc533617_3244359995"/>
      <w:bookmarkStart w:id="70" w:name="_Toc26"/>
      <w:bookmarkEnd w:id="69"/>
      <w:r>
        <w:rPr>
          <w:rtl w:val="true"/>
        </w:rPr>
        <w:t>خامسها</w:t>
      </w:r>
      <w:r>
        <w:rPr>
          <w:rtl w:val="true"/>
        </w:rPr>
        <w:t xml:space="preserve">: </w:t>
      </w:r>
      <w:r>
        <w:rPr>
          <w:rtl w:val="true"/>
        </w:rPr>
        <w:t>فی تصویر الحرام التخییری و وقوعه</w:t>
      </w:r>
      <w:bookmarkEnd w:id="70"/>
    </w:p>
    <w:p>
      <w:pPr>
        <w:pStyle w:val="BookText"/>
        <w:rPr/>
      </w:pPr>
      <w:r>
        <w:rPr>
          <w:rFonts w:ascii="IRNazanin" w:hAnsi="IRNazanin" w:eastAsia="IRNazanin"/>
          <w:color w:val="111111"/>
          <w:sz w:val="28"/>
          <w:sz w:val="28"/>
          <w:szCs w:val="28"/>
          <w:rtl w:val="true"/>
          <w:lang w:bidi="fa-IR"/>
        </w:rPr>
        <w:t>فی إمکان تصویر الحرام التخییری، و وقوعه فی الشریعة، و عدمه، و 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صوم المعین من غیر رمضان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 علی الصائم؛ ضرورة أنه بإتیان أحدها یفسد الصوم، و لا یجب علیه الإمساک بعد ذلک، و یحرم علیه إما الأکل، أو الشرب، أو الجماع، أو القی‌ء، و یکون بعضها من المحرم التخییری علی سبیل المنفصلة الحقیقیة؛ لعدم إمکان الجمع بینها، کالأکل و القی‌ء، و یکون بعضها من الحرام التخییری علی سبیل منع الخلو؛ لإمکان الجمع بین الشرب و الجماع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توهمه بعض فضلاء العصر، و لکنه واضح المنع؛ ضرورة أنه فی</w:t>
      </w:r>
    </w:p>
    <w:p>
      <w:pPr>
        <w:pStyle w:val="BookText"/>
        <w:rPr/>
      </w:pPr>
      <w:r>
        <w:rPr>
          <w:rFonts w:ascii="IRNazanin" w:hAnsi="IRNazanin" w:eastAsia="IRNazanin"/>
          <w:color w:val="111111"/>
          <w:sz w:val="28"/>
          <w:sz w:val="28"/>
          <w:szCs w:val="28"/>
          <w:rtl w:val="true"/>
          <w:lang w:bidi="fa-IR"/>
        </w:rPr>
        <w:t>هذه الواقعة یجب الصوم شرعا، و یجب عقلا الامتناع عن مفسداته؛ حتی لا یخل بما هو الواجب علیه، و لو کان یحرم المفسد یلزم تعدد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علی ترک الواجب، و الآخر علی إتیان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فی صورة إمکان الجمع، تکون الأطراف محرمة کلا، و إذا لم تکن محرمة 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المفطرات لیست محرمة مطلقا حراما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بالشی‌ء نهی عن ضده الخاصّ، فإذا کان له الأضداد فکل واحد مورد النهی مستقلا، و یکون ذلک النهی مولویا، فهو من الحرام التخییری إذا کانت الأضداد غیر قابلة للجمع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کل واحد من القیود المزبورة إشکال؛ ضرورة أن الأمر بالشی‌ء لا اقتضاء له، و أنه لو اقتضی فمقتضاه هو النهی عن العنوان الکلی و هو الضد، دون العناوین الذاتیّة، فیکون التخییر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مولویة النهی ممنوعة، أو مورد المناقشة،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مواقع الاضطرار إلی أحد الأطراف لا بعینه، مع کون الأطراف مختلفة النوع تحریما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الغیر و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مع الاضطرار العرفی ارتکاب أحدهما، و یحرم علیه ارتکاب واحد منهما، و مع الاضطرار العقلی یجب المبادرة إلی ارتکاب أحدهما عقلا، و یحرم علیه ارتکاب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هو المجموع باطل؛ لأن المجموع لیس مورد تحریم الشرع بالضرورة، بل المحرم هو أکل مال الغیر، و أکل المیتة، و لا معنی لکون المجموع مورد التحریم الشرعی مطلقا، و إلا یلزم جواز ارتکاب بعض الأطراف حتی فی غیر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المجموع محرما حال الاضطرار بلا وجه و بلا دلیل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واحد من الأطراف حرام مع قطع النّظر عن الاضطرار الطارئ، و بلحاظه</w:t>
      </w:r>
    </w:p>
    <w:p>
      <w:pPr>
        <w:pStyle w:val="BookText"/>
        <w:rPr/>
      </w:pPr>
      <w:r>
        <w:rPr>
          <w:rFonts w:ascii="IRNazanin" w:hAnsi="IRNazanin" w:eastAsia="IRNazanin"/>
          <w:color w:val="111111"/>
          <w:sz w:val="28"/>
          <w:sz w:val="28"/>
          <w:szCs w:val="28"/>
          <w:rtl w:val="true"/>
          <w:lang w:bidi="fa-IR"/>
        </w:rPr>
        <w:t>یجوز أو یجب واحد منهما، و یحرم واحد منهما، و هذا هو التخییر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دلیل کل طرف حرمته الذاتیّة، و إذا قیس إلی دلیلهما دلیل رفع الاضطرار</w:t>
      </w:r>
      <w:r>
        <w:rPr>
          <w:rStyle w:val="FootnoteAnchor"/>
          <w:rtl w:val="true"/>
        </w:rPr>
        <w:footnoteReference w:id="59"/>
      </w:r>
      <w:r>
        <w:rPr>
          <w:rFonts w:ascii="IRNazanin" w:hAnsi="IRNazanin" w:eastAsia="IRNazanin"/>
          <w:color w:val="111111"/>
          <w:sz w:val="28"/>
          <w:sz w:val="28"/>
          <w:szCs w:val="28"/>
          <w:rtl w:val="true"/>
          <w:lang w:bidi="fa-IR"/>
        </w:rPr>
        <w:t xml:space="preserve">، و إباحة ما اضطروا إلیه </w:t>
      </w:r>
      <w:r>
        <w:rPr>
          <w:rStyle w:val="FootnoteAnchor"/>
          <w:rtl w:val="true"/>
        </w:rPr>
        <w:footnoteReference w:id="60"/>
      </w:r>
      <w:r>
        <w:rPr>
          <w:rFonts w:ascii="IRNazanin" w:hAnsi="IRNazanin" w:eastAsia="IRNazanin"/>
          <w:color w:val="111111"/>
          <w:sz w:val="28"/>
          <w:sz w:val="28"/>
          <w:szCs w:val="28"/>
          <w:rtl w:val="true"/>
          <w:lang w:bidi="fa-IR"/>
        </w:rPr>
        <w:t>، تصیر النتیجة الحرام التخییری، و هو حرمة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التخییری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المصداق الأول حراما، و المصداق و الطرف الآخر بعد ارتکاب الطرف الأول حلالا، کما فی 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المصداق الثانی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الأخیر أولی بکونه مثالا من هذه الجهة، فیکون ارتکاب المجموع محرما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حدیث الرفع و أدلة إباحة ما اضطر إلیه ابن آدم فی هذه الصورة، محل الإشکال؛ ضرورة أن ما اضطر إلیه هو الواحد منهما، و هو لیس موضوعا لحکم قابل للرفع، و ما هو موضوع الحکم الشرعی لیس مورد الاضطرار؛ و هو الواحد بعینه، فلا یمکن استفادة التخییر من الشرع، و إن کان هو بالخیار عند الاضطرار العقلی، و یکون الاضطرار عذرا فیما ارتکبه من الحرام الفعلی؛ حسب ما تقرر فی محله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یمکن توهم جریان الأدلة الشرعیة بالنسبة إلی ما یختاره لرفع اضطراره فی علم اللَّه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کون المباح أیضا و المحرم أیضا معینا فلا یلزم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بعد ذلک کله سهل</w:t>
      </w:r>
      <w:r>
        <w:rPr>
          <w:rFonts w:eastAsia="IRNazanin" w:cs="IRNazanin"/>
          <w:color w:val="111111"/>
          <w:sz w:val="28"/>
          <w:szCs w:val="28"/>
          <w:rtl w:val="true"/>
          <w:lang w:bidi="fa-IR"/>
        </w:rPr>
        <w:t>.</w:t>
      </w:r>
      <w:bookmarkStart w:id="71" w:name="pg13163_142858"/>
    </w:p>
    <w:p>
      <w:pPr>
        <w:pStyle w:val="Heading4"/>
        <w:numPr>
          <w:ilvl w:val="3"/>
          <w:numId w:val="1"/>
        </w:numPr>
        <w:rPr/>
      </w:pPr>
      <w:bookmarkStart w:id="72" w:name="__RefHeading___Toc533619_3244359995"/>
      <w:bookmarkStart w:id="73" w:name="_Toc27"/>
      <w:bookmarkEnd w:id="71"/>
      <w:bookmarkEnd w:id="72"/>
      <w:r>
        <w:rPr>
          <w:rtl w:val="true"/>
        </w:rPr>
        <w:t>النحو الثانی فی العینی و الکفائی</w:t>
      </w:r>
      <w:bookmarkEnd w:id="73"/>
    </w:p>
    <w:p>
      <w:pPr>
        <w:pStyle w:val="Heading5"/>
        <w:numPr>
          <w:ilvl w:val="4"/>
          <w:numId w:val="1"/>
        </w:numPr>
        <w:rPr/>
      </w:pPr>
      <w:bookmarkStart w:id="74" w:name="__RefHeading___Toc533621_3244359995"/>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یجب علی کل مکلف صدور الطبیعة منه، أو تجب الطبیعة علی أن تصدر من کل فرد، و من جمیع الآحاد، من غیر ارتباط فی مقام الجعل، و لا فی مقام الامتثال، فعلی کل واحد منهم وجوب، و علی کل واحد امتثال، من غیر سقوط الوجوب بامتثال الآخر، و من غیر کون موضوع الواجب غیر 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مقابله الکفائی، و هو یعلم من انتفاء کل واحد من القیدین؛ أی إذا کان موضوع الوجوب واحدا منهم مرددا منتشرا، أو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المعین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سبیل التخییر، أو الاشتراط و التعلیق، أو کان معروض الوجوب صرف الوجود، و مقابل العدم و ناقضه، أو غیر ذلک، فهو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موضوع الوجوب کل واحد من الأفراد علی سبیل العام الاستغراقی أیضا، و لکن کان متعلق الوجوب نفس الطبیعة و وجودها، من غیر تقیید بصدورها من هذا أو ذاک، بل بالصدور من أی فرد اتفق یتحقق تمام الواجب؛ و هو وجود الطبیعة و نفسها، لا الطبیعة المتقیدة بکونها صادرة من کل أحد، فإنه عند ذلک یحصل الوجوب الکفائی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التقدیر الأول یحصل الفرق من ناحیة الموضوع، و علی الثانی من ناحیة المتعلق، و علی التقدیرین تصیر النتیجة سقوط التکلیف بإتیان</w:t>
      </w:r>
      <w:bookmarkStart w:id="76" w:name="pg13163_142860"/>
    </w:p>
    <w:p>
      <w:pPr>
        <w:pStyle w:val="BookText"/>
        <w:rPr/>
      </w:pPr>
      <w:bookmarkEnd w:id="76"/>
      <w:r>
        <w:rPr>
          <w:rFonts w:ascii="IRNazanin" w:hAnsi="IRNazanin" w:eastAsia="IRNazanin"/>
          <w:color w:val="111111"/>
          <w:sz w:val="28"/>
          <w:sz w:val="28"/>
          <w:szCs w:val="28"/>
          <w:rtl w:val="true"/>
          <w:lang w:bidi="fa-IR"/>
        </w:rPr>
        <w:t>واحد منهم، و إذا انتفی القیدان فیحصل أیضا الوجوب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یتراءی من النزاع بین الأفاضل و الأعلام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الاختلاف بینه و بین العینی، هل هو من الناحیة الأولی، أو الثانیة</w:t>
      </w:r>
      <w:r>
        <w:rPr>
          <w:rStyle w:val="FootnoteAnchor"/>
          <w:rtl w:val="true"/>
        </w:rPr>
        <w:footnoteReference w:id="62"/>
      </w:r>
      <w:r>
        <w:rPr>
          <w:rFonts w:ascii="IRNazanin" w:hAnsi="IRNazanin" w:eastAsia="IRNazanin"/>
          <w:color w:val="111111"/>
          <w:sz w:val="28"/>
          <w:sz w:val="28"/>
          <w:szCs w:val="28"/>
          <w:rtl w:val="true"/>
          <w:lang w:bidi="fa-IR"/>
        </w:rPr>
        <w:t>؟ فی غیر محله؛ لإمکان الالتزام بکونه من الناحیتین، علی تقدیر صحة کل واحد منهما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فلنشر إلی بعض أمور لا بد من التوجه إلیها</w:t>
      </w:r>
      <w:r>
        <w:rPr>
          <w:rFonts w:eastAsia="IRNazanin" w:cs="IRNazanin"/>
          <w:color w:val="111111"/>
          <w:sz w:val="28"/>
          <w:szCs w:val="28"/>
          <w:rtl w:val="true"/>
          <w:lang w:bidi="fa-IR"/>
        </w:rPr>
        <w:t>:</w:t>
      </w:r>
    </w:p>
    <w:p>
      <w:pPr>
        <w:pStyle w:val="Heading5"/>
        <w:numPr>
          <w:ilvl w:val="4"/>
          <w:numId w:val="1"/>
        </w:numPr>
        <w:rPr/>
      </w:pPr>
      <w:bookmarkStart w:id="77" w:name="__RefHeading___Toc533623_3244359995"/>
      <w:bookmarkStart w:id="78" w:name="_Toc29"/>
      <w:bookmarkEnd w:id="77"/>
      <w:r>
        <w:rPr>
          <w:rtl w:val="true"/>
        </w:rPr>
        <w:t>الأمر الأول</w:t>
      </w:r>
      <w:r>
        <w:rPr>
          <w:rtl w:val="true"/>
        </w:rPr>
        <w:t xml:space="preserve">: </w:t>
      </w:r>
      <w:r>
        <w:rPr>
          <w:rtl w:val="true"/>
        </w:rPr>
        <w:t>فی عدم تقوم الکفائی بالمبعوث إلیه</w:t>
      </w:r>
      <w:bookmarkEnd w:id="78"/>
    </w:p>
    <w:p>
      <w:pPr>
        <w:pStyle w:val="BookText"/>
        <w:rPr/>
      </w:pPr>
      <w:r>
        <w:rPr>
          <w:rFonts w:ascii="IRNazanin" w:hAnsi="IRNazanin" w:eastAsia="IRNazanin"/>
          <w:color w:val="111111"/>
          <w:sz w:val="28"/>
          <w:sz w:val="28"/>
          <w:szCs w:val="28"/>
          <w:rtl w:val="true"/>
          <w:lang w:bidi="fa-IR"/>
        </w:rPr>
        <w:t>قد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التکلیف و البعث کما یتقوم بالمبعوث و الباعث، یتقوم بالمبعوث إلیه، و لا یعقل البعث بدون المبعوث إلیه، ففی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 مبعوث، و مبعوث إلیه، من غیر فرق بین المسالک فی حقیقة البعث</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العلامة المحشی قدس سره </w:t>
      </w:r>
      <w:r>
        <w:rPr>
          <w:rStyle w:val="FootnoteAnchor"/>
          <w:rtl w:val="true"/>
        </w:rPr>
        <w:footnoteReference w:id="64"/>
      </w:r>
      <w:r>
        <w:rPr>
          <w:rFonts w:ascii="IRNazanin" w:hAnsi="IRNazanin" w:eastAsia="IRNazanin"/>
          <w:color w:val="111111"/>
          <w:sz w:val="28"/>
          <w:sz w:val="28"/>
          <w:szCs w:val="28"/>
          <w:rtl w:val="true"/>
          <w:lang w:bidi="fa-IR"/>
        </w:rPr>
        <w:t>و للمناقشة فیه مجال؛ ضرورة أن البعث بالهیئة یکون هکذا؛ لتقوم الخطاب بالمخاطب حتی تصورا، و أما إذا اعتبر الشرع مفهوم الوجوب لازم ماهیة طبیعة، و أعلم بذلک بصورة الإخبار،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لازمة و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 عما وراء ذلک، فهو بمکان من الإمکان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ربما تقتضی حشمة المولی أن یأتی مطلوبه بصیغة المجهول، فیعلن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لا بد و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بذلک الإعلان أن له مقاما منیعا بین الأمة؛ بحیث لو اطلعوا علی مرامه تسابقوا إلیه، حتی یقع الزحام و القتال بینهم فی إیفاء مراده، و لأجل هذا لا یصح أن یدعی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المولی طلب منی ذلک</w:t>
      </w:r>
      <w:r>
        <w:rPr>
          <w:rFonts w:eastAsia="IRNazanin" w:cs="IRNazanin"/>
          <w:color w:val="111111"/>
          <w:sz w:val="28"/>
          <w:szCs w:val="28"/>
          <w:rtl w:val="true"/>
          <w:lang w:bidi="fa-IR"/>
        </w:rPr>
        <w:t>».</w:t>
      </w:r>
      <w:bookmarkStart w:id="79" w:name="pg13163_142862"/>
    </w:p>
    <w:p>
      <w:pPr>
        <w:pStyle w:val="BookText"/>
        <w:rPr/>
      </w:pPr>
      <w:bookmarkEnd w:id="79"/>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الأدلة الشرعیة موافقة فی مورد لمثله، فلا نمنع من الالتزام بأنه من الواجب الکفائی نتیجة، و لا موضوع له شرعا و فی الاعتبار، و إن کان بحسب اللب و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قبیل مقدمة الواجب التی لا بد منها عقلا، و لکنها لیست مورد الإیجاب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یصحح هذا إمکان غفلة المولی العرفی عند ما یرید إظهار حشمته عن الموضوع رأسا، و یعتبر وجوب الطبیعة، لا إیجابها حتی یتقوم بمن یجب علیه کما لا یخفی،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الأدلة فی بعض الأحیان ناظرة إلی الموضوع، فلا بدّ و أن نفحص عن موضوعها فما یتراءی منه قدس سره من أنه مع إنکار الموضوع فی الواجب تنحل مشکلة الوجوب الکفائی </w:t>
      </w:r>
      <w:r>
        <w:rPr>
          <w:rStyle w:val="FootnoteAnchor"/>
          <w:rtl w:val="true"/>
        </w:rPr>
        <w:footnoteReference w:id="65"/>
      </w:r>
      <w:r>
        <w:rPr>
          <w:rFonts w:ascii="IRNazanin" w:hAnsi="IRNazanin" w:eastAsia="IRNazanin"/>
          <w:color w:val="111111"/>
          <w:sz w:val="28"/>
          <w:sz w:val="28"/>
          <w:szCs w:val="28"/>
          <w:rtl w:val="true"/>
          <w:lang w:bidi="fa-IR"/>
        </w:rPr>
        <w:t>، فی غیر محله؛ ضرورة أنه مع ظهور الروایة إثباتا فی اعتبار الوجوب علی المکلف، لا بد من حل مشکلته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ورد فی لسان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المجهول، فإنه ظاهر فی أن الشارع فی مقام عدم اعتبار الموضوع، فلا تتوجه المشکلة رأسا حتی نحتاج إلی الحل</w:t>
      </w:r>
      <w:r>
        <w:rPr>
          <w:rFonts w:eastAsia="IRNazanin" w:cs="IRNazanin"/>
          <w:color w:val="111111"/>
          <w:sz w:val="28"/>
          <w:szCs w:val="28"/>
          <w:rtl w:val="true"/>
          <w:lang w:bidi="fa-IR"/>
        </w:rPr>
        <w:t>.</w:t>
      </w:r>
    </w:p>
    <w:p>
      <w:pPr>
        <w:pStyle w:val="Heading5"/>
        <w:numPr>
          <w:ilvl w:val="4"/>
          <w:numId w:val="1"/>
        </w:numPr>
        <w:rPr/>
      </w:pPr>
      <w:bookmarkStart w:id="80" w:name="__RefHeading___Toc533625_3244359995"/>
      <w:bookmarkStart w:id="81" w:name="_Toc30"/>
      <w:bookmarkEnd w:id="80"/>
      <w:r>
        <w:rPr>
          <w:rtl w:val="true"/>
        </w:rPr>
        <w:t>الأمر الثانی</w:t>
      </w:r>
      <w:r>
        <w:rPr>
          <w:rtl w:val="true"/>
        </w:rPr>
        <w:t xml:space="preserve">: </w:t>
      </w:r>
      <w:r>
        <w:rPr>
          <w:rtl w:val="true"/>
        </w:rPr>
        <w:t>فیما یتصور من أقسام الواجب الکفائی</w:t>
      </w:r>
      <w:bookmarkEnd w:id="81"/>
    </w:p>
    <w:p>
      <w:pPr>
        <w:pStyle w:val="BookText"/>
        <w:rPr/>
      </w:pPr>
      <w:r>
        <w:rPr>
          <w:rFonts w:ascii="IRNazanin" w:hAnsi="IRNazanin" w:eastAsia="IRNazanin"/>
          <w:color w:val="111111"/>
          <w:sz w:val="28"/>
          <w:sz w:val="28"/>
          <w:szCs w:val="28"/>
          <w:rtl w:val="true"/>
          <w:lang w:bidi="fa-IR"/>
        </w:rPr>
        <w:t>لا شبهة فی أن الطبائع الممکن وقوعها تحت الأمر و الإیجاب الکفائی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تتکرر، کقتل زید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تتکرر</w:t>
      </w:r>
      <w:r>
        <w:rPr>
          <w:rFonts w:eastAsia="IRNazanin" w:cs="IRNazanin"/>
          <w:color w:val="111111"/>
          <w:sz w:val="28"/>
          <w:szCs w:val="28"/>
          <w:rtl w:val="true"/>
          <w:lang w:bidi="fa-IR"/>
        </w:rPr>
        <w:t>.</w:t>
      </w:r>
      <w:bookmarkStart w:id="82" w:name="pg13163_142864"/>
    </w:p>
    <w:p>
      <w:pPr>
        <w:pStyle w:val="BookText"/>
        <w:rPr/>
      </w:pPr>
      <w:bookmarkEnd w:id="82"/>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مورد الأمر نفس الطبیعة، أو یکون المطلوب فردا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الفرد الآخر مبغوضا، أو یکون متساوی النسبة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المولی بحسب التصور، إما أن یکون أصل الوجود و صرفه، أو نفس الطبیعة، کما أشیر إلیها، و إما یکون متعددا، و لکن لغرض التسهیل اکتفی بالواحد منها؛ و بفرد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 وجوب کون البیت مطافا مثلا، فإنه یمکن أن یکون المطلوب عاما استغراقیا، إلا أنه اکتفی بجماعة عن السائرین؛ تسهیلا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من قبیل غسل المیت و کفنه و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للحکم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لتعدد الأغراض؛ لما أنها مضادة مع غرضه الآخر، بخلاف ما إذا لم یکن للحکم متعلق المتعلق، کالمثال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حسب الثبوت و التصور</w:t>
      </w:r>
      <w:r>
        <w:rPr>
          <w:rFonts w:eastAsia="IRNazanin" w:cs="IRNazanin"/>
          <w:color w:val="111111"/>
          <w:sz w:val="28"/>
          <w:szCs w:val="28"/>
          <w:rtl w:val="true"/>
          <w:lang w:bidi="fa-IR"/>
        </w:rPr>
        <w:t>.</w:t>
      </w:r>
    </w:p>
    <w:p>
      <w:pPr>
        <w:pStyle w:val="Heading5"/>
        <w:numPr>
          <w:ilvl w:val="4"/>
          <w:numId w:val="1"/>
        </w:numPr>
        <w:rPr/>
      </w:pPr>
      <w:bookmarkStart w:id="83" w:name="__RefHeading___Toc533627_3244359995"/>
      <w:bookmarkStart w:id="84" w:name="_Toc31"/>
      <w:bookmarkEnd w:id="83"/>
      <w:r>
        <w:rPr>
          <w:rtl w:val="true"/>
        </w:rPr>
        <w:t>الأمر الثالث</w:t>
      </w:r>
      <w:r>
        <w:rPr>
          <w:rtl w:val="true"/>
        </w:rPr>
        <w:t xml:space="preserve">: </w:t>
      </w:r>
      <w:r>
        <w:rPr>
          <w:rtl w:val="true"/>
        </w:rPr>
        <w:t>فی أنحاء موضوع الوجوب الکفائی</w:t>
      </w:r>
      <w:bookmarkEnd w:id="84"/>
    </w:p>
    <w:p>
      <w:pPr>
        <w:pStyle w:val="BookText"/>
        <w:rPr/>
      </w:pPr>
      <w:r>
        <w:rPr>
          <w:rFonts w:ascii="IRNazanin" w:hAnsi="IRNazanin" w:eastAsia="IRNazanin"/>
          <w:color w:val="111111"/>
          <w:sz w:val="28"/>
          <w:sz w:val="28"/>
          <w:szCs w:val="28"/>
          <w:rtl w:val="true"/>
          <w:lang w:bidi="fa-IR"/>
        </w:rPr>
        <w:t xml:space="preserve">یمکن أن یکون موضوع الوجوب الکفائی و موضوع الوجوب العینی، واحدا بحسب الثبوت، و هکذا یمکن أن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طبیعی المکلف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کون الموضوع صرف وجود المکلف، فهو محل المناقشة، و سیظهر تحقیقه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الصرف لیس قابلا للتکرار عرضا، و لا طولا، و هذا هنا غیر</w:t>
      </w:r>
    </w:p>
    <w:p>
      <w:pPr>
        <w:pStyle w:val="BookText"/>
        <w:rPr/>
      </w:pPr>
      <w:r>
        <w:rPr>
          <w:rFonts w:ascii="IRNazanin" w:hAnsi="IRNazanin" w:eastAsia="IRNazanin"/>
          <w:color w:val="111111"/>
          <w:sz w:val="28"/>
          <w:sz w:val="28"/>
          <w:szCs w:val="28"/>
          <w:rtl w:val="true"/>
          <w:lang w:bidi="fa-IR"/>
        </w:rPr>
        <w:t xml:space="preserve">متصور، و إمکان اعتباره لا یخلو من مناقشة تأتی إن شاء اللَّه تعالی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عنوان آخر شبیه ذلک، فهو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لا یعقل کون الوجوب بنحو المشروط و المعلق، کما مر فی الوجوب التخییری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یعقل کونه بنحو الواجب التخییری؛ بمعنی أن یعتبر وجوب الغسل علی زید، أو علی عمرو، فیلزم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الآحاد لأداء الفریضة؛ حتی لا یخل بمطلوب المولی، و إلا فیستحق الکل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دعاو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إمکانها؛ فلأن الإیجاب علی الکل بنحو العموم الاستغراقی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بغرض صدور الطبیعة من کل واحد، و هذا محال، مع عدم إمکانه ثبوتا أو عدم کونه مطلوبه إثباتا، و هکذا مع فرض مبغوضیته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لأجل أن المولی یری إمکان تخلف العباد عن مرامه و طلبه، و لأجل مثله یتمکن من ترشیح الإرادة الجدیة بالنسبة إلی بعث الناس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 مراجعة الوجدان من الواضحات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إذا کان الفرد الثانی مبغوضا، فلا بدّ من إعلام ذلک بإحدی الدلالات الممکنة، و لا یلزم منه کون الإیجاب العمومی غیر ممکن،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یظهر من المتأخرین </w:t>
      </w:r>
      <w:r>
        <w:rPr>
          <w:rStyle w:val="FootnoteAnchor"/>
          <w:rtl w:val="true"/>
        </w:rPr>
        <w:footnoteReference w:id="68"/>
      </w:r>
      <w:r>
        <w:rPr>
          <w:rFonts w:ascii="IRNazanin" w:hAnsi="IRNazanin" w:eastAsia="IRNazanin"/>
          <w:color w:val="111111"/>
          <w:sz w:val="28"/>
          <w:sz w:val="28"/>
          <w:szCs w:val="28"/>
          <w:rtl w:val="true"/>
          <w:lang w:bidi="fa-IR"/>
        </w:rPr>
        <w:t>، حتی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من إنکار إمکان ذلک، غیر موافق للتحصیل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القتل من کل واحد مع قطع النّظر عن الآخر، ممکن مقدور، و علی هذا یصح إیجابه علی کل واحد مع قطع النّظر عن الآخر؛ بداعی وصوله إلی مرامه و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إمکان التوصل إلی مرامه بإیجابه علی الواحد، لا یصحح امتناع الإیجاب علی العموم استغراقا،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صدور القتل مثلا من کل واحد فی عرض الآخر، یستلزم امتناع إیجابه عرضا، فلا بدّ من إیجابه علی البدل؛ لإمکانه علی البدل، لا یفید شیئا؛ لأن الصدور من کل واحد مع قطع النّظر عن الآخر، یصحح الإیجاب العمومی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یعقل أن یطلب المولی من المجموع التصدی للقتل؛ بحیث یصدر القتل من کل واحد اعتبر فی المجموع، لا بنحو یکون کل واحد جزء من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ما نسب إلی المشهور</w:t>
      </w:r>
      <w:r>
        <w:rPr>
          <w:rStyle w:val="FootnoteAnchor"/>
          <w:rtl w:val="true"/>
        </w:rPr>
        <w:footnoteReference w:id="70"/>
      </w:r>
      <w:r>
        <w:rPr>
          <w:rFonts w:ascii="IRNazanin" w:hAnsi="IRNazanin" w:eastAsia="IRNazanin"/>
          <w:color w:val="111111"/>
          <w:sz w:val="28"/>
          <w:sz w:val="28"/>
          <w:szCs w:val="28"/>
          <w:rtl w:val="true"/>
          <w:lang w:bidi="fa-IR"/>
        </w:rPr>
        <w:t>متین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إمکانه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العنوان الانتزاعی، لا یکون قابلا للبعث و الإیجاب </w:t>
      </w:r>
      <w:r>
        <w:rPr>
          <w:rStyle w:val="FootnoteAnchor"/>
          <w:rtl w:val="true"/>
        </w:rPr>
        <w:footnoteReference w:id="71"/>
      </w:r>
      <w:r>
        <w:rPr>
          <w:rFonts w:ascii="IRNazanin" w:hAnsi="IRNazanin" w:eastAsia="IRNazanin"/>
          <w:color w:val="111111"/>
          <w:sz w:val="28"/>
          <w:sz w:val="28"/>
          <w:szCs w:val="28"/>
          <w:rtl w:val="true"/>
          <w:lang w:bidi="fa-IR"/>
        </w:rPr>
        <w:t>، فی محله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منشأ الانتزاع تکفی لکونه مورد الإنشاء و الإیجاب،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إمکانه علی عنوان طبیعی المکلف، فهو أیضا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یرجع إلی الاستغراقی </w:t>
      </w:r>
      <w:r>
        <w:rPr>
          <w:rStyle w:val="FootnoteAnchor"/>
          <w:rtl w:val="true"/>
        </w:rPr>
        <w:footnoteReference w:id="72"/>
      </w:r>
      <w:r>
        <w:rPr>
          <w:rFonts w:ascii="IRNazanin" w:hAnsi="IRNazanin" w:eastAsia="IRNazanin"/>
          <w:color w:val="111111"/>
          <w:sz w:val="28"/>
          <w:sz w:val="28"/>
          <w:szCs w:val="28"/>
          <w:rtl w:val="true"/>
          <w:lang w:bidi="fa-IR"/>
        </w:rPr>
        <w:t>خال عن التحصیل؛ ضرورة أن الطبیعة تتحقق بأول مصداق، و سریانها إذا کان مطلوبا یحتاج إلی اللحاظ الزائد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الموضوع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فیه</w:t>
      </w:r>
    </w:p>
    <w:p>
      <w:pPr>
        <w:pStyle w:val="BookText"/>
        <w:rPr/>
      </w:pPr>
      <w:r>
        <w:rPr>
          <w:rFonts w:ascii="IRNazanin" w:hAnsi="IRNazanin" w:eastAsia="IRNazanin"/>
          <w:color w:val="111111"/>
          <w:sz w:val="28"/>
          <w:sz w:val="28"/>
          <w:szCs w:val="28"/>
          <w:rtl w:val="true"/>
          <w:lang w:bidi="fa-IR"/>
        </w:rPr>
        <w:t>ذاتا، إلا أنه لا محصل له؛ ضرورة أنه یرجع إلی لزوم اشتراک الکل فی الإصدار و الإیجاد، و هذا واضح بطلانه فی الکفائی، و لا یکون من الکفائی رأسا؛ لعدم سقوط التکلیف بفعل البعض، فعد مثله من المحتملات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کلماتهم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من التخیل الناشئ عن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أن إیجاب شی‌ء مشروطا بترک الآخر من غیر توقیت، یؤدی إلی إهمال التکلیف؛ لأنه لا یتحقق الشرط</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یکفی الترک آنا ما، یلزم وجوبه الفعلی المنجز علی الکل، و هذا واضح المنع؛ لامتناع صدور صرف الطبیعة من الکثیر، أو المبغوضیة الفرد الآخر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برجوع المسألة إلی الإیجاب الاستغراقی علی الوجه المزبور، و هو صحیح، إلا أنه لا حاجة إلی تبعید المسافة،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اعتبر بنحو الوجوب المعلق؛ أی یجب علی زید عند ترک عمرو و هکذا،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التخییر الشرعی؛ فإن الواجب التخییری بهذا النحو و إن لا یستدعی التکلیف بعث المجموع نحو العمل، إلا أن المکلف الملتفت إذا توجه إلی مثله یبادر؛ حتی لا یلزم الإخلال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الإشکال فی الوجوب التخییری، مندفع بما مر فی الواجب التخییری بتفصیل لا مزید علیه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تعیین الموضوع للوجوب الکفائی، أو أصل الحاجة إلیه فیه، غیر مرضی، بل المسألة تدور مدار الأدلة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اقتضی أحیانا دلیل</w:t>
      </w:r>
      <w:bookmarkStart w:id="85" w:name="pg13163_142872"/>
    </w:p>
    <w:p>
      <w:pPr>
        <w:pStyle w:val="BookText"/>
        <w:rPr/>
      </w:pPr>
      <w:bookmarkEnd w:id="85"/>
      <w:r>
        <w:rPr>
          <w:rFonts w:ascii="IRNazanin" w:hAnsi="IRNazanin" w:eastAsia="IRNazanin"/>
          <w:color w:val="111111"/>
          <w:sz w:val="28"/>
          <w:sz w:val="28"/>
          <w:szCs w:val="28"/>
          <w:rtl w:val="true"/>
          <w:lang w:bidi="fa-IR"/>
        </w:rPr>
        <w:t>بعض الصور الممتنعة، فلا بدّ من الأخذ بما هو الأقرب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تری فی کتب القوم؛ من ذهاب بعض إلی أن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طبیعی المکلف، أو کذا و کذا، فهو نزاع باطل؛ لإمکان الالتزام بالکل ثبوتا، فلا بدّ من المراجعة إلی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واحد معین عند اللَّه، و یسقط الفعل بإتیان المتبرعین، فهو غیر ممنوع ثبوتا، کما فی قضاء الولی عن الوالد، إلا أنه معناه عدم صحة عقاب الآخرین، و هو خلف؛ ضرورة أن المقصود تصویر الوجوب الکفائی الملازم للآثار الخاصة؛ من تعدد العقاب، و سقوط التکلیف بفعل واحد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من اعتبر أن موضوعه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أنکر الکفائی من غیر استشعار؛ لأنه مع کون الموضوع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العینی، لا الکفائی کما لا یخفی،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الکفائیة حقیقة من خصوصیات مقام الامتثال، دون الجعل؛ فإن العینی و الکفائی بحسب الجعل متحدان، و بحسب الامتثال مختلفان، و إذا کان مورد التکلیف علی نحو ینعدم موضوعه بإتیان بعض، فیسقط التکلیف قهرا و طبعا، و یعد هذا کفائیا،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الإتیان بالتمام فی موضع القصر، فإن التکلیف متوجه بالنسبة إلی القصر واقعا، و لکن فی مقام الامتثال ینتفی موضوعه بإیجاد التمام فی موضعه</w:t>
      </w:r>
      <w:r>
        <w:rPr>
          <w:rFonts w:eastAsia="IRNazanin" w:cs="IRNazanin"/>
          <w:color w:val="111111"/>
          <w:sz w:val="28"/>
          <w:szCs w:val="28"/>
          <w:rtl w:val="true"/>
          <w:lang w:bidi="fa-IR"/>
        </w:rPr>
        <w:t>.</w:t>
      </w:r>
    </w:p>
    <w:p>
      <w:pPr>
        <w:pStyle w:val="Heading5"/>
        <w:numPr>
          <w:ilvl w:val="4"/>
          <w:numId w:val="1"/>
        </w:numPr>
        <w:rPr/>
      </w:pPr>
      <w:bookmarkStart w:id="86" w:name="__RefHeading___Toc533629_3244359995"/>
      <w:bookmarkStart w:id="87" w:name="_Toc32"/>
      <w:bookmarkEnd w:id="86"/>
      <w:r>
        <w:rPr>
          <w:rtl w:val="true"/>
        </w:rPr>
        <w:t>إعادة و إفادة</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فی ابتداء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إذا کان مورده نفس الطبیعة، فهو یسقط</w:t>
      </w:r>
    </w:p>
    <w:p>
      <w:pPr>
        <w:pStyle w:val="BookText"/>
        <w:rPr/>
      </w:pPr>
      <w:r>
        <w:rPr>
          <w:rFonts w:ascii="IRNazanin" w:hAnsi="IRNazanin" w:eastAsia="IRNazanin"/>
          <w:color w:val="111111"/>
          <w:sz w:val="28"/>
          <w:sz w:val="28"/>
          <w:szCs w:val="28"/>
          <w:rtl w:val="true"/>
          <w:lang w:bidi="fa-IR"/>
        </w:rPr>
        <w:t xml:space="preserve">عن الکل بإتیانها؛ لأنه مقتضی کون المکلف به نفس الطبیعة، بخلاف ما إذا کان المکلف به صدور الطبیعة من کل أحد، فإنه من العموم الاستغراقی المستتبع للوجوب العینی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سیدنا الأستاذ البروجردی قدس سره </w:t>
      </w:r>
      <w:r>
        <w:rPr>
          <w:rStyle w:val="FootnoteAnchor"/>
          <w:rtl w:val="true"/>
        </w:rPr>
        <w:footnoteReference w:id="78"/>
      </w:r>
      <w:r>
        <w:rPr>
          <w:rFonts w:ascii="IRNazanin" w:hAnsi="IRNazanin" w:eastAsia="IRNazanin"/>
          <w:color w:val="111111"/>
          <w:sz w:val="28"/>
          <w:sz w:val="28"/>
          <w:szCs w:val="28"/>
          <w:rtl w:val="true"/>
          <w:lang w:bidi="fa-IR"/>
        </w:rPr>
        <w:t>و نظره إلی أن متعلق الوجوب إذا کان نفس الطبیعة، فلا بدّ و أن یسقط التکلیف عن الکل؛ لما أنه فی إتیان واحد بها قد حصل تمام ما هو مورد الأمر، و لا یبقی الموضوع حتی یبقی سائر الأوامر الانحلالیة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 من الإشکالات؛ ما مر حلها فی إمکان توجیه التکلیف العمومی الاستغراقی، مع کون المأمور به غیر قابل للتکرار طولا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بینه و بین کون المأمور به صرف الوجود؛ یحصل فی مسألة جواز الإتیان بالأفراد الکثیرة عرضا، فإنه علی الأول یصح، و علی الثانی لا یصح؛ لأن الصرف لا یقبل التکرار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تصویر کون الموضوع صرف الوجود؛ لأنه بحسب التکوین قابل للتکرار، و بحسب الاعتبار یکون عنوان صرف الوجود، من الطبیعة القابلة للتکرار عرضا، کسائر المفاهیم، فما هو لیس بقابل للتکرار، حقیقة خارجیة تکون صرف الوجود، و أما مفهوم صرف الوجود، فهو یصدق علی کل واحد من الأفراد العرضیة؛ لأن الفرد الخارجی لا یکون صرفا واقعا، و الصرفیة الاعتباریة تجتمع مع کل واحد من الأفراد العرضیة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المفهوم أرید منه إفادة هذا المعنی و المقصود؛ و هو</w:t>
      </w:r>
      <w:bookmarkStart w:id="88" w:name="pg13163_142876"/>
    </w:p>
    <w:p>
      <w:pPr>
        <w:pStyle w:val="BookText"/>
        <w:rPr/>
      </w:pPr>
      <w:bookmarkEnd w:id="88"/>
      <w:r>
        <w:rPr>
          <w:rFonts w:ascii="IRNazanin" w:hAnsi="IRNazanin" w:eastAsia="IRNazanin"/>
          <w:color w:val="111111"/>
          <w:sz w:val="28"/>
          <w:sz w:val="28"/>
          <w:szCs w:val="28"/>
          <w:rtl w:val="true"/>
          <w:lang w:bidi="fa-IR"/>
        </w:rPr>
        <w:t>أن یکون الشی‌ء واجبا علی الکل، و ساقطا عنهم بأحد من المصادیق من غیر اصطحابه بغیره عرضا، مقابل الطبیعی،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العمومات الواردة تکون متعلقة بالطبائع، من غیر دال فیها علی تکثیر الطبیعة بحسب صدورها من کل واحد، فیلزم کون الأصل عند الإطلاق کفائیا</w:t>
      </w:r>
      <w:r>
        <w:rPr>
          <w:rStyle w:val="FootnoteAnchor"/>
          <w:rtl w:val="true"/>
        </w:rPr>
        <w:footnoteReference w:id="80"/>
      </w:r>
      <w:r>
        <w:rPr>
          <w:rFonts w:ascii="IRNazanin" w:hAnsi="IRNazanin" w:eastAsia="IRNazanin"/>
          <w:color w:val="111111"/>
          <w:sz w:val="28"/>
          <w:sz w:val="28"/>
          <w:szCs w:val="28"/>
          <w:rtl w:val="true"/>
          <w:lang w:bidi="fa-IR"/>
        </w:rPr>
        <w:t xml:space="preserve">، مع أن المعروف عنهم أن الأصل عند الإطلاق هو العینی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کذلک، إلا أن توجیه الخطاب إلی المکلف یقتضی صدوره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العینی و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لحاظ المتعلق، و بحسب الإثبات عند الإطلاق إحدی الکیفیتین؛ و هو العینی، لا الکفائی</w:t>
      </w:r>
      <w:r>
        <w:rPr>
          <w:rFonts w:eastAsia="IRNazanin" w:cs="IRNazanin"/>
          <w:color w:val="111111"/>
          <w:sz w:val="28"/>
          <w:szCs w:val="28"/>
          <w:rtl w:val="true"/>
          <w:lang w:bidi="fa-IR"/>
        </w:rPr>
        <w:t>.</w:t>
      </w:r>
    </w:p>
    <w:p>
      <w:pPr>
        <w:pStyle w:val="Heading5"/>
        <w:numPr>
          <w:ilvl w:val="4"/>
          <w:numId w:val="1"/>
        </w:numPr>
        <w:rPr/>
      </w:pPr>
      <w:bookmarkStart w:id="89" w:name="__RefHeading___Toc533631_3244359995"/>
      <w:bookmarkStart w:id="90" w:name="_Toc33"/>
      <w:bookmarkEnd w:id="89"/>
      <w:r>
        <w:rPr>
          <w:rtl w:val="true"/>
        </w:rPr>
        <w:t>فذلکة الکلام</w:t>
      </w:r>
      <w:bookmarkEnd w:id="90"/>
    </w:p>
    <w:p>
      <w:pPr>
        <w:pStyle w:val="BookText"/>
        <w:rPr/>
      </w:pPr>
      <w:r>
        <w:rPr>
          <w:rFonts w:ascii="IRNazanin" w:hAnsi="IRNazanin" w:eastAsia="IRNazanin"/>
          <w:color w:val="111111"/>
          <w:sz w:val="28"/>
          <w:sz w:val="28"/>
          <w:szCs w:val="28"/>
          <w:rtl w:val="true"/>
          <w:lang w:bidi="fa-IR"/>
        </w:rPr>
        <w:t xml:space="preserve">إن ما تعارف بین المتأخرین من الخلاف فی موضوع الوجوب الکفائی </w:t>
      </w:r>
      <w:r>
        <w:rPr>
          <w:rStyle w:val="FootnoteAnchor"/>
          <w:rtl w:val="true"/>
        </w:rPr>
        <w:footnoteReference w:id="82"/>
      </w:r>
      <w:r>
        <w:rPr>
          <w:rFonts w:ascii="IRNazanin" w:hAnsi="IRNazanin" w:eastAsia="IRNazanin"/>
          <w:color w:val="111111"/>
          <w:sz w:val="28"/>
          <w:sz w:val="28"/>
          <w:szCs w:val="28"/>
          <w:rtl w:val="true"/>
          <w:lang w:bidi="fa-IR"/>
        </w:rPr>
        <w:t>، غیر موافق للتحصیل؛ لأن کثیرا من المتصورات یمکن کونها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مضی إمکان إنکار الموضوع للکفائی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بد من مراجعة الأدلة، و ما یساعده ظواهرها، و لعل ما نسب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إیجابه علی الکل استغراقا</w:t>
      </w:r>
      <w:r>
        <w:rPr>
          <w:rStyle w:val="FootnoteAnchor"/>
          <w:rtl w:val="true"/>
        </w:rPr>
        <w:footnoteReference w:id="84"/>
      </w:r>
      <w:r>
        <w:rPr>
          <w:rFonts w:ascii="IRNazanin" w:hAnsi="IRNazanin" w:eastAsia="IRNazanin"/>
          <w:color w:val="111111"/>
          <w:sz w:val="28"/>
          <w:sz w:val="28"/>
          <w:szCs w:val="28"/>
          <w:rtl w:val="true"/>
          <w:lang w:bidi="fa-IR"/>
        </w:rPr>
        <w:t>، أقرب إلی الظواهر؛ لأن بناء الشهرة علی الأخذ بظواهر الأدلة، من غیر الغور و الإمعان فی هذه الدقائق الرائجة بین المتأخرین، و اللَّه ولی الحمد و التوفیق</w:t>
      </w:r>
      <w:r>
        <w:rPr>
          <w:rFonts w:eastAsia="IRNazanin" w:cs="IRNazanin"/>
          <w:color w:val="111111"/>
          <w:sz w:val="28"/>
          <w:szCs w:val="28"/>
          <w:rtl w:val="true"/>
          <w:lang w:bidi="fa-IR"/>
        </w:rPr>
        <w:t>.</w:t>
      </w:r>
      <w:bookmarkStart w:id="91" w:name="pg13163_142878"/>
    </w:p>
    <w:p>
      <w:pPr>
        <w:pStyle w:val="BookText"/>
        <w:rPr/>
      </w:pPr>
      <w:bookmarkEnd w:id="91"/>
      <w:r>
        <w:rPr>
          <w:rFonts w:ascii="IRNazanin" w:hAnsi="IRNazanin" w:eastAsia="IRNazanin"/>
          <w:color w:val="111111"/>
          <w:sz w:val="28"/>
          <w:sz w:val="28"/>
          <w:szCs w:val="28"/>
          <w:rtl w:val="true"/>
          <w:lang w:bidi="fa-IR"/>
        </w:rPr>
        <w:t>نعم، إیجابه علی الکل استغراقا مع تعدد الغرض، و سقوط التکلیف بإتیان البعض تسهیلا علی العباد، أوضح من سائر المحتملات التی مضت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ثمرة الاختلاف فی کیفیة الوجوب الکفائی، تظهر فی مسألة دوران الأمر بین العینیة و الکفائیة؛ حسب جریان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ذکرناه فی الواجب التخییری </w:t>
      </w:r>
      <w:r>
        <w:rPr>
          <w:rStyle w:val="FootnoteAnchor"/>
          <w:rtl w:val="true"/>
        </w:rPr>
        <w:footnoteReference w:id="85"/>
      </w:r>
      <w:r>
        <w:rPr>
          <w:rFonts w:ascii="IRNazanin" w:hAnsi="IRNazanin" w:eastAsia="IRNazanin"/>
          <w:color w:val="111111"/>
          <w:sz w:val="28"/>
          <w:sz w:val="28"/>
          <w:szCs w:val="28"/>
          <w:rtl w:val="true"/>
          <w:lang w:bidi="fa-IR"/>
        </w:rPr>
        <w:t xml:space="preserve">یظهر الأمر هنا، و یأتی تفصیله فی مباحث البراءة و الاشتغال إن شاء اللَّه تعالی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533633_3244359995"/>
      <w:bookmarkStart w:id="93" w:name="_Toc34"/>
      <w:bookmarkEnd w:id="92"/>
      <w:r>
        <w:rPr>
          <w:rtl w:val="true"/>
        </w:rPr>
        <w:t>تذنیب</w:t>
      </w:r>
      <w:r>
        <w:rPr>
          <w:rtl w:val="true"/>
        </w:rPr>
        <w:t xml:space="preserve">: </w:t>
      </w:r>
      <w:r>
        <w:rPr>
          <w:rtl w:val="true"/>
        </w:rPr>
        <w:t>فی إمکان صیرورة العینی کفائیا</w:t>
      </w:r>
      <w:bookmarkEnd w:id="93"/>
    </w:p>
    <w:p>
      <w:pPr>
        <w:pStyle w:val="BookText"/>
        <w:rPr/>
      </w:pPr>
      <w:r>
        <w:rPr>
          <w:rFonts w:ascii="IRNazanin" w:hAnsi="IRNazanin" w:eastAsia="IRNazanin"/>
          <w:color w:val="111111"/>
          <w:sz w:val="28"/>
          <w:sz w:val="28"/>
          <w:szCs w:val="28"/>
          <w:rtl w:val="true"/>
          <w:lang w:bidi="fa-IR"/>
        </w:rPr>
        <w:t>هل یمکن أن یصیر الواجب العینی کفائیا، أم لا؟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العینی هو أن یکون المطلوب صدور الطبیعة من کل واحد، فیکون الغرض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إمکان کون الکفائی فی مرحلة الجعل، متعددا غرض المولی فیه، و لکن یکون بحیث إذا أتی به واحد ینتفی الموضوع، کما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جماعة محدثون، ماء لا یکفی إلا لبعض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وجدوا و هم علی تیمم، ماء لا یکفی إلا لبعض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فی هاتین الصورتین، یکون التکلیف علی نعت العموم الاستغراقی، و لکن یسقط بفعل بعضهم؛ لانتفاء الموضوع خارجا، أی متعلق المتعلق، کما فی الواجبات الکفائیة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لا اختلاف بینهما فی مرحلة الجعل و الثبوت، فلا منع من الانقلاب بحسب مقام الامتثال؛ للتزاحم المنتهی إلی انتفاء الموضوع</w:t>
      </w:r>
      <w:r>
        <w:rPr>
          <w:rFonts w:eastAsia="IRNazanin" w:cs="IRNazanin"/>
          <w:color w:val="111111"/>
          <w:sz w:val="28"/>
          <w:szCs w:val="28"/>
          <w:rtl w:val="true"/>
          <w:lang w:bidi="fa-IR"/>
        </w:rPr>
        <w:t>.</w:t>
      </w:r>
      <w:bookmarkStart w:id="94" w:name="pg13163_142880"/>
    </w:p>
    <w:p>
      <w:pPr>
        <w:pStyle w:val="BookText"/>
        <w:rPr/>
      </w:pPr>
      <w:bookmarkEnd w:id="94"/>
      <w:r>
        <w:rPr>
          <w:rFonts w:ascii="IRNazanin" w:hAnsi="IRNazanin" w:eastAsia="IRNazanin"/>
          <w:color w:val="111111"/>
          <w:sz w:val="28"/>
          <w:sz w:val="28"/>
          <w:szCs w:val="28"/>
          <w:rtl w:val="true"/>
          <w:lang w:bidi="fa-IR"/>
        </w:rPr>
        <w:t>و إن کان بینهما الاختلاف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ناحیة الموضوع، أو فی ناحیة المتعلق، أو فی الناحیتین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الانقلاب إلا بدلیل خارجی شرعی، و هو لیس من انقلاب العینی کفائیا، بل هو کاشف عن جعل آخر کفائی فی مورده؛ ضرورة أن المجعولات الشرعیة، لا تتبدل حسب الاختلافات فی مقام الامتثال، علی ما تحرر و تقرر</w:t>
      </w:r>
      <w:r>
        <w:rPr>
          <w:rStyle w:val="FootnoteAnchor"/>
          <w:rtl w:val="true"/>
        </w:rPr>
        <w:footnoteReference w:id="87"/>
      </w:r>
      <w:r>
        <w:rPr>
          <w:rFonts w:ascii="IRNazanin" w:hAnsi="IRNazanin" w:eastAsia="IRNazanin"/>
          <w:color w:val="111111"/>
          <w:sz w:val="28"/>
          <w:sz w:val="28"/>
          <w:szCs w:val="28"/>
          <w:rtl w:val="true"/>
          <w:lang w:bidi="fa-IR"/>
        </w:rPr>
        <w:t>، فکما أن الواجب المشروط لا یصیر مطلقا إلا فیما کان الشرط واسطة فی الثبوت، و کذا النفسیّ لا یصیر غیریا، کذلک الأمر فی سائر الواجبات المختلفة جعلا و إنشاء، کالتعیینی، و التخییری، و المضیق و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سلکه القوم هنا من ذکر بعض الفروع </w:t>
      </w:r>
      <w:r>
        <w:rPr>
          <w:rStyle w:val="FootnoteAnchor"/>
          <w:rtl w:val="true"/>
        </w:rPr>
        <w:footnoteReference w:id="88"/>
      </w:r>
      <w:r>
        <w:rPr>
          <w:rFonts w:ascii="IRNazanin" w:hAnsi="IRNazanin" w:eastAsia="IRNazanin"/>
          <w:color w:val="111111"/>
          <w:sz w:val="28"/>
          <w:sz w:val="28"/>
          <w:szCs w:val="28"/>
          <w:rtl w:val="true"/>
          <w:lang w:bidi="fa-IR"/>
        </w:rPr>
        <w:t>، لا یخلو من غرابة؛ ضرورة أن هاهنا مقام المسائل الأصولیة الکلیة، دون الفروع الفقهیة الجزئیة؛ فإن لها مقاما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القائلین بالترتب، التزموا بأن الوجوب فی المتساویین المتزاحمین تخییری شرعا، و هذا غیر صحیح علی ما سلکناه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الخطابات قانونیة؛ فإن التخییر عقلی، و الوجوب التعیینی باق علی حاله، و هذا فی نفسه من الشواهد علی کذب الترتب، کما أشرنا إلیه فی أوائل المسألة، فلیتدبر جیدا</w:t>
      </w:r>
      <w:r>
        <w:rPr>
          <w:rFonts w:eastAsia="IRNazanin" w:cs="IRNazanin"/>
          <w:color w:val="111111"/>
          <w:sz w:val="28"/>
          <w:szCs w:val="28"/>
          <w:rtl w:val="true"/>
          <w:lang w:bidi="fa-IR"/>
        </w:rPr>
        <w:t>.</w:t>
      </w:r>
    </w:p>
    <w:p>
      <w:pPr>
        <w:pStyle w:val="Heading5"/>
        <w:numPr>
          <w:ilvl w:val="4"/>
          <w:numId w:val="1"/>
        </w:numPr>
        <w:rPr/>
      </w:pPr>
      <w:bookmarkStart w:id="95" w:name="__RefHeading___Toc533635_3244359995"/>
      <w:bookmarkStart w:id="96" w:name="_Toc35"/>
      <w:bookmarkEnd w:id="95"/>
      <w:r>
        <w:rPr>
          <w:rtl w:val="true"/>
        </w:rPr>
        <w:t>وهم و دفع</w:t>
      </w:r>
      <w:r>
        <w:rPr>
          <w:rtl w:val="true"/>
        </w:rPr>
        <w:t xml:space="preserve">: </w:t>
      </w:r>
      <w:r>
        <w:rPr>
          <w:rtl w:val="true"/>
        </w:rPr>
        <w:t>حول إتیان جماعة للواجب الکفائی عرضا</w:t>
      </w:r>
      <w:bookmarkEnd w:id="96"/>
    </w:p>
    <w:p>
      <w:pPr>
        <w:pStyle w:val="BookText"/>
        <w:rPr/>
      </w:pPr>
      <w:r>
        <w:rPr>
          <w:rFonts w:ascii="IRNazanin" w:hAnsi="IRNazanin" w:eastAsia="IRNazanin"/>
          <w:color w:val="111111"/>
          <w:sz w:val="28"/>
          <w:sz w:val="28"/>
          <w:szCs w:val="28"/>
          <w:rtl w:val="true"/>
          <w:lang w:bidi="fa-IR"/>
        </w:rPr>
        <w:t>لو تکفل جماعة عرضا لأداء الواجب الکفائی، کالصلاة علی المیت، فهل لا یسقط، أو یسقط؟</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 واحد مسقطا، أو أحدها اللابعینه، أو أحدها المعین؟</w:t>
      </w:r>
    </w:p>
    <w:p>
      <w:pPr>
        <w:pStyle w:val="BookText"/>
        <w:rPr/>
      </w:pPr>
      <w:r>
        <w:rPr>
          <w:rFonts w:ascii="IRNazanin" w:hAnsi="IRNazanin" w:eastAsia="IRNazanin"/>
          <w:color w:val="111111"/>
          <w:sz w:val="28"/>
          <w:sz w:val="28"/>
          <w:szCs w:val="28"/>
          <w:rtl w:val="true"/>
          <w:lang w:bidi="fa-IR"/>
        </w:rPr>
        <w:t>و فی الکل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کان یعد المجموع مصداقا واحدا، أو یکون المسقط فردا منتشرا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ذلک مبنی علی کون الموضوع و المتعلق، قابلین للتکرار عرضا، فلا یجوز إذا کانا صرف وجود المکلف، أو صرف الطبیعة، علی ما عرفت من تقریبه </w:t>
      </w:r>
      <w:r>
        <w:rPr>
          <w:rStyle w:val="FootnoteAnchor"/>
          <w:rtl w:val="true"/>
        </w:rPr>
        <w:footnoteReference w:id="89"/>
      </w:r>
      <w:r>
        <w:rPr>
          <w:rFonts w:ascii="IRNazanin" w:hAnsi="IRNazanin" w:eastAsia="IRNazanin"/>
          <w:color w:val="111111"/>
          <w:sz w:val="28"/>
          <w:sz w:val="28"/>
          <w:szCs w:val="28"/>
          <w:rtl w:val="true"/>
          <w:lang w:bidi="fa-IR"/>
        </w:rPr>
        <w:t>، فإذا جاز ذلک فلا بأس بتعدد الأمر؛ لتعدد المصداق، فیکون کل واحد واجبا و مسقطا لأمره، و یکون کفائیا بالنسبة إلی الأفراد الطولیة،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جعل الموضوع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الانتزاعی الطبیعی القابل للصدق علی الکثیر</w:t>
      </w:r>
      <w:r>
        <w:rPr>
          <w:rStyle w:val="FootnoteAnchor"/>
          <w:rtl w:val="true"/>
        </w:rPr>
        <w:footnoteReference w:id="90"/>
      </w:r>
      <w:r>
        <w:rPr>
          <w:rFonts w:ascii="IRNazanin" w:hAnsi="IRNazanin" w:eastAsia="IRNazanin"/>
          <w:color w:val="111111"/>
          <w:sz w:val="28"/>
          <w:sz w:val="28"/>
          <w:szCs w:val="28"/>
          <w:rtl w:val="true"/>
          <w:lang w:bidi="fa-IR"/>
        </w:rPr>
        <w:t>مشکل؛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العنوان الانتزاعی غیر قابل لأن یکون مورد التکلیف و العقاب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رجوعه إلی الخارج یعد من الفرد المنتشر، و هو غیر معقول کما تقرر فی محله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إرجاعه إلی الواجب التخییری یلزم الخلف؛ و هو کون الواحد الانتزاعی مورد التکلیف،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استحقاقهم للمثوبة، کما هو قضیة توارد العلل المتعددة علی معلول واحد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انتهی، غیر صحیح؛ لأن کل واحد یستحق تمام الثواب و الجعل لو کان استحقاق و جعل، و القاعدة المذکورة توجب الشرکة فی الجعل الواحد، کما إذا کان ما أتوا به من قبیل غسل المیت و دفنه و 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دعوی عدم استحقاقهم کلا کما لا یخفی، و الأمر سهل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یتصدی جماعة لامتثال الواجب الکفائی، أم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المفروغ عنه جوازه </w:t>
      </w:r>
      <w:r>
        <w:rPr>
          <w:rStyle w:val="FootnoteAnchor"/>
          <w:rtl w:val="true"/>
        </w:rPr>
        <w:footnoteReference w:id="94"/>
      </w:r>
      <w:r>
        <w:rPr>
          <w:rFonts w:ascii="IRNazanin" w:hAnsi="IRNazanin" w:eastAsia="IRNazanin"/>
          <w:color w:val="111111"/>
          <w:sz w:val="28"/>
          <w:sz w:val="28"/>
          <w:szCs w:val="28"/>
          <w:rtl w:val="true"/>
          <w:lang w:bidi="fa-IR"/>
        </w:rPr>
        <w:t xml:space="preserve">لأن الواجب لیس عنوان صرف الوجود بلحاظ نفی التکرر و الکثرة العرضیة و الطولیة، لما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یتکرر لا طولا، و لا عرضا، و هذا المعنی هو المرعی فی هذه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تصدی جماعة للدفن و الکفن، لیس من صغریات هذه المسألة؛ لعدم تکرر الأمر بتعدد الأفراد، کما هو الظاهر، بل هو من قبیل رفع الحجر بتوسط جماعة؛ فإنه من قبیل توارد العلل علی معلول واحد عرفا، 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الجواز، فما هو المطلوب فی الکفائی حتی یمکن التکرار عرضا، و لا یمکن طولا؟ ضرورة أنه مع وحدة الغرض فلا یعقل، و مع تعدده فلا یکون من الکفائی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الموضوع أو المتعلق الطبیعی أو الطبیعة، فهو کما یتکرر عرضا، یتکرر طولا، و لا یکفی ذلک لاعتبار سقوط الأمر بالنسبة إلی الأفراد الطولیة، و لکثرة الأمر بالنسبة إلی الأفراد العرضیة، فکیف یعقل أن یوصف کل فرد من أفراد صلاة المیت العرضیة بالوجوب، و لا یبقی الوجوب بالنسبة إلی الأفراد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صلاة المیت کدفنه فی اجتماع الناس علی إتیانها بمصداق واحد فهو، و أما مع تکرر المصداق المستلزم لکون الغرض متعددا و الأمر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هو قضیة تکرر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الطبیعة إذا کانت من حیث هی هی مطلوبة، فإن أتی بها واحد فقد امتثل الأمر، و إن أتی بها جماعة عرضا فقد أتوا أیضا بنفس الطبیعة، کما</w:t>
      </w:r>
    </w:p>
    <w:p>
      <w:pPr>
        <w:pStyle w:val="BookText"/>
        <w:rPr/>
      </w:pPr>
      <w:r>
        <w:rPr>
          <w:rFonts w:ascii="IRNazanin" w:hAnsi="IRNazanin" w:eastAsia="IRNazanin"/>
          <w:color w:val="111111"/>
          <w:sz w:val="28"/>
          <w:sz w:val="28"/>
          <w:szCs w:val="28"/>
          <w:rtl w:val="true"/>
          <w:lang w:bidi="fa-IR"/>
        </w:rPr>
        <w:t xml:space="preserve">عن العلامة الأستاذ البروجردی قدس سره </w:t>
      </w:r>
      <w:r>
        <w:rPr>
          <w:rStyle w:val="FootnoteAnchor"/>
          <w:rtl w:val="true"/>
        </w:rPr>
        <w:footnoteReference w:id="95"/>
      </w:r>
      <w:r>
        <w:rPr>
          <w:rFonts w:ascii="IRNazanin" w:hAnsi="IRNazanin" w:eastAsia="IRNazanin"/>
          <w:color w:val="111111"/>
          <w:sz w:val="28"/>
          <w:sz w:val="28"/>
          <w:szCs w:val="28"/>
          <w:rtl w:val="true"/>
          <w:lang w:bidi="fa-IR"/>
        </w:rPr>
        <w:t>فهو غیر واف؛ لأنه مع تعدد الصلاة خارجا، و تعدد الاتصاف بالوجوب، لا بد من تعدد الأمر، و تعدد الغرض، و هذا علی خلاف طبع الکفائی، فهل إلی حل هذه المعضلة من سبیل؟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إن هذه المعضلة لا تنحل إلا علی ما أشرنا إلیه فی مطاوی بحوثنا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العینی و الکفائی ربما لا یختلفان فی مرحلة الجعل و الطلب و تعدد الغرض، و یختلفان فی أنه للمولی فی العینی لا یکون غرض وراء تلک الأغراض الملزمة فی العینی، و لکن فی الکفائی یکون له الغرض الآخر؛ و هو تسهیل الأمر أحیانا، أو ملاحظة الجهة الأخری، 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ذلک الغرض، و تصیر النتیجة الکفائیة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کل واحد بالصلاة علی المیت، أو بالطواف حول البیت، و إذا قام جماعة بذلک الواجب، یجد أنه حکم ربما ینتهی إلی الصعوبة المنتفیة فی أصل الدیانة الإسلامیة، فیرتضی بترک الآخرین بعد إتیان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سقوط التکلیف، و إلا ففی الواقع و نفس الأمر لا یکون التکلیف ثابتا؛ حتی یلزم المحذور العقلی بالنسبة إلی ناحیة المولی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الجعل و الإنشاء قبل قیام الناس بالوظیفة، یکون الکل مورد الأمر، و تکون الطبیعة مورد الإیجاب، و لکن بعد قیامهم بها یسقط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معناه أن الدلیل المنفصل قام علی أنه إذا أتی بها واحد أو جماعة، یسقط عن الآخرین طولا، فافهم و اغتنم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هذا و ذاک فلا إشکال فی تعدد الثواب بالنسبة إلی الفرض الثانی، و إنما الإشکال فی الفرض الأول؛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یستحق أحد منهم شیئا إذا کان الثواب مجعولا لمن تکفل الدفن مثلا، فإنه لا یصدق إلا علی المجموع، و لا یستند الفعل إلی واحد، و المجموع القائم به لیس مورد الأمر اعتبارا، حتی یستحق ذلک الواحد الاعتباری شیئا، بل و لا یعقل الأمر بالنسبة إلی تلک الوحدة و إن کان فعلهم وافیا بالغرض، و مسقطا للأمر، و لکنه لا یستلزم الاستحقاق عقلا لو کان یستحق أحد علی مولاه شیئا، فهنا لا استحقاق رأسا، و الالتزام بذلک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تحرر فی کیفیة اعتبار الطبیعة و الأجزاء؛ هو أن الأجزاء فانیة فیها، و لا تلاحظ بحیالها، و إذا لوحظ کل جزء بحیال الکل، فیصح نفی الکل و اسم الطبیعة عنه، و إذا لوحظت الطبیعة بمجموع الأجزاء، تصدق الطبیعة علی کل مرتبة و جزء حال الفناء فیها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سلب الصلاة عن الرکوع،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الرکوع لیس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حمل الصلاة علی الرکوع الفانی فی الطبیعة؛ فإن المصلی فی جمیع الحالات مشغول بالصلاة، مع أنه لا یکون مشغولا إلا ببعض الأجزاء المندرجة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لک هذه الحقیقة الراقیة إجمالا، یتبین و یتضح لک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المعلول مع وحدته یستند إلی المجموع، و فی هذا الاستناد یکون مستندا إلی الکل و الأجزاء، فالدفن مستند إلی الجزء الفانی فی الکل، دون الجزء بحیال الکل، و هذا المقدار من الاستناد یصحح الاستحقاق، فلیتأمل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الممکن أن یکون الثواب الواحد جعالة علی دفن المیت، لا علی من یدفنه، فإذا دفن المیت فلا بدّ عقلا من إعطاء الأجرة علی الدفن بالضرورة، فلا یعتبر الموضوع، کما مر فی اعتبار الثواب، فلیتدبر جیدا</w:t>
      </w:r>
      <w:r>
        <w:rPr>
          <w:rFonts w:eastAsia="IRNazanin" w:cs="IRNazanin"/>
          <w:color w:val="111111"/>
          <w:sz w:val="28"/>
          <w:szCs w:val="28"/>
          <w:rtl w:val="true"/>
          <w:lang w:bidi="fa-IR"/>
        </w:rPr>
        <w:t>.</w:t>
      </w:r>
      <w:bookmarkStart w:id="97" w:name="pg13163_142890"/>
    </w:p>
    <w:p>
      <w:pPr>
        <w:pStyle w:val="Heading4"/>
        <w:numPr>
          <w:ilvl w:val="3"/>
          <w:numId w:val="1"/>
        </w:numPr>
        <w:rPr/>
      </w:pPr>
      <w:bookmarkStart w:id="98" w:name="__RefHeading___Toc533637_3244359995"/>
      <w:bookmarkStart w:id="99" w:name="_Toc36"/>
      <w:bookmarkEnd w:id="97"/>
      <w:bookmarkEnd w:id="98"/>
      <w:r>
        <w:rPr>
          <w:rtl w:val="true"/>
        </w:rPr>
        <w:t>النحو الثالث فی العینی المباشری و غیر المباشری</w:t>
      </w:r>
      <w:bookmarkEnd w:id="99"/>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راجعنا کیفیة جعل وجوب القضاء عن الولی علی الولد الأکبر فی العبادات، و إلی کیفیة جعل وجوب أداء الدین علی المدیون، نجد أن هنا نحوا آخر من الواجب لیس بعینی و لا کفائی؛ ضرورة أن العینی ما یکون مطلوبا من کل أحد مباشرة، و یستحق کل واحد عند الترک العقاب، و الکفائی لا یکون مطلوبا من فرد خاص، و یستحق الکل عند الترک العقاب، و قضاء الولد عن والده لیس منهما بالضرورة؛ فإنه مطلوب من شخص خاص، و لا یجب علیه أن یباشره، و لا یسبب إلیه أحدا، بل یسقط أمره بإتیان المتبرع، و هکذا فی الدین و سائر الکفارات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بالأعم فهو، و لکنه تفسیر بما لا یساعده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ینقسم الواجب إلی العینی المباشری، و إلی ما لا تجب مباشرته، و یسقط بفعل الغیر، من غیر استحقاق الکل للعقاب عند الترک، بل یستحق الولی فقط، و المدیون و هکذا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یشکل الأمر فی هذه الواجبات غیر المباشریة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أرید إیجاب الطبیعة من غیر إضافة الصدور إلی الموضوع و المکلف، فهو غیر معقول؛ لأن الطبیعة لا یعقل أن تصیر واجبة، بل الواجب معنی حدثی، لأنه هو الّذی یمکن أن یتعلق به الأمر و النهی، و لا نبالی بأن یتعلق الأمر بالطبیعة باعتبار صدورها منه، و أما تعلقه بها مع قطع النّظر عن هذا المعنی الحدثی، فهو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ذلک لصح مع لحاظ عدم صدوره منه، مع أنه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رجوعه إلی اعتبار التسبیب، مما لا بأس به، إلا أن ما هو سبب هذا الاعتبار أیضا معنی حدثی؛ و هو التسبیب الّذی هو فعل مباشری للمکلف، و فیما نحن فیه لا یعتبر التسبیب أیضا،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الصدور أو التسبیب فهو صحیح، و لکنه لیس فیما نحن فیه کذلک؛ لسقوط الواجب بفعل 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یعتبر هذا النحو من التکلیف؟</w:t>
      </w:r>
    </w:p>
    <w:p>
      <w:pPr>
        <w:pStyle w:val="BookText"/>
        <w:rPr/>
      </w:pPr>
      <w:r>
        <w:rPr>
          <w:rFonts w:ascii="IRNazanin" w:hAnsi="IRNazanin" w:eastAsia="IRNazanin"/>
          <w:color w:val="111111"/>
          <w:sz w:val="28"/>
          <w:sz w:val="28"/>
          <w:szCs w:val="28"/>
          <w:rtl w:val="true"/>
          <w:lang w:bidi="fa-IR"/>
        </w:rPr>
        <w:t>و ینحل هذا الإعضال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داعیا یقتضی ذلک، و بلحاظه یصح هذا النحو من الاعتبار؛ و هو أن المولی یجد لزوم فراغ الذّمّة، و یجد أنه لا معنی لاستحقاق الکل للعقاب عند التخلف عنه، و یجد أنه إذا حصل بأی سبب فهو یفی بمطلوبه و مرامه، فلا بدّ و أن یوجه التکلیف إلی شخص خاص؛ بداعی استحقاقه العقاب عند الترک، و أن لا ثواب له عند ما یتکفله الآخرون، کما فی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یعتبر فی إیجاب شی‌ء علی المکلف، الالتزام بصدوره منه مباشرة، بل النّظر إلی إفادة أنه عند ترک الکل، یستحق العقاب و العتاب، فلاحظ و تدبر جیدا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التقسیم من عوارض الوجوب العینی، و العینیة لیست متقومة بلزوم صدور الفعل من المکلف، بل تتقوم بکونه المسئول عند الإخلال به، دون الآخرین</w:t>
      </w:r>
      <w:r>
        <w:rPr>
          <w:rFonts w:eastAsia="IRNazanin" w:cs="IRNazanin"/>
          <w:color w:val="111111"/>
          <w:sz w:val="28"/>
          <w:szCs w:val="28"/>
          <w:rtl w:val="true"/>
          <w:lang w:bidi="fa-IR"/>
        </w:rPr>
        <w:t>.</w:t>
      </w:r>
      <w:bookmarkStart w:id="100" w:name="pg13163_142894"/>
    </w:p>
    <w:p>
      <w:pPr>
        <w:pStyle w:val="Heading4"/>
        <w:numPr>
          <w:ilvl w:val="3"/>
          <w:numId w:val="1"/>
        </w:numPr>
        <w:rPr/>
      </w:pPr>
      <w:bookmarkStart w:id="101" w:name="__RefHeading___Toc533639_3244359995"/>
      <w:bookmarkStart w:id="102" w:name="_Toc37"/>
      <w:bookmarkEnd w:id="100"/>
      <w:bookmarkEnd w:id="101"/>
      <w:r>
        <w:rPr>
          <w:rtl w:val="true"/>
        </w:rPr>
        <w:t>النحو الرابع فی الموسع و المضیق</w:t>
      </w:r>
      <w:bookmarkEnd w:id="102"/>
    </w:p>
    <w:p>
      <w:pPr>
        <w:pStyle w:val="Heading5"/>
        <w:numPr>
          <w:ilvl w:val="4"/>
          <w:numId w:val="1"/>
        </w:numPr>
        <w:rPr/>
      </w:pPr>
      <w:bookmarkStart w:id="103" w:name="__RefHeading___Toc533641_3244359995"/>
      <w:bookmarkStart w:id="104" w:name="_Toc38"/>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التقاسیم ترد علی الوجوب باعتبارات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باعتبار إطلاق الهیئة و اشتراطها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باعتبار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باعتبار فعلیة الوجوب و الواجب و استقبالیته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تقسیم آخر باعتبار الزمان، و کیفیة مداخلته فی الحکم، و مدخلیته فی الأغراض و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الواجبات لما أنها تقع فی أفق الزمان و عمود الدهر، تکون من الزمانیات، کسائر الأشیاء، و لکن یختلف بعض منها عن بعض فی دخالة الزمان فی ملاکها، و عدم الدخالة، و علی الأول یختلف فی کیفیة الدخالة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لا مدخلیة للزمان فی ملاکه، فهو خارج عن هذا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ذو أطراف ثلاثة، و بذلک یستوعب جمیع الواجبات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داخل فیه طائفة خاصة؛ و هی بین ما یکون للزمان المطلق مدخلیة فی ملاکه، و بین ما یکون للزمان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الزمان الدخیل أوسع من الواجب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أوسع منه</w:t>
      </w:r>
      <w:r>
        <w:rPr>
          <w:rFonts w:eastAsia="IRNazanin" w:cs="IRNazanin"/>
          <w:color w:val="111111"/>
          <w:sz w:val="28"/>
          <w:szCs w:val="28"/>
          <w:rtl w:val="true"/>
          <w:lang w:bidi="fa-IR"/>
        </w:rPr>
        <w:t>.</w:t>
      </w:r>
      <w:bookmarkStart w:id="105" w:name="pg13163_142896"/>
    </w:p>
    <w:p>
      <w:pPr>
        <w:pStyle w:val="BookText"/>
        <w:rPr/>
      </w:pPr>
      <w:bookmarkEnd w:id="105"/>
      <w:r>
        <w:rPr>
          <w:rFonts w:ascii="IRNazanin" w:hAnsi="IRNazanin" w:eastAsia="IRNazanin"/>
          <w:color w:val="111111"/>
          <w:sz w:val="28"/>
          <w:sz w:val="28"/>
          <w:szCs w:val="28"/>
          <w:rtl w:val="true"/>
          <w:lang w:bidi="fa-IR"/>
        </w:rPr>
        <w:t>و علی الأول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أوسع بحیث یمکن التخییر عقلا أو شرعا بین أفراده، کما فی 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کذلک، بل یکون أوسع منه؛ بحیث تکون التوسعة بحسب الابتداء و الشروع، و لا یسع الوقت للفردین أو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یکون الواجب منطبقا علیه، فیعد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کصیام الواجب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الواجب أوسع وجودا من الوقت، و لا مثال له فی الشرع، کما لا مثال للفرض الأول أیضا</w:t>
      </w:r>
      <w:r>
        <w:rPr>
          <w:rFonts w:eastAsia="IRNazanin" w:cs="IRNazanin"/>
          <w:color w:val="111111"/>
          <w:sz w:val="28"/>
          <w:szCs w:val="28"/>
          <w:rtl w:val="true"/>
          <w:lang w:bidi="fa-IR"/>
        </w:rPr>
        <w:t>.</w:t>
      </w:r>
    </w:p>
    <w:p>
      <w:pPr>
        <w:pStyle w:val="Heading5"/>
        <w:numPr>
          <w:ilvl w:val="4"/>
          <w:numId w:val="1"/>
        </w:numPr>
        <w:rPr/>
      </w:pPr>
      <w:bookmarkStart w:id="106" w:name="__RefHeading___Toc533643_3244359995"/>
      <w:bookmarkStart w:id="107" w:name="_Toc39"/>
      <w:bookmarkEnd w:id="106"/>
      <w:r>
        <w:rPr>
          <w:rtl w:val="true"/>
        </w:rPr>
        <w:t>إشکالات الواجب الموقت و أجوبتها</w:t>
      </w:r>
      <w:bookmarkEnd w:id="107"/>
    </w:p>
    <w:p>
      <w:pPr>
        <w:pStyle w:val="Heading6"/>
        <w:numPr>
          <w:ilvl w:val="5"/>
          <w:numId w:val="1"/>
        </w:numPr>
        <w:rPr/>
      </w:pPr>
      <w:bookmarkStart w:id="108" w:name="__RefHeading___Toc533645_3244359995"/>
      <w:bookmarkStart w:id="109" w:name="_Toc40"/>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و إذا تحصلت هذه الفروض و الصور، و تبین أن للموسع فروضا ثلاثة، و للمضیق فرضین، فربما یشکل الأمر من النواحی المختلفة فی الواجب الموقت؛ موسعا کان أو مضیقا</w:t>
      </w:r>
      <w:r>
        <w:rPr>
          <w:rFonts w:eastAsia="IRNazanin" w:cs="IRNazanin"/>
          <w:color w:val="111111"/>
          <w:sz w:val="28"/>
          <w:szCs w:val="28"/>
          <w:rtl w:val="true"/>
          <w:lang w:bidi="fa-IR"/>
        </w:rPr>
        <w:t>.</w:t>
      </w:r>
    </w:p>
    <w:p>
      <w:pPr>
        <w:pStyle w:val="Heading6"/>
        <w:numPr>
          <w:ilvl w:val="5"/>
          <w:numId w:val="1"/>
        </w:numPr>
        <w:rPr/>
      </w:pPr>
      <w:bookmarkStart w:id="110" w:name="__RefHeading___Toc533647_3244359995"/>
      <w:bookmarkStart w:id="111" w:name="_Toc41"/>
      <w:bookmarkEnd w:id="110"/>
      <w:r>
        <w:rPr>
          <w:rtl w:val="true"/>
        </w:rPr>
        <w:t>الناحیة الأولی</w:t>
      </w:r>
      <w:r>
        <w:rPr>
          <w:rtl w:val="true"/>
        </w:rPr>
        <w:t>:</w:t>
      </w:r>
      <w:bookmarkEnd w:id="111"/>
    </w:p>
    <w:p>
      <w:pPr>
        <w:pStyle w:val="BookText"/>
        <w:rPr/>
      </w:pPr>
      <w:r>
        <w:rPr>
          <w:rFonts w:ascii="IRNazanin" w:hAnsi="IRNazanin" w:eastAsia="IRNazanin"/>
          <w:color w:val="111111"/>
          <w:sz w:val="28"/>
          <w:sz w:val="28"/>
          <w:szCs w:val="28"/>
          <w:rtl w:val="true"/>
          <w:lang w:bidi="fa-IR"/>
        </w:rPr>
        <w:t>إذا کان لمطلق الزمان مدخلیة فی الملاک، فلا معنی لاعتباره فی الواجب؛ لما لا یمکن التخلف عنه، و لا یکون الأمر داعیا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بأن الدعوة إلی القیود الموجودة غالبا و نوعا، أیضا غیر صحیحة، کالستر فی الطواف، و لا سیما مع کونه واجبا نفسیا</w:t>
      </w:r>
      <w:r>
        <w:rPr>
          <w:rFonts w:eastAsia="IRNazanin" w:cs="IRNazanin"/>
          <w:color w:val="111111"/>
          <w:sz w:val="28"/>
          <w:szCs w:val="28"/>
          <w:rtl w:val="true"/>
          <w:lang w:bidi="fa-IR"/>
        </w:rPr>
        <w:t>.</w:t>
      </w:r>
      <w:bookmarkStart w:id="112" w:name="pg13163_142898"/>
    </w:p>
    <w:p>
      <w:pPr>
        <w:pStyle w:val="BookText"/>
        <w:rPr/>
      </w:pPr>
      <w:bookmarkEnd w:id="112"/>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العبادات یعتبر عند الأکثر، قصد القیود المأخوذة فی الأمر، فلا بدّ من اعتباره فی الواجب و لو کان ممتنعا انفکاکها عن الطبیعة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533649_3244359995"/>
      <w:bookmarkStart w:id="114" w:name="_Toc42"/>
      <w:bookmarkEnd w:id="113"/>
      <w:r>
        <w:rPr>
          <w:rtl w:val="true"/>
        </w:rPr>
        <w:t>الناحیة الثانیة</w:t>
      </w:r>
      <w:r>
        <w:rPr>
          <w:rtl w:val="true"/>
        </w:rPr>
        <w:t>:</w:t>
      </w:r>
      <w:bookmarkEnd w:id="114"/>
    </w:p>
    <w:p>
      <w:pPr>
        <w:pStyle w:val="BookText"/>
        <w:rPr/>
      </w:pPr>
      <w:r>
        <w:rPr>
          <w:rFonts w:ascii="IRNazanin" w:hAnsi="IRNazanin" w:eastAsia="IRNazanin"/>
          <w:color w:val="111111"/>
          <w:sz w:val="28"/>
          <w:sz w:val="28"/>
          <w:szCs w:val="28"/>
          <w:rtl w:val="true"/>
          <w:lang w:bidi="fa-IR"/>
        </w:rPr>
        <w:t xml:space="preserve">لا معنی للواجب الموسع؛ ضرورة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لا یجوز ترکه، فما هو الواجب هو المصداق الأخیر المضیق، و أما المصادیق المتوسطة فلیست بواجبات شرعیة؛ لما أن المولی رخص فی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مستحبات یسقط بها الواجب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المأمور به هی الطبیعة الجامعة للأفراد الطولیة و العرضیة، و هی الطبیعة المتقیدة بالحدین، و بکونها بینهما، کما فی الحرکة التوسطیة، فیکون التخییر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اتصاف المأتی به بالوجوب؛ باعتبار انطباق الواجب علیه طبعا، و ترخیص الشرع فی ترکها لازم جعل الموقت موسعا، و لا برهان علی لزوم کون الوجوب مضیقا بهذا المعنی، بل یکفی لاعتباره عدم جواز ترک الطبیعة بین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القول بانحلال الخطاب حسب أجزاء الزمان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قالوا بانحلاله حسب الأفراد و الحالات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یکون التخییر شرعیا، و یرجع الواجب الموسع إلی الواجبات المضیقة التخییریة، و لیست تعیینیة، فتدبر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برهان علی امتناع اعتبار التخییر شرعا علی النحو المزبور لو</w:t>
      </w:r>
      <w:bookmarkStart w:id="115" w:name="pg13163_142900"/>
    </w:p>
    <w:p>
      <w:pPr>
        <w:pStyle w:val="BookText"/>
        <w:rPr/>
      </w:pPr>
      <w:bookmarkEnd w:id="115"/>
      <w:r>
        <w:rPr>
          <w:rFonts w:ascii="IRNazanin" w:hAnsi="IRNazanin" w:eastAsia="IRNazanin"/>
          <w:color w:val="111111"/>
          <w:sz w:val="28"/>
          <w:sz w:val="28"/>
          <w:szCs w:val="28"/>
          <w:rtl w:val="true"/>
          <w:lang w:bidi="fa-IR"/>
        </w:rPr>
        <w:t xml:space="preserve">اقتضی الدلیل ذلک، فیکون المدار علی مرحلة الإثبات، فما یستظهر من کلماتهم </w:t>
      </w:r>
      <w:r>
        <w:rPr>
          <w:rStyle w:val="FootnoteAnchor"/>
          <w:rtl w:val="true"/>
        </w:rPr>
        <w:footnoteReference w:id="103"/>
      </w:r>
      <w:r>
        <w:rPr>
          <w:rFonts w:ascii="IRNazanin" w:hAnsi="IRNazanin" w:eastAsia="IRNazanin"/>
          <w:color w:val="111111"/>
          <w:sz w:val="28"/>
          <w:sz w:val="28"/>
          <w:szCs w:val="28"/>
          <w:rtl w:val="true"/>
          <w:lang w:bidi="fa-IR"/>
        </w:rPr>
        <w:t>غیر واقع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یلاحظ لکل أربع رکعات زمان، فیکون مخیرا بین الزمان الأول و الثانی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مخیرا بحسب زمان الشروع و الابتداء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هذا من التخییر الشرعی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الفرض الأول، لا بد و أن یمضی مقدار أربع رکعات حتی یجوز له الشروع فی المصداق الثانی، کما هو الواضح</w:t>
      </w:r>
      <w:r>
        <w:rPr>
          <w:rFonts w:eastAsia="IRNazanin" w:cs="IRNazanin"/>
          <w:color w:val="111111"/>
          <w:sz w:val="28"/>
          <w:szCs w:val="28"/>
          <w:rtl w:val="true"/>
          <w:lang w:bidi="fa-IR"/>
        </w:rPr>
        <w:t>.</w:t>
      </w:r>
    </w:p>
    <w:p>
      <w:pPr>
        <w:pStyle w:val="Heading6"/>
        <w:numPr>
          <w:ilvl w:val="5"/>
          <w:numId w:val="1"/>
        </w:numPr>
        <w:rPr/>
      </w:pPr>
      <w:bookmarkStart w:id="116" w:name="__RefHeading___Toc533651_3244359995"/>
      <w:bookmarkStart w:id="117" w:name="_Toc43"/>
      <w:bookmarkEnd w:id="116"/>
      <w:r>
        <w:rPr>
          <w:rtl w:val="true"/>
        </w:rPr>
        <w:t>الناحیة الثالثة</w:t>
      </w:r>
      <w:r>
        <w:rPr>
          <w:rtl w:val="true"/>
        </w:rPr>
        <w:t>:</w:t>
      </w:r>
      <w:bookmarkEnd w:id="117"/>
    </w:p>
    <w:p>
      <w:pPr>
        <w:pStyle w:val="BookText"/>
        <w:rPr/>
      </w:pPr>
      <w:r>
        <w:rPr>
          <w:rFonts w:ascii="IRNazanin" w:hAnsi="IRNazanin" w:eastAsia="IRNazanin"/>
          <w:color w:val="111111"/>
          <w:sz w:val="28"/>
          <w:sz w:val="28"/>
          <w:szCs w:val="28"/>
          <w:rtl w:val="true"/>
          <w:lang w:bidi="fa-IR"/>
        </w:rPr>
        <w:t>کل قید یعتبر فی الواجب، لا بد و أن یکون مورد الاختیار و الإرادة، حتی یتمکن المکلف من إیجاده، و الضرورة قاضیة بأن قید الزمان لیس مورد اختیار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لکون الواجب هی الصلاة المتقیدة بالزمان؛ للزوم إیجادها مع قیدها فی الزمان، مع أنه غیر ممکن، و ما هو الممکن إیجاد الطبیعة فی الزمان، فالقضیة حینیة لا تقییدیة، و لا یکون قید الزمان فی الواجبات الموقتة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موسعة کانت، أو مضیقة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دائرة الأمر، حتی یجب قصده، و یعتبر التوجه إلیه، بل لا یضر الریاء بالنسبة إلی تلک الخصوصیة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بد من إیجاد الطبیعة فی هذا الحین، کما إذا کان الواجب إیجاد الصلاة</w:t>
      </w:r>
    </w:p>
    <w:p>
      <w:pPr>
        <w:pStyle w:val="BookText"/>
        <w:rPr/>
      </w:pPr>
      <w:r>
        <w:rPr>
          <w:rFonts w:ascii="IRNazanin" w:hAnsi="IRNazanin" w:eastAsia="IRNazanin"/>
          <w:color w:val="111111"/>
          <w:sz w:val="28"/>
          <w:sz w:val="28"/>
          <w:szCs w:val="28"/>
          <w:rtl w:val="true"/>
          <w:lang w:bidi="fa-IR"/>
        </w:rPr>
        <w:t>حین کون الحمار ناهقا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بین الزوال و الغروب، صحت صلاته و لو کان غافلا عن اعتبار تلک القضیة الحینیة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بأن القضیة تقییدیة، لا بد من الالتفات إلیها، کسائر القیود المعتبرة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المکان مثله، فلا بدّ من الالتزام به، و لعله یلتزم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المعتبر إمکان إیجاد الطبیعة بقیودها، و لا یعتبر کون القید مورد القدرة استقلالا، کما ربما کان یستظهر من بعض کلمات العلامة النائینی رحمه اللَّه فی بحوثه المختلفة</w:t>
      </w:r>
      <w:r>
        <w:rPr>
          <w:rStyle w:val="FootnoteAnchor"/>
          <w:rtl w:val="true"/>
        </w:rPr>
        <w:footnoteReference w:id="104"/>
      </w:r>
      <w:r>
        <w:rPr>
          <w:rFonts w:ascii="IRNazanin" w:hAnsi="IRNazanin" w:eastAsia="IRNazanin"/>
          <w:color w:val="111111"/>
          <w:sz w:val="28"/>
          <w:sz w:val="28"/>
          <w:szCs w:val="28"/>
          <w:rtl w:val="true"/>
          <w:lang w:bidi="fa-IR"/>
        </w:rPr>
        <w:t>، غفلة عن الحال، و ذهولا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المتقیدة مورد القدرة بالضرورة، و هو کاف لاعتبار البعث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فی هذه الأعصار تبین إمکانه،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أنه فی الأمور الاعتباریة، لا معنی للقضایا الحینیة بواقعها؛ لأن القضیة الحینیة تعتبر فی مورد لا یکون للحین مدخلیة فی الملاک و الحکم، کالحکم علی الإنسان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ناطق حین کون الحمار ناهقا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للحین مدخلیة، فتخرج القضیة عن الحینیة، و تصیر تقییدیة،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وقت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مجی‌ء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حقیقة معناه وجوب إیجاد الإکرام المقارن مع المجی‌ء و الزوال، و إلا لو کان غیر دخیل فی الملاک، یجوز التأخیر و التقدیم عن ذلک الحین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کانت المقارنة فعلیة یکون الوجوب منجزا، و إلا فهو معلق، فتأمل جیدا</w:t>
      </w:r>
      <w:r>
        <w:rPr>
          <w:rFonts w:eastAsia="IRNazanin" w:cs="IRNazanin"/>
          <w:color w:val="111111"/>
          <w:sz w:val="28"/>
          <w:szCs w:val="28"/>
          <w:rtl w:val="true"/>
          <w:lang w:bidi="fa-IR"/>
        </w:rPr>
        <w:t>.</w:t>
      </w:r>
      <w:bookmarkStart w:id="118" w:name="pg13163_142904"/>
    </w:p>
    <w:p>
      <w:pPr>
        <w:pStyle w:val="BookText"/>
        <w:rPr/>
      </w:pPr>
      <w:bookmarkEnd w:id="118"/>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بعضا من هذه الشبهات، یتوجه إلی تقسیم الواجب بحسب المکان، و منه یعلم صحة إمکان هذا التقسیم أیضا؛ فإن الواجب بین ما یکون موسعا مکانا کالصلوات الیومیة، و ما کان مضیقا مکانا کصلاة الطواف، فتأمل</w:t>
      </w:r>
      <w:r>
        <w:rPr>
          <w:rFonts w:eastAsia="IRNazanin" w:cs="IRNazanin"/>
          <w:color w:val="111111"/>
          <w:sz w:val="28"/>
          <w:szCs w:val="28"/>
          <w:rtl w:val="true"/>
          <w:lang w:bidi="fa-IR"/>
        </w:rPr>
        <w:t>.</w:t>
      </w:r>
    </w:p>
    <w:p>
      <w:pPr>
        <w:pStyle w:val="Heading6"/>
        <w:numPr>
          <w:ilvl w:val="5"/>
          <w:numId w:val="1"/>
        </w:numPr>
        <w:rPr/>
      </w:pPr>
      <w:bookmarkStart w:id="119" w:name="__RefHeading___Toc533653_3244359995"/>
      <w:bookmarkStart w:id="120" w:name="_Toc44"/>
      <w:bookmarkEnd w:id="119"/>
      <w:r>
        <w:rPr>
          <w:rtl w:val="true"/>
        </w:rPr>
        <w:t>الناحیة الرابعة</w:t>
      </w:r>
      <w:r>
        <w:rPr>
          <w:rtl w:val="true"/>
        </w:rPr>
        <w:t>:</w:t>
      </w:r>
      <w:bookmarkEnd w:id="120"/>
    </w:p>
    <w:p>
      <w:pPr>
        <w:pStyle w:val="BookText"/>
        <w:rPr/>
      </w:pPr>
      <w:r>
        <w:rPr>
          <w:rFonts w:ascii="IRNazanin" w:hAnsi="IRNazanin" w:eastAsia="IRNazanin"/>
          <w:color w:val="111111"/>
          <w:sz w:val="28"/>
          <w:sz w:val="28"/>
          <w:szCs w:val="28"/>
          <w:rtl w:val="true"/>
          <w:lang w:bidi="fa-IR"/>
        </w:rPr>
        <w:t>إذا لم یکن الوجوب المعلق جائزا عقلا، فکیف یعقل الواجب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إیجاب الصوم قبل الفجر غیر ممکن، و إیجابه أول الفجر یستلزم کون الانبعاث متأخرا عنه، فلا یکون الواجب مضیقا بحسب الوقت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اعتبر تأخر الانبعاث عن الإیجاب و البعث زمانا، فیلزم صحة الوجوب المعلق، و مع الإقرار به یصح الواجب المضیق؛ لإمکان إیجابه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انطباق الواجب علی الوقت المضروب له و إن کان زمان الوجوب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کفی تأخره رتبة فیلزم أیضا جواز الواجب المضیق، کما هو الظاهر</w:t>
      </w:r>
      <w:r>
        <w:rPr>
          <w:rFonts w:eastAsia="IRNazanin" w:cs="IRNazanin"/>
          <w:color w:val="111111"/>
          <w:sz w:val="28"/>
          <w:szCs w:val="28"/>
          <w:rtl w:val="true"/>
          <w:lang w:bidi="fa-IR"/>
        </w:rPr>
        <w:t>.</w:t>
      </w:r>
    </w:p>
    <w:p>
      <w:pPr>
        <w:pStyle w:val="Heading5"/>
        <w:numPr>
          <w:ilvl w:val="4"/>
          <w:numId w:val="1"/>
        </w:numPr>
        <w:rPr/>
      </w:pPr>
      <w:bookmarkStart w:id="121" w:name="__RefHeading___Toc533655_3244359995"/>
      <w:bookmarkStart w:id="122" w:name="_Toc45"/>
      <w:bookmarkEnd w:id="121"/>
      <w:r>
        <w:rPr>
          <w:rtl w:val="true"/>
        </w:rPr>
        <w:t>تنبیهات</w:t>
      </w:r>
      <w:bookmarkEnd w:id="122"/>
    </w:p>
    <w:p>
      <w:pPr>
        <w:pStyle w:val="Heading6"/>
        <w:numPr>
          <w:ilvl w:val="5"/>
          <w:numId w:val="1"/>
        </w:numPr>
        <w:rPr/>
      </w:pPr>
      <w:bookmarkStart w:id="123" w:name="__RefHeading___Toc533657_3244359995"/>
      <w:bookmarkStart w:id="124" w:name="_Toc46"/>
      <w:bookmarkEnd w:id="123"/>
      <w:r>
        <w:rPr>
          <w:rtl w:val="true"/>
        </w:rPr>
        <w:t>أحدها</w:t>
      </w:r>
      <w:r>
        <w:rPr>
          <w:rtl w:val="true"/>
        </w:rPr>
        <w:t xml:space="preserve">: </w:t>
      </w:r>
      <w:r>
        <w:rPr>
          <w:rtl w:val="true"/>
        </w:rPr>
        <w:t>فی صیرورة الموسع مضیقا</w:t>
      </w:r>
      <w:bookmarkEnd w:id="124"/>
    </w:p>
    <w:p>
      <w:pPr>
        <w:pStyle w:val="BookText"/>
        <w:rPr/>
      </w:pPr>
      <w:r>
        <w:rPr>
          <w:rFonts w:ascii="IRNazanin" w:hAnsi="IRNazanin" w:eastAsia="IRNazanin"/>
          <w:color w:val="111111"/>
          <w:sz w:val="28"/>
          <w:sz w:val="28"/>
          <w:szCs w:val="28"/>
          <w:rtl w:val="true"/>
          <w:lang w:bidi="fa-IR"/>
        </w:rPr>
        <w:t>بعد اتضاح الواجب الموسع، فهل یصیر هو مضیقا شرعا، أم لا؟ و جهان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الأمر الداعی نحو الطبیعة بین الحدین، کان ملازما فی الأوسط مع ترخیص الترک فی خصوص الوقت المتوسط، و إذا ضاق الوقت فلا یعقل أن یرخص</w:t>
      </w:r>
      <w:bookmarkStart w:id="125" w:name="pg13163_142906"/>
    </w:p>
    <w:p>
      <w:pPr>
        <w:pStyle w:val="BookText"/>
        <w:rPr/>
      </w:pPr>
      <w:bookmarkEnd w:id="125"/>
      <w:r>
        <w:rPr>
          <w:rFonts w:ascii="IRNazanin" w:hAnsi="IRNazanin" w:eastAsia="IRNazanin"/>
          <w:color w:val="111111"/>
          <w:sz w:val="28"/>
          <w:sz w:val="28"/>
          <w:szCs w:val="28"/>
          <w:rtl w:val="true"/>
          <w:lang w:bidi="fa-IR"/>
        </w:rPr>
        <w:t>فی الترک، فیکون مضیقا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ما هو لازم التوقیت بین الحدین، هو عدم جواز التأخیر عن الوقت المضروب له، و هو أمر مشترک بین جمیع الأفراد؛ أی الأفراد الواقعة فی أثناء الوقت، و الفرد الواقع آخر الوقت، و أما جواز الترک فی أول الوقت و فی الأثناء، فهو لیس من لوازم الدلالة اللفظیة، بل هو من خواص الواجب الموسع عقلا و طبعا، و لا ینبغی الخلط حتی یتوهم الانقلاب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امتناع انقلاب القانون حسب الطوارئ و العوارض الخارجیة الخارجة عن مقام الجعل و التقنین، و تکون مربوطة بمقام الامتثال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تظهر الثمرة فی لزوم قصد الخصوصیة إذا صار مضیقا شرعا، و فی بطلان العبادة الأخری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 فی الثمرة علی بعض المسالک، لا یقدح فی صحة الاستثمار، فلا تخلط</w:t>
      </w:r>
      <w:r>
        <w:rPr>
          <w:rFonts w:eastAsia="IRNazanin" w:cs="IRNazanin"/>
          <w:color w:val="111111"/>
          <w:sz w:val="28"/>
          <w:szCs w:val="28"/>
          <w:rtl w:val="true"/>
          <w:lang w:bidi="fa-IR"/>
        </w:rPr>
        <w:t>.</w:t>
      </w:r>
    </w:p>
    <w:p>
      <w:pPr>
        <w:pStyle w:val="Heading6"/>
        <w:numPr>
          <w:ilvl w:val="5"/>
          <w:numId w:val="1"/>
        </w:numPr>
        <w:rPr/>
      </w:pPr>
      <w:bookmarkStart w:id="126" w:name="__RefHeading___Toc533659_3244359995"/>
      <w:bookmarkStart w:id="127" w:name="_Toc47"/>
      <w:bookmarkEnd w:id="126"/>
      <w:r>
        <w:rPr>
          <w:rtl w:val="true"/>
        </w:rPr>
        <w:t>ثانیها</w:t>
      </w:r>
      <w:r>
        <w:rPr>
          <w:rtl w:val="true"/>
        </w:rPr>
        <w:t xml:space="preserve">: </w:t>
      </w:r>
      <w:r>
        <w:rPr>
          <w:rtl w:val="true"/>
        </w:rPr>
        <w:t>فی عدم توقف إیجاب الموسع علی قدرة العبد</w:t>
      </w:r>
      <w:bookmarkEnd w:id="127"/>
    </w:p>
    <w:p>
      <w:pPr>
        <w:pStyle w:val="BookText"/>
        <w:rPr/>
      </w:pPr>
      <w:r>
        <w:rPr>
          <w:rFonts w:ascii="IRNazanin" w:hAnsi="IRNazanin" w:eastAsia="IRNazanin"/>
          <w:color w:val="111111"/>
          <w:sz w:val="28"/>
          <w:sz w:val="28"/>
          <w:szCs w:val="28"/>
          <w:rtl w:val="true"/>
          <w:lang w:bidi="fa-IR"/>
        </w:rPr>
        <w:t>هل یعتبر فی إیجاب الواجب الموسع، قدرة العبد فی جمیع الآنات؟</w:t>
      </w:r>
    </w:p>
    <w:p>
      <w:pPr>
        <w:pStyle w:val="BookText"/>
        <w:rPr/>
      </w:pPr>
      <w:r>
        <w:rPr>
          <w:rFonts w:ascii="Amiri" w:hAnsi="Amiri" w:eastAsia="Amiri" w:cs="Amiri"/>
          <w:color w:val="111111"/>
          <w:sz w:val="28"/>
          <w:sz w:val="28"/>
          <w:szCs w:val="28"/>
          <w:rtl w:val="true"/>
          <w:lang w:bidi="ar-SA"/>
        </w:rPr>
        <w:t>أم لا تعتبر أصلا القدرة؟</w:t>
      </w:r>
    </w:p>
    <w:p>
      <w:pPr>
        <w:pStyle w:val="BookText"/>
        <w:rPr/>
      </w:pPr>
      <w:r>
        <w:rPr>
          <w:rFonts w:ascii="IRNazanin" w:hAnsi="IRNazanin" w:eastAsia="IRNazanin"/>
          <w:color w:val="111111"/>
          <w:sz w:val="28"/>
          <w:sz w:val="28"/>
          <w:szCs w:val="28"/>
          <w:rtl w:val="true"/>
          <w:lang w:bidi="fa-IR"/>
        </w:rPr>
        <w:t>أم تکفی حال الامتثال، و یصح التکلیف فی جمیع الوقت و لو کان العبد عاجزا إلا فی بعض منه؟</w:t>
      </w:r>
    </w:p>
    <w:p>
      <w:pPr>
        <w:pStyle w:val="BookText"/>
        <w:rPr/>
      </w:pPr>
      <w:r>
        <w:rPr>
          <w:rFonts w:ascii="IRNazanin" w:hAnsi="IRNazanin" w:eastAsia="IRNazanin"/>
          <w:color w:val="111111"/>
          <w:sz w:val="28"/>
          <w:sz w:val="28"/>
          <w:szCs w:val="28"/>
          <w:rtl w:val="true"/>
          <w:lang w:bidi="fa-IR"/>
        </w:rPr>
        <w:t>أم تکفی القدرة حال التکلیف و حال الامتثال، و لا یضر العجز المتوسط بین الحالین؟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العجز المتقدم علی القدرة حال الامتثال لا یضر، و العجز المتأخر یضر، فلو</w:t>
      </w:r>
    </w:p>
    <w:p>
      <w:pPr>
        <w:pStyle w:val="BookText"/>
        <w:rPr/>
      </w:pPr>
      <w:r>
        <w:rPr>
          <w:rFonts w:ascii="IRNazanin" w:hAnsi="IRNazanin" w:eastAsia="IRNazanin"/>
          <w:color w:val="111111"/>
          <w:sz w:val="28"/>
          <w:sz w:val="28"/>
          <w:szCs w:val="28"/>
          <w:rtl w:val="true"/>
          <w:lang w:bidi="fa-IR"/>
        </w:rPr>
        <w:t>کان المکلف عاجزا فی أول الوقت إلی الأثناء، و قادرا فی ساعة من الأثناء، ثم یصیر عاجزا إلی آخر الوقت، فیصح التکلیف إلی حال القدرة علی الامتثال، و أما بعد العجز الثانی فلا یعقل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القدرة حال التکلیف و حال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هم إلی اعتبار استمرارها فی بقاء التکلیف، و یکون العجز المتخلل مضرا به، و هو مختار بعض السادة من أساتیذنا قدس سره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القدرة حال الامتثال </w:t>
      </w:r>
      <w:r>
        <w:rPr>
          <w:rStyle w:val="FootnoteAnchor"/>
          <w:rtl w:val="true"/>
        </w:rPr>
        <w:footnoteReference w:id="108"/>
      </w:r>
      <w:r>
        <w:rPr>
          <w:rFonts w:ascii="IRNazanin" w:hAnsi="IRNazanin" w:eastAsia="IRNazanin"/>
          <w:color w:val="111111"/>
          <w:sz w:val="28"/>
          <w:sz w:val="28"/>
          <w:szCs w:val="28"/>
          <w:rtl w:val="true"/>
          <w:lang w:bidi="fa-IR"/>
        </w:rPr>
        <w:t>لأن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یری ذلک یتمکن من ترشیح الإرادة، و توجیه الخطاب بالنسبة إلیه، و لا یعتبر أزید منه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عرفت منا تبعا للوالد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إمکان إسقاط شرطیة القدرة مطلقا</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یفصل بین الخطابات الشخصیة، و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القدرة حال الامتثال لفعلیة التکلیف قبله، و لکنها تسقط عن الفعلیة بعد العجز الثانی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تعتبر القدرة؛ علی الوجه المحرر فی محله تفصیله بما لا مزید علیه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28" w:name="pg13163_142910"/>
    </w:p>
    <w:p>
      <w:pPr>
        <w:pStyle w:val="Heading6"/>
        <w:numPr>
          <w:ilvl w:val="5"/>
          <w:numId w:val="1"/>
        </w:numPr>
        <w:rPr/>
      </w:pPr>
      <w:bookmarkStart w:id="129" w:name="__RefHeading___Toc533661_3244359995"/>
      <w:bookmarkStart w:id="130" w:name="_Toc48"/>
      <w:bookmarkEnd w:id="128"/>
      <w:bookmarkEnd w:id="129"/>
      <w:r>
        <w:rPr>
          <w:rtl w:val="true"/>
        </w:rPr>
        <w:t>ثالثها</w:t>
      </w:r>
      <w:r>
        <w:rPr>
          <w:rtl w:val="true"/>
        </w:rPr>
        <w:t xml:space="preserve">: </w:t>
      </w:r>
      <w:r>
        <w:rPr>
          <w:rtl w:val="true"/>
        </w:rPr>
        <w:t>فی أنّ التخییر فی الموسّع عقلیّ</w:t>
      </w:r>
      <w:bookmarkEnd w:id="130"/>
    </w:p>
    <w:p>
      <w:pPr>
        <w:pStyle w:val="BookText"/>
        <w:rPr/>
      </w:pPr>
      <w:r>
        <w:rPr>
          <w:rFonts w:ascii="IRNazanin" w:hAnsi="IRNazanin" w:eastAsia="IRNazanin"/>
          <w:color w:val="111111"/>
          <w:sz w:val="28"/>
          <w:sz w:val="28"/>
          <w:szCs w:val="28"/>
          <w:rtl w:val="true"/>
          <w:lang w:bidi="fa-IR"/>
        </w:rPr>
        <w:t>قد عرفت فی طیّ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عقلیّ فی الواجبات الموسّعة، و أنّ التخییر العقلیّ یتصوّر علی نحوین، و أنّ قضیّة انحلال الخطاب حسب أجزاء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حال للمکلّف، کسائر حالاته من العلم، و القدرة، و العجز،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المسألة تفصیلا، و لا یبعد کون الأمر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إلی خصوصیات الأفراد و مکثرا، فیکون التخییر شرعیا</w:t>
      </w:r>
      <w:r>
        <w:rPr>
          <w:rStyle w:val="FootnoteAnchor"/>
          <w:rtl w:val="true"/>
        </w:rPr>
        <w:footnoteReference w:id="11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6"/>
        <w:numPr>
          <w:ilvl w:val="5"/>
          <w:numId w:val="1"/>
        </w:numPr>
        <w:rPr/>
      </w:pPr>
      <w:bookmarkStart w:id="131" w:name="__RefHeading___Toc533663_3244359995"/>
      <w:bookmarkStart w:id="132" w:name="_Toc49"/>
      <w:bookmarkEnd w:id="131"/>
      <w:r>
        <w:rPr>
          <w:rtl w:val="true"/>
        </w:rPr>
        <w:t>رابعها</w:t>
      </w:r>
      <w:r>
        <w:rPr>
          <w:rtl w:val="true"/>
        </w:rPr>
        <w:t xml:space="preserve">: </w:t>
      </w:r>
      <w:r>
        <w:rPr>
          <w:rtl w:val="true"/>
        </w:rPr>
        <w:t>فی أن القضاء بالأمر الأول أو الجدید</w:t>
      </w:r>
      <w:bookmarkEnd w:id="132"/>
    </w:p>
    <w:p>
      <w:pPr>
        <w:pStyle w:val="BookText"/>
        <w:rPr/>
      </w:pPr>
      <w:r>
        <w:rPr>
          <w:rFonts w:ascii="IRNazanin" w:hAnsi="IRNazanin" w:eastAsia="IRNazanin"/>
          <w:color w:val="111111"/>
          <w:sz w:val="28"/>
          <w:sz w:val="28"/>
          <w:szCs w:val="28"/>
          <w:rtl w:val="true"/>
          <w:lang w:bidi="fa-IR"/>
        </w:rPr>
        <w:t xml:space="preserve">قد اشتهر بین أبناء التحقیق، تذییل هذه المسألة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القضاء هل هو بالأمر الأول و تابع للأداء، أم القضاء بالأمر الجدید و 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بأنها لیست مسألة أصولیة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الأولی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مع الإخلال ببعض قیود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کان، أو 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یبقی الوجوب، أم لا؟ و قد تعرضوا لهذه المسألة فی مباحث الاشتغال تحت عنوان آخر؛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أدلة الأجزاء و الشرائط، هل هو الرکنیة، فیکون لازمها أصالة الرکنیة، أم لا؟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بعد الفراغ عن إطلاقها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من صغریات تلک المسألة فی بحوث</w:t>
      </w:r>
    </w:p>
    <w:p>
      <w:pPr>
        <w:pStyle w:val="BookText"/>
        <w:rPr/>
      </w:pPr>
      <w:r>
        <w:rPr>
          <w:rFonts w:ascii="Amiri" w:hAnsi="Amiri" w:eastAsia="Amiri" w:cs="Amiri"/>
          <w:color w:val="111111"/>
          <w:sz w:val="28"/>
          <w:sz w:val="28"/>
          <w:szCs w:val="28"/>
          <w:rtl w:val="true"/>
          <w:lang w:bidi="ar-SA"/>
        </w:rPr>
        <w:t>البراءة و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إنّ اختلاف ألسنة الأدلة فی کیفیة أداء القید و الشرط، یورث الاختلاف فی المسألة، کان ینبغی أن یحول البحث إلی الفقه، حتی یکون علی ضوء مفید، و لکن قضیة التبعیة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الإیماء إلی هذه المسألة خصوصا، لیکون المراجع علی خبر بما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القضاء بالأمر الأوّل أو الجدید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عنهم عدم الدلالة</w:t>
      </w:r>
      <w:r>
        <w:rPr>
          <w:rStyle w:val="FootnoteAnchor"/>
          <w:rtl w:val="true"/>
        </w:rPr>
        <w:footnoteReference w:id="114"/>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الأمر الأوّل علی عدم الوجوب خارج الوقت </w:t>
      </w:r>
      <w:r>
        <w:rPr>
          <w:rStyle w:val="FootnoteAnchor"/>
          <w:rtl w:val="true"/>
        </w:rPr>
        <w:footnoteReference w:id="115"/>
      </w:r>
      <w:r>
        <w:rPr>
          <w:rFonts w:ascii="IRNazanin" w:hAnsi="IRNazanin" w:eastAsia="IRNazanin"/>
          <w:color w:val="111111"/>
          <w:sz w:val="28"/>
          <w:sz w:val="28"/>
          <w:szCs w:val="28"/>
          <w:rtl w:val="true"/>
          <w:lang w:bidi="fa-IR"/>
        </w:rPr>
        <w:t>، و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الأمر الأوّل عند ترک المأمور به فی الوقت عصیانا، و أما إذا ترکه لا عن عصیان، فلا دلالة له علی القضاء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بین کون التقیید بالوقت بالمتّصل، أو المنفصل، فإن کان دلیل المقید متّصلاً فلا دلالة للأمر الأول، و إن کان منفصلا فیدل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کان لدلیل المنفصل إطلاق، و ما إذا کان مهملا</w:t>
      </w:r>
      <w:r>
        <w:rPr>
          <w:rStyle w:val="FootnoteAnchor"/>
          <w:rtl w:val="true"/>
        </w:rPr>
        <w:footnoteReference w:id="117"/>
      </w:r>
      <w:r>
        <w:rPr>
          <w:rFonts w:ascii="IRNazanin" w:hAnsi="IRNazanin" w:eastAsia="IRNazanin"/>
          <w:color w:val="111111"/>
          <w:sz w:val="28"/>
          <w:sz w:val="28"/>
          <w:szCs w:val="28"/>
          <w:rtl w:val="true"/>
          <w:lang w:bidi="fa-IR"/>
        </w:rPr>
        <w:t>، فإن کان له إطلاق فلا یدل، و إن لم یکن له إطلاق، و کان لدلیل الواجب إطلاق، فدلیل الواجب متبع، و یدل علی بقاء الوجوب خارج الوقت؛ لأن الوقت المضروب له هو القدر المتیقن من التقیید حال القدرة، و الوقت الخارج مورد الشک، و إطلاق دلیل الواجب محکم و رافع للشبهة و الشک، فلو ترکها فی الوقت عصیانا</w:t>
      </w:r>
    </w:p>
    <w:p>
      <w:pPr>
        <w:pStyle w:val="BookText"/>
        <w:rPr/>
      </w:pPr>
      <w:r>
        <w:rPr>
          <w:rFonts w:ascii="IRNazanin" w:hAnsi="IRNazanin" w:eastAsia="IRNazanin"/>
          <w:color w:val="111111"/>
          <w:sz w:val="28"/>
          <w:sz w:val="28"/>
          <w:szCs w:val="28"/>
          <w:rtl w:val="true"/>
          <w:lang w:bidi="fa-IR"/>
        </w:rPr>
        <w:t>مثلا، فعلیه خارج الوقت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الوجوه و الأقوال فی المسألة، و الّذی یقتضیه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محلّ النزاع و المقصود فی المقام؛ هو ما إذا کان الدلیل علی التقیید بالوقت، کالدلیل علی التقیید بالطهارة و الستر، فکما أنّه فی سائر الأجزاء و القیود و الشرائط، لا تکون أدلّة إلاّ تفید قیدیة الأجزاء و الشرائط للطبیعة المأمور بها، و یکون الأمر الثانی إرشادا إلی التقیید و تضییق دائرة الطلب، کذلک دلیل الوقت لا یفید إلاّ تقیید الطبیعة به، و یکون فی موقف اشتراطها بالوقت کاشتراطها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تعدّد المطلوب هنا</w:t>
      </w:r>
      <w:r>
        <w:rPr>
          <w:rStyle w:val="FootnoteAnchor"/>
          <w:rtl w:val="true"/>
        </w:rPr>
        <w:footnoteReference w:id="118"/>
      </w:r>
      <w:r>
        <w:rPr>
          <w:rFonts w:ascii="IRNazanin" w:hAnsi="IRNazanin" w:eastAsia="IRNazanin"/>
          <w:color w:val="111111"/>
          <w:sz w:val="28"/>
          <w:sz w:val="28"/>
          <w:szCs w:val="28"/>
          <w:rtl w:val="true"/>
          <w:lang w:bidi="fa-IR"/>
        </w:rPr>
        <w:t>بلا وجه، کما لا تعدّد للمطلوب فی سائر الأجزاء الزمانیّة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جمع من الإطالة فی هذه المقالة حول وحدة المطلوب و تعدّده </w:t>
      </w:r>
      <w:r>
        <w:rPr>
          <w:rStyle w:val="FootnoteAnchor"/>
          <w:rtl w:val="true"/>
        </w:rPr>
        <w:footnoteReference w:id="119"/>
      </w:r>
      <w:r>
        <w:rPr>
          <w:rFonts w:ascii="IRNazanin" w:hAnsi="IRNazanin" w:eastAsia="IRNazanin"/>
          <w:color w:val="111111"/>
          <w:sz w:val="28"/>
          <w:sz w:val="28"/>
          <w:szCs w:val="28"/>
          <w:rtl w:val="true"/>
          <w:lang w:bidi="fa-IR"/>
        </w:rPr>
        <w:t>، فهو بحث آخر یشترک فیه سائر القیود و الشرائط، و لا ینبغی الخلط؛ ضرورة أنه علی تقدیر تعدد المطلوب فلا منع من الإتیان بالطبیعة الفاقدة؛ إما مطلقا، أو فی صورة العجز عن القید، طهارة کانت، أو 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محطّ الکلام فی المقام، فالذی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دلیل الطبیعة بخروج الوقت، کسائر الأجزاء، و لا یعقل بقاء الباعثیّة لأمرها بعد انتفاء قیدها و شرطها، أو جزئها؛ لأنّ المفروض أنّ المراد بالإرادة المتعلّقة بالطبیعة علی نعت الجدّ، هی الطبیعة المتقیّدة، دون الأعمّ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کون القید و الشرط أو الجزء، مطلوبا ثانیا فی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الطبیعة متقیّدة به فی حال الاختیار، بحیث لا یجوز البدار إلیها مع القدرة علی</w:t>
      </w:r>
    </w:p>
    <w:p>
      <w:pPr>
        <w:pStyle w:val="BookText"/>
        <w:rPr/>
      </w:pPr>
      <w:r>
        <w:rPr>
          <w:rFonts w:ascii="IRNazanin" w:hAnsi="IRNazanin" w:eastAsia="IRNazanin"/>
          <w:color w:val="111111"/>
          <w:sz w:val="28"/>
          <w:sz w:val="28"/>
          <w:szCs w:val="28"/>
          <w:rtl w:val="true"/>
          <w:lang w:bidi="fa-IR"/>
        </w:rPr>
        <w:t>القید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یأتی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من أجل أنّ دلیل الطبیعة إن کان له الإطلاق، فنتیجة الإطلاق هی مطلوبیّة الطبیعة فقط، و تکون الطبیعة تمام الموضوع، فعند ذلک لا یعقل کشف تعدد المطلوب؛ لأنّ دلیل القید و الجزء و إن کان له الإهمال، و لکنّه یورث التقیید طبعا، و یکون إثبات المطلوبیة خارج الوقت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مفاد إطلاق دلیل الطبیعة، مطلوبیّتها فی کلّ وقت، أو کان دلیل الطبیعة له العموم الأزمانیّ، فالتقیید المزبور لا یورث سقوط دلیل الطبیعة عن إثبات المطلوبیّة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فی هذا المقام، یظهر مواقف الخلط و الاشتباه فی کلمات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الإیماء إلیها لطال الکلام، مع أنّه خروج عن وضع الکتاب، و اللَّه الهادی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محلّ النزاع لا معنی لاختلافهم؛ لوضوح المسألة حسب العقل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فرضناه من فرض تعدد المطلوب لاقتضاء دلیل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بینه و بین دلیل القید، فیکون التقیید مخصوصا بحال دون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أیضا للخلاف فیه، فرجع الخلاف بین الأعلام فی المقام إلی عدم تحریر مصبّ الکلام و محطّ النفی و الإثبات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الممکن دعوی استفادة تعدّد المطلوب حتّی مع القید المتّصل، کما اشتهر ذلک فی المندوبات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133" w:name="pg13163_142918"/>
    </w:p>
    <w:p>
      <w:pPr>
        <w:pStyle w:val="Heading5"/>
        <w:numPr>
          <w:ilvl w:val="4"/>
          <w:numId w:val="1"/>
        </w:numPr>
        <w:rPr/>
      </w:pPr>
      <w:bookmarkStart w:id="134" w:name="__RefHeading___Toc533665_3244359995"/>
      <w:bookmarkStart w:id="135" w:name="_Toc50"/>
      <w:bookmarkEnd w:id="133"/>
      <w:bookmarkEnd w:id="134"/>
      <w:r>
        <w:rPr>
          <w:rtl w:val="true"/>
        </w:rPr>
        <w:t>تنبیه و إیقاظ</w:t>
      </w:r>
      <w:r>
        <w:rPr>
          <w:rtl w:val="true"/>
        </w:rPr>
        <w:t xml:space="preserve">: </w:t>
      </w:r>
      <w:r>
        <w:rPr>
          <w:rtl w:val="true"/>
        </w:rPr>
        <w:t>فی أنّ الأمر الجدید إرشاد إلی بقاء الأمر الأوّل اعتبارا</w:t>
      </w:r>
      <w:bookmarkEnd w:id="135"/>
    </w:p>
    <w:p>
      <w:pPr>
        <w:pStyle w:val="BookText"/>
        <w:rPr/>
      </w:pPr>
      <w:r>
        <w:rPr>
          <w:rFonts w:ascii="IRNazanin" w:hAnsi="IRNazanin" w:eastAsia="IRNazanin"/>
          <w:color w:val="111111"/>
          <w:sz w:val="28"/>
          <w:sz w:val="28"/>
          <w:szCs w:val="28"/>
          <w:rtl w:val="true"/>
          <w:lang w:bidi="fa-IR"/>
        </w:rPr>
        <w:t>هل الأدلّة الناهضة علی القضاء فی مواردها</w:t>
      </w:r>
      <w:r>
        <w:rPr>
          <w:rStyle w:val="FootnoteAnchor"/>
          <w:rtl w:val="true"/>
        </w:rPr>
        <w:footnoteReference w:id="121"/>
      </w:r>
      <w:r>
        <w:rPr>
          <w:rFonts w:ascii="IRNazanin" w:hAnsi="IRNazanin" w:eastAsia="IRNazanin"/>
          <w:color w:val="111111"/>
          <w:sz w:val="28"/>
          <w:sz w:val="28"/>
          <w:szCs w:val="28"/>
          <w:rtl w:val="true"/>
          <w:lang w:bidi="fa-IR"/>
        </w:rPr>
        <w:t>، تکون ظاهرة فی أنّ القضاء واجب مستأنف اخر، أم تفید الإرشاد إلی بقاء المطلوبیّة للطبیعة خارج الوقت؟</w:t>
      </w:r>
    </w:p>
    <w:p>
      <w:pPr>
        <w:pStyle w:val="BookText"/>
        <w:rPr/>
      </w:pPr>
      <w:r>
        <w:rPr>
          <w:rFonts w:ascii="IRNazanin" w:hAnsi="IRNazanin" w:eastAsia="IRNazanin"/>
          <w:color w:val="111111"/>
          <w:sz w:val="28"/>
          <w:sz w:val="28"/>
          <w:szCs w:val="28"/>
          <w:rtl w:val="true"/>
          <w:lang w:bidi="fa-IR"/>
        </w:rPr>
        <w:t>وجهان، و تفصیله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تعدّد الواجب تعدّد العقاب، فیکون المکلّف مؤاخذا علی أمرین تأسیسیّین، و هو غیر موافق لفهم العرف، بل القضاء تدارک لأجل مصلحة الطبیعة، و تصیر النتیجة تفویت مصلحة الوقت، و یکون نظیر تفویت مصلحة المائیّة و الإتیان بالترابیّة، فکان الأمر الجدید إرشادا إلی بقاء الأمر الأوّل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التی ذکروها للقضاء خارج الوقت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الفریضة أو الصلاة فلیقضها کما فاتته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فهو بلا أصل، و لا عهد به فی کتب الأخبار و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فهو لا یدلّ علی وجوب القضاء، بل یدلّ علی وجوب المماثلة بین المأتیّ به و المقضی، و لا یعقل دلالته علی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وجوب القضاء، و وجوب المماثلة؛ حسب الأفهام العرفیّة،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دلیل علی القضاء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یستفاد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الأوّل المتعلّق بالطبیعة المقیّدة، باق علی</w:t>
      </w:r>
      <w:bookmarkStart w:id="136" w:name="pg13163_142920"/>
    </w:p>
    <w:p>
      <w:pPr>
        <w:pStyle w:val="BookText"/>
        <w:rPr/>
      </w:pPr>
      <w:bookmarkEnd w:id="136"/>
      <w:r>
        <w:rPr>
          <w:rFonts w:ascii="IRNazanin" w:hAnsi="IRNazanin" w:eastAsia="IRNazanin"/>
          <w:color w:val="111111"/>
          <w:sz w:val="28"/>
          <w:sz w:val="28"/>
          <w:szCs w:val="28"/>
          <w:rtl w:val="true"/>
          <w:lang w:bidi="fa-IR"/>
        </w:rPr>
        <w:t>الطبیعة المطلقة، و یکون هو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الطبیعة خارج الوقت، فإن کان أمرا استحبابیّا فیکون القضاء مستحبّا، و إن کان واجبیا فهکذا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الأوامر تعدد المطلوب، و بقاء طلب المولی بالنسبة إلی الطبیعة المطلقة، و لو لا ذلک لما کان یمکن استفادة ذلک بالأمر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القضاء بالأمر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بدّ من قصد الأمر الأوّل، و امتثال ذلک الأمر خارج الوقت، و لذلک لیس القضاء من القیود النوعیّة، و لا یعتبر قصد القضائیّة أو الأدائیّة، علی خلاف عمیق فی المسألة؛ حسب ما تحرّر منّا فی کتاب الصلاة</w:t>
      </w:r>
      <w:r>
        <w:rPr>
          <w:rStyle w:val="FootnoteAnchor"/>
          <w:rtl w:val="true"/>
        </w:rPr>
        <w:footnoteReference w:id="124"/>
      </w:r>
      <w:r>
        <w:rPr>
          <w:rFonts w:ascii="IRNazanin" w:hAnsi="IRNazanin" w:eastAsia="IRNazanin"/>
          <w:color w:val="111111"/>
          <w:sz w:val="28"/>
          <w:sz w:val="28"/>
          <w:szCs w:val="28"/>
          <w:rtl w:val="true"/>
          <w:lang w:bidi="fa-IR"/>
        </w:rPr>
        <w:t xml:space="preserve">و الصوم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533667_3244359995"/>
      <w:bookmarkStart w:id="138" w:name="_Toc51"/>
      <w:bookmarkEnd w:id="137"/>
      <w:r>
        <w:rPr>
          <w:rtl w:val="true"/>
        </w:rPr>
        <w:t>تذنیب</w:t>
      </w:r>
      <w:r>
        <w:rPr>
          <w:rtl w:val="true"/>
        </w:rPr>
        <w:t xml:space="preserve">: </w:t>
      </w:r>
      <w:r>
        <w:rPr>
          <w:rtl w:val="true"/>
        </w:rPr>
        <w:t>فی بیان مقتضی الأصول العملیّة عند الشک فی أن القضاء بالأمر الأول أو الجدید</w:t>
      </w:r>
      <w:bookmarkEnd w:id="138"/>
    </w:p>
    <w:p>
      <w:pPr>
        <w:pStyle w:val="Heading6"/>
        <w:numPr>
          <w:ilvl w:val="5"/>
          <w:numId w:val="1"/>
        </w:numPr>
        <w:rPr/>
      </w:pPr>
      <w:bookmarkStart w:id="139" w:name="__RefHeading___Toc533669_3244359995"/>
      <w:bookmarkStart w:id="140" w:name="_Toc52"/>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الاجتهادیة تقصر عن إثبات الوجوب خارج الوقت، إلا فی فرض ذکرناه، و ذکرنا کیفیة تقریبه، فلو شک فی خصوص هذه المسألة؛ و هو أنّ القضاء هل هو بالأمر الأوّل القدیم، أم بالأمر الثانی الجدید المشکوک وجوده، فهل تصل النوبة إلی البراءة عن الوجوب خارج الوقت، أم لا، بل یجری استصحاب الوجوب الشخصیّ أو الکلّی؟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خلاف بین العلاّمة المحشی الأصفهانی قدس سره </w:t>
      </w:r>
      <w:r>
        <w:rPr>
          <w:rStyle w:val="FootnoteAnchor"/>
          <w:rtl w:val="true"/>
        </w:rPr>
        <w:footnoteReference w:id="126"/>
      </w:r>
      <w:r>
        <w:rPr>
          <w:rFonts w:ascii="IRNazanin" w:hAnsi="IRNazanin" w:eastAsia="IRNazanin"/>
          <w:color w:val="111111"/>
          <w:sz w:val="28"/>
          <w:sz w:val="28"/>
          <w:szCs w:val="28"/>
          <w:rtl w:val="true"/>
          <w:lang w:bidi="fa-IR"/>
        </w:rPr>
        <w:t>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فهو قدس سره أنکر أوّلا جریانه بکلا قسمیه، ثمّ أضاف إمکان إجرائه؛</w:t>
      </w:r>
      <w:bookmarkStart w:id="141" w:name="pg13163_142922"/>
    </w:p>
    <w:p>
      <w:pPr>
        <w:pStyle w:val="BookText"/>
        <w:rPr/>
      </w:pPr>
      <w:bookmarkEnd w:id="141"/>
      <w:r>
        <w:rPr>
          <w:rFonts w:ascii="IRNazanin" w:hAnsi="IRNazanin" w:eastAsia="IRNazanin"/>
          <w:color w:val="111111"/>
          <w:sz w:val="28"/>
          <w:sz w:val="28"/>
          <w:szCs w:val="28"/>
          <w:rtl w:val="true"/>
          <w:lang w:bidi="fa-IR"/>
        </w:rPr>
        <w:t>بدعوی أنّه بالنسبة إلی الاستصحاب الشخصیّ، یکون التقیّد المزبور من حالات موضوع الاستصحاب، فلا تتعدّد القضیّة المتیقّنة و 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الکلّی، فهو من القسم الثانی من أقسام القسم الثالث، بتقریب أنّ شخص الحکم له تعلّق بالذات بالموقّت، و بالعرض بالفعل، فطبیعیّ الحکم له تعلّق بالعرض بکلّ ما یتعلّق به شخص الحکم ذاتا و عرضا، و لازمه تعلق الحکم الکلی بالفعل الکلی بالعرض بواسطتین،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البحث فی هذه المسألة یقع فی جهتین</w:t>
      </w:r>
      <w:r>
        <w:rPr>
          <w:rFonts w:eastAsia="IRNazanin" w:cs="IRNazanin"/>
          <w:color w:val="111111"/>
          <w:sz w:val="28"/>
          <w:szCs w:val="28"/>
          <w:rtl w:val="true"/>
          <w:lang w:bidi="fa-IR"/>
        </w:rPr>
        <w:t>:</w:t>
      </w:r>
    </w:p>
    <w:p>
      <w:pPr>
        <w:pStyle w:val="Heading6"/>
        <w:numPr>
          <w:ilvl w:val="5"/>
          <w:numId w:val="1"/>
        </w:numPr>
        <w:rPr/>
      </w:pPr>
      <w:bookmarkStart w:id="142" w:name="__RefHeading___Toc533671_3244359995"/>
      <w:bookmarkStart w:id="143" w:name="_Toc53"/>
      <w:bookmarkEnd w:id="142"/>
      <w:r>
        <w:rPr>
          <w:rtl w:val="true"/>
        </w:rPr>
        <w:t>الجهة الأولی</w:t>
      </w:r>
      <w:r>
        <w:rPr>
          <w:rtl w:val="true"/>
        </w:rPr>
        <w:t xml:space="preserve">: </w:t>
      </w:r>
      <w:r>
        <w:rPr>
          <w:rtl w:val="true"/>
        </w:rPr>
        <w:t>فی استصحاب الشخصی</w:t>
      </w:r>
      <w:bookmarkEnd w:id="143"/>
    </w:p>
    <w:p>
      <w:pPr>
        <w:pStyle w:val="Heading6"/>
        <w:numPr>
          <w:ilvl w:val="5"/>
          <w:numId w:val="1"/>
        </w:numPr>
        <w:rPr/>
      </w:pPr>
      <w:bookmarkStart w:id="144" w:name="__RefHeading___Toc533673_3244359995"/>
      <w:bookmarkStart w:id="145" w:name="_Toc54"/>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بناء علی کون الواجب هو الصلاة الموقتة، فاستصحاب الوجوب الشخصی مشکل؛ ضرورة أن الصلاة المطلقة و المقیدة موضوعان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القیود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یعد من المقومات، و قسم یعد من الحالات، و الوقت من الثانیة، لا الأولی</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فی غیر محله؛ لأن هذا التفصیل یتم بالنسبة إلی الأمور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الکلبیة و الملحیة من المقومات، فلا یجری استصحاب نجاسة ما کان کلبا، ثم صار 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قیود العلم و الجهل و الفسق و العدالة من الحالات، فیصح إجراء استصحاب وجوب إکرام زید حال العلم إلی حال الجهل و هکذا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العناوین الکلیة، فجمیع القیود تعد من المقومات، و عنوان الکلی المطلق مغایر مع عنوان الکلی المقید، فلا یمکن إجراء استصحاب نجاسة الماء المتغیر؛ لإثبات نجاسة الماء المطلق، و هکذا لا یصح إجراء استصحاب</w:t>
      </w:r>
    </w:p>
    <w:p>
      <w:pPr>
        <w:pStyle w:val="BookText"/>
        <w:rPr/>
      </w:pPr>
      <w:r>
        <w:rPr>
          <w:rFonts w:ascii="IRNazanin" w:hAnsi="IRNazanin" w:eastAsia="IRNazanin"/>
          <w:color w:val="111111"/>
          <w:sz w:val="28"/>
          <w:sz w:val="28"/>
          <w:szCs w:val="28"/>
          <w:rtl w:val="true"/>
          <w:lang w:bidi="fa-IR"/>
        </w:rPr>
        <w:t>وجوب الصلاة المقیدة؛ لإثبات وجوب مطلق الصلاة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المحشی المزبور صرح فی غیر هذا الموقف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جمیع العناوین فی عالم العنوان متباینات</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الصلاة خارج الوقت لا یکون محفوظا، و یکون الواجب هو الصلاة خارج الوقت، فتکون مقیدة بضد القید فی حال الیقین؛ فإنه فی حال الیقین کان الواجب هی الصلاة المقیدة بالوقت، و فی حال الشک یکون المقصود إثبات وجوب الصلاة المقیدة بخارج الوقت،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کون الواجب هو الصلاة المقیدة بالوقت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 الواجب هو الصلاة من أول الزوال إلی الغروب، فیکون للإرادة أمد یشرع من أول الزوال، و یختم فی أول الغروب،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اللب و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الواجب مقیدا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عدم صحة القضایا الحینیة فی الواجبات الشرعیة و القوانین العرفیة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لا ینبغی الخلط بین مقام الثبوت و اللب، و بین مقام الإثبات و الإنشاء، و قد تقرر فی مباحث العام و الخاصّ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جمع بأن العمومات بعد التخصیص، لا تصیر معنونة بعناوین الخاصّ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فی مجری الأصول العملیة و الاستصحاب، و التفصیل فی محله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أیضا یکون الأمر کذلک؛ فإنه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ظرف الوجوب الطبیعة متقیدة</w:t>
      </w:r>
      <w:r>
        <w:rPr>
          <w:rFonts w:eastAsia="IRNazanin" w:cs="IRNazanin"/>
          <w:color w:val="111111"/>
          <w:sz w:val="28"/>
          <w:szCs w:val="28"/>
          <w:rtl w:val="true"/>
          <w:lang w:bidi="fa-IR"/>
        </w:rPr>
        <w:t>.</w:t>
      </w:r>
      <w:bookmarkStart w:id="146" w:name="pg13163_142926"/>
    </w:p>
    <w:p>
      <w:pPr>
        <w:pStyle w:val="BookText"/>
        <w:rPr/>
      </w:pPr>
      <w:bookmarkEnd w:id="146"/>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هی بحسب مقام الإنشاء مطلقة، و تکون القضیة حینیة ظاهرا و إنشاء، فإنها بحسب اللب و إن کانت قضیة تقییدیة، و لکنها بحسب الأحکام قضیة حینیة، فافهم و اغتنم</w:t>
      </w:r>
      <w:r>
        <w:rPr>
          <w:rFonts w:eastAsia="IRNazanin" w:cs="IRNazanin"/>
          <w:color w:val="111111"/>
          <w:sz w:val="28"/>
          <w:szCs w:val="28"/>
          <w:rtl w:val="true"/>
          <w:lang w:bidi="fa-IR"/>
        </w:rPr>
        <w:t>.</w:t>
      </w:r>
    </w:p>
    <w:p>
      <w:pPr>
        <w:pStyle w:val="Heading6"/>
        <w:numPr>
          <w:ilvl w:val="5"/>
          <w:numId w:val="1"/>
        </w:numPr>
        <w:rPr/>
      </w:pPr>
      <w:bookmarkStart w:id="147" w:name="__RefHeading___Toc533675_3244359995"/>
      <w:bookmarkStart w:id="148" w:name="_Toc55"/>
      <w:bookmarkEnd w:id="147"/>
      <w:r>
        <w:rPr>
          <w:rtl w:val="true"/>
        </w:rPr>
        <w:t>تنبیه</w:t>
      </w:r>
      <w:r>
        <w:rPr>
          <w:rtl w:val="true"/>
        </w:rPr>
        <w:t xml:space="preserve">: </w:t>
      </w:r>
      <w:r>
        <w:rPr>
          <w:rtl w:val="true"/>
        </w:rPr>
        <w:t>فی بیان محتملات استصحاب الشخصی</w:t>
      </w:r>
      <w:bookmarkEnd w:id="148"/>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النّظر إلی إجراء استصحاب الشخصی بالنسبة إلی الموضوع الکلی؛ و هو أن الصلاة إذا کانت واجبة علی الأمة الإسلامیة فی أوقاتها، ثم شک فی بقاء الوجوب المزبور بعد مضی الوقت علیهم، فهل یجری الاستصحاب أم لا؟</w:t>
      </w:r>
    </w:p>
    <w:p>
      <w:pPr>
        <w:pStyle w:val="BookText"/>
        <w:rPr/>
      </w:pPr>
      <w:r>
        <w:rPr>
          <w:rFonts w:ascii="IRNazanin" w:hAnsi="IRNazanin" w:eastAsia="IRNazanin"/>
          <w:color w:val="111111"/>
          <w:sz w:val="28"/>
          <w:sz w:val="28"/>
          <w:szCs w:val="28"/>
          <w:rtl w:val="true"/>
          <w:lang w:bidi="fa-IR"/>
        </w:rPr>
        <w:t>و هذا مورد الإشکال عندنا، و قد فرغنا من عدم جریان استصحاب الأحکام الکلیة الإلهیة ذاتا</w:t>
      </w:r>
      <w:r>
        <w:rPr>
          <w:rStyle w:val="FootnoteAnchor"/>
          <w:rtl w:val="true"/>
        </w:rPr>
        <w:footnoteReference w:id="133"/>
      </w:r>
      <w:r>
        <w:rPr>
          <w:rFonts w:ascii="IRNazanin" w:hAnsi="IRNazanin" w:eastAsia="IRNazanin"/>
          <w:color w:val="111111"/>
          <w:sz w:val="28"/>
          <w:sz w:val="28"/>
          <w:szCs w:val="28"/>
          <w:rtl w:val="true"/>
          <w:lang w:bidi="fa-IR"/>
        </w:rPr>
        <w:t xml:space="preserve">، لا لأجل المعارضة کما تخیله النراقی </w:t>
      </w:r>
      <w:r>
        <w:rPr>
          <w:rStyle w:val="FootnoteAnchor"/>
          <w:rtl w:val="true"/>
        </w:rPr>
        <w:footnoteReference w:id="134"/>
      </w:r>
      <w:r>
        <w:rPr>
          <w:rFonts w:ascii="IRNazanin" w:hAnsi="IRNazanin" w:eastAsia="IRNazanin"/>
          <w:color w:val="111111"/>
          <w:sz w:val="28"/>
          <w:sz w:val="28"/>
          <w:szCs w:val="28"/>
          <w:rtl w:val="true"/>
          <w:lang w:bidi="fa-IR"/>
        </w:rPr>
        <w:t xml:space="preserve">و غیره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النّظر إلی حال زید و الشخص المعین، و لکن قبل مضی الوقت و أنه علی تقدیره، فهل یبقی الوجوب أم لا؟ فیه و جهان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یظهر هو الثانی؛ لأنه یرجع إلی الاستصحاب التعلیقی الاستقبالی، و الاستصحاب الاستقبالی فی الشبهة الموضوعیة غیر ممنوع، کاستصحاب بقاء رمضان إلی یوم کذا، مع عدم مضی رمضان بعد، و أما الاستصحاب الاستقبالی فیما نحن فیه فیرجع إلی التعلیقی؛ لعدم إمکان الشک الفعلی فی بقاء الوجوب بعد الوقت، إلا علی تقدیر عدم الامتثال فی الوقت، و هذا التعلیق من التعلیق الاختراعی الممنوع جریانه فیه عندهم </w:t>
      </w:r>
      <w:r>
        <w:rPr>
          <w:rStyle w:val="FootnoteAnchor"/>
          <w:rtl w:val="true"/>
        </w:rPr>
        <w:footnoteReference w:id="136"/>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bookmarkStart w:id="149" w:name="pg13163_142928"/>
    </w:p>
    <w:p>
      <w:pPr>
        <w:pStyle w:val="BookText"/>
        <w:rPr/>
      </w:pPr>
      <w:bookmarkEnd w:id="149"/>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بعد مضی الوقت، و 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یکن فی الوقت ملتفتا إلی هذه الشبهة، فإنه یمکن إجراء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ملتفتا إلیها، فتجری البراءة بالنسبة إلی ما بعد الوقت، و لا یمکن إجراء الاستصحاب؛ لأن مقتضی البراءة الشرعیة هو التعبد بعدم الحکم، فلا یعتبر لموضوع الاستصحاب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نحو من الحکومة الراجعة إلی دفع الموضوع، لا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فی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الإتیان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بقاء الوجوب، یکون الاستصحاب غیر نافع؛ لأن البراءة عن وجوب الأکثر دافعة للاستصحاب، و هذا من موارد تقدم الأصل غیر المحرز علی الأمارة و الأصل المحرز، کذلک فیما نحن فیه إذا شک فی الوجوب خارج الوقت، فقضیة البراءة عدمه، و إذا مضی و شک فی بقاء الوجوب المزبور فلا یجری الاستصحاب؛ لانتفاء شکه تعبدا و اعتبارا، أی لا معنی لأن یشک فی بقاء الوجوب علی الطبیعة المزبورة،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الصورة الأولی من الصورتین الأخیرتین، إجراء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التقریب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 لکن بناء علی إجراء البراءة فی الوقت عن الوجوب خارج الوقت،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إجراءها فی الشبهات الحکمیة لا یتقوم بالشک الفعلی، بل لو کان یلتفت، و یکون غیر عالم بالواقع بحسب الثبوت، تجری البراءة، فتأمل</w:t>
      </w:r>
      <w:r>
        <w:rPr>
          <w:rFonts w:eastAsia="IRNazanin" w:cs="IRNazanin"/>
          <w:color w:val="111111"/>
          <w:sz w:val="28"/>
          <w:szCs w:val="28"/>
          <w:rtl w:val="true"/>
          <w:lang w:bidi="fa-IR"/>
        </w:rPr>
        <w:t>.</w:t>
      </w:r>
    </w:p>
    <w:p>
      <w:pPr>
        <w:pStyle w:val="Heading6"/>
        <w:numPr>
          <w:ilvl w:val="5"/>
          <w:numId w:val="1"/>
        </w:numPr>
        <w:rPr/>
      </w:pPr>
      <w:bookmarkStart w:id="150" w:name="__RefHeading___Toc533677_3244359995"/>
      <w:bookmarkStart w:id="151" w:name="_Toc56"/>
      <w:bookmarkEnd w:id="150"/>
      <w:r>
        <w:rPr>
          <w:rtl w:val="true"/>
        </w:rPr>
        <w:t>الجهة الثانیة</w:t>
      </w:r>
      <w:r>
        <w:rPr>
          <w:rtl w:val="true"/>
        </w:rPr>
        <w:t xml:space="preserve">: </w:t>
      </w:r>
      <w:r>
        <w:rPr>
          <w:rtl w:val="true"/>
        </w:rPr>
        <w:t>فی استصحاب الکلی</w:t>
      </w:r>
      <w:bookmarkEnd w:id="1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کون الواجب هی الصلاة المقیدة بالوقت، فعند انتفاء الحکم الشخصی عنها، و احتمال حدوث الحکم الآخر علیها، یجری استصحاب الکلی</w:t>
      </w:r>
    </w:p>
    <w:p>
      <w:pPr>
        <w:pStyle w:val="BookText"/>
        <w:rPr/>
      </w:pPr>
      <w:r>
        <w:rPr>
          <w:rFonts w:ascii="IRNazanin" w:hAnsi="IRNazanin" w:eastAsia="IRNazanin"/>
          <w:color w:val="111111"/>
          <w:sz w:val="28"/>
          <w:sz w:val="28"/>
          <w:szCs w:val="28"/>
          <w:rtl w:val="true"/>
          <w:lang w:bidi="fa-IR"/>
        </w:rPr>
        <w:t>و القسم الثانی من الأقسام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خلاف المقصود؛ لأن النّظر إلی إثبات وجوب الطبیعة المطلقة، و هذا لیس من أقسام الکلی، و لأجل ذلک تصدی العلامة المحشی قدس سره لإثبات أن الطبیعة المقیدة إذا کانت واجبة، فیستند الحکم إلی الجزء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استناد، و بزوال الشخص یحتمل حدوث الحکم الآخر علی الجزء منها؛ و هی أصل الطبیعة،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استصحاب الکلی للوجوب الضمنی، و الثابت للطبیعة المطلقة حین ثبوت الوجوب الأصلی النفسیّ للطبیعة المقیدة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الوجوب الضمنی لا أساس له، کما نبهنا علیه فی محله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الکلی الجامع عقلی، لا خارجی و شرعی، و استصحاب مثله محل المناقشة؛ لأنه من قبیل استصحاب الأحکام الانتزاعیة الّذی أجروه فی الأقل و الأکثر أیضا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علی کون الواجب هی الصلاة من أول الزوال إلی الغروب، فهو مما لا بأس به، إلا أن جریان استصحاب الکلی محل المنع، و لا سیما القسم الأول و الثانی، و التفصیل یطلب من محاله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152" w:name="pg13163_142932"/>
    </w:p>
    <w:p>
      <w:pPr>
        <w:pStyle w:val="Heading4"/>
        <w:numPr>
          <w:ilvl w:val="3"/>
          <w:numId w:val="1"/>
        </w:numPr>
        <w:rPr/>
      </w:pPr>
      <w:bookmarkStart w:id="153" w:name="__RefHeading___Toc533679_3244359995"/>
      <w:bookmarkStart w:id="154" w:name="_Toc57"/>
      <w:bookmarkEnd w:id="152"/>
      <w:bookmarkEnd w:id="153"/>
      <w:r>
        <w:rPr>
          <w:rtl w:val="true"/>
        </w:rPr>
        <w:t>النحو الخامس فی الواجب بالأصالة و بالتبع</w:t>
      </w:r>
      <w:bookmarkEnd w:id="154"/>
    </w:p>
    <w:p>
      <w:pPr>
        <w:pStyle w:val="BookText"/>
        <w:rPr/>
      </w:pPr>
      <w:r>
        <w:rPr>
          <w:rFonts w:ascii="IRNazanin" w:hAnsi="IRNazanin" w:eastAsia="IRNazanin"/>
          <w:color w:val="111111"/>
          <w:sz w:val="28"/>
          <w:sz w:val="28"/>
          <w:szCs w:val="28"/>
          <w:rtl w:val="true"/>
          <w:lang w:bidi="fa-IR"/>
        </w:rPr>
        <w:t>و هذا نظیر صلاة الظهر و الجمعة، فإن صلاة الظهر واجبة بالأصالة، و لا بد من امتثال أمرها، و صلاة الجمعة أیضا مطلوب نفسی، و لکنها اعتبرت مجزیة عن الظهر، و تکون مسقطة لأمر الظهر، و لذلک اشتهر الخلاف فی أن الجمعة تجزی عن الظهر، أم لا؟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وجوب الجمعة و الظهر تخییریا؛ لأنه لا معنی لکون أحد الواجبین التخیریین، مجزیا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مورد الشک؛ فإنه لا یمکن إجراء البراءة بالنسبة إلی المشکوک فی صلاة الجمعة، لأنه یرجع إلی الشک فی سقوط أمر الظهر، فتدبر،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تم الفراغ من مباحث الأوامر یوم الأحد، الثالث عشر من ربیع المولود، عام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المؤید و الموفق</w:t>
      </w:r>
      <w:bookmarkStart w:id="155" w:name="pg13163_142939"/>
    </w:p>
    <w:p>
      <w:pPr>
        <w:pStyle w:val="Heading2"/>
        <w:numPr>
          <w:ilvl w:val="1"/>
          <w:numId w:val="1"/>
        </w:numPr>
        <w:rPr/>
      </w:pPr>
      <w:bookmarkStart w:id="156" w:name="__RefHeading___Toc533681_3244359995"/>
      <w:bookmarkStart w:id="157" w:name="_Toc58"/>
      <w:bookmarkEnd w:id="155"/>
      <w:bookmarkEnd w:id="156"/>
      <w:r>
        <w:rPr>
          <w:rtl w:val="true"/>
        </w:rPr>
        <w:t>المقصد الثالث فی النواهی</w:t>
      </w:r>
      <w:bookmarkEnd w:id="157"/>
    </w:p>
    <w:p>
      <w:pPr>
        <w:pStyle w:val="Heading3"/>
        <w:numPr>
          <w:ilvl w:val="2"/>
          <w:numId w:val="1"/>
        </w:numPr>
        <w:rPr/>
      </w:pPr>
      <w:bookmarkStart w:id="158" w:name="__RefHeading___Toc533683_3244359995"/>
      <w:bookmarkStart w:id="159" w:name="_Toc59"/>
      <w:bookmarkEnd w:id="158"/>
      <w:r>
        <w:rPr>
          <w:rtl w:val="true"/>
        </w:rPr>
        <w:t>اشارة</w:t>
      </w:r>
      <w:bookmarkEnd w:id="15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فیه یقع فی عدة مباحث</w:t>
      </w:r>
      <w:r>
        <w:rPr>
          <w:rFonts w:eastAsia="IRNazanin" w:cs="IRNazanin"/>
          <w:color w:val="111111"/>
          <w:sz w:val="28"/>
          <w:szCs w:val="28"/>
          <w:rtl w:val="true"/>
          <w:lang w:bidi="fa-IR"/>
        </w:rPr>
        <w:t>:</w:t>
      </w:r>
      <w:bookmarkStart w:id="160" w:name="pg13163_142943"/>
    </w:p>
    <w:p>
      <w:pPr>
        <w:pStyle w:val="Heading3"/>
        <w:numPr>
          <w:ilvl w:val="2"/>
          <w:numId w:val="1"/>
        </w:numPr>
        <w:rPr/>
      </w:pPr>
      <w:bookmarkStart w:id="161" w:name="__RefHeading___Toc533685_3244359995"/>
      <w:bookmarkStart w:id="162" w:name="_Toc60"/>
      <w:bookmarkEnd w:id="160"/>
      <w:bookmarkEnd w:id="161"/>
      <w:r>
        <w:rPr>
          <w:rtl w:val="true"/>
        </w:rPr>
        <w:t>المبحث الأول فیما یتعلق بمادة النهی و هیئته وضعا و إطلاقا</w:t>
      </w:r>
      <w:bookmarkEnd w:id="162"/>
    </w:p>
    <w:p>
      <w:pPr>
        <w:pStyle w:val="Heading4"/>
        <w:numPr>
          <w:ilvl w:val="3"/>
          <w:numId w:val="1"/>
        </w:numPr>
        <w:rPr/>
      </w:pPr>
      <w:bookmarkStart w:id="163" w:name="__RefHeading___Toc533687_3244359995"/>
      <w:bookmarkStart w:id="164" w:name="_Toc61"/>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165" w:name="__RefHeading___Toc533689_3244359995"/>
      <w:bookmarkStart w:id="166" w:name="_Toc62"/>
      <w:bookmarkEnd w:id="165"/>
      <w:r>
        <w:rPr>
          <w:rtl w:val="true"/>
        </w:rPr>
        <w:t>الفصل الأول فی مادة النهی</w:t>
      </w:r>
      <w:bookmarkEnd w:id="166"/>
    </w:p>
    <w:p>
      <w:pPr>
        <w:pStyle w:val="BookText"/>
        <w:rPr/>
      </w:pPr>
      <w:r>
        <w:rPr>
          <w:rFonts w:ascii="IRNazanin" w:hAnsi="IRNazanin" w:eastAsia="IRNazanin"/>
          <w:color w:val="111111"/>
          <w:sz w:val="28"/>
          <w:sz w:val="28"/>
          <w:szCs w:val="28"/>
          <w:rtl w:val="true"/>
          <w:lang w:bidi="fa-IR"/>
        </w:rPr>
        <w:t>و الظاهر أنّها کمادة الأمر فی کونها موضوعة للصیغ الناهیة بما لها من المعنی،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 آله و سلم عن بیع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الغرر</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فلا یتبادر منه إلا أنه صلی اللَّه علیه و آله و سلم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تغر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نَهاکُمْ عَنْهُ فَانْتَهُوا</w:t>
      </w:r>
      <w:r>
        <w:rPr>
          <w:rStyle w:val="FootnoteAnchor"/>
          <w:rtl w:val="true"/>
        </w:rPr>
        <w:footnoteReference w:id="143"/>
      </w:r>
      <w:r>
        <w:rPr>
          <w:rFonts w:ascii="IRNazanin" w:hAnsi="IRNazanin" w:eastAsia="IRNazanin"/>
          <w:color w:val="111111"/>
          <w:sz w:val="28"/>
          <w:sz w:val="28"/>
          <w:szCs w:val="28"/>
          <w:rtl w:val="true"/>
          <w:lang w:bidi="fa-IR"/>
        </w:rPr>
        <w:t>فلا یفهم منه شی‌ء مستقل، بل ینصرف الذهن إلی النواهی الصادرة منه صلی اللَّه علیه و آله و سلم من غیر کونه نهیا عن شی‌ء، و قد مر تفصیله منا بشکل واضح فی الأوامر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یکون الزجر بالفعل و بالإشارة و المنع بغیر القول، فإنه أیضا داخل فی حد الموضوع له، کما هو الظاهر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مما یجب الإیماء إلیه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الإنشاء الممکن بالصیغة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p>
    <w:p>
      <w:pPr>
        <w:pStyle w:val="BookText"/>
        <w:rPr/>
      </w:pPr>
      <w:r>
        <w:rPr>
          <w:rFonts w:ascii="IRNazanin" w:hAnsi="IRNazanin" w:eastAsia="IRNazanin"/>
          <w:color w:val="111111"/>
          <w:sz w:val="28"/>
          <w:sz w:val="28"/>
          <w:szCs w:val="28"/>
          <w:rtl w:val="true"/>
          <w:lang w:bidi="fa-IR"/>
        </w:rPr>
        <w:t>کان إنشاء طلب الترک، أو الکف، أو إنشاء الزجر 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الممکن بالمادة أیضا، إلا أنه خروج عن مقتضی المادة لغة، و نوع مجاز مضی تفصیله فی کیفیة الإنشاء بمادة الأمر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تجب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المنشأ بمادته هو المنشأ بصیغته، و الّذی هو صریح اللغة هو أن مادة النهی موضوعة للزجر و المنع،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نهاه عن أمر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زجره و منعه عنه </w:t>
      </w:r>
      <w:r>
        <w:rPr>
          <w:rStyle w:val="FootnoteAnchor"/>
          <w:rtl w:val="true"/>
        </w:rPr>
        <w:footnoteReference w:id="146"/>
      </w:r>
      <w:r>
        <w:rPr>
          <w:rFonts w:ascii="IRNazanin" w:hAnsi="IRNazanin" w:eastAsia="IRNazanin"/>
          <w:color w:val="111111"/>
          <w:sz w:val="28"/>
          <w:sz w:val="28"/>
          <w:szCs w:val="28"/>
          <w:rtl w:val="true"/>
          <w:lang w:bidi="fa-IR"/>
        </w:rPr>
        <w:t xml:space="preserve">، فإذا استعملت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الإنشاء بنحو صدقه العقلاء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مادة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المنشأ به معناها اللغوی الّذی یعد الموضوع له لتلک المادة، و هذا ینفعک کثیرا فی البحث الآتی الواقع بین أبناء الفضل قدیما و حدیثا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یؤید ذلک جدا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نَهاکُمْ عَنْهُ فَانْتَهُوا</w:t>
      </w:r>
      <w:r>
        <w:rPr>
          <w:rStyle w:val="FootnoteAnchor"/>
          <w:rtl w:val="true"/>
        </w:rPr>
        <w:footnoteReference w:id="147"/>
      </w:r>
      <w:r>
        <w:rPr>
          <w:rFonts w:ascii="IRNazanin" w:hAnsi="IRNazanin" w:eastAsia="IRNazanin"/>
          <w:color w:val="111111"/>
          <w:sz w:val="28"/>
          <w:sz w:val="28"/>
          <w:szCs w:val="28"/>
          <w:rtl w:val="true"/>
          <w:lang w:bidi="fa-IR"/>
        </w:rPr>
        <w:t>إذا کان معناه أی ما طلب منکم ترک الفعل، فلا یساعده المطاوعة الصحیحة، بخلاف ما إذا حمل علی معناه فی اللغة؛ أی و إذا زجرکم عن شی‌ء و منعکم عنه فانزجروا و امتنعوا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المسألة صارت کالنار علی المنار، و لا سیما أن تفسیر قوله تعالی بطلب الترک منکم، تفسیر علی خلاف مفاده؛ ضرورة أن معناه لو کان الطلب فلا وجه لتعدیته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یتعدی بها إذا فسرناه بکلمة الزجر و المنع،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زجرکم عنه فانزجروا، و ما منعکم عنه فامتنعوا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کون معنی النهی هو الزجر، و صیغة النهی معناها طلب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توهّم یستلزم الإجمال فی الآیة؛ لأن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نَهاکُمْ عَنْهُ معناه ما زجرکم عنه، فإن کان النهی مصداق الزجر فهو، و إلا فلا یجب الانتهاء عن نهیه؛ لأنه بمعنی طلب الترک، فتأمل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التوجیه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النهی لا تدل بالوضع علی الحرمة، بل دلالتها علیها بالإطلاق؛ حسبما تقرر فی مادة الأمر</w:t>
      </w:r>
      <w:r>
        <w:rPr>
          <w:rStyle w:val="FootnoteAnchor"/>
          <w:rtl w:val="true"/>
        </w:rPr>
        <w:footnoteReference w:id="148"/>
      </w:r>
      <w:r>
        <w:rPr>
          <w:rFonts w:ascii="IRNazanin" w:hAnsi="IRNazanin" w:eastAsia="IRNazanin"/>
          <w:color w:val="111111"/>
          <w:sz w:val="28"/>
          <w:sz w:val="28"/>
          <w:szCs w:val="28"/>
          <w:rtl w:val="true"/>
          <w:lang w:bidi="fa-IR"/>
        </w:rPr>
        <w:t>، فما هو المستفاد منه أمر أعم من کون المنع علی سبیل التحریم، أو علی سبیل التنزیه و الکراهة، فاستعمال هذه المادة فی موارد التنزیه، لیس من المجاز من هذه الجهة، و إن کان مجازا فی کونها فی متعلقة الإنشاء،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بحثا آخر یشترک فیه صیغة النهی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المستفاد من النهی مادة و صیغة، هل هی الحرمة بحیث یشمله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أم الحرمة المقصودة مفاد مادتها،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w:t>
      </w:r>
      <w:r>
        <w:rPr>
          <w:rStyle w:val="FootnoteAnchor"/>
          <w:rtl w:val="true"/>
        </w:rPr>
        <w:footnoteReference w:id="150"/>
      </w:r>
      <w:r>
        <w:rPr>
          <w:rFonts w:ascii="IRNazanin" w:hAnsi="IRNazanin" w:eastAsia="IRNazanin"/>
          <w:color w:val="111111"/>
          <w:sz w:val="28"/>
          <w:sz w:val="28"/>
          <w:szCs w:val="28"/>
          <w:rtl w:val="true"/>
          <w:lang w:bidi="fa-IR"/>
        </w:rPr>
        <w:t xml:space="preserve">فلا یکون متعلق النهی محرما؟ و جهان یأتی تفصیلهما إن شاء اللَّه تعالی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مادة النهی مع مادة الأمر فی نوع هذه الخصوصیات، و منها اعتبار العلو و الاستعلاء معا، أو علی سبیل منع الخلو فی الإنشاء بالمادة، و قد مضی تفصیله، و ذکرنا عدم اعتبارهما لا فی المادة، و لا فی الصیغة، و من شاء فلیراجع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167" w:name="pg13163_142950"/>
    </w:p>
    <w:p>
      <w:pPr>
        <w:pStyle w:val="Heading4"/>
        <w:numPr>
          <w:ilvl w:val="3"/>
          <w:numId w:val="1"/>
        </w:numPr>
        <w:rPr/>
      </w:pPr>
      <w:bookmarkStart w:id="168" w:name="__RefHeading___Toc533691_3244359995"/>
      <w:bookmarkStart w:id="169" w:name="_Toc63"/>
      <w:bookmarkEnd w:id="167"/>
      <w:bookmarkEnd w:id="168"/>
      <w:r>
        <w:rPr>
          <w:rtl w:val="true"/>
        </w:rPr>
        <w:t>الفصل الثانی فی صیغة النهی</w:t>
      </w:r>
      <w:bookmarkEnd w:id="169"/>
    </w:p>
    <w:p>
      <w:pPr>
        <w:pStyle w:val="Heading5"/>
        <w:numPr>
          <w:ilvl w:val="4"/>
          <w:numId w:val="1"/>
        </w:numPr>
        <w:rPr/>
      </w:pPr>
      <w:bookmarkStart w:id="170" w:name="__RefHeading___Toc533693_3244359995"/>
      <w:bookmarkStart w:id="171" w:name="_Toc64"/>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و هی کصیغة الأمر فیما یتعلق بها إطلاقا، کالوجوب و غیره، و إنما الکلام فیما یتعلق بها وضعا، فإنه مورد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تدل علی طلب ترک الفعل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طلب الکلف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کثیر من الأفاضل المتأخرین </w:t>
      </w:r>
      <w:r>
        <w:rPr>
          <w:rStyle w:val="FootnoteAnchor"/>
          <w:rtl w:val="true"/>
        </w:rPr>
        <w:footnoteReference w:id="155"/>
      </w:r>
      <w:r>
        <w:rPr>
          <w:rFonts w:ascii="IRNazanin" w:hAnsi="IRNazanin" w:eastAsia="IRNazanin"/>
          <w:color w:val="111111"/>
          <w:sz w:val="28"/>
          <w:sz w:val="28"/>
          <w:szCs w:val="28"/>
          <w:rtl w:val="true"/>
          <w:lang w:bidi="fa-IR"/>
        </w:rPr>
        <w:t>و منهم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للطلب رأسا، بل هی تدل علی الزجر و المنع مصداقا، لا مفهوما؛ لأن معنی الصیغة معنی حرفی، و معنا هما کلی و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الزجر کلی،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الزجر و المنع، لا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الزجر،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الزجر بالفعل التکوینی، فکما هو مصداق الزجر، کذلک النهی مصداق الزجر فی الاعتبار و البناء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اعتبر کون المکلف محروما من شی‌ء؛ لأجل اشتماله علی مفسدة ملزمة، فإذا أبرز ذلک المعنی فی الخارج بمبرز کالصیغة و نحوها،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زجر عنه و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فالصیغة لیست إلا للدلالة علی إبراز ذلک المعنی الاعتباری النفسانیّ، و لا تدل علی الزجر و المنع المفهومی، بل هما مصداقان 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الوجوه و المحتملات فی المسألة، و هی کلها ممکنة ثبوتا إلا الأخیر منها، فإنه أمر غیر معقول، و لا یرجع إلی مفاد محصل کما حررناه مرارا، و ذکرنا بعض المفاسد المترتبة علیها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یمکن أن یکون وجها لامتناع بعض هذه الوجوه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الإرادة لا تتعلق بشی‌ء إلا بعد حصول مبادئها؛ من التصور، و التصدیق بالفائدة، و الاشتیاق إلیه أحیانا، بل هذه المبادئ من علل حصول الإرادة و وجودها، و حینئذ فالعدم و الترک من الأمور الباطلة الوهمیة، و لا یمکن أن یکون ذا مصلحة یتعلق بها الاشتیاق و الإرادة، أو البعث و التحریک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فسادا ما ربما یقال بتعلق الطلب ببعض الأعدام وجدانا؛ لأن ذلک مغالطة، و حصلت من أخذ ما بالعرض مکان ما بالذات؛ ضرورة أن الشی‌ء قد یکون مبغوضا بفساد فیه، فینسب المحبوبیة إلی عدمه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منا مرارا عدم جواز الخلط بین الأحکام الداخلة فی محیط الوجود و الحاکیة عن الأعیان الخارجیة و خصوصیاتها، و بین المسائل الذهنیة و الإرادة المتعلقة بالعناوین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و ترک شرب الخمر لا واقعیة له، و لا أثر له، و لاحظ له من الوجود، و أما تعلق الإرادة و البعث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وجود ذهنی لا واقعیة له، فلکون المقصود من تعلیق الإرادة به و جعله مورد البعث و التحریک، توجیه المکلفین إلی ما هو المقصود الأقصی؛ و ما هو مورد المصلحة و المفسدة، و قد مر إمکان کون ترک الصلاة محرما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فیما نحن فیه، یمکن کون ترک القمار واجبا و مطلوبا، و یکفی لوجوب الشی‌ء فی الاعتبار و لحرمته و تعلق البعث و الإرادة فی عالم الذهن بهذه الأمور، هذا النحو من الموجودیة، و هذا المقدار من الفائدة، فلو قام المولی، و أوجب ترک القمار، أو حرم ترک الصلاة، فلا یصح العدول عما أفاده فی ظاهر مرامه إلی ما تقتضیه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توغله فی هذه المسائل، وقع فی مثل هذا الاشتباه الواضح فی کثیر من المقامات؛ اغترارا بما فی الصحف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 إلی الصواب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أمر المولی بضرب زید، یکون الأمر متعلقا بالطبیعة، و ینتقل العقل منه إلی إیجادها خارجا؛ لما لا ثمرة فی نفس الطبیعة، کذلک ینتقل من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منک ترک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القمار ممنوع، و لکن لا بمعنی رجوع هذه الجملة إلی جملة أخری، بل هی جملة واقعیة، و ما هو مورد الإرادة واقعا و مورد</w:t>
      </w:r>
    </w:p>
    <w:p>
      <w:pPr>
        <w:pStyle w:val="BookText"/>
        <w:rPr/>
      </w:pPr>
      <w:r>
        <w:rPr>
          <w:rFonts w:ascii="IRNazanin" w:hAnsi="IRNazanin" w:eastAsia="IRNazanin"/>
          <w:color w:val="111111"/>
          <w:sz w:val="28"/>
          <w:sz w:val="28"/>
          <w:szCs w:val="28"/>
          <w:rtl w:val="true"/>
          <w:lang w:bidi="fa-IR"/>
        </w:rPr>
        <w:t>البعث و التحریک فی عالم الذهن و العنوان، هو الترک، إلا أنه من ذلک یتوجه اللبیب إلی لزوم الانزجار عن القمار، فیصل المولی إلی مرامه بذلک، و هذا کاف فی إمکان توجیه الإرادة و البعث نحوه؛ و إن کان الفعل مورد البغض و المفسدة،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النواهی لیس إلا مادة ذهنیة، و المادة لنفس الطبیعة، و الهیئة للزجر عنها، فما هو الدال علی العدم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بمقالة المشهور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فی جانب الأمر لطلب الوجود، و فی جانب النهی لطلب العدم، فما قیل مصادرة، و لا یصدقها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النهی بمادته و هیئته فی الدلالة علی الطلب مثل الأمر، غیر أن متعلق الطلب فی أحدهما الوجود، و الآخر العدم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مفاد النهی طلب ترک الطبیعة، کان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ترک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وحدانیا؛ إذ العدم غیر قابل للتکثر، فإذا عصی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المولی، فلا یبقی للنهی أثر بالنسبة إلی ترک الطبیعة، و لا یعقل العصیان الثانی و الثالث، و هذا خلاف ضرورة کافة العقول فی باب النواهی، فإنها قائمة علی أن الفرد الثانی و الثالث أیضا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أورده الأستاذ البروجردی قدس سره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الشبهة تتوجه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النهی هو الزجر و المنع الخارجی اعتبارا أیضا؛ لأنه إذا زجر المولی عن القمار، و ارتکبه العبد العاصی، فإنه لا معنی لبقاء النهی بعد العصیان إلا بعد دعوی تعدد المطلوب و الانحلال، و لو صحت هذه الدعوی علی هذا المبنی، تصح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النهی هو طلب</w:t>
      </w:r>
    </w:p>
    <w:p>
      <w:pPr>
        <w:pStyle w:val="BookText"/>
        <w:rPr/>
      </w:pPr>
      <w:r>
        <w:rPr>
          <w:rFonts w:ascii="IRNazanin" w:hAnsi="IRNazanin" w:eastAsia="IRNazanin"/>
          <w:color w:val="111111"/>
          <w:sz w:val="28"/>
          <w:sz w:val="28"/>
          <w:szCs w:val="28"/>
          <w:rtl w:val="true"/>
          <w:lang w:bidi="fa-IR"/>
        </w:rPr>
        <w:t xml:space="preserve">ترک الطبیعة علی وجه الانحلال، فتکون الطبیعة منحلة حسب الأفراد عرفا، و یتعلق النهی المزبور بتروکها، و ستأتی زیادة توضیح حول اختلاف الأمر و النهی من هذه الناحیة إن شاء اللَّه تعالی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أیضا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مقتضی مقالة المشهور کون النهی المتعلق بالطبیعة، ذا امتثال واحد و هو ترک جمیع الأفراد، و هذا أیضا مخالف لحکم العقلاء؛ فإن المکلف إن اقتضت شهوته فی الآن الأول أن یأتی بالطبیعة المنهی عنها، و لکنه ترکها فی الآن الثانی لأجل نهی المولی، عد ممتثلا بالضرورة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الشبهة مشترکة الورود علی جمیع المسالک فی النواهی، فلو کان مفاد النهی الزجر عن الطبیعة فانزجر العبد عنها، فقد امتثل، و لا معنی للزوم الانزجار ثانیا إلا بدعوی الانحلال و حکم العقلاء، و هذا أیضا یأتی علی مقالة المشهور، فلا ترجع هذه الأمور و أشباهها إلی امتناع تلک المقالة عقلا، أو عرفا و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مفاد النهی الزجر عن الطبیعة، فهو معناه الأمر بالطبیعة بإیجادها، ثم الزجر عنها؛ لأن الطبیعة معدومة، و لا معنی للزجر عنها، و إذا کان المراد هو الزجر عن إیجادها فی الخارج و عن جعلها خارجیة، فیتوجه السؤال عن الأول علی الإیجاد، مع أن النهی له المادة الموضوعة لنفس الطبیعة، و الهیئة الزاجرة عنها، و لا شی‌ء وراء ذلک حتی یکون دالا علیه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قد عرفت فی باب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الزجر عن الطبیعة حکمه العقلائی هو المنع عن الإیجاد، و لا حاجة إلی اعتبار الإیجاد</w:t>
      </w:r>
      <w:r>
        <w:rPr>
          <w:rStyle w:val="FootnoteAnchor"/>
          <w:rtl w:val="true"/>
        </w:rPr>
        <w:footnoteReference w:id="166"/>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القائل بأصالة</w:t>
      </w:r>
    </w:p>
    <w:p>
      <w:pPr>
        <w:pStyle w:val="BookText"/>
        <w:rPr/>
      </w:pPr>
      <w:r>
        <w:rPr>
          <w:rFonts w:ascii="IRNazanin" w:hAnsi="IRNazanin" w:eastAsia="IRNazanin"/>
          <w:color w:val="111111"/>
          <w:sz w:val="28"/>
          <w:sz w:val="28"/>
          <w:szCs w:val="28"/>
          <w:rtl w:val="true"/>
          <w:lang w:bidi="fa-IR"/>
        </w:rPr>
        <w:t>الماهیة ینکر کون الإیجاد قابلا للنهی، فما هو مورد النهی معنی یجتمع مع القول بأصالة الوجود و الماهیة،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النهی مفاد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الترک، لکان هذا خارجا عن الاختیار، فکیف یعقل النهی عما هو خارج عن الاختیار</w:t>
      </w:r>
      <w:r>
        <w:rPr>
          <w:rStyle w:val="FootnoteAnchor"/>
          <w:rtl w:val="true"/>
        </w:rPr>
        <w:footnoteReference w:id="1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 العدم بما هو تحت الاختیار، و لکن إذا کان الوجود تحت الاختیار و لم یختر الوجود فیکون العدم باقیا، و هذا معنی اختیاریة العدم، و إلا یلزم أن لا یکون الوجود مورد الاختیار، و لأجل هذه النکتة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الاختیار هو إن شاء فعل، و إن لم یشأ لم یفعل</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فإن عند عدم مشیة الوجود یبقی العدم طبعا و قهرا،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مفاد النهی ما اختاره الأفاضل المحققون </w:t>
      </w:r>
      <w:r>
        <w:rPr>
          <w:rStyle w:val="FootnoteAnchor"/>
          <w:rtl w:val="true"/>
        </w:rPr>
        <w:footnoteReference w:id="169"/>
      </w:r>
      <w:r>
        <w:rPr>
          <w:rFonts w:ascii="IRNazanin" w:hAnsi="IRNazanin" w:eastAsia="IRNazanin"/>
          <w:color w:val="111111"/>
          <w:sz w:val="28"/>
          <w:sz w:val="28"/>
          <w:szCs w:val="28"/>
          <w:rtl w:val="true"/>
          <w:lang w:bidi="fa-IR"/>
        </w:rPr>
        <w:t>، لکان فی مورد الترک لا عن انزجار لا یعد المکلف ممتثلا؛ لأن الزجر لا یتحقق إلا بالانزجار، و هذا هو عین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الترک عن کف، و لعل القائل بالکف کان یرید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لا یعد التارک لا عن زجر المولی ممتثلا، و یلزم بناء علی هذا کون جمیع النواهی عبادیة، و کونها حقیقة فی التعبدیة؛ لأنه معناه اللغوی و ماهیته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بذلک یدعی أنه للزجر علی سبیل الاقتضاء، و إلا لو کان للزجر علی سبیل الفعلیة یلزم أن لا یکون النهی نهیا فی مورد العصیان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لزوم کونها عبادیة، فهو أمر مشترک بین جمیع الآراء، فإنه لو کان النهی لطلب الترک فإنه لا یعد التارک الغافل عنه ممتثلا، و هکذا التارک لأجل شهواته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مورد الترک المطلق، لا یکون للنهی تأثیر فی متعلقه، و لا یخرج بذلک عن کونه نهیا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المستفاد من النهی أن الشرع لا یرضی بإیجاد الطبیعة، فعند الترک ینتفی موضوعه قهرا، و لا یبقی محل للنهی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تفسیر الأمر و النهی بما یرجع إلی صدق الامتثال فی الصورتین المزبورتین؛ لتقوم الامتثال بالالتفات و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یصدق أنه قد أتی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هذا موضوعا للثواب فلا بأس بترتبه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یعقل ذلک، مع أن طلب ترک الطبیعة لیس معناه إلا أن إبقاء العدم الأزلی علی حاله مطلوب المولی، و هو حاصل بالضرورة عند الترک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المکلفین قد أجابوا بما طلبه المولی و یستحقون مثلا الثواب المجعول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مفاد النهی طلب الترک علی سبیل الإهمال، بل هو طلب ترک الطبیعة من المکلفین، و هذا لا یتحقق إلا مع الالتفات و الترک لطلبه،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سؤال؛ و هو أنه فی ناحیة الواجب یکون الأمر واضحا، ضرورة أن الثواب المجعول علی الإتیان الخاصّ، لا یترتب علی الإتیان المطلق، و أما الثواب المجعول علی الإتیان المطلق، فلا بأس بترتبه علیه و إن لم یصدق الامتثال، کما مر فی الأوامر</w:t>
      </w:r>
      <w:r>
        <w:rPr>
          <w:rStyle w:val="FootnoteAnchor"/>
          <w:rtl w:val="true"/>
        </w:rPr>
        <w:footnoteReference w:id="170"/>
      </w:r>
      <w:r>
        <w:rPr>
          <w:rFonts w:ascii="IRNazanin" w:hAnsi="IRNazanin" w:eastAsia="IRNazanin"/>
          <w:color w:val="111111"/>
          <w:sz w:val="28"/>
          <w:sz w:val="28"/>
          <w:szCs w:val="28"/>
          <w:rtl w:val="true"/>
          <w:lang w:bidi="fa-IR"/>
        </w:rPr>
        <w:t>، و إنما البحث فی ناحیة النهی؛ و أنه هل لا بد و أن یکون الترک مستندا إلی القدرة و الالتفات، فلو کان الترک لعدم الابتلاء بالطبیعة، أو لعدم الالتفات، فهل یترتب علیه جعالة الثواب، أم لا؟ و جهان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مسألة الثواب و العقاب من المسائل العقلیة، و قد ذکرنا المسالک</w:t>
      </w:r>
    </w:p>
    <w:p>
      <w:pPr>
        <w:pStyle w:val="BookText"/>
        <w:rPr/>
      </w:pPr>
      <w:r>
        <w:rPr>
          <w:rFonts w:ascii="IRNazanin" w:hAnsi="IRNazanin" w:eastAsia="IRNazanin"/>
          <w:color w:val="111111"/>
          <w:sz w:val="28"/>
          <w:sz w:val="28"/>
          <w:szCs w:val="28"/>
          <w:rtl w:val="true"/>
          <w:lang w:bidi="fa-IR"/>
        </w:rPr>
        <w:t>المختلفة فی هذه المسألة فی مباحث الأمر</w:t>
      </w:r>
      <w:r>
        <w:rPr>
          <w:rStyle w:val="FootnoteAnchor"/>
          <w:rtl w:val="true"/>
        </w:rPr>
        <w:footnoteReference w:id="171"/>
      </w:r>
      <w:r>
        <w:rPr>
          <w:rFonts w:ascii="IRNazanin" w:hAnsi="IRNazanin" w:eastAsia="IRNazanin"/>
          <w:color w:val="111111"/>
          <w:sz w:val="28"/>
          <w:sz w:val="28"/>
          <w:szCs w:val="28"/>
          <w:rtl w:val="true"/>
          <w:lang w:bidi="fa-IR"/>
        </w:rPr>
        <w:t xml:space="preserve">، فالتفصیل یطلب من مظانه، و إجماله مذکور فی تلک المباحث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النتیجة أنه مع العجز عن الإتیان، و مع الخروج عن محل الابتلاء، لا یعقل النهی إلا علی مسلک سلکناه </w:t>
      </w:r>
      <w:r>
        <w:rPr>
          <w:rStyle w:val="FootnoteAnchor"/>
          <w:rtl w:val="true"/>
        </w:rPr>
        <w:footnoteReference w:id="173"/>
      </w:r>
      <w:r>
        <w:rPr>
          <w:rFonts w:ascii="IRNazanin" w:hAnsi="IRNazanin" w:eastAsia="IRNazanin"/>
          <w:color w:val="111111"/>
          <w:sz w:val="28"/>
          <w:sz w:val="28"/>
          <w:szCs w:val="28"/>
          <w:rtl w:val="true"/>
          <w:lang w:bidi="fa-IR"/>
        </w:rPr>
        <w:t>تبعا للوالد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إذا أمکن توجیه النهی، و لکن لم یکن الترک مستندا إلی القدرة، لا یعد عند العقلاء مستحقا و إن صدق الترک،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ثمرات الخطابات القانونیة أن التکلیف التحریمی، لا یکون فی مورد الصوارف النفسانیّة و فی موارد الخروج من الابتلاء ساقطا و غیر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بانحلال الخطاب القانونی إلی الشخصی حسب الحالات و الأفراد</w:t>
      </w:r>
      <w:r>
        <w:rPr>
          <w:rStyle w:val="FootnoteAnchor"/>
          <w:rtl w:val="true"/>
        </w:rPr>
        <w:footnoteReference w:id="175"/>
      </w:r>
      <w:r>
        <w:rPr>
          <w:rFonts w:ascii="IRNazanin" w:hAnsi="IRNazanin" w:eastAsia="IRNazanin"/>
          <w:color w:val="111111"/>
          <w:sz w:val="28"/>
          <w:sz w:val="28"/>
          <w:szCs w:val="28"/>
          <w:rtl w:val="true"/>
          <w:lang w:bidi="fa-IR"/>
        </w:rPr>
        <w:t>، فیلزم امتناع تصویر الحرمة للمحرمات التی تکون النفوس منصرفة عنها طبعا، أو تکون خارجة عن محل الابتلاء، فافهم و اغتنم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لک عدم الشبهة و الإشکال ثبوتا فی المسألة، فإلیک ما یقتضیه النّظر الدّقیق و الذوق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قد مضی تفصیل المسألة فی کتاب الأوامر</w:t>
      </w:r>
      <w:r>
        <w:rPr>
          <w:rStyle w:val="FootnoteAnchor"/>
          <w:rtl w:val="true"/>
        </w:rPr>
        <w:footnoteReference w:id="176"/>
      </w:r>
      <w:r>
        <w:rPr>
          <w:rFonts w:ascii="IRNazanin" w:hAnsi="IRNazanin" w:eastAsia="IRNazanin"/>
          <w:color w:val="111111"/>
          <w:sz w:val="28"/>
          <w:sz w:val="28"/>
          <w:szCs w:val="28"/>
          <w:rtl w:val="true"/>
          <w:lang w:bidi="fa-IR"/>
        </w:rPr>
        <w:t>و أن من الألفاظ ما هی ناشئة عن الإشارات الخارجیة التی کانت متعارفة فی عصر الحجر، و تکون متعارفة بین الآخرین، و کما أنها إشارات إلی معان خارجیة جزئیة و إیجادیة، کذلک هی فی الاعتبار تقوم مقامها، و یکون هیئة</w:t>
      </w:r>
    </w:p>
    <w:p>
      <w:pPr>
        <w:pStyle w:val="BookText"/>
        <w:rPr/>
      </w:pPr>
      <w:r>
        <w:rPr>
          <w:rFonts w:ascii="IRNazanin" w:hAnsi="IRNazanin" w:eastAsia="IRNazanin"/>
          <w:color w:val="111111"/>
          <w:sz w:val="28"/>
          <w:sz w:val="28"/>
          <w:szCs w:val="28"/>
          <w:rtl w:val="true"/>
          <w:lang w:bidi="fa-IR"/>
        </w:rPr>
        <w:t>الأمر و النهی للإغراء و التحذیر المتعارف بین أرباب الکلاب المعلمات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من قبیل الألفاظ الموضوعة للمعانی الکلیة المستعمل فیها عند الاستعمال، بل هی آلات اعتبرت قائمة مقام تلک الإشارات، و معنی استعمالها هو إیجادها، و بالإیجاد ینتقل الناس و العالمون بالاعتبار المزبور إلی ما هو مورد الإشارة و البعث و التحریک و الزجر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فالهیئة لا تکون بمعنی الطلب، و لا بمعنی الزجر و المنع، بل هی موضوعة لاعتبار أمر عقیب أمر، کاعتبار النقل و الانتقال عقیب البیع؛ علی ما قیل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معنی الاستعمال الإیجادی، و إلا فلا یعقل أن یکون المستعمل فیه موجودا بالاستعمال و یصدق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لهذه الهیئات حسبما یکون لغیرها و المواد من المعانی، بل هی آلات و کیفیات اعتبرت موضوعا لاعتبار آخر وراءها، و إذا تحقق المعتبر الأول یتحقق مصداق من المعتبر الثانی، و قد مضی شطر من الکلام فی مادة النهی، الّذی قد أیدنا به أن النهی بالصیغة مصداق الزجر و المنع الّذی هو مفهوم کلی، و هو معنی مادة النهی کما فی اللغة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النهی معناه طلب ترک الطبیعة، فبعد ما عرفت من إمکان کون الترک مورد الطلب، کما فی تروک الإحرام، و الصلاة و الصوم، فلا بدّ من إنکار المحرم رأسا، و یلزم کون ترک شرب الخمر واجبا، کما أن ترک الصلاة من المحرمات زائدا علی أن فعلها من الواجبات عقوبة و تعقیبا، و هذا غیر موافق للتحقیق قطعا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الطبیعة محرما اعتباره، غیر اعتبار کون الترک واجبا، و إذا کان الترک واجبا فلا یشمل قوله صلی اللَّه علیه و آله و سلم علی ما هو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شیئا حرم</w:t>
      </w:r>
    </w:p>
    <w:p>
      <w:pPr>
        <w:pStyle w:val="BookText"/>
        <w:rPr/>
      </w:pP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موارد النهی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یؤید أن مفاد النهی لیس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مورد التحریم بمادة الحرمان و الحرمة، لا یعتبر الطلب، بل اعتبار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w:t>
      </w:r>
      <w:r>
        <w:rPr>
          <w:rStyle w:val="FootnoteAnchor"/>
          <w:rtl w:val="true"/>
        </w:rPr>
        <w:footnoteReference w:id="179"/>
      </w:r>
      <w:r>
        <w:rPr>
          <w:rFonts w:ascii="Amiri" w:hAnsi="Amiri" w:eastAsia="Amiri" w:cs="Amiri"/>
          <w:color w:val="111111"/>
          <w:sz w:val="28"/>
          <w:sz w:val="28"/>
          <w:szCs w:val="28"/>
          <w:rtl w:val="true"/>
          <w:lang w:bidi="ar-SA"/>
        </w:rPr>
        <w:t>أو الْمَیْتَةُ</w:t>
      </w:r>
      <w:r>
        <w:rPr>
          <w:rStyle w:val="FootnoteAnchor"/>
          <w:rtl w:val="true"/>
        </w:rPr>
        <w:footnoteReference w:id="180"/>
      </w:r>
      <w:r>
        <w:rPr>
          <w:rFonts w:ascii="IRNazanin" w:hAnsi="IRNazanin" w:eastAsia="IRNazanin"/>
          <w:color w:val="111111"/>
          <w:sz w:val="28"/>
          <w:sz w:val="28"/>
          <w:szCs w:val="28"/>
          <w:rtl w:val="true"/>
          <w:lang w:bidi="fa-IR"/>
        </w:rPr>
        <w:t>أن ذات هذا الشی‌ء مورد الحرمان و المحرومیة، و معنی ذلک لزوم الابتعاد و الاجتناب عنه، من غیر کون ترکه مطلوبا و إن صح الاعتبار المزبور و المتخیل المذکور، و لکنه خروج عن المتعارف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مفاد الصیغة، لیس إلا اعتبار الحجز و المنع و الزجر التکوینی الموجود بین الناس و بعض الأشیاء بالطبع و القهر، فیکون بین المکلف و المنهی ذلک الحجز و المنع،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لاعتبار الحمی بین المادة و المکلف، فی غیر محله؛ لأنه لازم الاعتبار المزبور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صیغة النهی، لیس کمعنی مادته من المعانی الکلیة المتصورة المستعمل فیها اللفظ، و لا من قبیل معانی الأعلام الشخصیة جزئیة خارجیة؛ لعدم وجود الإشارة الخارجیة عند استعمال الصیغة، فالصیغة إن کان معناها کلیا فهو کمادتها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معناها حسبما یتبادر منه جزئیا، فهو لیس فی الخارج ذا مصداق حتی یستعمل فیه، بل هی أقیمت مقام الإشارة فی إفادة ما تفیده الإشارة الخارجیة من الزجر و المنع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صح الاستعمال الإیجادی بالنسبة إلی المعانی الذهنیة، أو بالنسبة إلی</w:t>
      </w:r>
      <w:bookmarkStart w:id="172" w:name="pg13163_142971"/>
    </w:p>
    <w:p>
      <w:pPr>
        <w:pStyle w:val="BookText"/>
        <w:rPr/>
      </w:pPr>
      <w:bookmarkEnd w:id="172"/>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المستعمل فیه موجودا بالاستعمال واقعا، و یکون اللفظ استعمالا فیه أیضا؛ لأن حقیقة الاستعمال حسبما تقرر عندنا هو الاستیفاء من علقة الوضع و تنجیزه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یصح بالنسبة إلی الصیغة؛ فإنها لا تکون سببا لوجود الإشارة فی الخارج حتی یستعمل فیها، بل هی تطلق لاعتبار الإشارة حتی ینتقل ذهن المخاطب إلی ما هو مرام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مجازا، و لا فرق بین هذه الصیغة و سائر صیغ النهی، و لو کان مفادها طلب الترک للزم التکرار، و هو خلاف مرتکز العقلاء بالضرورة، و هکذا فی جانب الأمر، فیعلم منه أن الأمر و النهی لا مفاد لهما إلا ما شرحناه و قررناه</w:t>
      </w:r>
      <w:r>
        <w:rPr>
          <w:rFonts w:eastAsia="IRNazanin" w:cs="IRNazanin"/>
          <w:color w:val="111111"/>
          <w:sz w:val="28"/>
          <w:szCs w:val="28"/>
          <w:rtl w:val="true"/>
          <w:lang w:bidi="fa-IR"/>
        </w:rPr>
        <w:t>.</w:t>
      </w:r>
    </w:p>
    <w:p>
      <w:pPr>
        <w:pStyle w:val="Heading5"/>
        <w:numPr>
          <w:ilvl w:val="4"/>
          <w:numId w:val="1"/>
        </w:numPr>
        <w:rPr/>
      </w:pPr>
      <w:bookmarkStart w:id="173" w:name="__RefHeading___Toc533695_3244359995"/>
      <w:bookmarkStart w:id="174" w:name="_Toc65"/>
      <w:bookmarkEnd w:id="173"/>
      <w:r>
        <w:rPr>
          <w:rtl w:val="true"/>
        </w:rPr>
        <w:t>تذنیب</w:t>
      </w:r>
      <w:r>
        <w:rPr>
          <w:rtl w:val="true"/>
        </w:rPr>
        <w:t xml:space="preserve">: </w:t>
      </w:r>
      <w:r>
        <w:rPr>
          <w:rtl w:val="true"/>
        </w:rPr>
        <w:t>حول أن النهی لیس کفا</w:t>
      </w:r>
      <w:bookmarkEnd w:id="17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فی ذیل الشبهة السابعة إلی أن ترک المحرمات مع القدرة علیها من غیر کف و انزجار عند عدم الالتفات، لیس من امتثال النواهی الشرعیة</w:t>
      </w:r>
      <w:r>
        <w:rPr>
          <w:rStyle w:val="FootnoteAnchor"/>
          <w:rtl w:val="true"/>
        </w:rPr>
        <w:footnoteReference w:id="182"/>
      </w:r>
      <w:r>
        <w:rPr>
          <w:rFonts w:ascii="IRNazanin" w:hAnsi="IRNazanin" w:eastAsia="IRNazanin"/>
          <w:color w:val="111111"/>
          <w:sz w:val="28"/>
          <w:sz w:val="28"/>
          <w:szCs w:val="28"/>
          <w:rtl w:val="true"/>
          <w:lang w:bidi="fa-IR"/>
        </w:rPr>
        <w:t>، و لکنه لا یستلزم کون النهی هو الکف، بل لازمه کون الامتثال متقوما بالکف و الانزجار، لا نفس النهی مادة و صیغة؛ حتی إذا لم یکن الترک کفا لا یکون نهیا، فإنه واضح البطلان؛ ضرورة أن من المکلفین من ینتهون عن النواهی الإلهیة من غیر تمایل و إقبال إلی المحرم، بل یصیر المحرم و المبغوض الشرعی مبغوضا تکوینیا بالنسبة إلیهم؛ لما یدرکون من اللَّه تبارک و تعالی ما لا یدرکه العوام و الآخرون، فما اشتهر من تحمیق المتقین الذین لا یتمایلون إلی المحرمات، فهو یرجع إلی تحمیق أنفسهم، فلا تخالطوا</w:t>
      </w:r>
      <w:r>
        <w:rPr>
          <w:rFonts w:eastAsia="IRNazanin" w:cs="IRNazanin"/>
          <w:color w:val="111111"/>
          <w:sz w:val="28"/>
          <w:szCs w:val="28"/>
          <w:rtl w:val="true"/>
          <w:lang w:bidi="fa-IR"/>
        </w:rPr>
        <w:t>.</w:t>
      </w:r>
      <w:bookmarkStart w:id="175" w:name="pg13163_142973"/>
    </w:p>
    <w:p>
      <w:pPr>
        <w:pStyle w:val="Heading5"/>
        <w:numPr>
          <w:ilvl w:val="4"/>
          <w:numId w:val="1"/>
        </w:numPr>
        <w:rPr/>
      </w:pPr>
      <w:bookmarkStart w:id="176" w:name="__RefHeading___Toc533697_3244359995"/>
      <w:bookmarkStart w:id="177" w:name="_Toc66"/>
      <w:bookmarkEnd w:id="175"/>
      <w:bookmarkEnd w:id="176"/>
      <w:r>
        <w:rPr>
          <w:rtl w:val="true"/>
        </w:rPr>
        <w:t>إیقاظ و إفادة</w:t>
      </w:r>
      <w:r>
        <w:rPr>
          <w:rtl w:val="true"/>
        </w:rPr>
        <w:t xml:space="preserve">: </w:t>
      </w:r>
      <w:r>
        <w:rPr>
          <w:rtl w:val="true"/>
        </w:rPr>
        <w:t>حول أن مفاد الصیغة هل هی الحرمة أم لا؟</w:t>
      </w:r>
      <w:bookmarkEnd w:id="177"/>
    </w:p>
    <w:p>
      <w:pPr>
        <w:pStyle w:val="BookText"/>
        <w:rPr/>
      </w:pPr>
      <w:r>
        <w:rPr>
          <w:rFonts w:ascii="Amiri" w:hAnsi="Amiri" w:eastAsia="Amiri" w:cs="Amiri"/>
          <w:color w:val="111111"/>
          <w:sz w:val="28"/>
          <w:sz w:val="28"/>
          <w:szCs w:val="28"/>
          <w:rtl w:val="true"/>
          <w:lang w:bidi="ar-SA"/>
        </w:rPr>
        <w:t>لا شبهة فی أنه فی مورد التحریم بمادة الحرمة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وَ لَحْمُ الْخِنْزِیرِ</w:t>
      </w:r>
      <w:r>
        <w:rPr>
          <w:rStyle w:val="FootnoteAnchor"/>
          <w:rtl w:val="true"/>
        </w:rPr>
        <w:footnoteReference w:id="183"/>
      </w:r>
      <w:r>
        <w:rPr>
          <w:rFonts w:ascii="IRNazanin" w:hAnsi="IRNazanin" w:eastAsia="IRNazanin"/>
          <w:color w:val="111111"/>
          <w:sz w:val="28"/>
          <w:sz w:val="28"/>
          <w:szCs w:val="28"/>
          <w:rtl w:val="true"/>
          <w:lang w:bidi="fa-IR"/>
        </w:rPr>
        <w:t xml:space="preserve">یعتبر الحرمة الشرعیة، و تتحقق الصغری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فی تحققها بمادة النهی و هیئته، فربما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التحریم لا یمکن استفادته منهما إلا بالإطلاق </w:t>
      </w:r>
      <w:r>
        <w:rPr>
          <w:rStyle w:val="FootnoteAnchor"/>
          <w:rtl w:val="true"/>
        </w:rPr>
        <w:footnoteReference w:id="185"/>
      </w:r>
      <w:r>
        <w:rPr>
          <w:rFonts w:ascii="IRNazanin" w:hAnsi="IRNazanin" w:eastAsia="IRNazanin"/>
          <w:color w:val="111111"/>
          <w:sz w:val="28"/>
          <w:sz w:val="28"/>
          <w:szCs w:val="28"/>
          <w:rtl w:val="true"/>
          <w:lang w:bidi="fa-IR"/>
        </w:rPr>
        <w:t>، و معنی إطلاقهما أن الحجة من قبل المولی تامة علی التحریم، و لا یعد الاعتذار عند التخلف من العذر العقلائی، فلو کان مفاد الصیغة أو المادة هی الحرمة کان لذلک وجه، و إلا فلا، و قد مر فی باب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حجة علی العبد، کحجیة العلم الإجمالی و الاحتمال فی الشبهات المهتم بها، و لا کاشفیة لها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صحة استعمال مادة النهی فی موارد التنزیه و هکذا صیغته، لا یستفاد منهما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أفید حقا للزم عدم جواز الإفتاء علی طبق الأمر و النهی، و لا یجوز أن یفتی الفقیه بوجوب شی‌ء و حرمته؛ لأجل الأمر و النهی، و هذا خلاف الضرورة عند العرف و العقلاء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منا أن حکم العقلاء عند الإطلاق، هو الاستکشاف و الاطلاع علی حدود إرادة المولی، و أنها إرادة إلزامیة من غیر فرق بین الأمر و النهی، کما</w:t>
      </w:r>
      <w:bookmarkStart w:id="178" w:name="pg13163_142975"/>
    </w:p>
    <w:p>
      <w:pPr>
        <w:pStyle w:val="BookText"/>
        <w:rPr/>
      </w:pPr>
      <w:bookmarkEnd w:id="178"/>
      <w:r>
        <w:rPr>
          <w:rFonts w:ascii="IRNazanin" w:hAnsi="IRNazanin" w:eastAsia="IRNazanin"/>
          <w:color w:val="111111"/>
          <w:sz w:val="28"/>
          <w:sz w:val="28"/>
          <w:szCs w:val="28"/>
          <w:rtl w:val="true"/>
          <w:lang w:bidi="fa-IR"/>
        </w:rPr>
        <w:t xml:space="preserve">فصلناه فی تلک المباحث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من بعض أهل الفضل؛ حیث توهموا أنه فی مورد النهی تکون الکراهة، و فی مورد الأمر تکون الإرادة</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لأجل الاغترار بظواهر کلمات أرباب المعقول؛ حتی مثل صدر المتألهین فی کتابه الکبیر</w:t>
      </w:r>
      <w:r>
        <w:rPr>
          <w:rStyle w:val="FootnoteAnchor"/>
          <w:rtl w:val="true"/>
        </w:rPr>
        <w:footnoteReference w:id="188"/>
      </w:r>
      <w:r>
        <w:rPr>
          <w:rFonts w:ascii="IRNazanin" w:hAnsi="IRNazanin" w:eastAsia="IRNazanin"/>
          <w:color w:val="111111"/>
          <w:sz w:val="28"/>
          <w:sz w:val="28"/>
          <w:szCs w:val="28"/>
          <w:rtl w:val="true"/>
          <w:lang w:bidi="fa-IR"/>
        </w:rPr>
        <w:t>، مع أن الکراهة من انفعالات النّفس مقابل الحب، و الإرادة فعل النّفس، و هی تحصل فی مورد الأمر و النهی، و بمادتهما و صیغتهما یکشف وجودها فی النّفس، و بالإطلاق یعلم أنها إرادة حتمیة إلزامیة، فإذن یصح اعتبار التحریم من موارد النهی، و تشمله القاعدة بناء علی شمولها لمعنی أعم من الأعیان و الأحداث؛ ضرورة أن مادة الحرمة یصح تعلقها بذات الشی‌ء، بخلاف النهی، و تفصیله یطلب من مکاسبنا المحرمة، و قد تعرضنا لحدودها فیها</w:t>
      </w:r>
      <w:r>
        <w:rPr>
          <w:rStyle w:val="FootnoteAnchor"/>
          <w:rtl w:val="true"/>
        </w:rPr>
        <w:footnoteReference w:id="189"/>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533699_3244359995"/>
      <w:bookmarkStart w:id="180" w:name="_Toc67"/>
      <w:bookmarkEnd w:id="179"/>
      <w:r>
        <w:rPr>
          <w:rtl w:val="true"/>
        </w:rPr>
        <w:t>بحث و تحصیل</w:t>
      </w:r>
      <w:r>
        <w:rPr>
          <w:rtl w:val="true"/>
        </w:rPr>
        <w:t xml:space="preserve">: </w:t>
      </w:r>
      <w:r>
        <w:rPr>
          <w:rtl w:val="true"/>
        </w:rPr>
        <w:t>فی الفرق بین الأمر و النهی من ناحیة المرة و التکرار</w:t>
      </w:r>
      <w:bookmarkEnd w:id="180"/>
    </w:p>
    <w:p>
      <w:pPr>
        <w:pStyle w:val="BookText"/>
        <w:rPr/>
      </w:pPr>
      <w:r>
        <w:rPr>
          <w:rFonts w:ascii="IRNazanin" w:hAnsi="IRNazanin" w:eastAsia="IRNazanin"/>
          <w:color w:val="111111"/>
          <w:sz w:val="28"/>
          <w:sz w:val="28"/>
          <w:szCs w:val="28"/>
          <w:rtl w:val="true"/>
          <w:lang w:bidi="fa-IR"/>
        </w:rPr>
        <w:t xml:space="preserve">لا شبهة فی أن النهی و الأمر سیان بحسب المتعلق، و لا یختلف حکمهما العقلائی من جهة لزوم الامتثال إلا مع قیام القرینة، و یکون مفاد النهی هی الحرمة، کما یکون مفاد الأمر هو الوجوب لا من ناحیة الوضع، بل من جهة الإطلاق؛ حسبما تقرر منا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المقامات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إلی عدم اعتبار العلو و لا الاستعلاء فی مادة النهی، و هکذا فی</w:t>
      </w:r>
    </w:p>
    <w:p>
      <w:pPr>
        <w:pStyle w:val="BookText"/>
        <w:rPr/>
      </w:pPr>
      <w:r>
        <w:rPr>
          <w:rFonts w:ascii="IRNazanin" w:hAnsi="IRNazanin" w:eastAsia="IRNazanin"/>
          <w:color w:val="111111"/>
          <w:sz w:val="28"/>
          <w:sz w:val="28"/>
          <w:szCs w:val="28"/>
          <w:rtl w:val="true"/>
          <w:lang w:bidi="fa-IR"/>
        </w:rPr>
        <w:t xml:space="preserve">صیغته </w:t>
      </w:r>
      <w:r>
        <w:rPr>
          <w:rStyle w:val="FootnoteAnchor"/>
          <w:rtl w:val="true"/>
        </w:rPr>
        <w:footnoteReference w:id="191"/>
      </w:r>
      <w:r>
        <w:rPr>
          <w:rFonts w:ascii="IRNazanin" w:hAnsi="IRNazanin" w:eastAsia="IRNazanin"/>
          <w:color w:val="111111"/>
          <w:sz w:val="28"/>
          <w:sz w:val="28"/>
          <w:szCs w:val="28"/>
          <w:rtl w:val="true"/>
          <w:lang w:bidi="fa-IR"/>
        </w:rPr>
        <w:t>، کما مر تفصیله فی الأوامر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من الواضح عدم دلالة الأمر علی المرة و التکرار لا بمادته و لا صیغته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 الامتثال یسقط الأمر، و هکذا عند العصیان؛ لأن حقیقة العصیان هی العجز عن الامتثال بسوء الاختیار، کما عرفت تفصیله فی مباحث الترتب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 السید الأستاذ البروجردی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لا یورث السقوط</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 عن أن العصیان لیس إلا 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کذلک، فمقتضی المشارکة کون النهی مثله فی هذه الجهة، فإذا نهی المولی عن الغصب، أو عن شرب الخمر، فإن النهی لا بد و أن یسقط بالامتثال و العصیان، فلو ترک الغصب و انزجر عن المنهی و انتهی عنه مرة، فقد امتثل النهی، فلا معنی لبقائه بعد ذلک کما فی الأمر، و هکذا إذا غصب أو شرب الخمر، فلا معنی لبقاء زاجریته بالنسبة إلی الطبیعة؛ قضاء لحق المشارکة، فإن ما هو فی ناحیة الأمر هی المادة، و هی مشترکة بینهما، و الصیغة و هی واحدة بحسب الإفادة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حسب الصناعة و قضیة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الضرورة قائمة علی أنه فی جانب النهی لا بد من استمرار العدم، و إذا تخلف و عصی لا بد و أن لا یعذر؛ لأنه یصیر عصیانا ثانیا و ثالثا و هکذا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الامتثال عقیب الامتثال فی جانب النهی، فلو امتثل النهی بترک المحرم فلا یسقط النهی، و لو عصاه أیضا کذلک، فما الفرق بین الأمر و النهی، مع أنه فی جانب الأمر یکون الامتثال و العصیان واحدا، و فی جانب</w:t>
      </w:r>
    </w:p>
    <w:p>
      <w:pPr>
        <w:pStyle w:val="BookText"/>
        <w:rPr/>
      </w:pPr>
      <w:r>
        <w:rPr>
          <w:rFonts w:ascii="IRNazanin" w:hAnsi="IRNazanin" w:eastAsia="IRNazanin"/>
          <w:color w:val="111111"/>
          <w:sz w:val="28"/>
          <w:sz w:val="28"/>
          <w:szCs w:val="28"/>
          <w:rtl w:val="true"/>
          <w:lang w:bidi="fa-IR"/>
        </w:rPr>
        <w:t>النهی یتعددان، مع أن المادة فی کلیهما واحدة، و لا اقتضاء للهیئة إلا الزجر عنها أو البعث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هذه المسألة معضلة ذات جهتین؛ لأنه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امتثال النهی واحد؛ لأنه إذا منع من شرب الخمر فترکه مدة عمره، لا یکون إلا ممتثلا بالنسبة إلی النهی الواحد، فلا بدّ من کون العصیان واحدا، و لا یعقل النهی الواحد و الامتثال الواحد مع کون العصیان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الامتثال أیضا یتعدد حسب الآنات، أو حسب الإمکانات، فهذا أیضا مشکل آخر؛ ضرورة عدم اقتضاء للنهی إلا مثل الأمر، و التعدد فی الجانبین یحتاج إلی جهة تقتضیه، و هی منتفیة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مقدمات الإطلاق فی جانب الأمر، مختلفة الاقتضاء مع مقدماته فی جانب النهی </w:t>
      </w:r>
      <w:r>
        <w:rPr>
          <w:rStyle w:val="FootnoteAnchor"/>
          <w:rtl w:val="true"/>
        </w:rPr>
        <w:footnoteReference w:id="195"/>
      </w:r>
      <w:r>
        <w:rPr>
          <w:rFonts w:ascii="IRNazanin" w:hAnsi="IRNazanin" w:eastAsia="IRNazanin"/>
          <w:color w:val="111111"/>
          <w:sz w:val="28"/>
          <w:sz w:val="28"/>
          <w:szCs w:val="28"/>
          <w:rtl w:val="true"/>
          <w:lang w:bidi="fa-IR"/>
        </w:rPr>
        <w:t>، فی غیر محله؛ لأن المفروض أنه فی کلا الجانبین تکون المقدمات تامة، و أن ما هو المقصود من الإطلاق فی جانب الأمر، هو المقصود فی جانب النهی؛ و هو البعث إلی الطبیعة، أو الزجر عنها بما هی هی؛ من غیر النّظر إلی الأمر الآخر وراءها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الشبهة و العویصة فی مقابل البدیهة لا ترجع إلی محصل، فلو عجزنا عن توضیح الفرق بین الأمر و النهی فی هذه المسألة، و لکن لا یلزم منه الخدشة و المناقشة فیما یحکم به العقلاء، و تدرکه العقول الساذجة التی هی المتبعة دون الآراء العلمیة، نظیر ما مر فی بحث الأوامر</w:t>
      </w:r>
      <w:r>
        <w:rPr>
          <w:rStyle w:val="FootnoteAnchor"/>
          <w:rtl w:val="true"/>
        </w:rPr>
        <w:footnoteReference w:id="196"/>
      </w:r>
      <w:r>
        <w:rPr>
          <w:rFonts w:ascii="IRNazanin" w:hAnsi="IRNazanin" w:eastAsia="IRNazanin"/>
          <w:color w:val="111111"/>
          <w:sz w:val="28"/>
          <w:sz w:val="28"/>
          <w:szCs w:val="28"/>
          <w:rtl w:val="true"/>
          <w:lang w:bidi="fa-IR"/>
        </w:rPr>
        <w:t>و إن بناء العقلاء علی أنه للوجوب، و اختلفوا فی وجه ذلک اختلافا شدیدا من غیر سرایة الخلاف إلی أصل المسألة المفروغ عنها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وجوها لبیان الفرق ناظرین إلی إحداث السر العلمی و کشف النکتة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مسألتنا هذه من قبیل المسألة المعروفة فی الأدب؛ و هی أن النکرة فی سیاق النفی تفید العموم </w:t>
      </w:r>
      <w:r>
        <w:rPr>
          <w:rStyle w:val="FootnoteAnchor"/>
          <w:rtl w:val="true"/>
        </w:rPr>
        <w:footnoteReference w:id="197"/>
      </w:r>
      <w:r>
        <w:rPr>
          <w:rFonts w:ascii="IRNazanin" w:hAnsi="IRNazanin" w:eastAsia="IRNazanin"/>
          <w:color w:val="111111"/>
          <w:sz w:val="28"/>
          <w:sz w:val="28"/>
          <w:szCs w:val="28"/>
          <w:rtl w:val="true"/>
          <w:lang w:bidi="fa-IR"/>
        </w:rPr>
        <w:t>، بخلاف ما إذا وقعت فی سیاق الإثبات، فإذا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إلا علی أنه رأی واحدا من الآحاد، 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نحن فیه یکون الأمر کذلک؛ ضرورة أن النهی یتعلق بالطبیعة التی هی النکرة؛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الطبیعة، لا النکرة الاصطلاحیة، و لذلک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یفید العموم کما نشیر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تصلی أیام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الصلاة مورد النفی حکما، و تصیر النتیجة ما هو مرتکز العقلاء من لزوم الامتثال عقیب الامتثال و عقیب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فی جانب الأمر إطلاق بدلی، و فی جانب النهی شمولی ینحل النهی إلی نواه کثیرة، فإذن لا بد من الامتثال عقیب الامتثال و عقیب العصیان؛ لتعدد النهی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بعض البحوث </w:t>
      </w:r>
      <w:r>
        <w:rPr>
          <w:rStyle w:val="FootnoteAnchor"/>
          <w:rtl w:val="true"/>
        </w:rPr>
        <w:footnoteReference w:id="198"/>
      </w:r>
      <w:r>
        <w:rPr>
          <w:rFonts w:ascii="IRNazanin" w:hAnsi="IRNazanin" w:eastAsia="IRNazanin"/>
          <w:color w:val="111111"/>
          <w:sz w:val="28"/>
          <w:sz w:val="28"/>
          <w:szCs w:val="28"/>
          <w:rtl w:val="true"/>
          <w:lang w:bidi="fa-IR"/>
        </w:rPr>
        <w:t>أن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النکرة فی سیاق النفی تفید العموم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غیر تام وضعا؛ لأن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لما یصدق علی</w:t>
      </w:r>
    </w:p>
    <w:p>
      <w:pPr>
        <w:pStyle w:val="BookText"/>
        <w:rPr/>
      </w:pPr>
      <w:r>
        <w:rPr>
          <w:rFonts w:ascii="IRNazanin" w:hAnsi="IRNazanin" w:eastAsia="IRNazanin"/>
          <w:color w:val="111111"/>
          <w:sz w:val="28"/>
          <w:sz w:val="28"/>
          <w:szCs w:val="28"/>
          <w:rtl w:val="true"/>
          <w:lang w:bidi="fa-IR"/>
        </w:rPr>
        <w:t>کل فرد علی البدل، 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إذا کان تعلق رؤیته بفرد، 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نظره إلی نفی تعلق رؤیته بزید صح؛ لما یصدق علیه أحد، فهو أیضا صادق و صحیح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النکرة فی سیاق النفی تفید فائدة العموم حسب الإطلاق عرفا، و عند ذلک یتوجه الإشکال المزبور فی الفرق بین الأمر و النهی إلی هذه المسألة، و لا یخص بکون المتعلق نکرة، بل لو کان المتعلق محلی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تأتی الشبهة، و یفید العموم أیضا،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النّظر إلی نفی الجنس، فهو أیضا مثل النکرة، و لأجل ذلک یشبه ما نحن فیه من هذه الجهة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تقسیم الإطلاق إلی البدلی و الشمولی، فهو غلط کما تقرر فی محله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هذا لیس من حل المعضلة، بل هو من قبیل التمسک بفهم العقلاء فیها، و هو أمر مفروغ عنه،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الانحلال یحتاج إلی المحلل، و مجرد قصد المتکلم و غرضه لا یکفی للزوم المجازیة، فلو کان مقصوده النهی عن المصادیق، لکان ینبغی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علیک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توجد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فی الکتب العلمیة</w:t>
      </w:r>
      <w:r>
        <w:rPr>
          <w:rStyle w:val="FootnoteAnchor"/>
          <w:rtl w:val="true"/>
        </w:rPr>
        <w:footnoteReference w:id="201"/>
      </w:r>
      <w:r>
        <w:rPr>
          <w:rFonts w:ascii="IRNazanin" w:hAnsi="IRNazanin" w:eastAsia="IRNazanin"/>
          <w:color w:val="111111"/>
          <w:sz w:val="28"/>
          <w:sz w:val="28"/>
          <w:szCs w:val="28"/>
          <w:rtl w:val="true"/>
          <w:lang w:bidi="fa-IR"/>
        </w:rPr>
        <w:t>حتی فی بعض صحف عقلیة</w:t>
      </w:r>
      <w:r>
        <w:rPr>
          <w:rStyle w:val="FootnoteAnchor"/>
          <w:rtl w:val="true"/>
        </w:rPr>
        <w:footnoteReference w:id="2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الطبیعة توجد بوجود فرد ما، و تنعدم بانعدام جمیع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تعلق الأمر فلا بدّ من وجود فرد ما حتی یمتثل الأمر، و إذا تعلق النهی بها فلا بدّ من إعدام جمیع الأفراد حتی تنعدم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النهی طلب إعدام الطبیعة فالأمر واضح، و لا بد من أن یعدم جمیع الأفراد حتی یتحقق مطلوب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مفاده الزجر و المنع علی الوجه الّذی عرفت منا</w:t>
      </w:r>
      <w:r>
        <w:rPr>
          <w:rStyle w:val="FootnoteAnchor"/>
          <w:rtl w:val="true"/>
        </w:rPr>
        <w:footnoteReference w:id="203"/>
      </w:r>
      <w:r>
        <w:rPr>
          <w:rFonts w:ascii="IRNazanin" w:hAnsi="IRNazanin" w:eastAsia="IRNazanin"/>
          <w:color w:val="111111"/>
          <w:sz w:val="28"/>
          <w:sz w:val="28"/>
          <w:szCs w:val="28"/>
          <w:rtl w:val="true"/>
          <w:lang w:bidi="fa-IR"/>
        </w:rPr>
        <w:t>، فلازمه العقلائی هو استمرار العدم الأزلی السابق علیها، المجتمع معها، و هذا لا یعقل إلا بترک الطبیعة المطلقة؛ لانتقاضه بإتیان فرد منها، و هو خلاف مفاد النهی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الفرق بین الأمر و النهی من ناحیة کون الطبیعة فی جانب النهی، مورد الزجر و الإعدام، و بما أنها تکون کذلک فلا بدّ من إعدام جمیع الأفراد حتی یتحقق الامتثال، بخلاف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ما تقرر فی محله هو أن الطبیعة موجودة بنفسها</w:t>
      </w:r>
      <w:r>
        <w:rPr>
          <w:rStyle w:val="FootnoteAnchor"/>
          <w:rtl w:val="true"/>
        </w:rPr>
        <w:footnoteReference w:id="204"/>
      </w:r>
      <w:r>
        <w:rPr>
          <w:rFonts w:ascii="IRNazanin" w:hAnsi="IRNazanin" w:eastAsia="IRNazanin"/>
          <w:color w:val="111111"/>
          <w:sz w:val="28"/>
          <w:sz w:val="28"/>
          <w:szCs w:val="28"/>
          <w:rtl w:val="true"/>
          <w:lang w:bidi="fa-IR"/>
        </w:rPr>
        <w:t>، 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معنی وجود الطبیعی بمعنی وجود أشخاصه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غیر موافق للتحصیل، فإذا کانت الطبیعة بما هی هی مسلوب عنها الوجود و العدم، و الواحدة و الکثرة، و کانت العوارض تلحقها لموجبات خارجة عنها، فهی واحدة و متکثرة، و إذا کانت هی کثیرة فی الخارج، و لها الوجودات و الأفراد الکثیرة، فلها الأعدام الکثیرة؛ ضرورة أن نقیض الکثیر کثیر، و نقیض الواحد واحد، و تلک الأعدام هی الأعدام البدیلة عن الموجودات التی تخص بها، فإذن لا أصل لما اشتهر فی عرف الأصحاب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موضوع القضیة الأولی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المهملة، و هی تنعدم بانعدام فرد ما، و ما هو الموضوع فی القضیة الثانیة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تنعدم بانعدام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الملحوظة ساریة علی فرض</w:t>
      </w:r>
    </w:p>
    <w:p>
      <w:pPr>
        <w:pStyle w:val="BookText"/>
        <w:rPr/>
      </w:pPr>
      <w:r>
        <w:rPr>
          <w:rFonts w:ascii="IRNazanin" w:hAnsi="IRNazanin" w:eastAsia="IRNazanin"/>
          <w:color w:val="111111"/>
          <w:sz w:val="28"/>
          <w:sz w:val="28"/>
          <w:szCs w:val="28"/>
          <w:rtl w:val="true"/>
          <w:lang w:bidi="fa-IR"/>
        </w:rPr>
        <w:t>إمکانها، و هی توجد بوجودات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قاعدة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التمسک بها لبیان الفرق؛ بعد اتضاح حکم العقلاء بالفرق بین الأمر و النهی فی هذه المسألة، فإن نظرنا إلی إثبات الفرق عقلا بعد کون المادة الواقعة تلو الأمر عین المادة الواقعة تلو النهی، مع أن الأمر و النهی لا یدعوان إلا إلی نفس الطبیعة، و تکون ما هی من الطبیعة فی جانب الأمر عینها فی جانب النهی، و هو نفسها اللابشرط التی یمکن وجودها فی الخارج، فیکون امتثالا للأمر، و عصیانا للنهی، دون سائر اعتباراتها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مفاد القاعدة المعروفة ما صدقه القوم، لأصبحت المسألة أشد إشکالا و أصعب حلا؛ و ذلک لأن مقتضی کون انعدام الطبیعة بانعدام جمیع أفرادها، کون الامتثال فی جانب النهی واحدا بترک جمیع الأفراد، و إذا کان الامتثال واحدا فیلزم کون العصیان واحدا؛ لعدم معقولیة تصور العصیانات الکثیرة مع وحدة الأمر، و وحدة الإطاعة و الامتثال، و هذا مما لا یلتزم به أحد، و لا یمکن تصوره، کما مضی فی صدر البحث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أن حکم العقلاء علی تعدد الامتثال فی جانب النهی، و نجد أن من ینزجر و ینتهی عن زجر المولی و نهیه، یعد ممتثلا لنهیه، و لا یسقط النهی بمثله بالضرورة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القاعدة لیست عقلیة و لا عقلائیة إلا فی بعض المقامات، کما فی استصحاب الکلی، فإنه إذا کان فی البیت إنسان یحکم بوجود الطبیعة فیه، و إذا خرج منه الأفراد الکثیرة و بقی واحد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فی البیت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w:t>
      </w:r>
    </w:p>
    <w:p>
      <w:pPr>
        <w:pStyle w:val="BookText"/>
        <w:rPr/>
      </w:pPr>
      <w:r>
        <w:rPr>
          <w:rFonts w:ascii="IRNazanin" w:hAnsi="IRNazanin" w:eastAsia="IRNazanin"/>
          <w:color w:val="111111"/>
          <w:sz w:val="28"/>
          <w:sz w:val="28"/>
          <w:szCs w:val="28"/>
          <w:rtl w:val="true"/>
          <w:lang w:bidi="fa-IR"/>
        </w:rPr>
        <w:t>الإنسان باق، و نوع کذا غیر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النهی هو الزجر أو طلب العدم، و لکن هنا حکم عقلائی آخر؛ و هو أن المولی یرید إبقاء العدم الأزلی الثابت للطبیعة المجتمع معها، و یتوسل بالنهی إلی استمراره، و یکون طارد العدم المزبور مبغوضا، و هو شرب الخمر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العدم مقابل صرف الوجود الّذی اعتبرناه فی ناحیة الأمر</w:t>
      </w:r>
      <w:r>
        <w:rPr>
          <w:rStyle w:val="FootnoteAnchor"/>
          <w:rtl w:val="true"/>
        </w:rPr>
        <w:footnoteReference w:id="208"/>
      </w:r>
      <w:r>
        <w:rPr>
          <w:rFonts w:ascii="IRNazanin" w:hAnsi="IRNazanin" w:eastAsia="IRNazanin"/>
          <w:color w:val="111111"/>
          <w:sz w:val="28"/>
          <w:sz w:val="28"/>
          <w:szCs w:val="28"/>
          <w:rtl w:val="true"/>
          <w:lang w:bidi="fa-IR"/>
        </w:rPr>
        <w:t xml:space="preserve">، و قد فرغنا من تصویر الصرف، و الفرق بینه و بین الطبیعة فیما سلف </w:t>
      </w:r>
      <w:r>
        <w:rPr>
          <w:rStyle w:val="FootnoteAnchor"/>
          <w:rtl w:val="true"/>
        </w:rPr>
        <w:footnoteReference w:id="209"/>
      </w:r>
      <w:r>
        <w:rPr>
          <w:rFonts w:ascii="IRNazanin" w:hAnsi="IRNazanin" w:eastAsia="IRNazanin"/>
          <w:color w:val="111111"/>
          <w:sz w:val="28"/>
          <w:sz w:val="28"/>
          <w:szCs w:val="28"/>
          <w:rtl w:val="true"/>
          <w:lang w:bidi="fa-IR"/>
        </w:rPr>
        <w:t>، فما یظهر من العلامة المحشی إشکالا علی الصرف و علی العدم المزبور</w:t>
      </w:r>
      <w:r>
        <w:rPr>
          <w:rStyle w:val="FootnoteAnchor"/>
          <w:rtl w:val="true"/>
        </w:rPr>
        <w:footnoteReference w:id="210"/>
      </w:r>
      <w:r>
        <w:rPr>
          <w:rFonts w:ascii="IRNazanin" w:hAnsi="IRNazanin" w:eastAsia="IRNazanin"/>
          <w:color w:val="111111"/>
          <w:sz w:val="28"/>
          <w:sz w:val="28"/>
          <w:szCs w:val="28"/>
          <w:rtl w:val="true"/>
          <w:lang w:bidi="fa-IR"/>
        </w:rPr>
        <w:t>، غیر راجع إلی محصل،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الأعدام البدیلة المتصورة بکثرتها بعد اعتبار الوجودات الکثیرة للطبیعة مثلا، إذا وجد أفراد من الإنسان، فبانعدام کل فرد یکون هناک عدم بدیل لذلک الوجود، و لکن الأمر فیما نحن فیه لیس کذلک؛ لأن الطبیعة المنهی عنها لا مصادیق لها حتی تکون لها أعدام بدیلة عند الانعدام، و لا یتصور العدم البدیل إلا بعد الوجود خارجا، و أما قبل تحقق الطبیعة فلا کثرة لها حتی تتکثر أعدامها، بل الطبیعة قبل تحققها یعتبر لها العدم الواحد الأزلی المجامع حسب أجزاء الزمان، و یکون ذلک العدم عدم البدیل حسب الزمان الحالی، و الناهی عن المنکر یرید إبقاء العدم المزبور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إیجاد العنقاء بناء علی إمکان إیجادها، لا یعقل أن ینحل إلی الأعدام؛ لأنها أعدام تصوریة تخیلیة مضافة إلی الأفراد المقدرة، و هی لیست عدم</w:t>
      </w:r>
    </w:p>
    <w:p>
      <w:pPr>
        <w:pStyle w:val="BookText"/>
        <w:rPr/>
      </w:pPr>
      <w:r>
        <w:rPr>
          <w:rFonts w:ascii="IRNazanin" w:hAnsi="IRNazanin" w:eastAsia="IRNazanin"/>
          <w:color w:val="111111"/>
          <w:sz w:val="28"/>
          <w:sz w:val="28"/>
          <w:szCs w:val="28"/>
          <w:rtl w:val="true"/>
          <w:lang w:bidi="fa-IR"/>
        </w:rPr>
        <w:t xml:space="preserve">الفرد من الطبیعة؛ لأن الأفراد المقدرة لیست أفرادا واقعیة، فذلک العدم الثابت فی الأزل للعنقاء مورد الطلب، و یکون المقصود استمراره بالزجر عن الطبیعة حسب حکم العقلاء و إن لم یکن العدم بعنوانه مورد النهی، کما مضی تحقیقه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النهی یرید الناهی الزجر عن الطبیعة، لا إعدام الأفراد الموجودة و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إلا إبقاء العدم الواحد السابق؛ حتی یکون بدیلا فی الآن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هذا التقریب فالنتیجة وحدة النهی، و وحدة الامتثال، و قضیة ذلک وحدة العصیان، و هو أفحش فسادا من أصل المعضلة، کما عرفت مرارا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أفاده العلامة المحشی قدس سره قریب مما أفدناه، و تتوجه إلیه الإشکالات التی ذکرها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شاء فلیراجع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المبغوضیة و المحبوبیة الموجودتین فی جانب النهی و الأمر، تتصور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بنحو العام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العالم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صرف الطبیعة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صرف الوجود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قسم آخر خامس یطلب من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المولی فی جانب الأمر محبا بنحو العموم الاستغراقی، فلا بدّ و أن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بإتیان أدوات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محبا للطبیعة بنحو العام المجموعی فلهذا یتوسل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صورة کون المطلوب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المطلوب نفس الطبیعة، فلا یحتاج إلی نصب القرینة؛ لأنه بمجرد الأمر بها مجردا عن القرائن علی الوجوه الاخر، یکون عدم إتیانه بالقرینة علی سائر الوجوه، قرینة علی أن ما هو مورد الطلب هو نفس الطبیعة، لا الأمر الآخر، بل لا حاجة إلی التمسک بهذه القرینة العدمیة؛ لأنه هو مقتضی نفس تعلق الأمر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مقدمات الحکمة هنا تقتضی کون الإتیان بالفرد کافیا؛ لأنه لا یعقل طلب الطبیعة علی نعت العموم الاستغراقی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ضرورة أن الطلب بنحو العموم الاستغراقی ممکن؛ لأن المقصود بعث المکلف نحو إیجاد الأفراد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العموم المجموعی غیر ممکن طلبه، و لا سیما بالنسبة إلی الأفراد العرضیة و الطولیة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مقدمات الحکمة لا تقتضی ذلک؛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نفس تعلق الأمر بالطبیعة، یقتضی الکفایة بالمرة و إن کانت المقدمات معدومة</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جانب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جانب النهی فهناک تقریبان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المنهی عنها إن کانت مبغوضة علی نعت العموم المجموعی، فلا بدّ من وجود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مبغوضة علی نعت صرف الوجود، فلا بدّ أیضا من قیام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مبغوضة علی وجه یکون البغض ناشئا من فساد فرد ما من الطبیعة، فلا بدّ من توجیه النهی إلی الفرد و إلی مصداق ما، بخلاف ما إذا کانت المبغوضیة ناشئة عن فساد فی الطبیعة 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بد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النهی علی سبیل العموم الأفرادی، أو النهی علی وجه تعلق بنفس الطبیعة، و حیث إن الأول یحتاج إلی مئونة زائدة فیثبت الثانی، و هو الأولی بالبلاغة فی الکلام و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انزجر عن الطبیعة فی مورد، فلا بد من الانزجار عنها فی المورد الآخر؛ لأن المفروض أن الطبیعة مورد البغض و الفساد بما هی هی، لا المصداق الأول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عصی بالنسبة إلی المصداق الأول، فلا بدّ من الامتثال بعد العصیان للغرض المذکور، فکون الطبیعة بما هی هی مورد الفساد و البغض، ینتج الامتثال ثانیا و ثالثا سواء امتثل أولا، أو عصی، فتدبر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المشاهد بین الأمر و النهی لیس من ناحیة المتعلق؛ لما أنه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الصلاة قبل أیام الحیض، و فی أیامها، بل إنما ذلک من جهة خصوصیة فی تعلق الأمر و النهی به، و هذه الخصوصیة هی أن المطلوب من الأمر بما أنه إیجاد الطبیعة فی الخارج، فلا یمکن أن یرید المولی منه إیجادها بکل ما یمکن أن تنطبق علیه هذه الطبیعة؛ لفرض عدم تمکن المکلف منه کذلک، و المطلوب من النهی بما أنه حرمان المکلف، فلا یمکن أن یراد منه حرمانه من بعض أفرادها؛ لفرض أنه حاصل قهرا، و النهی عنه تحصیل للحاصل، فهذه الخصوصیة أوجبت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الحکمة فیه؛ هی کون المطلوب حرمان المکلف من جمیع الأفراد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تبین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کلا التقریبین نظرا، و لا سیما فی الثانی الّذی هو للعلامة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فی جانب الأمر إذا تعلق الأمر بالطبیعة، و استفدنا منه محبوبیتها بما هی هی، فکل فرد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فرد لها، و تکون الطبیعة معه عین الطبیعة مع الفرد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هو مورد المحبوبیة أیضا، فللمولی أن یؤاخذ العبد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عند ما اطلعت علی أن الطبیعة بما هی هی مورد الحب اللزومی، فلم لم توجدها؟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 جواب العبد هنا، لصح فی جانب النهی أیضا إذا تخلف عن الامتثال ثانیا 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التقریب الّذی أفدناه قابل للاعتماد علیه لحل المشکلة فی جانب النهی، و لکن یورث توجیه المعضلة إلی جانب الأمر المفروغ عنه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محبوبه الفرد الأول منها لأقام القرینة، فمنه یعلم أن ما هو المحبوب نفس الطبیعة 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مقدمات الحکمة فی جانب النهی؛ هو أن الطبیعة تمام الموضوع للنهی، فإذن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من حیث هی هی تمام المبغوض، و لا شی‌ء دخیل فی ذلک، و من کونه تمام الموضوع للبغض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المفسدة الموجبة لبغضها، موجودة فی نفسها من حیث هی هی، فعلیه لا یعقل الترخیص فی بعض أفرادها إلا علی وجه یستکشف الخلاف</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المفروض عدم وجود الدلیل المرخص، فکیف یعقل تجویز العقل ارتکابها فی مورد من الأفراد العرضیة أو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یحتج المولی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المبغوض الفرد الأول، لما أطلق الحکم علی الطبیعة، و لو کان الفساد فی فرد خاص منها لما کان یتعلق بغضه بها، و لما نهی عنها من حیث هی هی، فمن هذا</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حدود البغض و حدود الفساد حسب دیدن العقلاء فی استکشاف المصالح و المفاسد بالضرورة، کما تقرر فی الأمر</w:t>
      </w:r>
      <w:r>
        <w:rPr>
          <w:rStyle w:val="FootnoteAnchor"/>
          <w:rtl w:val="true"/>
        </w:rPr>
        <w:footnoteReference w:id="218"/>
      </w:r>
      <w:r>
        <w:rPr>
          <w:rFonts w:ascii="IRNazanin" w:hAnsi="IRNazanin" w:eastAsia="IRNazanin"/>
          <w:color w:val="111111"/>
          <w:sz w:val="28"/>
          <w:sz w:val="28"/>
          <w:szCs w:val="28"/>
          <w:rtl w:val="true"/>
          <w:lang w:bidi="fa-IR"/>
        </w:rPr>
        <w:t>، و فیما مضی آنفا فی هذه المسألة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قضیة صحة هذا التقریب، عدم جواز الاکتفاء بالمرة فی جانب الأمر أیضا،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فی جانب الأمر علی إفادة المحبوبیة الاستیعابیة بالنسبة إلی جمیع الأفراد، و علی وجه تکون الطبیعة الساریة مطلوبة بأداة العموم، و لا یکون الأمر کذلک فی جانب النهی،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المبغوض لو کان فردا ما، فالنهی تحصیل للحاصل؛ لأن ترک هذا المبغوض حاصل بالضرورة، و لکن هل یستکشف من ذلک أن المبغوض هو عموم الأفراد، أم یستکشف منه أن المبغوض هو ترک الفرد الخاصّ؛ و هو ترک المبغوض عن انزجار و کف، فیکون هذا دلیلا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امتثال النهی بالانزجار و الکف، حتی لا یکون النهی تحصیلا للحاصل، کما أفاده القائل بأن النهی طلب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السؤال عن کیفیة استعمال ألفاظ الطبیعة، فإنها موضوعة لنفس الطبائع بما هی هی، و إذا أرید منها الأفراد فلا بدّ من الالتزام بالمجاز الضجیع القبیح، کما لا یخفی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مقدمات الحکمة تفید السرایة</w:t>
      </w:r>
      <w:r>
        <w:rPr>
          <w:rStyle w:val="FootnoteAnchor"/>
          <w:rtl w:val="true"/>
        </w:rPr>
        <w:footnoteReference w:id="219"/>
      </w:r>
      <w:r>
        <w:rPr>
          <w:rFonts w:ascii="IRNazanin" w:hAnsi="IRNazanin" w:eastAsia="IRNazanin"/>
          <w:color w:val="111111"/>
          <w:sz w:val="28"/>
          <w:sz w:val="28"/>
          <w:szCs w:val="28"/>
          <w:rtl w:val="true"/>
          <w:lang w:bidi="fa-IR"/>
        </w:rPr>
        <w:t>، فی غیر محله؛ لما تقرر من أنها لا تورث أمرا خارجا عن الوضع، و لا تورث المجازیة، بل هی عند اجتماعها تفید أن ما هو متعلق الحکم تمام الموضوع و تمام الغرض، و هو تمام المحبوب أو</w:t>
      </w:r>
      <w:bookmarkStart w:id="181" w:name="pg13163_142989"/>
    </w:p>
    <w:p>
      <w:pPr>
        <w:pStyle w:val="BookText"/>
        <w:rPr/>
      </w:pPr>
      <w:bookmarkEnd w:id="181"/>
      <w:r>
        <w:rPr>
          <w:rFonts w:ascii="IRNazanin" w:hAnsi="IRNazanin" w:eastAsia="IRNazanin"/>
          <w:color w:val="111111"/>
          <w:sz w:val="28"/>
          <w:sz w:val="28"/>
          <w:szCs w:val="28"/>
          <w:rtl w:val="true"/>
          <w:lang w:bidi="fa-IR"/>
        </w:rPr>
        <w:t>المبغوض، من غیر إفادة شی‌ء آخر فی مقام الدلالة و اللفظ</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یظهر ضعف بعض الوجوه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جانب الأمر تکون المصلحة قائمة بالفرد، و فی جانب النهی تکون المفسدة مستوعبة، فإنه و إن کان الأمر کما حرر ثبوتا، و لکن الکلام فی مقام الإثبات؛ و أنه کیف یمکن إفادة ذلک بمقدمات الإطلاق من غیر لزوم المجازیة و الجزاف؟</w:t>
      </w:r>
    </w:p>
    <w:p>
      <w:pPr>
        <w:pStyle w:val="BookText"/>
        <w:rPr/>
      </w:pPr>
      <w:r>
        <w:rPr>
          <w:rFonts w:ascii="IRNazanin" w:hAnsi="IRNazanin" w:eastAsia="IRNazanin"/>
          <w:color w:val="111111"/>
          <w:sz w:val="28"/>
          <w:sz w:val="28"/>
          <w:szCs w:val="28"/>
          <w:rtl w:val="true"/>
          <w:lang w:bidi="fa-IR"/>
        </w:rPr>
        <w:t>و قد أفاد الأستاذ البروجردی قدس سره وجها</w:t>
      </w:r>
      <w:r>
        <w:rPr>
          <w:rStyle w:val="FootnoteAnchor"/>
          <w:rtl w:val="true"/>
        </w:rPr>
        <w:footnoteReference w:id="221"/>
      </w:r>
      <w:r>
        <w:rPr>
          <w:rFonts w:ascii="IRNazanin" w:hAnsi="IRNazanin" w:eastAsia="IRNazanin"/>
          <w:color w:val="111111"/>
          <w:sz w:val="28"/>
          <w:sz w:val="28"/>
          <w:szCs w:val="28"/>
          <w:rtl w:val="true"/>
          <w:lang w:bidi="fa-IR"/>
        </w:rPr>
        <w:t>لا یرجع إلی محصل، إن لم یکن تکرارا لفهم العقلاء، فلاحظ ذلک</w:t>
      </w:r>
      <w:r>
        <w:rPr>
          <w:rFonts w:eastAsia="IRNazanin" w:cs="IRNazanin"/>
          <w:color w:val="111111"/>
          <w:sz w:val="28"/>
          <w:szCs w:val="28"/>
          <w:rtl w:val="true"/>
          <w:lang w:bidi="fa-IR"/>
        </w:rPr>
        <w:t>.</w:t>
      </w:r>
    </w:p>
    <w:p>
      <w:pPr>
        <w:pStyle w:val="Heading5"/>
        <w:numPr>
          <w:ilvl w:val="4"/>
          <w:numId w:val="1"/>
        </w:numPr>
        <w:rPr/>
      </w:pPr>
      <w:bookmarkStart w:id="182" w:name="__RefHeading___Toc533701_3244359995"/>
      <w:bookmarkStart w:id="183" w:name="_Toc68"/>
      <w:bookmarkEnd w:id="182"/>
      <w:r>
        <w:rPr>
          <w:rtl w:val="true"/>
        </w:rPr>
        <w:t>تنبیه</w:t>
      </w:r>
      <w:r>
        <w:rPr>
          <w:rtl w:val="true"/>
        </w:rPr>
        <w:t xml:space="preserve">: </w:t>
      </w:r>
      <w:r>
        <w:rPr>
          <w:rtl w:val="true"/>
        </w:rPr>
        <w:t>حول النواهی التعبدیة و دلالة النهی علی الفور</w:t>
      </w:r>
      <w:bookmarkEnd w:id="183"/>
    </w:p>
    <w:p>
      <w:pPr>
        <w:pStyle w:val="BookText"/>
        <w:rPr/>
      </w:pPr>
      <w:r>
        <w:rPr>
          <w:rFonts w:ascii="IRNazanin" w:hAnsi="IRNazanin" w:eastAsia="IRNazanin"/>
          <w:color w:val="111111"/>
          <w:sz w:val="28"/>
          <w:sz w:val="28"/>
          <w:szCs w:val="28"/>
          <w:rtl w:val="true"/>
          <w:lang w:bidi="fa-IR"/>
        </w:rPr>
        <w:t>قد مر منا تفصیلا فی ذیل مباحث التعبدی و التوصلی، إمکان جریان البحوث المزبورة فی الأمر و صیغته فی جانب النهی، و أن المنهی عنه قد یکون تعبدیا، و قد یکون توصلیا</w:t>
      </w:r>
      <w:r>
        <w:rPr>
          <w:rStyle w:val="FootnoteAnchor"/>
          <w:rtl w:val="true"/>
        </w:rPr>
        <w:footnoteReference w:id="222"/>
      </w:r>
      <w:r>
        <w:rPr>
          <w:rFonts w:ascii="IRNazanin" w:hAnsi="IRNazanin" w:eastAsia="IRNazanin"/>
          <w:color w:val="111111"/>
          <w:sz w:val="28"/>
          <w:sz w:val="28"/>
          <w:szCs w:val="28"/>
          <w:rtl w:val="true"/>
          <w:lang w:bidi="fa-IR"/>
        </w:rPr>
        <w:t>، و ما توهموه من الشبهات فی جانب أصالة التوصلیة فی باب الأوامر</w:t>
      </w:r>
      <w:r>
        <w:rPr>
          <w:rStyle w:val="FootnoteAnchor"/>
          <w:rtl w:val="true"/>
        </w:rPr>
        <w:footnoteReference w:id="223"/>
      </w:r>
      <w:r>
        <w:rPr>
          <w:rFonts w:ascii="IRNazanin" w:hAnsi="IRNazanin" w:eastAsia="IRNazanin"/>
          <w:color w:val="111111"/>
          <w:sz w:val="28"/>
          <w:sz w:val="28"/>
          <w:szCs w:val="28"/>
          <w:rtl w:val="true"/>
          <w:lang w:bidi="fa-IR"/>
        </w:rPr>
        <w:t>، هی تأتی هنا أیضا حذوا بحذو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صغری هذه الکبری الکلیة فهی محل المناقشة،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تروک الإحرام أو الصوم أو الصلاة یکون المحرم الأمور الوجودیة، فما هو اللازم عند الأکثر ترکها تعبدا، و لا یکفی التروک الواقعیة</w:t>
      </w:r>
      <w:r>
        <w:rPr>
          <w:rStyle w:val="FootnoteAnchor"/>
          <w:rtl w:val="true"/>
        </w:rPr>
        <w:footnoteReference w:id="224"/>
      </w:r>
      <w:r>
        <w:rPr>
          <w:rFonts w:ascii="IRNazanin" w:hAnsi="IRNazanin" w:eastAsia="IRNazanin"/>
          <w:color w:val="111111"/>
          <w:sz w:val="28"/>
          <w:sz w:val="28"/>
          <w:szCs w:val="28"/>
          <w:rtl w:val="true"/>
          <w:lang w:bidi="fa-IR"/>
        </w:rPr>
        <w:t>، خلافا لبعض آخر</w:t>
      </w:r>
      <w:r>
        <w:rPr>
          <w:rStyle w:val="FootnoteAnchor"/>
          <w:rtl w:val="true"/>
        </w:rPr>
        <w:footnoteReference w:id="225"/>
      </w:r>
      <w:r>
        <w:rPr>
          <w:rFonts w:ascii="IRNazanin" w:hAnsi="IRNazanin" w:eastAsia="IRNazanin"/>
          <w:color w:val="111111"/>
          <w:sz w:val="28"/>
          <w:sz w:val="28"/>
          <w:szCs w:val="28"/>
          <w:rtl w:val="true"/>
          <w:lang w:bidi="fa-IR"/>
        </w:rPr>
        <w:t>، و التفصیل یطلب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المحرمات الشرعیة هی التی یکون أعدامها مطلوبة، و تروکها مقصودة، فإنه أیضا قضیة تروک الحج صغری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القواعد هی أصالة التوصلیة فی جانب النهی أیضا، خلافا للشیخ قدس سره و جمع من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الأصول العملیة فی باب النواهی فی مسألة المرة و التکرار، هی البراءة؛ لما تقرر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استصحاب الحکم الکلی و الأحکام الکلیة الإسلامیة و غیر الإسلامیة، غیر جار ذاتا، لا تعارضا کما ظنه الفاضل النراقی قدس سره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جانب الأمر لا یدل الهیئة و لا غیرها علی الفور، و لا التراخی، و أما حکم العقلاء فی باب النهی علی الفور؛ فهو لأجل أن جواز التراخی یرجع إلی الإخلال بمفاد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للتخییر العقلی فی هذا المقام أیضا؛ حتی یصح الارتکاب فی الآن الأول، و الامتثال فی الثانی، کما هو الظاهر</w:t>
      </w:r>
      <w:r>
        <w:rPr>
          <w:rFonts w:eastAsia="IRNazanin" w:cs="IRNazanin"/>
          <w:color w:val="111111"/>
          <w:sz w:val="28"/>
          <w:szCs w:val="28"/>
          <w:rtl w:val="true"/>
          <w:lang w:bidi="fa-IR"/>
        </w:rPr>
        <w:t>.</w:t>
      </w:r>
      <w:bookmarkStart w:id="184" w:name="pg13163_142992"/>
    </w:p>
    <w:p>
      <w:pPr>
        <w:pStyle w:val="Heading3"/>
        <w:numPr>
          <w:ilvl w:val="2"/>
          <w:numId w:val="1"/>
        </w:numPr>
        <w:rPr/>
      </w:pPr>
      <w:bookmarkStart w:id="185" w:name="__RefHeading___Toc533703_3244359995"/>
      <w:bookmarkStart w:id="186" w:name="_Toc69"/>
      <w:bookmarkEnd w:id="184"/>
      <w:bookmarkEnd w:id="185"/>
      <w:r>
        <w:rPr>
          <w:rtl w:val="true"/>
        </w:rPr>
        <w:t>المبحث الثانی اجتماع الأمر و النهی</w:t>
      </w:r>
      <w:bookmarkEnd w:id="18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533705_3244359995"/>
      <w:bookmarkStart w:id="188" w:name="_Toc70"/>
      <w:bookmarkEnd w:id="187"/>
      <w:r>
        <w:rPr>
          <w:rtl w:val="true"/>
        </w:rPr>
        <w:t>اشارة</w:t>
      </w:r>
      <w:bookmarkStart w:id="189" w:name="pg13163_142994"/>
      <w:bookmarkEnd w:id="188"/>
    </w:p>
    <w:p>
      <w:pPr>
        <w:pStyle w:val="Heading4"/>
        <w:numPr>
          <w:ilvl w:val="3"/>
          <w:numId w:val="1"/>
        </w:numPr>
        <w:rPr/>
      </w:pPr>
      <w:bookmarkStart w:id="190" w:name="__RefHeading___Toc533707_3244359995"/>
      <w:bookmarkStart w:id="191" w:name="_Toc71"/>
      <w:bookmarkEnd w:id="189"/>
      <w:bookmarkEnd w:id="190"/>
      <w:r>
        <w:rPr>
          <w:rtl w:val="true"/>
        </w:rPr>
        <w:t>تمهید</w:t>
      </w:r>
      <w:bookmarkEnd w:id="191"/>
    </w:p>
    <w:p>
      <w:pPr>
        <w:pStyle w:val="Heading5"/>
        <w:numPr>
          <w:ilvl w:val="4"/>
          <w:numId w:val="1"/>
        </w:numPr>
        <w:rPr/>
      </w:pPr>
      <w:bookmarkStart w:id="192" w:name="__RefHeading___Toc533709_3244359995"/>
      <w:bookmarkStart w:id="193" w:name="_Toc72"/>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و اختلفوا فی جواز ذلک و عدمه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العقل و العرف، فیجوز عقلا، و لا یجوز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فیجوز فی مقام الجعل، و لا یجوز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المقام یستدعی تقدیم مقدمات</w:t>
      </w:r>
      <w:r>
        <w:rPr>
          <w:rFonts w:eastAsia="IRNazanin" w:cs="IRNazanin"/>
          <w:color w:val="111111"/>
          <w:sz w:val="28"/>
          <w:szCs w:val="28"/>
          <w:rtl w:val="true"/>
          <w:lang w:bidi="fa-IR"/>
        </w:rPr>
        <w:t>:</w:t>
      </w:r>
    </w:p>
    <w:p>
      <w:pPr>
        <w:pStyle w:val="Heading5"/>
        <w:numPr>
          <w:ilvl w:val="4"/>
          <w:numId w:val="1"/>
        </w:numPr>
        <w:rPr/>
      </w:pPr>
      <w:bookmarkStart w:id="194" w:name="__RefHeading___Toc533711_3244359995"/>
      <w:bookmarkStart w:id="195" w:name="_Toc73"/>
      <w:bookmarkEnd w:id="194"/>
      <w:r>
        <w:rPr>
          <w:rtl w:val="true"/>
        </w:rPr>
        <w:t>المقدمة الأولی</w:t>
      </w:r>
      <w:r>
        <w:rPr>
          <w:rtl w:val="true"/>
        </w:rPr>
        <w:t xml:space="preserve">: </w:t>
      </w:r>
      <w:r>
        <w:rPr>
          <w:rtl w:val="true"/>
        </w:rPr>
        <w:t>فی عنوان المسألة و تحریر مصب النزاع</w:t>
      </w:r>
      <w:bookmarkEnd w:id="1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 المحکی عن المشهور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اجتماع الأمر و النهی فی شی‌ء واحد، أم لا؟</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قد عدل عنه المتأخرون؛ بأن عدم جواز الاجتماع من الواضحات، فیکون العنوان القابل للنزاع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یستلزم تعلق الأمر بشی‌ء و النهی عن الشی‌ء الآخر المتحدین إیجادا و وجودا، اجتماع الأمر و النهی فی الشی‌ء الواحد،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النزاع صغرویا، لا کبرویا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 الوحدة الوحدة الجنسیة أو الوحدة النوعیة، فإن کان لدلیل الأمر و النهی إطلاق؛ حتی یکون الواجب هی الوحدة الجنسیة المطلقة، لا المهملة، و هکذا فی ناحیة الوحدة النوعیة، فلا یعقل الجواز بالضرورة؛ بداهة أن عقل کل عاقل یدرک امتناع کون الحرکة المطلقة واجبة و محرمة، أو الصلاة المطلقة واجبة و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مثال الوحدة الجنسیة، و الثانی مثال الوحدة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مثالان فی العلوم الاعتباریة، و لا صحة لهما فی العلوم الحقیقیة؛ ضرورة أن الحرکة لیست من الأجناس العالیة إلا عند بعض الأعیان </w:t>
      </w:r>
      <w:r>
        <w:rPr>
          <w:rStyle w:val="FootnoteAnchor"/>
          <w:rtl w:val="true"/>
        </w:rPr>
        <w:footnoteReference w:id="229"/>
      </w:r>
      <w:r>
        <w:rPr>
          <w:rFonts w:ascii="IRNazanin" w:hAnsi="IRNazanin" w:eastAsia="IRNazanin"/>
          <w:color w:val="111111"/>
          <w:sz w:val="28"/>
          <w:sz w:val="28"/>
          <w:szCs w:val="28"/>
          <w:rtl w:val="true"/>
          <w:lang w:bidi="fa-IR"/>
        </w:rPr>
        <w:t>، و الصلاة لا تکون من الأنواع الحقیقیة، فتدبر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الوحدة الجنسیة أو النوعیة مهملة، فجواز الاجتماع من الضروریات الواقعة فی الشرائع، فلا معنی للنزاع فی هاتین الوحدتین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امتناع الاجتماع واضح بمثابة لا ینکره الأشعری؛ لأنه من التکلیف المحال، و کیف یعقل أن یدعی الأشعری کون الواحد مبغوضا و محبوبا</w:t>
      </w:r>
      <w:r>
        <w:rPr>
          <w:rStyle w:val="FootnoteAnchor"/>
          <w:rtl w:val="true"/>
        </w:rPr>
        <w:footnoteReference w:id="2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لقصور البال؛ ضرورة أن التکلیف بالمحال یرجع إلی التکلیف المحال، و أن الأشعری و إن لم یدع اجتماع الحب و البغض فی شی‌ء واحد، و لکن یدعی أن فی مورد الأمر و النهی لا یلزم أن یکون حب و بغض، بل یمکن ذلک جزافا، فتدبر تعرف إن شاء اللَّه تعالی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الواحد الشخصی، ففیه أن الشخصیة من تبعات الوجود الخارجی، بل هی هو، و الخارج ظرف سقوط التکلیف، و لا یعقل ثبوت للأمر و لا للنهی حتی یبحث عن اجتماعهما و عدم اجتماعهما، فعلی هذا یسقط العنوان المزبور عن قابلیته لمصب النفی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المتأخرون من صغرویة النزاع، و قرروه بالوجه المزبور، فهو أیضا باطل عاطل؛ لأن الغصب و الصلاة فی عالم العنوانیة لا یتداخلان بالضرورة، و لا معنی لتداخلهما، و فی الخارج لا یبقی الأمر و لا النهی حتی یتجاوز کل إلی ساحة الآخر کلها، أو إلی جزء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لأجله عدل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العنوانین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اجتماع الأمر و النهی علی عنوانین متصادقین علی واحد فی الخارج، أم لا؟ فیکون النزاع کبرویا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أحسن من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یتعلق الأمر و النهی بالعنوانین المتصادقین علی واحد شخصی فی الخارج،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جواز تعلقهما بالعنوانین غیر المتصادقین بالضرورة،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الشبهة فی جواز تعلقهما بالعنوانین المتصادقین أحیانا علی الواحد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فالتعبیر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مسامحة؛ لأنه لا یلزم اجتماع الأمر و النهی فی مرحلة من المراحل علی شی‌ء واحد، و مع تعدد المتعلق لا یعد من اجتماعهما، و الأمر سهل بعد 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النزاع، أعم من کون العنوانین متصادقین علی الواحد فی الخارج، أم کان الصدق فی عالم العناوین و المفاهیم؛ ضرورة أن الجنس یصدق علی النوع من غیر لزوم کون المصداق موجودا خارجیا، فعلی هذا کما یکون النزاع فی العنوانین المتصادقین علی الخارج، کذلک یکون فی المتصادقین علی الکلی الّذی هو دون الطبیعة الواقعة تحت الأمر، و الطبیعة الواقعة تحت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 المولی بالعبادة، و نهی عن الحرکة، فبما أن العنوانین یتصادقان علی الصلاة دون الصوم، یقع المجمع للعنوانین کلیا، و تکون الصلاة مصب صدق الحرکة و العبادة، و هکذا الصلاة الغصبیة، کما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الکلی المقید، و تکون بما أنه المغصوبة مورد النهی، و بما أنها صلاة مورد الأمر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وحدة المجمع؛ سواء کانت وحدة جنسیة، أو نوعیة، أو صنفیة، أو شخصیة، و مما ذکرنا یظهر ضعف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توضیح مرامه، فراجع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الواحد الشخصی یمکن أن یکون مورد النزاع؛ لإمکان کونه مجمعا،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الحرکة الخارجیة واجبة من حیث، و محرمة من حیث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الوحدات الکلیة المطلقة و المقیدة، فهی و إن کانت مجمعا للعناوین العامة، و لعنوان المأمور به و المنهی عنه، إلا أنه بالتقید یصیر واحدا نوعیا مثلا، و کلیا مقیدا، و عند ذلک هل یعقل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المغصوبة واجبة بما أنها صلاة، و محرمة بما أنها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الصلاة المتقیدة بکونها غصبا أو الغصب المتقید بالصلاتیة، لا یقبل الانحلال إلی حیثیتین، بخلاف ما فی الخارج، فإنه نشیر إلی ما فی الخارج و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محرم؛ لأنه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النّظر إلی صلاتیته؛ و أنه واجب لأنه صلاة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فالکلی المقید و إن کان ذا وجهین بحسب الصدق، و یصدق علیه العنوانان، و لکنه لا یعقل فرض الاجتماع؛ لأن مع فرض أنها مغصوبة و مع فرض أنها صلاة، یلزم کون متعلق الأمر و النهی واحدا بالضرورة من غیر لزوم التشاح و النزاع،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یعقل وحدة متعلق الأمر و النهی، کذلک لا یعقل کون الواحد المرکب و المقید، مجمع الأمر و النهی؛ للزوم کون الجزء من المرکب متعلق الأمر و النهی بالضرورة من غیر غشاوة، و مسألة اجتماع الأمر و النهی لیست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علی هذا منحصرا مورد النزاع بالواحد الشخصی الّذی یکون مجمع العنوانین، و یصدق علیه أنه محرم؛ لکونه غصبا، و واجب لکونه صلاة؛ برجوع الحیثیة التعلیلیة إلی التقییدیة، مع عدم لزوم فرض الغصب فی مورد تعلق الوجوب، و فرض الصلاة فی مصب تعلق الحرمة، بل وصف المحرمیة و الواجبیة ثابت للواحد الشخصی مع قطع النّظر حال توصیفه بأحدهما عن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التوضیح </w:t>
      </w:r>
      <w:r>
        <w:rPr>
          <w:rStyle w:val="FootnoteAnchor"/>
          <w:rtl w:val="true"/>
        </w:rPr>
        <w:footnoteReference w:id="234"/>
      </w:r>
      <w:r>
        <w:rPr>
          <w:rFonts w:ascii="IRNazanin" w:hAnsi="IRNazanin" w:eastAsia="IRNazanin"/>
          <w:color w:val="111111"/>
          <w:sz w:val="28"/>
          <w:sz w:val="28"/>
          <w:szCs w:val="28"/>
          <w:rtl w:val="true"/>
          <w:lang w:bidi="fa-IR"/>
        </w:rPr>
        <w:t xml:space="preserve">فی غیر محله، کما أن ما ذهب إلیه جمهور المتأخرین </w:t>
      </w:r>
      <w:r>
        <w:rPr>
          <w:rStyle w:val="FootnoteAnchor"/>
          <w:rtl w:val="true"/>
        </w:rPr>
        <w:footnoteReference w:id="235"/>
      </w:r>
      <w:r>
        <w:rPr>
          <w:rFonts w:ascii="IRNazanin" w:hAnsi="IRNazanin" w:eastAsia="IRNazanin"/>
          <w:color w:val="111111"/>
          <w:sz w:val="28"/>
          <w:sz w:val="28"/>
          <w:szCs w:val="28"/>
          <w:rtl w:val="true"/>
          <w:lang w:bidi="fa-IR"/>
        </w:rPr>
        <w:t>فی غیر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 المقید کالصلاة المغصوبة، مجمع العنوانین، و سرایة الوجوب من أحد الجزءین إلی الجزء الآخر، و الحرمة من الجزء الغصبی إلی الجزء الصلاتی، محل الخلاف بین المجوزین و المانعین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لأن الکلی المأخوذ موضوعا للوجوب و الحرمة، قابل للتعلیل،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المغصوبة واجبة؛ لأنها صلاة، و محرمة لأنها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العلة إما تکون غیر راجعة إلی قید الموضوع، فیلزم اجتماع الأمر و النهی فی المتعلق، و هو واضح الفساد، و إما ترجع الحیثیة التعلیلیة إلی الحیثیة التقییدیة، فلا معنی لحمل الوجوب علی المرکب من الجزءین اللذین أحدهما أجنبی،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فیه مناط البحث و مورد النزاع؛ هو الواحد الشخصی الّذی یصح أن یوصف بالحرمة و الوجوب، من غیر کون الحیثیة الواحدة موصوفة بهما، و من غیر کون أحد الوصفین ملحوظا فی الوصف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هنا تحرر و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جعله المشهور عنوانا للبحث قابل للتصحیح بأن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الواحد، لا المتعلق الواحد،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أن یکون عنوان البحث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تعلق الأمر و النهی بالعنوانین المتصادقین علی واحد شخصی، الموجودین بالإیجاد الواحد و الوجود الفارد، فهل یمکن إبقاء الأمر و النهی علی حالهما،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جدا؛ لعدم اجتماعهما فی المتعلق فی مقام الإنشاء و الجعل فی أی وعاء من الأوعیة بالضرورة کما یأتی </w:t>
      </w:r>
      <w:r>
        <w:rPr>
          <w:rStyle w:val="FootnoteAnchor"/>
          <w:rtl w:val="true"/>
        </w:rPr>
        <w:footnoteReference w:id="237"/>
      </w:r>
      <w:r>
        <w:rPr>
          <w:rFonts w:ascii="IRNazanin" w:hAnsi="IRNazanin" w:eastAsia="IRNazanin"/>
          <w:color w:val="111111"/>
          <w:sz w:val="28"/>
          <w:sz w:val="28"/>
          <w:szCs w:val="28"/>
          <w:rtl w:val="true"/>
          <w:lang w:bidi="fa-IR"/>
        </w:rPr>
        <w:t>، و علی هذا یصیر النزاع کبرویا، و لا یعقل أن یکون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أخذ العنوان الواحد من الکثیر بما هو کثیر، ممتنع برهانا و وجدانا، و لا شبهة أیضا فی أن أخذ العناوین الکثیرة من الواحد بجهة واحدة، مستحیل عقلا و وجدانا، بل لا بد من الجهات العدیدة حتی یتمکن من أخذ العناوین الکثیرة من الواحد؛ و إن کانت تلک الجهات لحاظیة، و اعتباریة غیر خارجیة، فلا یلزم کون الواحد المزبور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ینافی أن یکون بسیطا غایته، فإن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ینتزعان من الواجب، و یکون کل واحد مأخوذا لجهة خاصة من غیر لزوم ترکیبه، کما تحرر منا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نحن فیه إذا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متکثرا کما هو الواضح،</w:t>
      </w:r>
    </w:p>
    <w:p>
      <w:pPr>
        <w:pStyle w:val="BookText"/>
        <w:rPr/>
      </w:pPr>
      <w:r>
        <w:rPr>
          <w:rFonts w:ascii="IRNazanin" w:hAnsi="IRNazanin" w:eastAsia="IRNazanin"/>
          <w:color w:val="111111"/>
          <w:sz w:val="28"/>
          <w:sz w:val="28"/>
          <w:szCs w:val="28"/>
          <w:rtl w:val="true"/>
          <w:lang w:bidi="fa-IR"/>
        </w:rPr>
        <w:t>فلا بدّ من أخذ کل واحد من الخارج بجهة غیر الجهة التی یؤخذ منها الآخر، فعلی هذا فهل یعقل أن یکون النزاع فی أن العناوین الکثیرة، هل یمکن أن تؤخذ من الواحد بجهة واحدة،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یدعی القائل بالاجتماع أن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ینتزعان من الجهتین الخارجیتین، و الامتناعی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ینتزعان من الواحد بجهة واحدة، مع کونهما عنوانین مختلفین مفهوما، فعلی مثل هذا التوضیح یتبین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تحریر النزاع بشکل البحث الصغروی حول أن من تعلق الأمر بعنوان، و النهی بعنوان آخر، موجودین بإیجاد واحد، و وجود واحد، یلزم اتحاد المتعلق أم لا؟ من الغلط الظاهر؛ لأنه مع 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هما عنوانان، لا یعقل کون منشئهما واحدا، و کیف یمکن 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حیثیة الصلاة و الغصب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وحدة الحیثیة تستلزم وحدة العنوان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لا بد و أن یکون فی أن مع تعدد الحیثیتین و العنوانین، هل یعقل بقاء الأمر و النهی فی المجمع، أم الاتحاد فی المجمع یستلزم قصورا فی الحکم الوجوبیّ أو التحریمی؟ بعد وضوح عدم سرایة الأمر من أحد العنوانین إلی العنوان الآخر، و هکذا النهی، و بعد اتضاح أن هذه السرایة لا یعقل أن تکون فی الخارج؛ لأنه ظرف السقوط، لا الثبوت و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یسقط ما قد یتراءی من کلام جمع من أن الترکیب بین الحیثیتین إن کان اتحادیا فلا یجوز، و إن کان انضمامیا یجوز</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مضافا إلی أجنبیة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القضیة، لا معنی</w:t>
      </w:r>
    </w:p>
    <w:p>
      <w:pPr>
        <w:pStyle w:val="BookText"/>
        <w:rPr/>
      </w:pPr>
      <w:r>
        <w:rPr>
          <w:rFonts w:ascii="IRNazanin" w:hAnsi="IRNazanin" w:eastAsia="IRNazanin"/>
          <w:color w:val="111111"/>
          <w:sz w:val="28"/>
          <w:sz w:val="28"/>
          <w:szCs w:val="28"/>
          <w:rtl w:val="true"/>
          <w:lang w:bidi="fa-IR"/>
        </w:rPr>
        <w:t>للترکیب الاتحادی الراجع إلی وحدة خارجیة لحیثیتین، مع کون العنوانین متکثرین، فإن برجوع الکثیر إلی الواحد ترجع العناوین الکثیرة إلی واحدة، و إذا کان الاختلاف الاعتباری کافیا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لانتزاع الکثیر، فلا معنی للترکیب الاتحادی و الانضمامی رأسا،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یعترف کل إنسان مع قطع النّظر عن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الصلاة فی الأرض المغصوبة ینتزع منها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ینتزع منها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العناوین یکشف عن اختلاف المنشأ؛ إما اختلافا واقعیا، کما فی المرکبات، أو اختلافا اعتباریا، کما فی البسائط، و عندئذ لا یتمکن أحد من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حیثیة الصلاة و الغصب فی الخارج واحدة، فإنه من قبیل تناقض الصدر و الذیل، فإن کانا عنوانین فلا تکون الحیثیة واحدة؛ و إن کانت واحدة فلا یبقی لفرض العنوانین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فحدیث السرایة و حدیث الترکیب الاتحادی و الانضمامی، من أساطیر الأولین الغافلین عن المسائل العقلیة، و عن الأحادیث العلمیة، و ما هو الحدیث هو أن فی مورد التصادق هل تبقی الإرادتان الإلزامیتان علی حالهما من الباعثیة و الزاجریة أم تنتفی إحداهما و تبقی الأخری من غیر سرایة الإرادة الباقیة إلی متعلق الإرادة الزائلة؟ فافهم و اغتنم، و 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حول الانحفاظ المزبور، و القول بعدم الانحفاظ، ینشأ من توهم السرایة و الترکیب الاتحادی، و من التکلیف بالمحال، أو التکلیف المحال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للامتناعی أن یقول بالترکیب الانضمامی، و له أن یقول بعدم السرایة، کما یظهر وجهه فی جوهر البحث، فمنه یعلم عدم ابتناء المسألة علی الترکیب المزبور، و علی القول بالسرایة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حدیث السرایة من الأباطیل، و حدیث الترکیب أجنبی عن بحوث الاعتباریات، کما سیتضح جدا، فعلیه</w:t>
      </w:r>
      <w:bookmarkStart w:id="196" w:name="pg13163_143002"/>
    </w:p>
    <w:p>
      <w:pPr>
        <w:pStyle w:val="BookText"/>
        <w:rPr/>
      </w:pPr>
      <w:bookmarkEnd w:id="196"/>
      <w:r>
        <w:rPr>
          <w:rFonts w:ascii="IRNazanin" w:hAnsi="IRNazanin" w:eastAsia="IRNazanin"/>
          <w:color w:val="111111"/>
          <w:sz w:val="28"/>
          <w:sz w:val="28"/>
          <w:szCs w:val="28"/>
          <w:rtl w:val="true"/>
          <w:lang w:bidi="fa-IR"/>
        </w:rPr>
        <w:t>تکون المسألة حول إمکان انحفاظ الإرادتین الإلزامیتین المتعلقة إحداهما بالبعث، و الأخری بالزجر حال اجتماع المتعلقین و تعانقهما فی الواحد الشخصی حسبما تحرر</w:t>
      </w:r>
      <w:r>
        <w:rPr>
          <w:rStyle w:val="FootnoteAnchor"/>
          <w:rtl w:val="true"/>
        </w:rPr>
        <w:footnoteReference w:id="241"/>
      </w:r>
      <w:r>
        <w:rPr>
          <w:rFonts w:ascii="IRNazanin" w:hAnsi="IRNazanin" w:eastAsia="IRNazanin"/>
          <w:color w:val="111111"/>
          <w:sz w:val="28"/>
          <w:sz w:val="28"/>
          <w:szCs w:val="28"/>
          <w:rtl w:val="true"/>
          <w:lang w:bidi="fa-IR"/>
        </w:rPr>
        <w:t>، أو فی الأعم منه و من الکلی بأقسامه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النزاع فی هذه المسألة بناء علیه، یکون کبرویا؛ لرجوعه إلی أنه هل یمکن أن تجتمع تلک الإرادتان فی نفس المولی حال اجتماع المتعلقین فی الخارج؛ و تصادقهما علیه، أم لا یمکن المحافظة علی جمعهما فی نفسه؟ و النزاع فی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أو کلی، أو أعم، یکون صغرویا؛ لأن من ینکر الأعمیة مثلا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المجمع الکلی یلزم وحدة المتعلق زائدا علی وحدة المجمع، و هو محال، و من یدعیها ینکر هذا اللازم، و سیأتی فی بحث اشتراط المندوحة و عدمها ما یغنیک فی المقام إن شاء اللَّه تعالی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533713_3244359995"/>
      <w:bookmarkStart w:id="198" w:name="_Toc74"/>
      <w:bookmarkEnd w:id="197"/>
      <w:r>
        <w:rPr>
          <w:rtl w:val="true"/>
        </w:rPr>
        <w:t>المقدمة الثانیة</w:t>
      </w:r>
      <w:r>
        <w:rPr>
          <w:rtl w:val="true"/>
        </w:rPr>
        <w:t xml:space="preserve">: </w:t>
      </w:r>
      <w:r>
        <w:rPr>
          <w:rtl w:val="true"/>
        </w:rPr>
        <w:t>فی الفرق بین هذه المسألة و مسألة النهی عن العبادة</w:t>
      </w:r>
      <w:bookmarkEnd w:id="198"/>
    </w:p>
    <w:p>
      <w:pPr>
        <w:pStyle w:val="Heading6"/>
        <w:numPr>
          <w:ilvl w:val="5"/>
          <w:numId w:val="1"/>
        </w:numPr>
        <w:rPr/>
      </w:pPr>
      <w:bookmarkStart w:id="199" w:name="__RefHeading___Toc533715_3244359995"/>
      <w:bookmarkStart w:id="200" w:name="_Toc75"/>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یتراءی من کلماتهم التصدی لبیان الفرق بین هذه المسألة، و مسألة النهی عن العبادات، و هذا غیر صحیح؛ للزوم الإشارة إلی وجه الاشتباه و الاتحاد، ثم الإیماء إلی الفروق المتصورة، فعلیه یقع البحث فی جهتین</w:t>
      </w:r>
      <w:r>
        <w:rPr>
          <w:rFonts w:eastAsia="IRNazanin" w:cs="IRNazanin"/>
          <w:color w:val="111111"/>
          <w:sz w:val="28"/>
          <w:szCs w:val="28"/>
          <w:rtl w:val="true"/>
          <w:lang w:bidi="fa-IR"/>
        </w:rPr>
        <w:t>:</w:t>
      </w:r>
    </w:p>
    <w:p>
      <w:pPr>
        <w:pStyle w:val="Heading6"/>
        <w:numPr>
          <w:ilvl w:val="5"/>
          <w:numId w:val="1"/>
        </w:numPr>
        <w:rPr/>
      </w:pPr>
      <w:bookmarkStart w:id="201" w:name="__RefHeading___Toc533717_3244359995"/>
      <w:bookmarkStart w:id="202" w:name="_Toc76"/>
      <w:bookmarkEnd w:id="201"/>
      <w:r>
        <w:rPr>
          <w:rtl w:val="true"/>
        </w:rPr>
        <w:t>الجهة الأولی</w:t>
      </w:r>
      <w:r>
        <w:rPr>
          <w:rtl w:val="true"/>
        </w:rPr>
        <w:t xml:space="preserve">: </w:t>
      </w:r>
      <w:r>
        <w:rPr>
          <w:rtl w:val="true"/>
        </w:rPr>
        <w:t>فی وجه اشتراک المسألتین</w:t>
      </w:r>
      <w:bookmarkEnd w:id="202"/>
    </w:p>
    <w:p>
      <w:pPr>
        <w:pStyle w:val="BookText"/>
        <w:rPr/>
      </w:pPr>
      <w:r>
        <w:rPr>
          <w:rFonts w:ascii="IRNazanin" w:hAnsi="IRNazanin" w:eastAsia="IRNazanin"/>
          <w:color w:val="111111"/>
          <w:sz w:val="28"/>
          <w:sz w:val="28"/>
          <w:szCs w:val="28"/>
          <w:rtl w:val="true"/>
          <w:lang w:bidi="fa-IR"/>
        </w:rPr>
        <w:t>و بیان کیفیة الاستغناء عن هذه المسألة بتلک المسألة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مسألة الاجتماع کما یتصور فی العامین من وجه، اشتهر</w:t>
      </w:r>
    </w:p>
    <w:p>
      <w:pPr>
        <w:pStyle w:val="BookText"/>
        <w:rPr/>
      </w:pPr>
      <w:r>
        <w:rPr>
          <w:rFonts w:ascii="IRNazanin" w:hAnsi="IRNazanin" w:eastAsia="IRNazanin"/>
          <w:color w:val="111111"/>
          <w:sz w:val="28"/>
          <w:sz w:val="28"/>
          <w:szCs w:val="28"/>
          <w:rtl w:val="true"/>
          <w:lang w:bidi="fa-IR"/>
        </w:rPr>
        <w:t xml:space="preserve">تصوره فی العامین المطلقین </w:t>
      </w:r>
      <w:r>
        <w:rPr>
          <w:rStyle w:val="FootnoteAnchor"/>
          <w:rtl w:val="true"/>
        </w:rPr>
        <w:footnoteReference w:id="243"/>
      </w:r>
      <w:r>
        <w:rPr>
          <w:rFonts w:ascii="IRNazanin" w:hAnsi="IRNazanin" w:eastAsia="IRNazanin"/>
          <w:color w:val="111111"/>
          <w:sz w:val="28"/>
          <w:sz w:val="28"/>
          <w:szCs w:val="28"/>
          <w:rtl w:val="true"/>
          <w:lang w:bidi="fa-IR"/>
        </w:rPr>
        <w:t>، و إذا کان الفرض الثانی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البحث حول اجتماع الأمر المتعلق بالصلاة، و النهی المتعلق بالصلاة فی و بر مالا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یشتبه الأمر علی الباحثین، و یتوجه السؤال المزبور؛ لأن المفروض تعلق النهی بالعبادة، فإذا کانت باطلة فلا موضوع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العبادة لا تختص بذلک؛ لما سیأتی من إمکان جریان نزاع الاجتماع فی المعاملات </w:t>
      </w:r>
      <w:r>
        <w:rPr>
          <w:rStyle w:val="FootnoteAnchor"/>
          <w:rtl w:val="true"/>
        </w:rPr>
        <w:footnoteReference w:id="244"/>
      </w:r>
      <w:r>
        <w:rPr>
          <w:rFonts w:ascii="IRNazanin" w:hAnsi="IRNazanin" w:eastAsia="IRNazanin"/>
          <w:color w:val="111111"/>
          <w:sz w:val="28"/>
          <w:sz w:val="28"/>
          <w:szCs w:val="28"/>
          <w:rtl w:val="true"/>
          <w:lang w:bidi="fa-IR"/>
        </w:rPr>
        <w:t>، فإذا کان بین عنوان المأمور به و المنهی عنه فی المعاملات، عموم مطلق، فیأتی السؤال المذکور أیضا؛ لتوجه النهی إلی ذات المعاملة، و إذا کانت هی باطلة فلا معنی لهذا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صورة کون النسبة عموما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النسبة عموما من وجه، فربما یتراءی عدم وجه للاشتباه بین المسألتین؛ ضرورة أن اختلاف المسائل باختلاف الموضوعات، أو المحمولات، أو الأغراض و الغایات، أو الحیثیات علی سبیل منع الخلو، و نحن نشاهد کمال الخلاف بین هذه المسألة و تلک المسألة، فلا بدّ من السؤال عن وجه التشابه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یکون متعلق النهی فی العامین من وجه عنوان العبادة،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فیتوجه الاشتباه الموجب للسؤال عن الفرق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اشتبه علیه الأمر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المتعلق بالعنوان، لمکان أنه ینحل إلی النواهی الکثیرة، فلا بدّ أن یسری إلی المصادیق و الأفراد، فتکون الصلاة فی الدار المغصوبة مورد النهی طبعا، فلو کان النهی فی العبادات و المعاملات موجبا</w:t>
      </w:r>
      <w:bookmarkStart w:id="203" w:name="pg13163_143004"/>
    </w:p>
    <w:p>
      <w:pPr>
        <w:pStyle w:val="BookText"/>
        <w:rPr/>
      </w:pPr>
      <w:bookmarkEnd w:id="203"/>
      <w:r>
        <w:rPr>
          <w:rFonts w:ascii="IRNazanin" w:hAnsi="IRNazanin" w:eastAsia="IRNazanin"/>
          <w:color w:val="111111"/>
          <w:sz w:val="28"/>
          <w:sz w:val="28"/>
          <w:szCs w:val="28"/>
          <w:rtl w:val="true"/>
          <w:lang w:bidi="fa-IR"/>
        </w:rPr>
        <w:t>لفساد متعلقهما، فلا معنی للنزاع فی هذه المسألة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الاشتباه فی المعاملات إذا کانت النسبة بینها و بین المنهی عنه، عموما من وجه، مثلا النسبة بین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Style w:val="FootnoteAnchor"/>
          <w:rtl w:val="true"/>
        </w:rPr>
        <w:footnoteReference w:id="246"/>
      </w:r>
      <w:r>
        <w:rPr>
          <w:rFonts w:ascii="IRNazanin" w:hAnsi="IRNazanin" w:eastAsia="IRNazanin"/>
          <w:color w:val="111111"/>
          <w:sz w:val="28"/>
          <w:sz w:val="28"/>
          <w:szCs w:val="28"/>
          <w:rtl w:val="true"/>
          <w:lang w:bidi="fa-IR"/>
        </w:rPr>
        <w:t xml:space="preserve">و بین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و سلم عن الغرر</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عموم من وجه، إلا أن النهی لمکان انحلاله العرفی إلی النواهی، فیکون البیع الغرری مورد النهی، و یکون فاسدا، و لا یبقی حینئذ موضوع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الاشتباه المزبور فی المقام؛ تمسک الأعلام بالحدیث المزبور لفساد المعاملات الغرریة</w:t>
      </w:r>
      <w:r>
        <w:rPr>
          <w:rStyle w:val="FootnoteAnchor"/>
          <w:rtl w:val="true"/>
        </w:rPr>
        <w:footnoteReference w:id="248"/>
      </w:r>
      <w:r>
        <w:rPr>
          <w:rFonts w:ascii="IRNazanin" w:hAnsi="IRNazanin" w:eastAsia="IRNazanin"/>
          <w:color w:val="111111"/>
          <w:sz w:val="28"/>
          <w:sz w:val="28"/>
          <w:szCs w:val="28"/>
          <w:rtl w:val="true"/>
          <w:lang w:bidi="fa-IR"/>
        </w:rPr>
        <w:t>، مع أن النهی تعلق بالأمر الخارج، فافهم و اغتنم</w:t>
      </w:r>
      <w:r>
        <w:rPr>
          <w:rFonts w:eastAsia="IRNazanin" w:cs="IRNazanin"/>
          <w:color w:val="111111"/>
          <w:sz w:val="28"/>
          <w:szCs w:val="28"/>
          <w:rtl w:val="true"/>
          <w:lang w:bidi="fa-IR"/>
        </w:rPr>
        <w:t>.</w:t>
      </w:r>
    </w:p>
    <w:p>
      <w:pPr>
        <w:pStyle w:val="Heading6"/>
        <w:numPr>
          <w:ilvl w:val="5"/>
          <w:numId w:val="1"/>
        </w:numPr>
        <w:rPr/>
      </w:pPr>
      <w:bookmarkStart w:id="204" w:name="__RefHeading___Toc533719_3244359995"/>
      <w:bookmarkStart w:id="205" w:name="_Toc77"/>
      <w:bookmarkEnd w:id="204"/>
      <w:r>
        <w:rPr>
          <w:rtl w:val="true"/>
        </w:rPr>
        <w:t>الجهة الثانیة</w:t>
      </w:r>
      <w:r>
        <w:rPr>
          <w:rtl w:val="true"/>
        </w:rPr>
        <w:t xml:space="preserve">: </w:t>
      </w:r>
      <w:r>
        <w:rPr>
          <w:rtl w:val="true"/>
        </w:rPr>
        <w:t>فی بیان الفارق بینهما</w:t>
      </w:r>
      <w:bookmarkEnd w:id="205"/>
    </w:p>
    <w:p>
      <w:pPr>
        <w:pStyle w:val="BookText"/>
        <w:rPr/>
      </w:pPr>
      <w:r>
        <w:rPr>
          <w:rFonts w:ascii="IRNazanin" w:hAnsi="IRNazanin" w:eastAsia="IRNazanin"/>
          <w:color w:val="111111"/>
          <w:sz w:val="28"/>
          <w:sz w:val="28"/>
          <w:szCs w:val="28"/>
          <w:rtl w:val="true"/>
          <w:lang w:bidi="fa-IR"/>
        </w:rPr>
        <w:t>هو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جریان النزاع فی هذه المسألة فی العموم و الخصوص المطلقین، محل المناقشة جدا، و سیوافیک تحقیقه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فی هذه المسألة نهی فرض أنه تکلیفی، و لا یستتبع النهی التکلیفی فساد متعلقه، بل التحقیق أنه یقتضی الصحة، کما یأتی تحقیقه </w:t>
      </w:r>
      <w:r>
        <w:rPr>
          <w:rStyle w:val="FootnoteAnchor"/>
          <w:rtl w:val="true"/>
        </w:rPr>
        <w:footnoteReference w:id="250"/>
      </w:r>
      <w:r>
        <w:rPr>
          <w:rFonts w:ascii="IRNazanin" w:hAnsi="IRNazanin" w:eastAsia="IRNazanin"/>
          <w:color w:val="111111"/>
          <w:sz w:val="28"/>
          <w:sz w:val="28"/>
          <w:szCs w:val="28"/>
          <w:rtl w:val="true"/>
          <w:lang w:bidi="fa-IR"/>
        </w:rPr>
        <w:t>، و النهی المفروض فی تلک المسألة نهی لم یفرض کونه تکلیفیا، بل عقدت المسألة علی أن یعرف النهی المتعلق بالعبادة أنه یدل علی الفساد،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المسألة إما نقول بأن النهی المتعلق بالعبادة أو المعاملة، یوجب الفساد، فیلزم المشابهة بین المسألتین، 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یقتضی الفساد، فلا بدّ من عقد هذا البحث؛ و السؤال عن کیفیة إمکان الجمع بین الأمر المفروض تعلقه، و النهی غیر الموجب للفساد، فلا یغنی البحث الآتی عن هذه المسألة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من صغریات باب التزاحم، و المسألة الآتیة من صغریات باب التعارض؛ إن بنینا علی أن النهی إرشاد إلی الفساد، و أما إذا بنینا علی أن النهی تکلیف صرف، فیکون صغری لهذه المسألة،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أن الأصحاب حتی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وقعوا فیما لا ینبغی، فبحثوا أولا عن امتیاز المسائل و ما به الامتیاز، ثم عن بعض الفروق المذکورة فی الکتب، فأطالوا ما لا داعی إلی إطالته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بعض آخر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هذه المسألة صغری لتلک المسألة؛ و هو أنه إن قلنا بالسرایة، فیلزم تعلق النهی بالعبادة</w:t>
      </w:r>
      <w:r>
        <w:rPr>
          <w:rStyle w:val="FootnoteAnchor"/>
          <w:rtl w:val="true"/>
        </w:rPr>
        <w:footnoteReference w:id="252"/>
      </w:r>
      <w:r>
        <w:rPr>
          <w:rFonts w:ascii="IRNazanin" w:hAnsi="IRNazanin" w:eastAsia="IRNazanin"/>
          <w:color w:val="111111"/>
          <w:sz w:val="28"/>
          <w:sz w:val="28"/>
          <w:szCs w:val="28"/>
          <w:rtl w:val="true"/>
          <w:lang w:bidi="fa-IR"/>
        </w:rPr>
        <w:t xml:space="preserve">، و أنت قد أحطت خبرا بأن مسألة السرایة من الأباطیل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حاجة إلی تلک البحوث، بل نتیجة تلک المسألة صغری لهذا المسألة؛ و هو أنه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فی العبادة أو المعاملة لا یکون مفسدا، فیکون تکلیفا و مستلزما للصحة، فیلزم اجتماع الأمر و النهی فی شی‌ء واحد، مع کون المتعلقین مختلفین، کما هو المعلوم المفروض</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لا ینحل إلی النواهی کما مر</w:t>
      </w:r>
      <w:r>
        <w:rPr>
          <w:rStyle w:val="FootnoteAnchor"/>
          <w:rtl w:val="true"/>
        </w:rPr>
        <w:footnoteReference w:id="254"/>
      </w:r>
      <w:r>
        <w:rPr>
          <w:rFonts w:ascii="IRNazanin" w:hAnsi="IRNazanin" w:eastAsia="IRNazanin"/>
          <w:color w:val="111111"/>
          <w:sz w:val="28"/>
          <w:sz w:val="28"/>
          <w:szCs w:val="28"/>
          <w:rtl w:val="true"/>
          <w:lang w:bidi="fa-IR"/>
        </w:rPr>
        <w:t>، و لو انحل فلا یسری إلا إلی</w:t>
      </w:r>
      <w:bookmarkStart w:id="206" w:name="pg13163_143006"/>
    </w:p>
    <w:p>
      <w:pPr>
        <w:pStyle w:val="BookText"/>
        <w:rPr/>
      </w:pPr>
      <w:bookmarkEnd w:id="206"/>
      <w:r>
        <w:rPr>
          <w:rFonts w:ascii="IRNazanin" w:hAnsi="IRNazanin" w:eastAsia="IRNazanin"/>
          <w:color w:val="111111"/>
          <w:sz w:val="28"/>
          <w:sz w:val="28"/>
          <w:szCs w:val="28"/>
          <w:rtl w:val="true"/>
          <w:lang w:bidi="fa-IR"/>
        </w:rPr>
        <w:t>المصادیق الذاتیّة، دون الخصوصیات الملازمة، کما تحرر و تقرر</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التنبیهات تظهر مواضع الفساد فی کلمات الأصحاب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 أدلة التعارض للعامین من وجه، فلا یبقی محل للنزاع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تعارضهما یکون بالعرض علی تقدیر الامتناع؛ للعلم بکذب أحدهما، و علی الاجتماع فلا یثبت التعارض بالعرض أیضا، فتدبر</w:t>
      </w:r>
      <w:r>
        <w:rPr>
          <w:rFonts w:eastAsia="IRNazanin" w:cs="IRNazanin"/>
          <w:color w:val="111111"/>
          <w:sz w:val="28"/>
          <w:szCs w:val="28"/>
          <w:rtl w:val="true"/>
          <w:lang w:bidi="fa-IR"/>
        </w:rPr>
        <w:t>.</w:t>
      </w:r>
    </w:p>
    <w:p>
      <w:pPr>
        <w:pStyle w:val="Heading6"/>
        <w:numPr>
          <w:ilvl w:val="5"/>
          <w:numId w:val="1"/>
        </w:numPr>
        <w:rPr/>
      </w:pPr>
      <w:bookmarkStart w:id="207" w:name="__RefHeading___Toc533721_3244359995"/>
      <w:bookmarkStart w:id="208" w:name="_Toc78"/>
      <w:bookmarkEnd w:id="207"/>
      <w:r>
        <w:rPr>
          <w:rtl w:val="true"/>
        </w:rPr>
        <w:t>تتمیم</w:t>
      </w:r>
      <w:r>
        <w:rPr>
          <w:rtl w:val="true"/>
        </w:rPr>
        <w:t xml:space="preserve">: </w:t>
      </w:r>
      <w:r>
        <w:rPr>
          <w:rtl w:val="true"/>
        </w:rPr>
        <w:t>حول کفایة مسألة النهی عن العبادة عن هذه المسألة</w:t>
      </w:r>
      <w:bookmarkEnd w:id="208"/>
    </w:p>
    <w:p>
      <w:pPr>
        <w:pStyle w:val="BookText"/>
        <w:rPr/>
      </w:pPr>
      <w:r>
        <w:rPr>
          <w:rFonts w:ascii="IRNazanin" w:hAnsi="IRNazanin" w:eastAsia="IRNazanin"/>
          <w:color w:val="111111"/>
          <w:sz w:val="28"/>
          <w:sz w:val="28"/>
          <w:szCs w:val="28"/>
          <w:rtl w:val="true"/>
          <w:lang w:bidi="fa-IR"/>
        </w:rPr>
        <w:t>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المحرر فی بحث التعبدی و التوصلی؛ أن قضیة القواعد هی التعبدیة فی مسألة أن إطلاق الأمر هل یقتضی تحقق الامتثال بالمصداق المحرم، أم لا؟ و المراد منها لزوم کون المصداق الممتثل به غیر محرم، و یکون مباحا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نتیجة تلک المسألة هی الغناء عن هذه المسألة، فلا وجه لعنوانها و البحث عن جواز الاجتماع و اللا اجتماع؛ لأنه علی تقدیر جوازه عقلا، فلا یجوز فی مقام الامتثال الاکتفاء بالفرد المنطبق علیه عنوان المحرم، فالصلاة فی المغصوبة باطلة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الاستغناء عن هذه المسألة بما مضی فی الأوامر</w:t>
      </w:r>
      <w:r>
        <w:rPr>
          <w:rStyle w:val="FootnoteAnchor"/>
          <w:rtl w:val="true"/>
        </w:rPr>
        <w:footnoteReference w:id="257"/>
      </w:r>
      <w:r>
        <w:rPr>
          <w:rFonts w:ascii="IRNazanin" w:hAnsi="IRNazanin" w:eastAsia="IRNazanin"/>
          <w:color w:val="111111"/>
          <w:sz w:val="28"/>
          <w:sz w:val="28"/>
          <w:szCs w:val="28"/>
          <w:rtl w:val="true"/>
          <w:lang w:bidi="fa-IR"/>
        </w:rPr>
        <w:t>، أقوی فی النّظر من تقریب الاستغناء عنها بما یأتی فی هذا المقصد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نتیجة هذه المسألة أعم من کون المأمور به مورد الأمر</w:t>
      </w:r>
      <w:bookmarkStart w:id="209" w:name="pg13163_143007"/>
    </w:p>
    <w:p>
      <w:pPr>
        <w:pStyle w:val="BookText"/>
        <w:rPr/>
      </w:pPr>
      <w:bookmarkEnd w:id="209"/>
      <w:r>
        <w:rPr>
          <w:rFonts w:ascii="IRNazanin" w:hAnsi="IRNazanin" w:eastAsia="IRNazanin"/>
          <w:color w:val="111111"/>
          <w:sz w:val="28"/>
          <w:sz w:val="28"/>
          <w:szCs w:val="28"/>
          <w:rtl w:val="true"/>
          <w:lang w:bidi="fa-IR"/>
        </w:rPr>
        <w:t>التکلیفی، أو الإنفاذی کما فی المعاملات، و لو تم لزوم کون الفرد الممتثل به مباحا، فهو فیما کان الأمر تکلیفیا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هذه المسألة إمکان جواز الاجتماع بین الإرادتین فی مورد اجتماع العنوانین فی المجمع الواحد، و لو ورد فی النص صحة الصلاة فی المغصوبة مثلا، فلا یلزم منه الإشکال العقلی، و لأجله أجمعوا علی صحتها فی حال غیر العلم و العمد</w:t>
      </w:r>
      <w:r>
        <w:rPr>
          <w:rStyle w:val="FootnoteAnchor"/>
          <w:rtl w:val="true"/>
        </w:rPr>
        <w:footnoteReference w:id="259"/>
      </w:r>
      <w:r>
        <w:rPr>
          <w:rFonts w:ascii="IRNazanin" w:hAnsi="IRNazanin" w:eastAsia="IRNazanin"/>
          <w:color w:val="111111"/>
          <w:sz w:val="28"/>
          <w:sz w:val="28"/>
          <w:szCs w:val="28"/>
          <w:rtl w:val="true"/>
          <w:lang w:bidi="fa-IR"/>
        </w:rPr>
        <w:t>، و مع ذلک نلتزم بأن الغصب فی ذلک الحال حرام؛ إلا أنه معذور للجهل، بل و هی صحیحة حتی مع الجهل بالغصبیة جهلا مرکبا لا یعد عذرا، فلا یلزم الاستغناء بذاک عن ذی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منا مرارا أن الاستغناء عن مسألة بمسألة أخری عند بعض، لا یورث سقوطها</w:t>
      </w:r>
      <w:r>
        <w:rPr>
          <w:rStyle w:val="FootnoteAnchor"/>
          <w:rtl w:val="true"/>
        </w:rPr>
        <w:footnoteReference w:id="260"/>
      </w:r>
      <w:r>
        <w:rPr>
          <w:rFonts w:ascii="IRNazanin" w:hAnsi="IRNazanin" w:eastAsia="IRNazanin"/>
          <w:color w:val="111111"/>
          <w:sz w:val="28"/>
          <w:sz w:val="28"/>
          <w:szCs w:val="28"/>
          <w:rtl w:val="true"/>
          <w:lang w:bidi="fa-IR"/>
        </w:rPr>
        <w:t>، و قد مضی أن جمعا</w:t>
      </w:r>
      <w:r>
        <w:rPr>
          <w:rStyle w:val="FootnoteAnchor"/>
          <w:rtl w:val="true"/>
        </w:rPr>
        <w:footnoteReference w:id="261"/>
      </w:r>
      <w:r>
        <w:rPr>
          <w:rFonts w:ascii="IRNazanin" w:hAnsi="IRNazanin" w:eastAsia="IRNazanin"/>
          <w:color w:val="111111"/>
          <w:sz w:val="28"/>
          <w:sz w:val="28"/>
          <w:szCs w:val="28"/>
          <w:rtl w:val="true"/>
          <w:lang w:bidi="fa-IR"/>
        </w:rPr>
        <w:t>لا یعتبرون فی صحة الامتثال کون الفرد الممتثل به مباحا</w:t>
      </w:r>
      <w:r>
        <w:rPr>
          <w:rStyle w:val="FootnoteAnchor"/>
          <w:rtl w:val="true"/>
        </w:rPr>
        <w:footnoteReference w:id="262"/>
      </w:r>
      <w:r>
        <w:rPr>
          <w:rFonts w:ascii="IRNazanin" w:hAnsi="IRNazanin" w:eastAsia="IRNazanin"/>
          <w:color w:val="111111"/>
          <w:sz w:val="28"/>
          <w:sz w:val="28"/>
          <w:szCs w:val="28"/>
          <w:rtl w:val="true"/>
          <w:lang w:bidi="fa-IR"/>
        </w:rPr>
        <w:t>، و منهم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533723_3244359995"/>
      <w:bookmarkStart w:id="211" w:name="_Toc79"/>
      <w:bookmarkEnd w:id="210"/>
      <w:r>
        <w:rPr>
          <w:rtl w:val="true"/>
        </w:rPr>
        <w:t>المقدمة الثالثة</w:t>
      </w:r>
      <w:r>
        <w:rPr>
          <w:rtl w:val="true"/>
        </w:rPr>
        <w:t xml:space="preserve">: </w:t>
      </w:r>
      <w:r>
        <w:rPr>
          <w:rtl w:val="true"/>
        </w:rPr>
        <w:t>حول أصولیة مسألة اجتماع الأمر و النهی و عدمها</w:t>
      </w:r>
      <w:bookmarkEnd w:id="211"/>
    </w:p>
    <w:p>
      <w:pPr>
        <w:pStyle w:val="Heading6"/>
        <w:numPr>
          <w:ilvl w:val="5"/>
          <w:numId w:val="1"/>
        </w:numPr>
        <w:rPr/>
      </w:pPr>
      <w:bookmarkStart w:id="212" w:name="__RefHeading___Toc533725_3244359995"/>
      <w:bookmarkStart w:id="213" w:name="_Toc80"/>
      <w:bookmarkEnd w:id="212"/>
      <w:r>
        <w:rPr>
          <w:rtl w:val="true"/>
        </w:rPr>
        <w:t>اشارة</w:t>
      </w:r>
      <w:bookmarkEnd w:id="21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أن هذه المسألة من المسائل الفقهیة، أم الکلامیة</w:t>
      </w:r>
      <w:r>
        <w:rPr>
          <w:rStyle w:val="FootnoteAnchor"/>
          <w:rtl w:val="true"/>
        </w:rPr>
        <w:footnoteReference w:id="264"/>
      </w:r>
      <w:r>
        <w:rPr>
          <w:rFonts w:ascii="IRNazanin" w:hAnsi="IRNazanin" w:eastAsia="IRNazanin"/>
          <w:color w:val="111111"/>
          <w:sz w:val="28"/>
          <w:sz w:val="28"/>
          <w:szCs w:val="28"/>
          <w:rtl w:val="true"/>
          <w:lang w:bidi="fa-IR"/>
        </w:rPr>
        <w:t>، أم الأصولیة</w:t>
      </w:r>
      <w:r>
        <w:rPr>
          <w:rStyle w:val="FootnoteAnchor"/>
          <w:rtl w:val="true"/>
        </w:rPr>
        <w:footnoteReference w:id="265"/>
      </w:r>
      <w:r>
        <w:rPr>
          <w:rFonts w:ascii="IRNazanin" w:hAnsi="IRNazanin" w:eastAsia="IRNazanin"/>
          <w:color w:val="111111"/>
          <w:sz w:val="28"/>
          <w:sz w:val="28"/>
          <w:szCs w:val="28"/>
          <w:rtl w:val="true"/>
          <w:lang w:bidi="fa-IR"/>
        </w:rPr>
        <w:t>، أم</w:t>
      </w:r>
    </w:p>
    <w:p>
      <w:pPr>
        <w:pStyle w:val="BookText"/>
        <w:rPr/>
      </w:pPr>
      <w:r>
        <w:rPr>
          <w:rFonts w:ascii="IRNazanin" w:hAnsi="IRNazanin" w:eastAsia="IRNazanin"/>
          <w:color w:val="111111"/>
          <w:sz w:val="28"/>
          <w:sz w:val="28"/>
          <w:szCs w:val="28"/>
          <w:rtl w:val="true"/>
          <w:lang w:bidi="fa-IR"/>
        </w:rPr>
        <w:t>من المبادئ الأحکامیة</w:t>
      </w:r>
      <w:r>
        <w:rPr>
          <w:rStyle w:val="FootnoteAnchor"/>
          <w:rtl w:val="true"/>
        </w:rPr>
        <w:footnoteReference w:id="266"/>
      </w:r>
      <w:r>
        <w:rPr>
          <w:rFonts w:ascii="IRNazanin" w:hAnsi="IRNazanin" w:eastAsia="IRNazanin"/>
          <w:color w:val="111111"/>
          <w:sz w:val="28"/>
          <w:sz w:val="28"/>
          <w:szCs w:val="28"/>
          <w:rtl w:val="true"/>
          <w:lang w:bidi="fa-IR"/>
        </w:rPr>
        <w:t>، أو التصدیقیة</w:t>
      </w:r>
      <w:r>
        <w:rPr>
          <w:rStyle w:val="FootnoteAnchor"/>
          <w:rtl w:val="true"/>
        </w:rPr>
        <w:footnoteReference w:id="267"/>
      </w:r>
      <w:r>
        <w:rPr>
          <w:rFonts w:ascii="IRNazanin" w:hAnsi="IRNazanin" w:eastAsia="IRNazanin"/>
          <w:color w:val="111111"/>
          <w:sz w:val="28"/>
          <w:sz w:val="28"/>
          <w:szCs w:val="28"/>
          <w:rtl w:val="true"/>
          <w:lang w:bidi="fa-IR"/>
        </w:rPr>
        <w:t>، أو لیس بشی‌ء منها</w:t>
      </w:r>
      <w:r>
        <w:rPr>
          <w:rStyle w:val="FootnoteAnchor"/>
          <w:rtl w:val="true"/>
        </w:rPr>
        <w:footnoteReference w:id="268"/>
      </w:r>
      <w:r>
        <w:rPr>
          <w:rFonts w:ascii="IRNazanin" w:hAnsi="IRNazanin" w:eastAsia="IRNazanin"/>
          <w:color w:val="111111"/>
          <w:sz w:val="28"/>
          <w:sz w:val="28"/>
          <w:szCs w:val="28"/>
          <w:rtl w:val="true"/>
          <w:lang w:bidi="fa-IR"/>
        </w:rPr>
        <w:t>؟ وجوه و أقوال،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الکل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الفقهیة؛ لأن البحث فی الحقیقة راجع إلی أن العمل المنطبق علیه العنوان صحیح و نافذ، أم لا، و مجرد اختلاف العنوان فی طرح البحث، لا یورث الخروج عن مسائل العلم،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بخلاف ذلک؛ ضرورة أنه لو کان الأمر کما حرر، لکانت جمیع المسائل الأصولیة من المسائل الفقهیة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بأس بالالتزام بذلک؛ بدعوی أن المسألة الواحدة لأجل اختلاف الأنظار فیها، تعد من المسائل للعلوم الکثیرة؛ حسب کیفیة الارتباط الحاصل بینها و بین موضوع العلم و سائر مسائله و مباحثه، ثم إنه إذا کانت من المسائل الفقهیة، فهی ذات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الفساد، فإذا قیل بالصحّة فلا بدّ من الدلیل علیها، و لا یستدل لها إلا بجواز الاجتماع، و هکذا فی ناحیة الفساد لا یستدل إلا بعدم الجواز، و هذا یشهد علی تعدد المسألتین، و إلا یلزم کون الدلیل عین المسألة، فلا تخلط</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المسائل الکلامیة، و تقریب ذلک بأن البحث هنا حول إمکان اجتماع الإرادتین و امتناعه، أو حول قبح ذلک و عدم قبحه، أو أنه هل یحصل الامتثال بالمجمع أم لا؟ غیر صحیح، و لذلک یتوجه إلیه ما فی المفصلات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یرجع البحث إلی أن اجتماع الإرادتین، هل یستلزم التکلیف بالمحال أم لا، أو هل یرجع إلی التکلیف المحال، أم لا؟ و عند ذلک یعد من المسائل الکلامیة، أو هل مثل هذه قبیح من المبدأ الأعلی، أم لا؟ و علی هذا لا یتوجه إلیه الإشکالات المزبورة علی کونها 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یتوجه إلیه ما أفاده جدی الأعلی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هذه المسألة أعم، و لا تختص بالأحکام الشرعیة و القوانین الإلهیة، بل المسائل الأصولیة مباحث عقلائیة کلیة یستنتج منها المسائل الشرعیة، فالبحث من هذه الجهة عام یشترک فیه المبدأ و غیر المبدأ من الموالی العرفیین </w:t>
      </w:r>
      <w:r>
        <w:rPr>
          <w:rStyle w:val="FootnoteAnchor"/>
          <w:rtl w:val="true"/>
        </w:rPr>
        <w:footnoteReference w:id="272"/>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المبادئ الأحکامیة، و الظاهر أن المبادئ الأحکامیة هی المسائل الخاصة بها الأصول، و لا تشترک فیها سائر العلوم؛ لأن مبادئ العلم بین تصوریة، و تصدیقیة، 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منها هی المباحث المعنونة فی هذا العلم لکشف الحکم الشرعی من طریق العقل، مع دخالة النقل، کالبحث عن وجوب المقدمة، و حرمة الضد، و حیث إن علم الأصول لیس من العلوم المتعارفة کما سیمر علیک تحقیقه </w:t>
      </w:r>
      <w:r>
        <w:rPr>
          <w:rStyle w:val="FootnoteAnchor"/>
          <w:rtl w:val="true"/>
        </w:rPr>
        <w:footnoteReference w:id="273"/>
      </w:r>
      <w:r>
        <w:rPr>
          <w:rFonts w:ascii="IRNazanin" w:hAnsi="IRNazanin" w:eastAsia="IRNazanin"/>
          <w:color w:val="111111"/>
          <w:sz w:val="28"/>
          <w:sz w:val="28"/>
          <w:szCs w:val="28"/>
          <w:rtl w:val="true"/>
          <w:lang w:bidi="fa-IR"/>
        </w:rPr>
        <w:t xml:space="preserve">، فلا منع من ازدیاد المبادئ الاخر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 الأحکامیة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أوردنا علیها فیما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إمّا تکون تصوّریة راجعة إلی تصور الموضوع و المحمول بحیال ذاتهما، أو تصدیقیة راجعة إلی الأدلة و الحجج القائمة علی إثبات المحمول للموضوع، و الأحکامیة لیست منهما، و لا ثالث </w:t>
      </w:r>
      <w:r>
        <w:rPr>
          <w:rStyle w:val="FootnoteAnchor"/>
          <w:rtl w:val="true"/>
        </w:rPr>
        <w:footnoteReference w:id="274"/>
      </w:r>
      <w:r>
        <w:rPr>
          <w:rFonts w:ascii="IRNazanin" w:hAnsi="IRNazanin" w:eastAsia="IRNazanin"/>
          <w:color w:val="111111"/>
          <w:sz w:val="28"/>
          <w:sz w:val="28"/>
          <w:szCs w:val="28"/>
          <w:rtl w:val="true"/>
          <w:lang w:bidi="fa-IR"/>
        </w:rPr>
        <w:t>، قابل للدفع</w:t>
      </w:r>
    </w:p>
    <w:p>
      <w:pPr>
        <w:pStyle w:val="BookText"/>
        <w:rPr/>
      </w:pPr>
      <w:r>
        <w:rPr>
          <w:rFonts w:ascii="IRNazanin" w:hAnsi="IRNazanin" w:eastAsia="IRNazanin"/>
          <w:color w:val="111111"/>
          <w:sz w:val="28"/>
          <w:sz w:val="28"/>
          <w:szCs w:val="28"/>
          <w:rtl w:val="true"/>
          <w:lang w:bidi="fa-IR"/>
        </w:rPr>
        <w:t>بما أشیر إلیه؛ ضرورة أن البحث عن وجوب المقدمة و حرمة الضد، لا یعد من المبادئ التصوریة، و لا التصدیقیة، فلا بدّ و أن تکون من المبادئ الأحکامیة؛ أی المقدمات التی یستنتج منها الحکم الشرعی من الوجوب و الحرمة؛ لأجل تعلق الحکم الآخر بالموضوع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إدراجها فی المسائل الأصولیة حسبما سلکه المتأخرون ممکن، و لکن بناء علی کون الموضوع علم الأصول هی الحجة فی الفقه </w:t>
      </w:r>
      <w:r>
        <w:rPr>
          <w:rStyle w:val="FootnoteAnchor"/>
          <w:rtl w:val="true"/>
        </w:rPr>
        <w:footnoteReference w:id="275"/>
      </w:r>
      <w:r>
        <w:rPr>
          <w:rFonts w:ascii="IRNazanin" w:hAnsi="IRNazanin" w:eastAsia="IRNazanin"/>
          <w:color w:val="111111"/>
          <w:sz w:val="28"/>
          <w:sz w:val="28"/>
          <w:szCs w:val="28"/>
          <w:rtl w:val="true"/>
          <w:lang w:bidi="fa-IR"/>
        </w:rPr>
        <w:t>یشکل الإدراج؛ لأنه بحث عن الوجوب و اللاوجوب، لا عن تعینات الحجة و اللاحجة کما لا یخفی، و لا سیما علی ما فسروا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أنها هی الحجة بالحمل الأولی فقط</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جمیع هذه المقدمات، فلا نسلم کونها من المبادئ الأحکامیة؛ ضرورة أن البحث فی هذه المسألة یدور مدار إمکان انحفاظ الإرادتین فی المجمع و عدمه، و هذا لیس من البحث عن الملازمات العقلیة المستکشف بها الحکم الشرعی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أعم من المبادئ المنتهیة إلی کشف الحکم الشرعی، و من المبادئ المنتهیة إلی إمکان حفظ الحکم الشرعی علی موضوعه، فهو وجیه، إلا أن لازمه خروج مباحث الظن و الشک عن مسائل العلم؛ لما یبحث فیها عن الإمکان المزبور، فإن شبهات ابن قبة</w:t>
      </w:r>
      <w:r>
        <w:rPr>
          <w:rStyle w:val="FootnoteAnchor"/>
          <w:rtl w:val="true"/>
        </w:rPr>
        <w:footnoteReference w:id="277"/>
      </w:r>
      <w:r>
        <w:rPr>
          <w:rFonts w:ascii="IRNazanin" w:hAnsi="IRNazanin" w:eastAsia="IRNazanin"/>
          <w:color w:val="111111"/>
          <w:sz w:val="28"/>
          <w:sz w:val="28"/>
          <w:szCs w:val="28"/>
          <w:rtl w:val="true"/>
          <w:lang w:bidi="fa-IR"/>
        </w:rPr>
        <w:t>ترجع إلی امتناع المحافظة علی الأحکام الواقعیة فی مرتبة الأحکام الظاهریة، فهذه المسألة خارجة عن المبادئ الأحکامیة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المبادئ التصدیقیة لعلم الأصول؛ و ذلک لأن البحث فی هذه المسألة صغروی، و یرجع إلی أن عند القول بالامتناع یندرج موضعها فی کبری مسألة التعارض، و علی القول بالاجتماع یندرج فی کبری مسألة التزاحم، و بالانضمام إلی الکبریین المزبورتین تنتج النتیجة الفقهیة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العجیب أن تلمیذ العلامة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اعترض علیه بما</w:t>
      </w:r>
      <w:r>
        <w:rPr>
          <w:rStyle w:val="FootnoteAnchor"/>
          <w:rtl w:val="true"/>
        </w:rPr>
        <w:footnoteReference w:id="279"/>
      </w:r>
      <w:r>
        <w:rPr>
          <w:rFonts w:ascii="IRNazanin" w:hAnsi="IRNazanin" w:eastAsia="IRNazanin"/>
          <w:color w:val="111111"/>
          <w:sz w:val="28"/>
          <w:sz w:val="28"/>
          <w:szCs w:val="28"/>
          <w:rtl w:val="true"/>
          <w:lang w:bidi="fa-IR"/>
        </w:rPr>
        <w:t>هو أجنبیّ عن فصوص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المبادئ التصدیقیة فی کل علم عبارة عن الأدلة الناهضة علی إثبات الاتحاد بین المحمول و الموضوع المعنون علی سبیل التردد فی أصل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فی العلم أن الدور مستحیل بذاته، أم لا، فمن یدعی استحالته الذاتیّة یقیم علیه البرهان، و هو من المبادئ التصدیقیة، و من ینکره یقیم أیضا البرهان علی عدم استحالته الذاتیّة، و هذا البرهان یعد من تلک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فالبحث أجنبی عن المبادئ التصدیقیة، بل هو راجع إلی الفحص عن وجود الموضوع للمسألة الأصولیة؛ بناء علی صغرویة النزاع، و تکون أشبه بالمبادئ التصوریة و الأدلة الناهضة علی إثبات هذا الموضوع، لا تعد من المبادئ التصدیقیة للعلم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خارجة عن المبادئ التصوّریة أیضا، و تکون من قبیل البحوث عن أصالة الوجود فی العلم الأعلی، مع أن موضوعه الوجود، و إثبات موضوع العلم فی ذلک العلم لیس من مسائل العلم، و لا من المبادئ التصوّریة، و لا التصدیقیة، کما تقرر منا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أنکرنا فیها کونه موضوعا،</w:t>
      </w:r>
    </w:p>
    <w:p>
      <w:pPr>
        <w:pStyle w:val="BookText"/>
        <w:rPr/>
      </w:pPr>
      <w:r>
        <w:rPr>
          <w:rFonts w:ascii="IRNazanin" w:hAnsi="IRNazanin" w:eastAsia="IRNazanin"/>
          <w:color w:val="111111"/>
          <w:sz w:val="28"/>
          <w:sz w:val="28"/>
          <w:szCs w:val="28"/>
          <w:rtl w:val="true"/>
          <w:lang w:bidi="fa-IR"/>
        </w:rPr>
        <w:t>و جعلنا الموضوع عنوانا قابلا للانطباق علی الوجود و الماهیة؛ حتی یکون البحث عن الوجود و الماهیة و أصالتهما، من عوارضه و تبعاته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المسائل الأصولیة، و علی ذلک أکثر المتأخرین </w:t>
      </w:r>
      <w:r>
        <w:rPr>
          <w:rStyle w:val="FootnoteAnchor"/>
          <w:rtl w:val="true"/>
        </w:rPr>
        <w:footnoteReference w:id="280"/>
      </w:r>
      <w:r>
        <w:rPr>
          <w:rFonts w:ascii="IRNazanin" w:hAnsi="IRNazanin" w:eastAsia="IRNazanin"/>
          <w:color w:val="111111"/>
          <w:sz w:val="28"/>
          <w:sz w:val="28"/>
          <w:szCs w:val="28"/>
          <w:rtl w:val="true"/>
          <w:lang w:bidi="fa-IR"/>
        </w:rPr>
        <w:t xml:space="preserve">، و منهم الوالد المحقق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لوقوعها فی طریق استنباط الحکم الفرعی، مثلا إذا شک فی أن الصلاة فی المغصوبة صحیحة أم لا، فهی مسألة فقهیة، فإن کان الجواز ممکنا نحکم بالصحّة، و إلا فنحکم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الأصولیة لا یعتبر فیها کونها فی طریق الاستنباط بطرفیها</w:t>
      </w:r>
      <w:r>
        <w:rPr>
          <w:rStyle w:val="FootnoteAnchor"/>
          <w:rtl w:val="true"/>
        </w:rPr>
        <w:footnoteReference w:id="282"/>
      </w:r>
      <w:r>
        <w:rPr>
          <w:rFonts w:ascii="IRNazanin" w:hAnsi="IRNazanin" w:eastAsia="IRNazanin"/>
          <w:color w:val="111111"/>
          <w:sz w:val="28"/>
          <w:sz w:val="28"/>
          <w:szCs w:val="28"/>
          <w:rtl w:val="true"/>
          <w:lang w:bidi="fa-IR"/>
        </w:rPr>
        <w:t>، فی محله، إلا أن هذه المسألة یقع الطرفان فی طریقه؛ ضرورة أن القول بالفساد من المسائل الفقهیة، و تترتب علیه الآثار الشرعیة، و مستنده الامتناع، و القول بالصحّة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قلما یتّفق ذلک حتی فی مثل حجّیة الخبر الواحد و الظواهر، فإن للفقیه الفتوی بعدم الوجوب أو بالوجوب مستندا إلی عدم حجیة الخبر الواحد، أو عدم حجّیة الظواهر، فلا تخلط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مسائل الأصول هی الکبریات الواقعة فی طریق الاستنتاج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هذا حقا لما کانت هذه المسألة منها؛ لعدم وقوعها کبری قیاس الاستنباط</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زرارة حجّة؛ لأنه خبر واحد، و الخبر الواحد حجّة، فقوله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أما فیما نحن فیه فلا تنطبق المسألة علی المسألة الفقهیة و هی</w:t>
      </w:r>
    </w:p>
    <w:p>
      <w:pPr>
        <w:pStyle w:val="BookText"/>
        <w:rPr/>
      </w:pPr>
      <w:r>
        <w:rPr>
          <w:rFonts w:ascii="IRNazanin" w:hAnsi="IRNazanin" w:eastAsia="IRNazanin"/>
          <w:color w:val="111111"/>
          <w:sz w:val="28"/>
          <w:sz w:val="28"/>
          <w:szCs w:val="28"/>
          <w:rtl w:val="true"/>
          <w:lang w:bidi="fa-IR"/>
        </w:rPr>
        <w:t>صحة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مر منّا فی تعریف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الحجة علی المسائل الفقهیة من غیر لزوم کونها کبری، بل لا بدّ من کونها ممّا یصحّ الاستناد إلیها لإثبات المحمول فی القضیّة الفقهیة؛ سواء کانت بالتوسیط، أو بالانطباق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تتقید بعدم الانطباق </w:t>
      </w:r>
      <w:r>
        <w:rPr>
          <w:rStyle w:val="FootnoteAnchor"/>
          <w:rtl w:val="true"/>
        </w:rPr>
        <w:footnoteReference w:id="285"/>
      </w:r>
      <w:r>
        <w:rPr>
          <w:rFonts w:ascii="IRNazanin" w:hAnsi="IRNazanin" w:eastAsia="IRNazanin"/>
          <w:color w:val="111111"/>
          <w:sz w:val="28"/>
          <w:sz w:val="28"/>
          <w:szCs w:val="28"/>
          <w:rtl w:val="true"/>
          <w:lang w:bidi="fa-IR"/>
        </w:rPr>
        <w:t xml:space="preserve">، فی غیر محله؛ لأن کثیرا منها تنطبق علی المسألة الفقهیة، و تقع کبری الاستنباط و القیاس، و قد مضی الفرق بین الکبریات الأصولیة و القواعد الفقهیة بما لا یقتضی الالتزام بالتقیید المزبور، فراجع </w:t>
      </w:r>
      <w:r>
        <w:rPr>
          <w:rStyle w:val="FootnoteAnchor"/>
          <w:rtl w:val="true"/>
        </w:rPr>
        <w:footnoteReference w:id="286"/>
      </w:r>
      <w:r>
        <w:rPr>
          <w:rFonts w:ascii="IRNazanin" w:hAnsi="IRNazanin" w:eastAsia="IRNazanin"/>
          <w:color w:val="111111"/>
          <w:sz w:val="28"/>
          <w:sz w:val="28"/>
          <w:szCs w:val="28"/>
          <w:rtl w:val="true"/>
          <w:lang w:bidi="fa-IR"/>
        </w:rPr>
        <w:t>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تکون هذه المسألة من المسائل الأصولیة علی تعریفنا، لا علی تعریف القوم </w:t>
      </w:r>
      <w:r>
        <w:rPr>
          <w:rStyle w:val="FootnoteAnchor"/>
          <w:rtl w:val="true"/>
        </w:rPr>
        <w:footnoteReference w:id="287"/>
      </w:r>
      <w:r>
        <w:rPr>
          <w:rFonts w:ascii="IRNazanin" w:hAnsi="IRNazanin" w:eastAsia="IRNazanin"/>
          <w:color w:val="111111"/>
          <w:sz w:val="28"/>
          <w:sz w:val="28"/>
          <w:szCs w:val="28"/>
          <w:rtl w:val="true"/>
          <w:lang w:bidi="fa-IR"/>
        </w:rPr>
        <w:t>ضرورة أن الفقیه بعد الإفتاء بالصحّة یستند إلی إمکان الاجتماع، و إذا أفتی بالفساد یستند إلی امتناعه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الأصول لیس من العلوم الحقیقیة المخصوصة بالأحکام الخاصة، و المحصورة بالقیود و الموازین العلمیة المحررة فی علم المیزان، و لا من العلوم المتعلقة بالأعیان الخارجیة تعلقا طبیعیا کالریاضیات، بل هو من العلوم الاعتباریة المدونة لحال البشر بعد الاجتماع، و لنظام الأمّة بعد الحضارة و التمدّن، فلا ینتظر منها الانتظامات الخاصة المعتبرة فی سائر العلوم، و لذلک أنکر بعض أربابه وجود الموضوع له رأسا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214" w:name="pg13163_143014"/>
    </w:p>
    <w:p>
      <w:pPr>
        <w:pStyle w:val="BookText"/>
        <w:rPr/>
      </w:pPr>
      <w:bookmarkEnd w:id="214"/>
      <w:r>
        <w:rPr>
          <w:rFonts w:ascii="IRNazanin" w:hAnsi="IRNazanin" w:eastAsia="IRNazanin"/>
          <w:color w:val="111111"/>
          <w:sz w:val="28"/>
          <w:sz w:val="28"/>
          <w:szCs w:val="28"/>
          <w:rtl w:val="true"/>
          <w:lang w:bidi="fa-IR"/>
        </w:rPr>
        <w:t xml:space="preserve">و إنی و إن بحثت عن ذلک فی أوائل الکتاب </w:t>
      </w:r>
      <w:r>
        <w:rPr>
          <w:rStyle w:val="FootnoteAnchor"/>
          <w:rtl w:val="true"/>
        </w:rPr>
        <w:footnoteReference w:id="289"/>
      </w:r>
      <w:r>
        <w:rPr>
          <w:rFonts w:ascii="IRNazanin" w:hAnsi="IRNazanin" w:eastAsia="IRNazanin"/>
          <w:color w:val="111111"/>
          <w:sz w:val="28"/>
          <w:sz w:val="28"/>
          <w:szCs w:val="28"/>
          <w:rtl w:val="true"/>
          <w:lang w:bidi="fa-IR"/>
        </w:rPr>
        <w:t>، و بادرت إلی تعیین الموضوع له کسائر العلوم، و لکن الإنصاف أنها مباحث متشتّتة یجمعها الغرض الوحدانیّ؛ و هو الفرار من التکرار اللازم فی الفقه، و لتوسعة مباحثه و مطالبه دوّن فی محلّ آخر، و إلا کان القدماء یتکلون علی جل هذه المسائل فی الفقه، فلو کان هو علما آخر وراء الأدلة علی المسائل الفقهیة، لما کان وجه للخلط المزبور، فهو فی الحقیقة عبارة عن المبادئ التصدیقیة لمسألة فقهیة، و محل المبادئ التصدیقیة هو العلم الّذی یستدل بها فیه، و لا محلّ آخر له یختص 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سهل، و المقصود واضح، و الإطالة من اللغو المنهی عنه، و اللَّه الهادی و المعتصم</w:t>
      </w:r>
      <w:r>
        <w:rPr>
          <w:rFonts w:eastAsia="IRNazanin" w:cs="IRNazanin"/>
          <w:color w:val="111111"/>
          <w:sz w:val="28"/>
          <w:szCs w:val="28"/>
          <w:rtl w:val="true"/>
          <w:lang w:bidi="fa-IR"/>
        </w:rPr>
        <w:t>.</w:t>
      </w:r>
    </w:p>
    <w:p>
      <w:pPr>
        <w:pStyle w:val="Heading6"/>
        <w:numPr>
          <w:ilvl w:val="5"/>
          <w:numId w:val="1"/>
        </w:numPr>
        <w:rPr/>
      </w:pPr>
      <w:bookmarkStart w:id="215" w:name="__RefHeading___Toc533727_3244359995"/>
      <w:bookmarkStart w:id="216" w:name="_Toc81"/>
      <w:bookmarkEnd w:id="215"/>
      <w:r>
        <w:rPr>
          <w:rtl w:val="true"/>
        </w:rPr>
        <w:t>ذنابة</w:t>
      </w:r>
      <w:bookmarkEnd w:id="216"/>
    </w:p>
    <w:p>
      <w:pPr>
        <w:pStyle w:val="BookText"/>
        <w:rPr/>
      </w:pPr>
      <w:r>
        <w:rPr>
          <w:rFonts w:ascii="IRNazanin" w:hAnsi="IRNazanin" w:eastAsia="IRNazanin"/>
          <w:color w:val="111111"/>
          <w:sz w:val="28"/>
          <w:sz w:val="28"/>
          <w:szCs w:val="28"/>
          <w:rtl w:val="true"/>
          <w:lang w:bidi="fa-IR"/>
        </w:rPr>
        <w:t>قد تبین ممّا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عقلیة محضة، و لیست لفظیة، و لا مشترکة؛ ضرورة أن مناط المسألة العقلیة هو کون البحث حول درک العقل و عدم درکه، من غیر کون الکلام حول الدلالات اللفظیة، و منه تبین مناط المسألة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تبین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مسائل الأصول بین ما تکون لفظیة، کالبحث عن دلالة الأمر علی کذا، و النهی علی کذا، و عدمها، و ما تکون عقلیة و لفظیة، کالبحث عن أن الأمر بالشی‌ء یقتضی حرمة ضده، فإنه ربما یستدل باللفظ و الدلالات اللفظیة، و ربما یستدل بالعقل، و ما تکون عقلیة صرفة، و لعل منها مسألة وجوب المقدمة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مسألتنا هذه فهی منها بلا إشکال؛ لعدم الاستدلال فیها علی دلالة الأمر، أو النهی، أو الشی‌ء الآخر علی إمکان الاجتماع و اللا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الاستشهاد ببعض</w:t>
      </w:r>
    </w:p>
    <w:p>
      <w:pPr>
        <w:pStyle w:val="BookText"/>
        <w:rPr/>
      </w:pPr>
      <w:r>
        <w:rPr>
          <w:rFonts w:ascii="IRNazanin" w:hAnsi="IRNazanin" w:eastAsia="IRNazanin"/>
          <w:color w:val="111111"/>
          <w:sz w:val="28"/>
          <w:sz w:val="28"/>
          <w:szCs w:val="28"/>
          <w:rtl w:val="true"/>
          <w:lang w:bidi="fa-IR"/>
        </w:rPr>
        <w:t>المسائل الشرعیة</w:t>
      </w:r>
      <w:r>
        <w:rPr>
          <w:rStyle w:val="FootnoteAnchor"/>
          <w:rtl w:val="true"/>
        </w:rPr>
        <w:footnoteReference w:id="290"/>
      </w:r>
      <w:r>
        <w:rPr>
          <w:rFonts w:ascii="IRNazanin" w:hAnsi="IRNazanin" w:eastAsia="IRNazanin"/>
          <w:color w:val="111111"/>
          <w:sz w:val="28"/>
          <w:sz w:val="28"/>
          <w:szCs w:val="28"/>
          <w:rtl w:val="true"/>
          <w:lang w:bidi="fa-IR"/>
        </w:rPr>
        <w:t>و الأخبار الآتیة</w:t>
      </w:r>
      <w:r>
        <w:rPr>
          <w:rStyle w:val="FootnoteAnchor"/>
          <w:rtl w:val="true"/>
        </w:rPr>
        <w:footnoteReference w:id="291"/>
      </w:r>
      <w:r>
        <w:rPr>
          <w:rFonts w:ascii="IRNazanin" w:hAnsi="IRNazanin" w:eastAsia="IRNazanin"/>
          <w:color w:val="111111"/>
          <w:sz w:val="28"/>
          <w:sz w:val="28"/>
          <w:szCs w:val="28"/>
          <w:rtl w:val="true"/>
          <w:lang w:bidi="fa-IR"/>
        </w:rPr>
        <w:t>، لا یورث کونها أعم؛ لأنها تکون مؤیدة لدرک العقل، و لا یستدلّ بها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 یستدل بها، فهو أیضا لا یوجب کون المسألة لفظیة، أ فما تری أنه یستدلّ علی حجّیة الاستصحاب بالأخبار</w:t>
      </w:r>
      <w:r>
        <w:rPr>
          <w:rStyle w:val="FootnoteAnchor"/>
          <w:rtl w:val="true"/>
        </w:rPr>
        <w:footnoteReference w:id="292"/>
      </w:r>
      <w:r>
        <w:rPr>
          <w:rFonts w:ascii="IRNazanin" w:hAnsi="IRNazanin" w:eastAsia="IRNazanin"/>
          <w:color w:val="111111"/>
          <w:sz w:val="28"/>
          <w:sz w:val="28"/>
          <w:szCs w:val="28"/>
          <w:rtl w:val="true"/>
          <w:lang w:bidi="fa-IR"/>
        </w:rPr>
        <w:t>، مع أن المسألة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قیام الدلیل العقلی علی الإمکان أو علی الامتناع، فهو المتبع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لم یثبت الإمکان و لا الامتناع، و اقتضی فرضا بعض الأخبار جواز الاجتماع، فیتعبّد به من غیر إمکان إحراز الإمکان المقابل للامتناع کما تحرر فی أوائل مباحث الظنّ </w:t>
      </w:r>
      <w:r>
        <w:rPr>
          <w:rStyle w:val="FootnoteAnchor"/>
          <w:rtl w:val="true"/>
        </w:rPr>
        <w:footnoteReference w:id="293"/>
      </w:r>
      <w:r>
        <w:rPr>
          <w:rFonts w:ascii="IRNazanin" w:hAnsi="IRNazanin" w:eastAsia="IRNazanin"/>
          <w:color w:val="111111"/>
          <w:sz w:val="28"/>
          <w:sz w:val="28"/>
          <w:szCs w:val="28"/>
          <w:rtl w:val="true"/>
          <w:lang w:bidi="fa-IR"/>
        </w:rPr>
        <w:t>و لا یعدّ أیضا من الاستدلال علی المسألة بالدلیل اللفظیّ، فتأمل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العجیب ما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 غیره </w:t>
      </w:r>
      <w:r>
        <w:rPr>
          <w:rStyle w:val="FootnoteAnchor"/>
          <w:rtl w:val="true"/>
        </w:rPr>
        <w:footnoteReference w:id="295"/>
      </w:r>
      <w:r>
        <w:rPr>
          <w:rFonts w:ascii="IRNazanin" w:hAnsi="IRNazanin" w:eastAsia="IRNazanin"/>
          <w:color w:val="111111"/>
          <w:sz w:val="28"/>
          <w:sz w:val="28"/>
          <w:szCs w:val="28"/>
          <w:rtl w:val="true"/>
          <w:lang w:bidi="fa-IR"/>
        </w:rPr>
        <w:t>من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لیست عقلیة، و توهم أن عنوان المسألة حیث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الأمر و النهی و لا اجتماعه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غالبی، یورث الخروج عن لفظیة المسألة</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و النهی متقومان بالإنشاء، و الإنشاء المقصود فی المقام هو الإنشاء ذو الإطلاق، فلا بدّ من کون الأمر و النهی مورد البحث و الکلام، و لکنه لا یستلزم لفظیة المسألة؛ لما تحرر</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المساس مع اللفظ لا یورث اللفظیة، کما</w:t>
      </w:r>
      <w:bookmarkStart w:id="217" w:name="pg13163_143016"/>
    </w:p>
    <w:p>
      <w:pPr>
        <w:pStyle w:val="BookText"/>
        <w:rPr/>
      </w:pPr>
      <w:bookmarkEnd w:id="217"/>
      <w:r>
        <w:rPr>
          <w:rFonts w:ascii="IRNazanin" w:hAnsi="IRNazanin" w:eastAsia="IRNazanin"/>
          <w:color w:val="111111"/>
          <w:sz w:val="28"/>
          <w:sz w:val="28"/>
          <w:szCs w:val="28"/>
          <w:rtl w:val="true"/>
          <w:lang w:bidi="fa-IR"/>
        </w:rPr>
        <w:t>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أعمّ من الثابت بالکتاب و السنة، فیکون البحث عقلیا</w:t>
      </w:r>
      <w:r>
        <w:rPr>
          <w:rStyle w:val="FootnoteAnchor"/>
          <w:rtl w:val="true"/>
        </w:rPr>
        <w:footnoteReference w:id="298"/>
      </w:r>
      <w:r>
        <w:rPr>
          <w:rFonts w:ascii="IRNazanin" w:hAnsi="IRNazanin" w:eastAsia="IRNazanin"/>
          <w:color w:val="111111"/>
          <w:sz w:val="28"/>
          <w:sz w:val="28"/>
          <w:szCs w:val="28"/>
          <w:rtl w:val="true"/>
          <w:lang w:bidi="fa-IR"/>
        </w:rPr>
        <w:t>، مع أن الإجماع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یکشفان عن الأمر و النهی، و لا یکون وراء الأمر و النهی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ثبوتیّ للأمر و النهی، بل الأمر و النهی تحققهما إثباتی و إظهاریّ، و لا شأن آخر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للعقل کشف بغض المولی متعلقا بالغصب، و حب المولی متعلقا بالصلاة، و لو کان یستکشف إطلاقهما فیأتی النزاع؛ و هو إمکان اجتماع الحب و البغض فی المجمع و استحالته</w:t>
      </w:r>
      <w:r>
        <w:rPr>
          <w:rFonts w:eastAsia="IRNazanin" w:cs="IRNazanin"/>
          <w:color w:val="111111"/>
          <w:sz w:val="28"/>
          <w:szCs w:val="28"/>
          <w:rtl w:val="true"/>
          <w:lang w:bidi="fa-IR"/>
        </w:rPr>
        <w:t>.</w:t>
      </w:r>
    </w:p>
    <w:p>
      <w:pPr>
        <w:pStyle w:val="Heading6"/>
        <w:numPr>
          <w:ilvl w:val="5"/>
          <w:numId w:val="1"/>
        </w:numPr>
        <w:rPr/>
      </w:pPr>
      <w:bookmarkStart w:id="218" w:name="__RefHeading___Toc533729_3244359995"/>
      <w:bookmarkStart w:id="219" w:name="_Toc82"/>
      <w:bookmarkEnd w:id="218"/>
      <w:r>
        <w:rPr>
          <w:rtl w:val="true"/>
        </w:rPr>
        <w:t>إفادة و إیقاظ</w:t>
      </w:r>
      <w:r>
        <w:rPr>
          <w:rtl w:val="true"/>
        </w:rPr>
        <w:t xml:space="preserve">: </w:t>
      </w:r>
      <w:r>
        <w:rPr>
          <w:rtl w:val="true"/>
        </w:rPr>
        <w:t>حول اقتضاء عقلیة المسألة لسقوط التفصیل بین العقل و العرف</w:t>
      </w:r>
      <w:bookmarkEnd w:id="219"/>
    </w:p>
    <w:p>
      <w:pPr>
        <w:pStyle w:val="BookText"/>
        <w:rPr/>
      </w:pPr>
      <w:r>
        <w:rPr>
          <w:rFonts w:ascii="IRNazanin" w:hAnsi="IRNazanin" w:eastAsia="IRNazanin"/>
          <w:color w:val="111111"/>
          <w:sz w:val="28"/>
          <w:sz w:val="28"/>
          <w:szCs w:val="28"/>
          <w:rtl w:val="true"/>
          <w:lang w:bidi="fa-IR"/>
        </w:rPr>
        <w:t xml:space="preserve">یظهر منهم أن عقلیة المسألة، یقتضی سقوط التفصیل فی أصل المسألة بین العقل و العرف </w:t>
      </w:r>
      <w:r>
        <w:rPr>
          <w:rStyle w:val="FootnoteAnchor"/>
          <w:rtl w:val="true"/>
        </w:rPr>
        <w:footnoteReference w:id="299"/>
      </w:r>
      <w:r>
        <w:rPr>
          <w:rFonts w:ascii="IRNazanin" w:hAnsi="IRNazanin" w:eastAsia="IRNazanin"/>
          <w:color w:val="111111"/>
          <w:sz w:val="28"/>
          <w:sz w:val="28"/>
          <w:szCs w:val="28"/>
          <w:rtl w:val="true"/>
          <w:lang w:bidi="fa-IR"/>
        </w:rPr>
        <w:t>ضرورة أنه مع کونها عقلیة، لا معنی لدخالة العرف المتبع نظره فی عالم الألفاظ</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فإن التفصیل المزبور یرجع إلی درک العقل و درک العقلاء و العرف؛ فإن من الممکن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یدرک الاجتماع، و لکن العرف یدرک انحلال النهی إلی المصادیق الأعم من الذاتیّة و العرضیّة، و لا یتمکن من التفکیک بین الحیثیّات الذاتیّة و العرضیة، و نتیجة ذلک بطلان الصلاة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یستدلّ باللفظ علی إمکان الاجتماع و لا إمکانه، بل یستند إلی</w:t>
      </w:r>
      <w:bookmarkStart w:id="220" w:name="pg13163_143017"/>
    </w:p>
    <w:p>
      <w:pPr>
        <w:pStyle w:val="BookText"/>
        <w:rPr/>
      </w:pPr>
      <w:bookmarkEnd w:id="220"/>
      <w:r>
        <w:rPr>
          <w:rFonts w:ascii="IRNazanin" w:hAnsi="IRNazanin" w:eastAsia="IRNazanin"/>
          <w:color w:val="111111"/>
          <w:sz w:val="28"/>
          <w:sz w:val="28"/>
          <w:szCs w:val="28"/>
          <w:rtl w:val="true"/>
          <w:lang w:bidi="fa-IR"/>
        </w:rPr>
        <w:t>فهم العرف انحلال النهی علی الوجه المزبور، و نتیجته امتناع الاجتماع،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یتّبع العرف إلا فی فهم المفاهیم التصوّریة، و أما التطبیق علی الخارج فهو بید العقل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محل الخلاف، و تفصیله فی مقام آخر، و الّذی هو الأقرب من أفق الاعتبار أن فی جمیع مراحل القوانین الشرعیة و العرفیة یکون العرف متبعا، و لا سبیل للعقل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هذه المسألة خلافیة، لا معنی لدعوی سقوط التفصیل المزبور؛ و أجنبیّته عن أساس البحث،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الآن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عقلیة 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جریان النزاع من غیر کون المسألة مماسّة مع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لجریانه فی الحبّ و 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ینبغی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أن یتعرّض بعد بیان عقلیّة المسألة إلی أن من الممکن جریان النزاع فی غیر القول من الإشارة، أو غیرها کالحبّ و البغض المستکشفین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یتفرّع علی عقلیة المسألة سقوط التفصیل المزبور</w:t>
      </w:r>
      <w:r>
        <w:rPr>
          <w:rFonts w:eastAsia="IRNazanin" w:cs="IRNazanin"/>
          <w:color w:val="111111"/>
          <w:sz w:val="28"/>
          <w:szCs w:val="28"/>
          <w:rtl w:val="true"/>
          <w:lang w:bidi="fa-IR"/>
        </w:rPr>
        <w:t>.</w:t>
      </w:r>
    </w:p>
    <w:p>
      <w:pPr>
        <w:pStyle w:val="Heading5"/>
        <w:numPr>
          <w:ilvl w:val="4"/>
          <w:numId w:val="1"/>
        </w:numPr>
        <w:rPr/>
      </w:pPr>
      <w:bookmarkStart w:id="221" w:name="__RefHeading___Toc533731_3244359995"/>
      <w:bookmarkStart w:id="222" w:name="_Toc83"/>
      <w:bookmarkEnd w:id="221"/>
      <w:r>
        <w:rPr>
          <w:rtl w:val="true"/>
        </w:rPr>
        <w:t>المقدمة الرابعة</w:t>
      </w:r>
      <w:r>
        <w:rPr>
          <w:rtl w:val="true"/>
        </w:rPr>
        <w:t xml:space="preserve">: </w:t>
      </w:r>
      <w:r>
        <w:rPr>
          <w:rtl w:val="true"/>
        </w:rPr>
        <w:t>فی عموم النزاع من ناحیة بعض الجهات الأخر</w:t>
      </w:r>
      <w:bookmarkEnd w:id="222"/>
    </w:p>
    <w:p>
      <w:pPr>
        <w:pStyle w:val="Heading6"/>
        <w:numPr>
          <w:ilvl w:val="5"/>
          <w:numId w:val="1"/>
        </w:numPr>
        <w:rPr/>
      </w:pPr>
      <w:bookmarkStart w:id="223" w:name="__RefHeading___Toc533733_3244359995"/>
      <w:bookmarkStart w:id="224" w:name="_Toc84"/>
      <w:bookmarkEnd w:id="223"/>
      <w:r>
        <w:rPr>
          <w:rtl w:val="true"/>
        </w:rPr>
        <w:t>اشارة</w:t>
      </w:r>
      <w:bookmarkEnd w:id="2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عموم النزاع من حیث عدم تقوّم المسألة بالأمر و النهی، و لا بما ینوب منا بهما من الإشارة و الکتابة، بل یأتی فی مثل الحبّ و البغض بعد ثبوت</w:t>
      </w:r>
      <w:bookmarkStart w:id="225" w:name="pg13163_143018"/>
    </w:p>
    <w:p>
      <w:pPr>
        <w:pStyle w:val="BookText"/>
        <w:rPr/>
      </w:pPr>
      <w:bookmarkEnd w:id="225"/>
      <w:r>
        <w:rPr>
          <w:rFonts w:ascii="IRNazanin" w:hAnsi="IRNazanin" w:eastAsia="IRNazanin"/>
          <w:color w:val="111111"/>
          <w:sz w:val="28"/>
          <w:sz w:val="28"/>
          <w:szCs w:val="28"/>
          <w:rtl w:val="true"/>
          <w:lang w:bidi="fa-IR"/>
        </w:rPr>
        <w:t>إطلاقهما المتعلّقین بالعنوانین المتصادقین علی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عموم النزاع من جهات اخر، و هی بین ما یتعلّق بالأمر و النهی، و ما یتعلق بمتعلق الأمر و النهی، و علی کل تقدیر هی کثیرة</w:t>
      </w:r>
      <w:r>
        <w:rPr>
          <w:rFonts w:eastAsia="IRNazanin" w:cs="IRNazanin"/>
          <w:color w:val="111111"/>
          <w:sz w:val="28"/>
          <w:szCs w:val="28"/>
          <w:rtl w:val="true"/>
          <w:lang w:bidi="fa-IR"/>
        </w:rPr>
        <w:t>:</w:t>
      </w:r>
    </w:p>
    <w:p>
      <w:pPr>
        <w:pStyle w:val="Heading6"/>
        <w:numPr>
          <w:ilvl w:val="5"/>
          <w:numId w:val="1"/>
        </w:numPr>
        <w:rPr/>
      </w:pPr>
      <w:bookmarkStart w:id="226" w:name="__RefHeading___Toc533735_3244359995"/>
      <w:bookmarkStart w:id="227" w:name="_Toc85"/>
      <w:bookmarkEnd w:id="226"/>
      <w:r>
        <w:rPr>
          <w:rtl w:val="true"/>
        </w:rPr>
        <w:t>الجهة الأولی</w:t>
      </w:r>
      <w:r>
        <w:rPr>
          <w:rtl w:val="true"/>
        </w:rPr>
        <w:t xml:space="preserve">: </w:t>
      </w:r>
      <w:r>
        <w:rPr>
          <w:rtl w:val="true"/>
        </w:rPr>
        <w:t>فی شمول النزاع للتکلیف غیر الإلزامیّ</w:t>
      </w:r>
      <w:bookmarkEnd w:id="227"/>
    </w:p>
    <w:p>
      <w:pPr>
        <w:pStyle w:val="BookText"/>
        <w:rPr/>
      </w:pPr>
      <w:r>
        <w:rPr>
          <w:rFonts w:ascii="IRNazanin" w:hAnsi="IRNazanin" w:eastAsia="IRNazanin"/>
          <w:color w:val="111111"/>
          <w:sz w:val="28"/>
          <w:sz w:val="28"/>
          <w:szCs w:val="28"/>
          <w:rtl w:val="true"/>
          <w:lang w:bidi="fa-IR"/>
        </w:rPr>
        <w:t>لا یختص النزاع بالأوامر و النواهی التکلیفیة الإلزامیة، بل یجری فی التکلیفیة غیر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الصلوات المندوبة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النواهی التنزیهیة، فهو فیما إذا کان نفس الکون مکروها، کالکون مع الأجنبیّة فی الخلوة، بناء علی کراهته، أو الکون فی البیت لیلا وحده، فإنه إذا اشتغل بالصلاة الواجبة أو المندوبة فیها، یأتی النزاع المزبور، فالأمر و النهی أعم من کونهما إلزامیین، أو تنزیهیین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الصلاة فی الأماکن المکروهة فیها الصلاة، فهی خارجة إلا علی القول بدخول المطلق و المقید فی حریم النزاع </w:t>
      </w:r>
      <w:r>
        <w:rPr>
          <w:rStyle w:val="FootnoteAnchor"/>
          <w:rtl w:val="true"/>
        </w:rPr>
        <w:footnoteReference w:id="302"/>
      </w:r>
      <w:r>
        <w:rPr>
          <w:rFonts w:ascii="IRNazanin" w:hAnsi="IRNazanin" w:eastAsia="IRNazanin"/>
          <w:color w:val="111111"/>
          <w:sz w:val="28"/>
          <w:sz w:val="28"/>
          <w:szCs w:val="28"/>
          <w:rtl w:val="true"/>
          <w:lang w:bidi="fa-IR"/>
        </w:rPr>
        <w:t xml:space="preserve">، کما یأتی </w:t>
      </w:r>
      <w:r>
        <w:rPr>
          <w:rStyle w:val="FootnoteAnchor"/>
          <w:rtl w:val="true"/>
        </w:rPr>
        <w:footnoteReference w:id="303"/>
      </w:r>
      <w:r>
        <w:rPr>
          <w:rFonts w:ascii="IRNazanin" w:hAnsi="IRNazanin" w:eastAsia="IRNazanin"/>
          <w:color w:val="111111"/>
          <w:sz w:val="28"/>
          <w:sz w:val="28"/>
          <w:szCs w:val="28"/>
          <w:rtl w:val="true"/>
          <w:lang w:bidi="fa-IR"/>
        </w:rPr>
        <w:t xml:space="preserve">، و تفصیله فی محلّه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533737_3244359995"/>
      <w:bookmarkStart w:id="229" w:name="_Toc86"/>
      <w:bookmarkEnd w:id="228"/>
      <w:r>
        <w:rPr>
          <w:rtl w:val="true"/>
        </w:rPr>
        <w:t>الجهة الثانیة</w:t>
      </w:r>
      <w:r>
        <w:rPr>
          <w:rtl w:val="true"/>
        </w:rPr>
        <w:t xml:space="preserve">: </w:t>
      </w:r>
      <w:r>
        <w:rPr>
          <w:rtl w:val="true"/>
        </w:rPr>
        <w:t>فی شمول النزاع للأوامر الإرشادیة</w:t>
      </w:r>
      <w:bookmarkEnd w:id="22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یختص النزاع بکون الأمر و النهی تکلیفیین، بل یأتی النزاع و لو کان الأمر إرشادیا و إعلاما إلی الصحة، مثلا إذا باع المالک العین المرهونة، یقع التخالف بین</w:t>
      </w:r>
    </w:p>
    <w:p>
      <w:pPr>
        <w:pStyle w:val="BookText"/>
        <w:rPr/>
      </w:pPr>
      <w:r>
        <w:rPr>
          <w:rFonts w:ascii="IRNazanin" w:hAnsi="IRNazanin" w:eastAsia="IRNazanin"/>
          <w:color w:val="111111"/>
          <w:sz w:val="28"/>
          <w:sz w:val="28"/>
          <w:szCs w:val="28"/>
          <w:rtl w:val="true"/>
          <w:lang w:bidi="fa-IR"/>
        </w:rPr>
        <w:t xml:space="preserve">دلیل حلیة البیع </w:t>
      </w:r>
      <w:r>
        <w:rPr>
          <w:rStyle w:val="FootnoteAnchor"/>
          <w:rtl w:val="true"/>
        </w:rPr>
        <w:footnoteReference w:id="305"/>
      </w:r>
      <w:r>
        <w:rPr>
          <w:rFonts w:ascii="IRNazanin" w:hAnsi="IRNazanin" w:eastAsia="IRNazanin"/>
          <w:color w:val="111111"/>
          <w:sz w:val="28"/>
          <w:sz w:val="28"/>
          <w:szCs w:val="28"/>
          <w:rtl w:val="true"/>
          <w:lang w:bidi="fa-IR"/>
        </w:rPr>
        <w:t xml:space="preserve">، و دلیل ممنوعیة الراهن من التصرف </w:t>
      </w:r>
      <w:r>
        <w:rPr>
          <w:rStyle w:val="FootnoteAnchor"/>
          <w:rtl w:val="true"/>
        </w:rPr>
        <w:footnoteReference w:id="306"/>
      </w:r>
      <w:r>
        <w:rPr>
          <w:rFonts w:ascii="IRNazanin" w:hAnsi="IRNazanin" w:eastAsia="IRNazanin"/>
          <w:color w:val="111111"/>
          <w:sz w:val="28"/>
          <w:sz w:val="28"/>
          <w:szCs w:val="28"/>
          <w:rtl w:val="true"/>
          <w:lang w:bidi="fa-IR"/>
        </w:rPr>
        <w:t>بالعموم من وجه، و یکون مورد الاجتماع التصرفات الاعتباریة، فمقتضی دلیل حل البیع صحته، و قضیّة إطلاق المنع من التصرف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فلأحد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الجمع بین رضا المولی بصحة البیع و ترتیب آثارها علیها، و بین النهی عن التصرف المنطبق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للآخر أن یقول بجواز الاجتماع؛ لاختلاف المتعلقین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لا یعتبر فی صحة المعاملات، بل یکفی عدم الردع بنحو السلب المحصل، کما عن بعض </w:t>
      </w:r>
      <w:r>
        <w:rPr>
          <w:rStyle w:val="FootnoteAnchor"/>
          <w:rtl w:val="true"/>
        </w:rPr>
        <w:footnoteReference w:id="307"/>
      </w:r>
      <w:r>
        <w:rPr>
          <w:rFonts w:ascii="IRNazanin" w:hAnsi="IRNazanin" w:eastAsia="IRNazanin"/>
          <w:color w:val="111111"/>
          <w:sz w:val="28"/>
          <w:sz w:val="28"/>
          <w:szCs w:val="28"/>
          <w:rtl w:val="true"/>
          <w:lang w:bidi="fa-IR"/>
        </w:rPr>
        <w:t>، فی غیر مقامه، و ناشئ عن القصور؛ ضرورة أن إظهار عدم الرضا یورث الفساد، و لا تکون الخصوصیة تحت الإظهار، بل الخصوصیة راجعة إلی عدم الرضا، فیعلم منه الحاجة إلی الرضا فی صحة المعاملات؛ ضرورة أن المولی الواقف علی الأشیاء لا تخلو حاله من الرضا، و عدم الرضا، أو البغض، و حیث یکون عدم الرضا و البغض بالمعاملة مورثا لفسادها، فتکون الحالة الثالثة موجبة لصحتها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النهی عن المعاملات، کما یمکن أن یستکشف بغضه، یمکن أن یستکشف عدم رضاه؛ لأنه من الممکن النهی عند عدم الرضا، لانتفاء مقتضی الصحة، فإذن لا یمکن دعوی قطعیة کفایة عدم الرضا للصحة،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قیل و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الردع مع کون المعاملة بمرأی و مسمع من الشرع، یوجب استکشاف الصحة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النزاع فیما إذا کان الأمر إرشادا إلی الصحة</w:t>
      </w:r>
      <w:r>
        <w:rPr>
          <w:rFonts w:eastAsia="IRNazanin" w:cs="IRNazanin"/>
          <w:color w:val="111111"/>
          <w:sz w:val="28"/>
          <w:szCs w:val="28"/>
          <w:rtl w:val="true"/>
          <w:lang w:bidi="fa-IR"/>
        </w:rPr>
        <w:t>.</w:t>
      </w:r>
      <w:bookmarkStart w:id="230" w:name="pg13163_143020"/>
    </w:p>
    <w:p>
      <w:pPr>
        <w:pStyle w:val="BookText"/>
        <w:rPr/>
      </w:pPr>
      <w:bookmarkEnd w:id="230"/>
      <w:r>
        <w:rPr>
          <w:rFonts w:ascii="IRNazanin" w:hAnsi="IRNazanin" w:eastAsia="IRNazanin"/>
          <w:color w:val="111111"/>
          <w:sz w:val="28"/>
          <w:sz w:val="28"/>
          <w:szCs w:val="28"/>
          <w:rtl w:val="true"/>
          <w:lang w:bidi="fa-IR"/>
        </w:rPr>
        <w:t>نعم، لا بد و أن یکون النهی تنزیهیا فی هذه الصورة، أو تحریمیا، فإنه یمکن دعوی عدم اجتماعه مع الأمر المقارن مع الرضا القلبیّ غیر القابل للاجتماع مع النهی التنزیهی، أو التحریمیّ، و من هنا یظهر إمکان جریان النزاع فی مورد جعل الحلّیة لعنوان، و جعل الحرمة لعنوان آخر یتصادقان علی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الإرشادیّ غیر التکلیفیّ المتعلق بعنوان، و الأمر الإیجابیّ أو الاستحبابیّ المتعلّق بعنوان آخر، فهو بلا مثال و إن کان یمکن فرضه، کما فی مثل النهی عن بیع الحشرات؛ بناء علی فساده شرعا و لو أمکن صحته عرفا، و أمر الوالد بالبیع، فإن قضیة وجوب إطاعته، تتنافی مع قضیّة عدم وجوب الوفاء بالبیع و عدم رضا الشرع بتلک المعاملة، و یلزم اجتماع النهی الإرشادیّ مع الأمر،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یخلو من المناقشة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لما أن دلیل وجوب الإطاعة مقیّد بما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بل النهی الإرشادیّ معناه عدم وجوب الوفاء، و لا یستفاد منه عدم الرضا الملازم للبغض کما لا یخفی، و عدم وجوب الوفاء لا یزاحم اقتضاء الأمر المذکور،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الأمر الإرشادی یستکشف الرضا المنافی للتحریم، و أمّا فی جانب النهی الإرشادیّ فلا یستکشف البغض و الکراهة، بل مفاده النهی عن عدم ترتّب الأثر شرعا و عدم وجوب الوفاء</w:t>
      </w:r>
      <w:r>
        <w:rPr>
          <w:rFonts w:eastAsia="IRNazanin" w:cs="IRNazanin"/>
          <w:color w:val="111111"/>
          <w:sz w:val="28"/>
          <w:szCs w:val="28"/>
          <w:rtl w:val="true"/>
          <w:lang w:bidi="fa-IR"/>
        </w:rPr>
        <w:t>.</w:t>
      </w:r>
    </w:p>
    <w:p>
      <w:pPr>
        <w:pStyle w:val="Heading6"/>
        <w:numPr>
          <w:ilvl w:val="5"/>
          <w:numId w:val="1"/>
        </w:numPr>
        <w:rPr/>
      </w:pPr>
      <w:bookmarkStart w:id="231" w:name="__RefHeading___Toc533739_3244359995"/>
      <w:bookmarkStart w:id="232" w:name="_Toc87"/>
      <w:bookmarkEnd w:id="231"/>
      <w:r>
        <w:rPr>
          <w:rtl w:val="true"/>
        </w:rPr>
        <w:t>الجهة الثالثة</w:t>
      </w:r>
      <w:r>
        <w:rPr>
          <w:rtl w:val="true"/>
        </w:rPr>
        <w:t xml:space="preserve">: </w:t>
      </w:r>
      <w:r>
        <w:rPr>
          <w:rtl w:val="true"/>
        </w:rPr>
        <w:t>فی شمول النزاع لجمیع أنحاء الإیجاب و التحریم</w:t>
      </w:r>
      <w:bookmarkEnd w:id="2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یختص النزاع بالإیجاب و التحریم الخاصّین، بل الظاهر جریانه فی جمیع أنحاء الإیجابات و التحریمات النفسیّة و الغیریة، و العینیة و الکفائیة، و التعیینیة</w:t>
      </w:r>
    </w:p>
    <w:p>
      <w:pPr>
        <w:pStyle w:val="BookText"/>
        <w:rPr/>
      </w:pPr>
      <w:r>
        <w:rPr>
          <w:rFonts w:ascii="IRNazanin" w:hAnsi="IRNazanin" w:eastAsia="IRNazanin"/>
          <w:color w:val="111111"/>
          <w:sz w:val="28"/>
          <w:sz w:val="28"/>
          <w:szCs w:val="28"/>
          <w:rtl w:val="true"/>
          <w:lang w:bidi="fa-IR"/>
        </w:rPr>
        <w:t>و التخییریة، و غیرها مما مرّ منّا فی تقاسیم الواجب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یتعین کون طرف الواجب للنفسی التحریم النفسیّ، بل هو أیضا أعمّ من هذه الجهة، فیمکن جریان النزاع بین الواجب النفسیّ التعیینیّ العینی، مع کلّ واحد من مقابلاته فی جانب التحریم و بالعکس، فالصلاة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الواجبة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الدار المغصوبة مورد الخلاف، و هکذا صلاة المیّت فیها، و الوضوء الواجب بالوجوب المقدّمی فیها، أو مع الماء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یشکل بعض صور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وجوب ذات المقدمة فی الواجبات الغیریّة</w:t>
      </w:r>
      <w:r>
        <w:rPr>
          <w:rStyle w:val="FootnoteAnchor"/>
          <w:rtl w:val="true"/>
        </w:rPr>
        <w:footnoteReference w:id="309"/>
      </w:r>
      <w:r>
        <w:rPr>
          <w:rFonts w:ascii="IRNazanin" w:hAnsi="IRNazanin" w:eastAsia="IRNazanin"/>
          <w:color w:val="111111"/>
          <w:sz w:val="28"/>
          <w:sz w:val="28"/>
          <w:szCs w:val="28"/>
          <w:rtl w:val="true"/>
          <w:lang w:bidi="fa-IR"/>
        </w:rPr>
        <w:t>، یلزم اتحاد المتعلق، و لا یجری النزاع هنا بین الوجوب الغیریّ و الحرام الذاتی المتعلق بذاته، أو الحرام المقدّمی المتعلّق بذات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الکون علی السطح واجبا، یکون نصب السلّم واجبا، و إذا کان المکلف یرید شرب الخمر علی السطح، یکون النصب محرما، فیخرج عن محل النزاع؛ لوحدة متعلق الأمر و النهی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تقرّر منّا فی محله؛ أن ما هو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حتی علی القول بوجوب مطلق المقدمة؛ لما تقرر فی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الحیثیات التعلیلیة ترجع إلی التقییدیة فی الأحکام العقلیة، و ذکرنا هناک لأجل تلک النکتة، دخول مقدمة الحرام فی محط النزاع فی بحث مقدمة الواجب؛ و أنّ ما هو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311"/>
      </w:r>
      <w:r>
        <w:rPr>
          <w:rFonts w:ascii="IRNazanin" w:hAnsi="IRNazanin" w:eastAsia="IRNazanin"/>
          <w:color w:val="111111"/>
          <w:sz w:val="28"/>
          <w:sz w:val="28"/>
          <w:szCs w:val="28"/>
          <w:rtl w:val="true"/>
          <w:lang w:bidi="fa-IR"/>
        </w:rPr>
        <w:t>، فلا یلزم اتحاد المتعلق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النزاع بین الإیجاب و التحریم التخییریین؛ لأن معنی الوجوب التخییری هو إیجاب الجامع بین شیئین، و معنی الحرمة التخییریة هو تحریم الجمع بین الشیئین، و المکلف یتمکن من الجمع بینهما بالضرورة، فلا تنافی بحسب مقام الجعل، و لا بحسب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یستظهر من کلمات بعض المعاصرین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إمکان الامتثال لا یورث الخروج، و إلا فیلزم مع وجود المندوحة خروج جمیع الفروض عن حریم النزاع، و هو غیر ملتزم باشتراط المندوحة فی صحة النزاع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التخییریّ فرع وجوب آخر لا یرجع إلی الوجوب التعیینیّ، و لا یکون فی مورد الإیجاب التخییریّ مصلحة قائمة بالجامع، بل یمکن أن یکون بکل واحد من الطرفین مصلحة خاصة، إلا أن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للتسهیل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بالواحد، و لم یوجبها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التخییری یتصور علی وجهین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المصداق الأول محرما، و الثانی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و هو أن المصداق الأوّل یکون مباحا، و الثانی محرما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المالک رضی بالتصرف فی إحدی الدارین فقط، و حرم التصرّف فی الأخری، فإن کان معناه أن الدخول الأول محرّم، فلو صلی صلاة الجمعة المتّحدة</w:t>
      </w:r>
      <w:bookmarkStart w:id="233" w:name="pg13163_143023"/>
    </w:p>
    <w:p>
      <w:pPr>
        <w:pStyle w:val="BookText"/>
        <w:rPr/>
      </w:pPr>
      <w:bookmarkEnd w:id="233"/>
      <w:r>
        <w:rPr>
          <w:rFonts w:ascii="IRNazanin" w:hAnsi="IRNazanin" w:eastAsia="IRNazanin"/>
          <w:color w:val="111111"/>
          <w:sz w:val="28"/>
          <w:sz w:val="28"/>
          <w:szCs w:val="28"/>
          <w:rtl w:val="true"/>
          <w:lang w:bidi="fa-IR"/>
        </w:rPr>
        <w:t>معه، یلزم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معناه أن الدخول الثانی محرم، فیلزم الاجتماع فی الصلاة المتّحدة 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یتصور التخییر التحریمیّ فی صورة کون المجموع محرما، لا واحد، مثلا فی صورة الاضطرار إلی سدّ الجوع بالمیتة، أو شرب الخمر تحفّظا علی نفسه، إذا جمع بینهما یلزم الاجتماع؛ لأن الأکل الجامع بینهما محرم لأجل کون المجموع محرما، و واجب لأجل المحافظة علی النّفس بالوجوب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مثال 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قصور فی عبارته، یلزم الاجتماع فی صورة التخلف بإتیان المجموع، کما إذا نهی المولی عن التصرف فی الدار، و المجالسة مع الأغیار تخییرا، فإنه إذا صلی فیها مع مجالستهم، کانت حال الصلاة فیها حالها فی صورة النهی تعیینا عن التصرف فیها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الممکن المناقشة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إمکان الجمع بین الأطراف، یعد من المحرم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ینقلب الواجبات عما علیها من الاعتبارات لأجل ذلک، کما برهنا علیه فی محله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 أنّ النّظر إلی إعطاء الکبری، فلا مُشاحّة فی المثال، و لیس من دأب المحصّلین</w:t>
      </w:r>
      <w:r>
        <w:rPr>
          <w:rFonts w:eastAsia="IRNazanin" w:cs="IRNazanin"/>
          <w:color w:val="111111"/>
          <w:sz w:val="28"/>
          <w:szCs w:val="28"/>
          <w:rtl w:val="true"/>
          <w:lang w:bidi="fa-IR"/>
        </w:rPr>
        <w:t>.</w:t>
      </w:r>
    </w:p>
    <w:p>
      <w:pPr>
        <w:pStyle w:val="Heading6"/>
        <w:numPr>
          <w:ilvl w:val="5"/>
          <w:numId w:val="1"/>
        </w:numPr>
        <w:rPr/>
      </w:pPr>
      <w:bookmarkStart w:id="234" w:name="__RefHeading___Toc533741_3244359995"/>
      <w:bookmarkStart w:id="235" w:name="_Toc88"/>
      <w:bookmarkEnd w:id="234"/>
      <w:r>
        <w:rPr>
          <w:rtl w:val="true"/>
        </w:rPr>
        <w:t>الجهة الرابعة</w:t>
      </w:r>
      <w:r>
        <w:rPr>
          <w:rtl w:val="true"/>
        </w:rPr>
        <w:t xml:space="preserve">: </w:t>
      </w:r>
      <w:r>
        <w:rPr>
          <w:rtl w:val="true"/>
        </w:rPr>
        <w:t>شمول النزاع للعنوانین اللذین بینهما عموم و خصوص مطلقاً</w:t>
      </w:r>
      <w:bookmarkEnd w:id="2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عدم جریان النزاع فی العنوانین المتساوقین، و لا المتباینین، و لا کلام فی جریانه فی العنوانین اللذین بینهما العموم من وجه فی الجملة، و إنّما</w:t>
      </w:r>
    </w:p>
    <w:p>
      <w:pPr>
        <w:pStyle w:val="BookText"/>
        <w:rPr/>
      </w:pPr>
      <w:r>
        <w:rPr>
          <w:rFonts w:ascii="IRNazanin" w:hAnsi="IRNazanin" w:eastAsia="IRNazanin"/>
          <w:color w:val="111111"/>
          <w:sz w:val="28"/>
          <w:sz w:val="28"/>
          <w:szCs w:val="28"/>
          <w:rtl w:val="true"/>
          <w:lang w:bidi="fa-IR"/>
        </w:rPr>
        <w:t>البحث فی اللذین بینهما نسبة 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الإشارة إلی التفصیل فی المسألة، نومئ إلی مطلب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جمیع العناوین المختلفة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من العناوین الذاتیّة، أو العرضیة، و سواء کانت من العناوین المحمولة بالضمیمة، أو تکون خارجة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بحسب الجهة صدقا، و لا یعقل وحدة الجهة صدقا مع تعدّد العنوان مفهوما بالضرورة؛ لامتناع انتزاع الکثیر من الواحد بجهة واحدة حتی فی البسیط الحقیقیّ، فقد عرفت اختلاف منشأ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الوجود المطلق البسیط من جمیع الجهات من غیر لزوم الترکیب فی الذات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من أنّ بین المفهومین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من وجه،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تباینا، و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تساوقا، 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مطلقا؛ هو أنّ المفاهیم المختلفة صدقا، و المتفاوتة حقیقة فی الخارج،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یتّحدان بحسب الصدق، و یکونان متلازمین صدقا، کالوحدة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متلازمین صدقا و انطباقا، و هو بین المتباینات، کالحجر و الإنسان، و العامّین من وجه، و المطلقین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التوافق صدقا، لا التساوی مفهوما؛ لأنّ المفروض هو اختلافهما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یتبیّن فساد بعض المقالات فی هذه المقامات، و الأمر أو ضح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النزاع فی المطلق و المقیّد عندنا ممنوع؛ لأنّ اختلاف المطلق و المقیّد لیس یورث اختلافا فی وحدة متعلّق الأمر و النهی، فلو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فی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 بین العنوانین فرق فی</w:t>
      </w:r>
    </w:p>
    <w:p>
      <w:pPr>
        <w:pStyle w:val="BookText"/>
        <w:rPr/>
      </w:pPr>
      <w:r>
        <w:rPr>
          <w:rFonts w:ascii="IRNazanin" w:hAnsi="IRNazanin" w:eastAsia="IRNazanin"/>
          <w:color w:val="111111"/>
          <w:sz w:val="28"/>
          <w:sz w:val="28"/>
          <w:szCs w:val="28"/>
          <w:rtl w:val="true"/>
          <w:lang w:bidi="fa-IR"/>
        </w:rPr>
        <w:t>عالم العنوانیّة إلاّ بزیادة القید علی الطبیعة، فیلزم کون الشی‌ء الواحد مصبَّ الأمر و النهی، و هو محال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العناوین کلا فی عالم العنوانیة صحیح، و لکنّه لا یورث حلّ المشکلة هنا؛ و هو ما إذا کان النّظر إلی العناوین فانیة فی الواقعیّات و مدالیلها، فما هو مورد الأمر هی الصلاة، و ما هو مورد النهی هی الصلاة أیضا، و زیادة القید فی مورد النهی إن کانت تورث زیادته فی جانب الأمر، فهو من التباین الخارج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یورث فیلزم اتحاد متعلّق الأمر و النهی، لا بمعنی اتحاد متعلّق الأمر النفسیّ فی المطلق، و الأمر الضمنیّ فی المقیّد، بل لا یمکن ترشّح الإرادة ثانیا بالنسبة إلی مورد الأمر الأوّل، و لا یمکن حلّ مشکلة اجتماع الأمر و النهی باختلاف العنوانین فی عالم التقنین و الجعل،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بین العنوانین عموم و خصوص مطلقا، و لم یکن اشتراک بحسب العنوان؛ بأن لم یؤخذ مفهوم الأعمّ فی الأخصّ، فلا بأس بجریان النزاع</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فإنّ مجرّد التباین لو کان کافیا فهو حاصل مطلقا، و إذا لم یکن هذا کافیا فلا یعقل ترشّح الإرادة ثانیا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بینهما الملازمة صدقا دائما، فکما لا یعقل توجیه الأمر بالصلاة و النهی بالعبادة مع اختلافهما عنوانا و حیثیة، کذلک الأمر فی المطلق و المقید و إن کان مورد النهی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الصلاتی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یعقل توجیه الأمر بالصلاة و النهی بالمرکب و المقیّد، مع أنّ ما هو مورد الأمر لیس مورد النهی النفسیّ، و لا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اتحاد متعلّق الأمر و النهی حتّی یکون فاسدا بالضرورة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المرکب من الأجزاء إن کان معنی محصّلا؛ بحیث تکون الأجزاء محصّلاته، فالأمر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عنوان المرکب هو نفس الأجزاء بالأسر، و یکون الفرق بینهما بالإطلاق و التقیید، و فی مورد التقیید یکون نفس الطبیعة المتقیّدة مورد النهی، و یکون النهی النفسیّ متعلّقا بنفس الطبیعة مع شرطیّة القید؛ بنحو لا یحصل من التقیید طبیعة ثانیة مقیّدة؛ حتّی یلزم اختلاف مورد الأمر مع النهی، فإنّه و إن کان مورد النهی مرکبا، و لکن لا بحیث لا یصدق علیه مورد الأمر، فلا یعقل ترشح الإرادة الثانیة؛ لما یلزم تعلقها بعین ما تعلق به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بین المتعلّقین خلاف بحسب الواقع، فیلزم خروج هذه الصورة عن مصبّ البحث؛ للزوم التباین کما تری، فمع الحفاظ علی الإطلاق و التقیید لا یعقل الاندراج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إذا کان المرکب معنی محصّلا، فیلزم الجمع بین الأمر النفسیّ و النهی الغیریّ،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یتعلّق بالعناوین التی بینها الإطلاق و التقیید؛ أی تکون بینها من النسب نسبة العموم و الخصوص المطلقین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الحجر الأساس لإخراجها عن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النهی فی المقید یکون بداعی الانزجار عن المنهیّ، و إذا کان الناهی متوجّها إلی أنّ هذا</w:t>
      </w:r>
      <w:bookmarkStart w:id="236" w:name="pg13163_143027"/>
    </w:p>
    <w:p>
      <w:pPr>
        <w:pStyle w:val="BookText"/>
        <w:rPr/>
      </w:pPr>
      <w:bookmarkEnd w:id="236"/>
      <w:r>
        <w:rPr>
          <w:rFonts w:ascii="IRNazanin" w:hAnsi="IRNazanin" w:eastAsia="IRNazanin"/>
          <w:color w:val="111111"/>
          <w:sz w:val="28"/>
          <w:sz w:val="28"/>
          <w:szCs w:val="28"/>
          <w:rtl w:val="true"/>
          <w:lang w:bidi="fa-IR"/>
        </w:rPr>
        <w:t>الانزجار لا یمکن أن یحصل مطلقا إلا مع الإخلال بمطلوبه فی جانب الأمر، فلا یمکن أن تترشح الإرادة الزاجرة بالضرورة فی جانب المقید؛ سواء کان المقیّد مورد النهی، أو کان هو مورد الأمر، و المطلق مورد النهی، أو کان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فی الصلاة</w:t>
      </w:r>
      <w:r>
        <w:rPr>
          <w:rFonts w:eastAsia="IRNazanin" w:cs="IRNazanin"/>
          <w:color w:val="111111"/>
          <w:sz w:val="28"/>
          <w:szCs w:val="28"/>
          <w:rtl w:val="true"/>
          <w:lang w:bidi="fa-IR"/>
        </w:rPr>
        <w:t>».</w:t>
      </w:r>
    </w:p>
    <w:p>
      <w:pPr>
        <w:pStyle w:val="Heading6"/>
        <w:numPr>
          <w:ilvl w:val="5"/>
          <w:numId w:val="1"/>
        </w:numPr>
        <w:rPr/>
      </w:pPr>
      <w:bookmarkStart w:id="237" w:name="__RefHeading___Toc533743_3244359995"/>
      <w:bookmarkStart w:id="238" w:name="_Toc89"/>
      <w:bookmarkEnd w:id="237"/>
      <w:r>
        <w:rPr>
          <w:rtl w:val="true"/>
        </w:rPr>
        <w:t>شرائط اندراج العنوانین اللذین بینهما عموم و خصوص من وجه</w:t>
      </w:r>
      <w:bookmarkEnd w:id="238"/>
    </w:p>
    <w:p>
      <w:pPr>
        <w:pStyle w:val="BookText"/>
        <w:rPr/>
      </w:pPr>
      <w:r>
        <w:rPr>
          <w:rFonts w:ascii="IRNazanin" w:hAnsi="IRNazanin" w:eastAsia="IRNazanin"/>
          <w:color w:val="111111"/>
          <w:sz w:val="28"/>
          <w:sz w:val="28"/>
          <w:szCs w:val="28"/>
          <w:rtl w:val="true"/>
          <w:lang w:bidi="fa-IR"/>
        </w:rPr>
        <w:t>بقی البحث فی شرائط اندراج العناوین التی بینها نسبة العموم و الخصوص من وجه، فالذی هو التحقیق و هو المیزان و الملاک فی دخول کلّ شی‌ء فی محطّ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مصبّ الأمر و النهی إذا کان بحیث لا یرجعان إلی وحدة المتعلّق فی مقام الجعل و التقنین، یکونان مندرجین فی بحث الاجتماع و الامتناع؛ سواء کانا من العناوین العرضیّة، أو الذاتیّة، أو المختلفة منهما، و سواء کانا من العناوین التی تتعلّق بها الإرادة أوّلا و بالذات، أو کانا من العناوین التی تتعلّق بها الإرادة باعتبار تعلّقها بمناشئ وجودها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النّظر إلی أنّ مع الاختلاف فی عالم الجعل و التقنین، یمکن أن یدّعی أحد عدم امتناع اجتماع الإرادتین فی المجمع، بخلاف ما إذا کانا متّحدین فی موقف تعلّق الإرادة، فإنّه لا یتفوّه أحد بإمکانه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میزان النزاع و ملاک الخلاف فی المسألة، و إجماله أنّ التلازم الدائمیّ بین العناوین المختلفة عنوانا و مفهوما، یمنع من اتصافهما بالأحکام المتضادّة المتمانعة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التلازم غیر دائمیّ، فإن کان من قبیل المطلق و المقیّد فهو أیضا ممنوع؛ للزوم کون متعلق الحکمین المختلفین واحدا، و هو أیضا محال، خلافا لما</w:t>
      </w:r>
    </w:p>
    <w:p>
      <w:pPr>
        <w:pStyle w:val="BookText"/>
        <w:rPr/>
      </w:pPr>
      <w:r>
        <w:rPr>
          <w:rFonts w:ascii="IRNazanin" w:hAnsi="IRNazanin" w:eastAsia="IRNazanin"/>
          <w:color w:val="111111"/>
          <w:sz w:val="28"/>
          <w:sz w:val="28"/>
          <w:szCs w:val="28"/>
          <w:rtl w:val="true"/>
          <w:lang w:bidi="fa-IR"/>
        </w:rPr>
        <w:t xml:space="preserve">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إن کان من قبیل العامین من وجه، فحیث لا یکون التلازم دائمیا، و لا یلزم وحدة متعلق الحکمین، فلا مانع من دعوی إمکان ترشح الإرادتین و الحکمین المتمانعین علیهما فی المجمع، و یصیر مورد النزاع نفیا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الأمر متعلّقا بالطبیعة، و النهی منحلا إلی الأفراد کما هو المعروف عنهم، یلزم کون النسبة بین جمیع العناوین عموما و خصوصا مطلقا؛ ضرورة أنها فی المجمع تکون الصلاة مورد الأمر و مصداق الغصب، و هی الصلاة مورد النهی، و لا شبهة فی أنّ نسبتهما عموم و خصوص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العلاّمة الأستاذ البروجردیّ فی آخر مباحث المسألة</w:t>
      </w:r>
      <w:r>
        <w:rPr>
          <w:rStyle w:val="FootnoteAnchor"/>
          <w:rtl w:val="true"/>
        </w:rPr>
        <w:footnoteReference w:id="321"/>
      </w:r>
      <w:r>
        <w:rPr>
          <w:rFonts w:ascii="IRNazanin" w:hAnsi="IRNazanin" w:eastAsia="IRNazanin"/>
          <w:color w:val="111111"/>
          <w:sz w:val="28"/>
          <w:sz w:val="28"/>
          <w:szCs w:val="28"/>
          <w:rtl w:val="true"/>
          <w:lang w:bidi="fa-IR"/>
        </w:rPr>
        <w:t>، و هو منه عجیب و واضح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التلازم الدائمیّ، و لزوم وحدة المتعلّق فی مقام الجعل و التقنین علی سبیل منع الخلوّ، یمنع من جریان النزاع، و فی العامّین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صورهما و أقسامهما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شی‌ء منها، فما أفاده القوم أحیانا فی شرائط اندراجهما فی محطّ البحث، کلّه مخدوش و ممنوع جدّاً، و لا یتفوّه بذلک إلاّ من تغافل عن میزان البحث و ملاک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حول السرایة و عدم السرایة، أو حول الترکیب الاتحادی و الانضمامیّ، أو غیر ذلک، ممّا لا ینبغی أن نحوم حوله، و إلیک نبذة منها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العنوانین إذا أخذ مفهوم أحدهما فی متعلّق الآخر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w:t>
      </w:r>
    </w:p>
    <w:p>
      <w:pPr>
        <w:pStyle w:val="BookText"/>
        <w:rPr/>
      </w:pPr>
      <w:r>
        <w:rPr>
          <w:rFonts w:ascii="IRNazanin" w:hAnsi="IRNazanin" w:eastAsia="IRNazanin"/>
          <w:color w:val="111111"/>
          <w:sz w:val="28"/>
          <w:sz w:val="28"/>
          <w:szCs w:val="28"/>
          <w:rtl w:val="true"/>
          <w:lang w:bidi="fa-IR"/>
        </w:rPr>
        <w:t xml:space="preserve">جریان النزاع فیه؛ لعین ما مرّ فی المطلق و المقید و إن کان بینهما العموم من وجه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مرّ فی المطلق و المقیّد هو لزوم وحدة المتعلّق ثبوتا و واقعا</w:t>
      </w:r>
      <w:r>
        <w:rPr>
          <w:rStyle w:val="FootnoteAnchor"/>
          <w:rtl w:val="true"/>
        </w:rPr>
        <w:footnoteReference w:id="323"/>
      </w:r>
      <w:r>
        <w:rPr>
          <w:rFonts w:ascii="IRNazanin" w:hAnsi="IRNazanin" w:eastAsia="IRNazanin"/>
          <w:color w:val="111111"/>
          <w:sz w:val="28"/>
          <w:sz w:val="28"/>
          <w:szCs w:val="28"/>
          <w:rtl w:val="true"/>
          <w:lang w:bidi="fa-IR"/>
        </w:rPr>
        <w:t xml:space="preserve">، لا وهما و تخیّلا و لفظا، فإذا کان بینهما الاختلاف فی عالم التقنین من غیر تلازم دائمیّ بینهما، فلا منع من جریانه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المشترکة بین العنوانین لا تستلزم وحدة المتعلّق بعد کون کلّ و أحد من المتعلّقین مقیّداً بقید مخصوص به، و إلاّ یلزم خروج صورة أخری من محطّ النزاع؛ و هی ما إذا 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مشترکة بین المعنیین المختلفین فإنّه لأجل وحدة اللفظ لا یلزم الخروج، کما لا یخفی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العلاّمة النائینی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أنّه لا بدّ و أن تکون نسبة العموم من وجه، بین نفس الفعلین الصادرین عن المکلّف بإرادة و اختیار، اللذین تعلّق بهما الطلب الأمری و النهی، کما فی مثل الصلاة 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کانت النسبة بین الموضوعین،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محلّ البحث؛ لما عرفت من أنّ الترکیب فی مثل ذلک یکون علی جهة الاتحاد</w:t>
      </w:r>
      <w:r>
        <w:rPr>
          <w:rStyle w:val="FootnoteAnchor"/>
          <w:rtl w:val="true"/>
        </w:rPr>
        <w:footnoteReference w:id="324"/>
      </w:r>
      <w:r>
        <w:rPr>
          <w:rFonts w:ascii="IRNazanin" w:hAnsi="IRNazanin" w:eastAsia="IRNazanin"/>
          <w:color w:val="111111"/>
          <w:sz w:val="28"/>
          <w:sz w:val="28"/>
          <w:szCs w:val="28"/>
          <w:rtl w:val="true"/>
          <w:lang w:bidi="fa-IR"/>
        </w:rPr>
        <w:t>، و یکون متعلّق الأمر بعینه هو متعلّق النهی؛ من غیر فرق بین أنحاء العمومات الأصولیة، و البدلیة، و الشمولیة، فإنه فی الجمیع ینبغی إعمال قواعد التعارض</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أیضا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مسألة الاجتماع ما إذا</w:t>
      </w:r>
    </w:p>
    <w:p>
      <w:pPr>
        <w:pStyle w:val="BookText"/>
        <w:rPr/>
      </w:pPr>
      <w:r>
        <w:rPr>
          <w:rFonts w:ascii="IRNazanin" w:hAnsi="IRNazanin" w:eastAsia="IRNazanin"/>
          <w:color w:val="111111"/>
          <w:sz w:val="28"/>
          <w:sz w:val="28"/>
          <w:szCs w:val="28"/>
          <w:rtl w:val="true"/>
          <w:lang w:bidi="fa-IR"/>
        </w:rPr>
        <w:t>کانت النسبة بین العناوین المتولّدة من الفعل الصادر عن المکلّف، کما إذا کان للفعل عنوانان تولیدیّان تکون النسبة بینهما العموم من وجه، کما إذا أکرم العالم المأمور بإکرامه و الفاسق المنهی عن إکرامه بفعل واحد تولّد منه کلّ من الإکرامین؛ بأن قام قاصدا به التعظیم لکلّ منهما، فإنّه لیس من هذه المسألة؛ لما مرّ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بعض آخر؛ و هو أنّ العناوین إذا کانت بالنسبة إلی المجمع من قبیل المحامیل بالضمیمة، فهی داخلة فی محطّ البحث؛ لأنّ مبادئ تلک المحمولات بالضمیمة، مختلفة حیثیّة و خارجا و بحسب التکوین، و یکون النزاع فی أنّ الأمر یتجاوز إلی حیثیّة النهی، أم النهی إلی حیثیّة الأمر،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العناوین خارجات المحمول و ذاتیّ باب البرهان کلاّ، أو کان أحدهما بالنسبة إلی مورد الآخر خارج المحمول، و إن کان الآخر محمولا بالضمیمة بالنسبة إلی الموضوع الخارجی، فهی غیر قابلة للبحث عنه امتناعا و اجتماعا؛ ضرورة أنّ ما هو مورد الأمر مثلا یکون عین ما تعلّق به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الشرب واجبا، و التصرّف فی مال الغیر حراما، فإنّه لا معنی لدعوی الاجتماع فی مورد الشرب؛ لأنّ حیثیّة التصرّف فی مال الغیر عین حیثیّة الشرب، و علی هذا یشکل کون المثال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الصلاة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نحتاج إلی مزید تأمّل فی توضیح مفاسد هذه الآراء الناشئة من</w:t>
      </w:r>
    </w:p>
    <w:p>
      <w:pPr>
        <w:pStyle w:val="BookText"/>
        <w:rPr/>
      </w:pPr>
      <w:r>
        <w:rPr>
          <w:rFonts w:ascii="IRNazanin" w:hAnsi="IRNazanin" w:eastAsia="IRNazanin"/>
          <w:color w:val="111111"/>
          <w:sz w:val="28"/>
          <w:sz w:val="28"/>
          <w:szCs w:val="28"/>
          <w:rtl w:val="true"/>
          <w:lang w:bidi="fa-IR"/>
        </w:rPr>
        <w:t>الغفلة عن ملاک النزاع و أساس البحث فی مسألة الاجتماع، و قد عرفت أنّ اختلاف العناوین مفهوما، یستلزم اختلاف مبدأ نیلها و لو اعتبارا، فلا یعقل انتزاع الشرب و الغصب من شی‌ء واحد بجهة واحدة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الترکیب الاتحادی و الانضمامیّ فی الکتب العقلیّة، لیست علی الوجه الصحیح </w:t>
      </w:r>
      <w:r>
        <w:rPr>
          <w:rStyle w:val="FootnoteAnchor"/>
          <w:rtl w:val="true"/>
        </w:rPr>
        <w:footnoteReference w:id="330"/>
      </w:r>
      <w:r>
        <w:rPr>
          <w:rFonts w:ascii="IRNazanin" w:hAnsi="IRNazanin" w:eastAsia="IRNazanin"/>
          <w:color w:val="111111"/>
          <w:sz w:val="28"/>
          <w:sz w:val="28"/>
          <w:szCs w:val="28"/>
          <w:rtl w:val="true"/>
          <w:lang w:bidi="fa-IR"/>
        </w:rPr>
        <w:t xml:space="preserve">، فضلا عمّا أراد منه علماء هذا الفن الاعتباریّ، و سیظهر فی المقاصد الآتیة مناسبات بعض التوضیحات حوله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إن من التدبر فیما أسلفناه فیما هو ملاک البحث، و ما ینبغی أن تحوم حوله الآراء</w:t>
      </w:r>
      <w:r>
        <w:rPr>
          <w:rStyle w:val="FootnoteAnchor"/>
          <w:rtl w:val="true"/>
        </w:rPr>
        <w:footnoteReference w:id="332"/>
      </w:r>
      <w:r>
        <w:rPr>
          <w:rFonts w:ascii="IRNazanin" w:hAnsi="IRNazanin" w:eastAsia="IRNazanin"/>
          <w:color w:val="111111"/>
          <w:sz w:val="28"/>
          <w:sz w:val="28"/>
          <w:szCs w:val="28"/>
          <w:rtl w:val="true"/>
          <w:lang w:bidi="fa-IR"/>
        </w:rPr>
        <w:t>، یظهر المفاسد الکثیرة فی کلمات الأعلام و فی تقاریرهم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جمع منها الاشتباهات الآخر، و سیظهر بعض منها فی البحوث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حاکم بعدم إمکان ترشح الإرادة الآمرة و الزاجرة بالنسبة إلی المتعلّق الواحد، و هکذا بالنسبة إلی العنوانین المتلازمین دائما،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العبادة منحصرة مصداقا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بالنسبة إلی العنوانین المتلازمین من طرف واحد؛ أی یکون التلازم الدائمی من طرف کما فی المطلق و المقید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الخلاف فی العنوانین غیر المتلازمین، و لکن قد یتفق التلازم بینهما أحیانا فی مصداق، فإنه محل المناقشة و المناظرة بین الامتناعی و الاجتماعی،</w:t>
      </w:r>
    </w:p>
    <w:p>
      <w:pPr>
        <w:pStyle w:val="BookText"/>
        <w:rPr/>
      </w:pPr>
      <w:r>
        <w:rPr>
          <w:rFonts w:ascii="IRNazanin" w:hAnsi="IRNazanin" w:eastAsia="IRNazanin"/>
          <w:color w:val="111111"/>
          <w:sz w:val="28"/>
          <w:sz w:val="28"/>
          <w:szCs w:val="28"/>
          <w:rtl w:val="true"/>
          <w:lang w:bidi="fa-IR"/>
        </w:rPr>
        <w:t>فالامتناعی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التلازم الأحیانی یستلزم الخلل فی إحدی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الآمرة، و الزاجرة، و لا یمکن التحفظ علی بقائهما فی المجمع، و الاجتماعیّ ینکر علیه ذلک؛ بدعوی أن التلازم الأحیانی بحسب الاتفاق، لا یورث قصورا فی الإرادتین المذکورتین،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تقرر، تندرج جمیع الصور؛ لاختلاف العناوین فیها فی مرکز التقنین، من غیر لزوم الوحدة فی المتعلق مع عدم التلازم الدائمی من الطرفین، أو من طرف واحد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التلازم فظاهر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توحد المتعلق؛ فلأن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مادة الإکرام واحدة، إلا أن بالإضافة إلی متعلق المتعلق یتعدد؛ فإن ما هو الواجب فی ناحیة الأمر هو إکرام العالم، و هذا عنوانا 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 و لأجله تکون النسبة بینها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الواجب إکرام العالم؛ بحیث یکون المتعلق هو المادة المضافة إلی العالم، لکان یجب تحصیل العالم لإکرامه؛ قضاء لحق إطلاق الهیئة، فما هو الواجب هو الإکرام المضاف إلی ما هو مفروض الوجود، و یکون تحت دائرة الطلب؛ بحیث لا یجب تحصیله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إلا أنه لا یضرّ بما هو مورد نظرنا؛ ضرورة أنّ القضیّة ترجع إلی أنه یجب إکرام العالم إذا کان العالم موجودا، فإذا کان القید موجودا، یلزم الاجتماع فیما إذا أکرم بالإکرام الواحد العالم و الفاسق، و یکون التلازم الأحیانیّ بین العنوانین مورد البحث نفیا و إثباتا، نظیر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الهیئة فی جانب الأمر بالنسبة إلی لزوم بناء المسجد بلا دعوة، فإذا کان المسجد</w:t>
      </w:r>
    </w:p>
    <w:p>
      <w:pPr>
        <w:pStyle w:val="BookText"/>
        <w:rPr/>
      </w:pPr>
      <w:r>
        <w:rPr>
          <w:rFonts w:ascii="IRNazanin" w:hAnsi="IRNazanin" w:eastAsia="IRNazanin"/>
          <w:color w:val="111111"/>
          <w:sz w:val="28"/>
          <w:sz w:val="28"/>
          <w:szCs w:val="28"/>
          <w:rtl w:val="true"/>
          <w:lang w:bidi="fa-IR"/>
        </w:rPr>
        <w:t>موجودا تجب الصلاة، فلو صلی فیه علی الفرش المغصوب یلزم الاجتماع فی المجمع الواحد،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ما قد توهم من لزوم کون العنوانین من المحمولات بالضمیمة بالنسبة إلی المجمع، و إلا یلزم اتحاد المتعلق، فیکون النزاع المعروف فی مثل شرب الماء و الغصب غیر جار؛ لأن الغصب عین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أنه التفت إلی ما یقول؛ ضرورة أن الغصب لا یعقل أن یکون عین الشرب بالحمل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عینه بالحمل الشائع فیلزم خروج جمیع الأمثلة؛ لأن الاتحاد فی المجمع یستلزم العینیة إجمالا، فإن الغصب عین الصلاة، و التصرف فی مال الغیر عین الذّکر و القراءة و هکذا؛ و ذلک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اختلاف العناوین مفهوما، یستلزم اختلاف جهة الصدق خارجا، و لا یعقل الاتحاد فی الحیثیة بالضرورة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أعجب من ذلک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مثل الأفعال التولیدیة کالتعظیم، یلزم اتحاد المتعلق؛ لأن الأمر المتعلق بالمسبب یرجع إلی السبب، و یکون الواجب هو القیام، و المحرم هو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 أحطت خبرا بفساد الکبری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القیام وحده لیس مورد الأمر و النهی، بل القیام للفاسق مورد النهی، و للعالم مورد الأمر، و بینهما الاختلاف الواضح کما تری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الأعجب من الکل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العناوین الاشتقاقیة خارجة عن محط البحث؛ لأن جهة الصدق حیث تکون تعلیلیة، فلا محالة یکون المجمع واحدا، فإن زیدا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إکرامه؛ لأنه عالم، و یحرم إکرامه؛ لأنه</w:t>
      </w:r>
    </w:p>
    <w:p>
      <w:pPr>
        <w:pStyle w:val="BookText"/>
        <w:rPr/>
      </w:pPr>
      <w:r>
        <w:rPr>
          <w:rFonts w:ascii="IRNazanin" w:hAnsi="IRNazanin" w:eastAsia="IRNazanin"/>
          <w:color w:val="111111"/>
          <w:sz w:val="28"/>
          <w:sz w:val="28"/>
          <w:szCs w:val="28"/>
          <w:rtl w:val="true"/>
          <w:lang w:bidi="fa-IR"/>
        </w:rPr>
        <w:t>فاسق، و من الظاهر لزوم الالتزام بالامتناع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یتوجه عین ذلک إلی الکون الغصبی و الصلاة، فإنه واجب و حرام؛ لأنه صلاة و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بواجب إکرامه، و لا بحرام إکرامه، بل العالم واجب الإکرام، و الفاسق محرم الإکرام، و ما هو مصداق ذاتیّ للعنوانین مورد الإیجاب و التحریم، و هو بحسب الوجود واحد، و بحسب الصدق کثیر، فإذن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العالم بما هو عالم واجب، و زید الفاسق بما هو فاسق محرم، و هذان العنوانان مختلفان مفهوما و صدقا، و متحدان مجمعا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زید مشترک بین المأمور به و المنهیّ عنه؛ لأنّ الذات المبهمة مأخوذة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لا یورث عدم تعدد العنوان علی الوجه اللازم فیما نحن فیه، کما هو الظاهر،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دخول العامین من وجه فی باب التعارض</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عندنا مخدوش جدا؛ لعدم التعارض بینهما فی المدلول و الجعل، و التعارض الخارجی بالعرض منوط بالعلم خارجا بکذب أحدهما، و هو لا یمکن إلا علی القول بالامتناع کما عرفت منا فی البحوث السابقة</w:t>
      </w:r>
      <w:r>
        <w:rPr>
          <w:rStyle w:val="FootnoteAnchor"/>
          <w:rtl w:val="true"/>
        </w:rPr>
        <w:footnoteReference w:id="335"/>
      </w:r>
      <w:r>
        <w:rPr>
          <w:rFonts w:ascii="Amiri" w:hAnsi="Amiri" w:eastAsia="Amiri" w:cs="Amiri"/>
          <w:color w:val="111111"/>
          <w:sz w:val="28"/>
          <w:sz w:val="28"/>
          <w:szCs w:val="28"/>
          <w:rtl w:val="true"/>
          <w:lang w:bidi="ar-SA"/>
        </w:rPr>
        <w:t xml:space="preserve">و الاتفاق المزبور لا ینفع شیئا؛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أحَق أن یُتَّبَعَ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عقول الرّجال</w:t>
      </w:r>
      <w:r>
        <w:rPr>
          <w:rFonts w:eastAsia="Amiri" w:cs="Amiri" w:ascii="Amiri" w:hAnsi="Amiri"/>
          <w:color w:val="111111"/>
          <w:sz w:val="28"/>
          <w:szCs w:val="28"/>
          <w:rtl w:val="true"/>
          <w:lang w:bidi="ar-SA"/>
        </w:rPr>
        <w:t>.</w:t>
      </w:r>
      <w:bookmarkStart w:id="239" w:name="pg13163_143035"/>
    </w:p>
    <w:p>
      <w:pPr>
        <w:pStyle w:val="Heading6"/>
        <w:numPr>
          <w:ilvl w:val="5"/>
          <w:numId w:val="1"/>
        </w:numPr>
        <w:rPr/>
      </w:pPr>
      <w:bookmarkStart w:id="240" w:name="__RefHeading___Toc533745_3244359995"/>
      <w:bookmarkStart w:id="241" w:name="_Toc90"/>
      <w:bookmarkEnd w:id="239"/>
      <w:bookmarkEnd w:id="240"/>
      <w:r>
        <w:rPr>
          <w:rtl w:val="true"/>
        </w:rPr>
        <w:t>تذنیب</w:t>
      </w:r>
      <w:r>
        <w:rPr>
          <w:rtl w:val="true"/>
        </w:rPr>
        <w:t xml:space="preserve">: </w:t>
      </w:r>
      <w:r>
        <w:rPr>
          <w:rtl w:val="true"/>
        </w:rPr>
        <w:t>حول التمثیل لمسألة الاجتماع بالصلاة فی الدار المغصوبة</w:t>
      </w:r>
      <w:bookmarkEnd w:id="241"/>
    </w:p>
    <w:p>
      <w:pPr>
        <w:pStyle w:val="BookText"/>
        <w:rPr/>
      </w:pPr>
      <w:r>
        <w:rPr>
          <w:rFonts w:ascii="IRNazanin" w:hAnsi="IRNazanin" w:eastAsia="IRNazanin"/>
          <w:color w:val="111111"/>
          <w:sz w:val="28"/>
          <w:sz w:val="28"/>
          <w:szCs w:val="28"/>
          <w:rtl w:val="true"/>
          <w:lang w:bidi="fa-IR"/>
        </w:rPr>
        <w:t>قد اشتهر مثال لمسألة الاجتماع و الامتناع؛ و هو الصلاة فی الدار المغصوبة، مدعین أنّ الکون الغصبیّ و الصلاة واحد، فیلزم اتحاد المجمع، و تصیر مثالا للمسألة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الصلاة من الماهیات الاختراعیة المؤتلفة من الماهیّات المقولیّة العرضیّة، و لیس منها مقولة الأین التی هی منشأ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داخل فی أجزاء الصلاة لا یکون منشأ لانتزاع الغصب، و ما هو منشأ لانتزاع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الکون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الصلاة، فلا یلزم وحدة المجمع رأسا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یکون المصلی و الغاصب واحدا، و لکن النهی لم یتعلق بکونه غاصبا بعنوانه الاشتقاقی، و لا الأمر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 باعثا إلی أن یکون مصلیا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لو کان کما حرّر، و لکن ما هو سبب اختلاف الاجتماعیّ و الامتناعیّ، هو امتناع التفکیک بین المأمور به و المنهیّ عنه خارجا؛ سواء کان لأجل اتحاد المجمع، أو کان لأجل التلازم الطبیعیّ بینهما، فإن تمام الکلام حول کیفیّة إمکان بقاء الإرادتین مع الملازمة الخارجیة بین المحرم و الواجب؛ سواء کان العنوانان منتزعین من الواحد باعتبارین مختلفین، أو کانا مختلفین حسب المقولة و فی الحیثیة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أجزاء الصلاة السجدة علی الأرض بالاتکاء و الاعتماد علیها، و هو مورد النهی، فیلزم وحدة المتعلق، و لا یقول الاجتماعیّ بالجواز فی مثله بالضرورة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الاتکاء علیها محل المناقشة جدا، و تفصیله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السجدة مورد الأمر، و لا أساس للأمر الضمنی </w:t>
      </w:r>
      <w:r>
        <w:rPr>
          <w:rStyle w:val="FootnoteAnchor"/>
          <w:rtl w:val="true"/>
        </w:rPr>
        <w:footnoteReference w:id="339"/>
      </w:r>
      <w:r>
        <w:rPr>
          <w:rFonts w:ascii="IRNazanin" w:hAnsi="IRNazanin" w:eastAsia="IRNazanin"/>
          <w:color w:val="111111"/>
          <w:sz w:val="28"/>
          <w:sz w:val="28"/>
          <w:szCs w:val="28"/>
          <w:rtl w:val="true"/>
          <w:lang w:bidi="fa-IR"/>
        </w:rPr>
        <w:t>، فما هو مورد الأمر هی الصلاة بعنوانها، و ما هو مورد النهی هو الغصب، و الحرکة الخارجیة تعتبر صلاة بجهة من الجهات، و تکون غصبا لجهة أخری من الجهات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یتوجه من حرمة الغصب نهی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 و الاتکاء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النهی متوجه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انحلال إلی النواهی حسبما عرفت منا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فرضنا انحلاله فهو ینحلّ إلی مصادیقه الذاتیّة؛ و هو الغصب الخارجیّ مثلا، و الفرد من الغصب بعنوانه، فلا وجه لدعوی أن الاجتماعیّ یقول بالامتناع هنا، کما لا یخفی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شرائط کون المجمع مورد الأمر و النهی اتحاد الکونین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 الصلاتیّ، و الکون الغصبیّ، و معنی ذلک هو أنّ المکلف لا یتمکّن من امتثال الأمر بدون العصیان، و هذا فی المثال المعروف ممنوع؛ ضرورة أن المکلف یتمکن من الصلاة من غیر لزوم التصرف فی ملک الغیر، ضرورة أن التصرفات الموجبة لتموج الهواء، لیست من التصرفات المحرمة شرعا، أو لا تعدّ من التصرف لغة، و القیام و الرکوع و السجود من مقولة الوضع، و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کالهویّ إلی الرکوع و السجود و إلی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المقدّمات غیر الداخلة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من التصرف المحرم لیس من الصلاة، و ما هو من الصلاة لیس من التصرف المحرم، فیتمکن المکلف من الصلاة من غیر التلوث بالمحرم، فلا یتم المثال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السجدة فهی تحصل بمجرد الوضع، و هو لیس من التصرف أو من التصرف المحرم، فلا یتحد الکونان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جعلت هذه الشبهة تتمّة للشبهة الأولی، فلا تندفع بما مرّ دفاعا عنها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جهات من الإشکال و إن کنّا فی سالف الزمان نتخیّل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قضیّة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مأخوذ بأشقّ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ممنوعیّته من هذه التصرّفات،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التصرّفات الأفعالیّة کالهویّ إلی الرکوع، و الهویّ إلی السجود، من المحقّقات لعنوانهما ظاهرا؛ لما أنّ الرکوع بمعناه الاسم المصدریّ و هکذا السجدة، منتزع من الأفعال الواجبة، و إلاّ لکفی لو أمکن أن یکون راکعا من غیر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اعتبار القیام المتصل بالرکوع، شاهد علی أنّ تلک الحرکة معتبرة فی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تکفی السجدة التی هی من مقولة الوضع، بل الهویّ إلیها بإیجاد مصداق مقولة الوضع الناقص، داخل فیما هو الواجب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الهویّ إلی القیام، بل مادة الرکوع و السجود و القیام مصادر تعلّق بها الأمر، و المعنی المصدریّ لیس فی مقولة الوضع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 هی الوضع علی الأرض، و هو من التصرف، فتأمّل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المحرّر کون المأمور به و المنهیّ عنه متّحد المجمع، و هذا یصحّ فیما إذا کان الصلاة بتمام هویّتها فی الدار المغصوبة؛ و من</w:t>
      </w:r>
    </w:p>
    <w:p>
      <w:pPr>
        <w:pStyle w:val="BookText"/>
        <w:rPr/>
      </w:pPr>
      <w:r>
        <w:rPr>
          <w:rFonts w:ascii="IRNazanin" w:hAnsi="IRNazanin" w:eastAsia="IRNazanin"/>
          <w:color w:val="111111"/>
          <w:sz w:val="28"/>
          <w:sz w:val="28"/>
          <w:szCs w:val="28"/>
          <w:rtl w:val="true"/>
          <w:lang w:bidi="fa-IR"/>
        </w:rPr>
        <w:t xml:space="preserve">التصرّف فی مال الغیر، و أمّا إذا کان بعض أجزائها الأقوالیّة أو الأفعالیّة تصرّفا، فلا یلزم اجتماع الأمر النفسیّ و النهی النفسیّ؛ ضرورة أنّ الصلاة لیست منشأ انتزاع الغصب و التصرّف فی مال الغیر، و ما هو منشأ انتزاع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أجزاء الصلاة، و هو لیس مورد الأمر النفسیّ، و لا الضمنیّ، و لا الغیریّ؛ حسبما تقرّر و تحرّر</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إمکان کونه مورد الأمر الغیریّ عندنا</w:t>
      </w:r>
      <w:r>
        <w:rPr>
          <w:rStyle w:val="FootnoteAnchor"/>
          <w:rtl w:val="true"/>
        </w:rPr>
        <w:footnoteReference w:id="343"/>
      </w:r>
      <w:r>
        <w:rPr>
          <w:rFonts w:ascii="IRNazanin" w:hAnsi="IRNazanin" w:eastAsia="IRNazanin"/>
          <w:color w:val="111111"/>
          <w:sz w:val="28"/>
          <w:sz w:val="28"/>
          <w:szCs w:val="28"/>
          <w:rtl w:val="true"/>
          <w:lang w:bidi="fa-IR"/>
        </w:rPr>
        <w:t>لا یکفی لاندراجه فی کبری هذه المسألة،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میزان اندراج کلّ موضوع فی مسألة الاجتماع و الامتناع؛ هو أن لا یتمکّن المکلّف من التفکیک بین الإطاعة و العصیان فی المجمع؛ سواء کان عنوان المأمور به منتزعا من المنهیّ عنه، أو بالعکس، أو کانا مختلفی المنشأ بحسب الانتزاع، فما هو أصل شبهة الامتناعیّ امتناع ترشّح الإرادتین أو بقائهما فی المجمع؛ لما لا یمکن التفکیک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 بین الصلاة؛ و إن لم یکن فی الصلاة مقولة ینتزع منها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کانت تلک المقولة ملازمة لمقولات الصلاة، فافهم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الشبهات و ما مرّ فی أثناء البحوث السابقة، لا ترجع إلی محصّل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الشبهة و الإشکال الّذی لا یمکن الذبّ عنه هو أنّ الغصب بما هو، معناه لا یتّحد مع الصلاة، و ما هو المتّحد معها هو التصرّف فی مال الغیر عدوانا؛ ضرورة أنّ الغصب هو التسلّط علی مال الغیر عدوانا، و لا یتوقّف ذلک علی التصرّف کلاّ، و من غصب مالا و تصرّف فیه ارتکب محرّمین؛ الغصب، و التصرّف فی مال الغیر بلا إذنه</w:t>
      </w:r>
      <w:r>
        <w:rPr>
          <w:rFonts w:eastAsia="IRNazanin" w:cs="IRNazanin"/>
          <w:color w:val="111111"/>
          <w:sz w:val="28"/>
          <w:szCs w:val="28"/>
          <w:rtl w:val="true"/>
          <w:lang w:bidi="fa-IR"/>
        </w:rPr>
        <w:t>.</w:t>
      </w:r>
      <w:bookmarkStart w:id="242" w:name="pg13163_143039"/>
    </w:p>
    <w:p>
      <w:pPr>
        <w:pStyle w:val="BookText"/>
        <w:rPr/>
      </w:pPr>
      <w:bookmarkEnd w:id="242"/>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فی مال الغیر غصب </w:t>
      </w:r>
      <w:r>
        <w:rPr>
          <w:rStyle w:val="FootnoteAnchor"/>
          <w:rtl w:val="true"/>
        </w:rPr>
        <w:footnoteReference w:id="344"/>
      </w:r>
      <w:r>
        <w:rPr>
          <w:rFonts w:ascii="IRNazanin" w:hAnsi="IRNazanin" w:eastAsia="IRNazanin"/>
          <w:color w:val="111111"/>
          <w:sz w:val="28"/>
          <w:sz w:val="28"/>
          <w:szCs w:val="28"/>
          <w:rtl w:val="true"/>
          <w:lang w:bidi="fa-IR"/>
        </w:rPr>
        <w:t>، باطل بالضرورة؛ فإنّ وضع الید علی عباء الغیر الّذی تحت یده من التصرّف، و لا یکون غصبا، فبین الغصب و التصرّف عموم و خصوص من وجه، علی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الدار المغصوبة مورد النهی فرضا؛ لأجل التصرّف فی مال الغیر، لا لأجل الغصب فافهم، و الأمر سهل جدّاً</w:t>
      </w:r>
      <w:r>
        <w:rPr>
          <w:rFonts w:eastAsia="IRNazanin" w:cs="IRNazanin"/>
          <w:color w:val="111111"/>
          <w:sz w:val="28"/>
          <w:szCs w:val="28"/>
          <w:rtl w:val="true"/>
          <w:lang w:bidi="fa-IR"/>
        </w:rPr>
        <w:t>.</w:t>
      </w:r>
    </w:p>
    <w:p>
      <w:pPr>
        <w:pStyle w:val="Heading5"/>
        <w:numPr>
          <w:ilvl w:val="4"/>
          <w:numId w:val="1"/>
        </w:numPr>
        <w:rPr/>
      </w:pPr>
      <w:bookmarkStart w:id="243" w:name="__RefHeading___Toc533747_3244359995"/>
      <w:bookmarkStart w:id="244" w:name="_Toc91"/>
      <w:bookmarkEnd w:id="243"/>
      <w:r>
        <w:rPr>
          <w:rtl w:val="true"/>
        </w:rPr>
        <w:t>المقدّمة الخامسة</w:t>
      </w:r>
      <w:r>
        <w:rPr>
          <w:rtl w:val="true"/>
        </w:rPr>
        <w:t xml:space="preserve">: </w:t>
      </w:r>
      <w:r>
        <w:rPr>
          <w:rtl w:val="true"/>
        </w:rPr>
        <w:t>حول توهّمات فی مبنی مسألة الاجتماع و الامتناع</w:t>
      </w:r>
      <w:bookmarkEnd w:id="244"/>
    </w:p>
    <w:p>
      <w:pPr>
        <w:pStyle w:val="Heading6"/>
        <w:numPr>
          <w:ilvl w:val="5"/>
          <w:numId w:val="1"/>
        </w:numPr>
        <w:rPr/>
      </w:pPr>
      <w:bookmarkStart w:id="245" w:name="__RefHeading___Toc533749_3244359995"/>
      <w:bookmarkStart w:id="246" w:name="_Toc92"/>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p>
    <w:p>
      <w:pPr>
        <w:pStyle w:val="Heading6"/>
        <w:numPr>
          <w:ilvl w:val="5"/>
          <w:numId w:val="1"/>
        </w:numPr>
        <w:rPr/>
      </w:pPr>
      <w:bookmarkStart w:id="247" w:name="__RefHeading___Toc533751_3244359995"/>
      <w:bookmarkStart w:id="248" w:name="_Toc93"/>
      <w:bookmarkEnd w:id="247"/>
      <w:r>
        <w:rPr>
          <w:rtl w:val="true"/>
        </w:rPr>
        <w:t>التوهّم الأوّل</w:t>
      </w:r>
      <w:r>
        <w:rPr>
          <w:rtl w:val="true"/>
        </w:rPr>
        <w:t>:</w:t>
      </w:r>
      <w:bookmarkEnd w:id="248"/>
    </w:p>
    <w:p>
      <w:pPr>
        <w:pStyle w:val="BookText"/>
        <w:rPr/>
      </w:pPr>
      <w:r>
        <w:rPr>
          <w:rFonts w:ascii="IRNazanin" w:hAnsi="IRNazanin" w:eastAsia="IRNazanin"/>
          <w:color w:val="111111"/>
          <w:sz w:val="28"/>
          <w:sz w:val="28"/>
          <w:szCs w:val="28"/>
          <w:rtl w:val="true"/>
          <w:lang w:bidi="fa-IR"/>
        </w:rPr>
        <w:t>قد یتوهّم أنّ النزاع موقوف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الأوامر و النواهی تعلّقت بالطبائع، و أمّا إذا کانت متعلّقة بالأفراد، فلا بدّ من الالتزام بالامتناع، و حیث إنّ التحقیق تعلّق النهی بالأفراد و إن کان الأمر متعلّقا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تقرر من أنّ النهی المتعلّق بالطبیعة، ینحلّ إلی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العقلاء بتعدّد الامتثال و العصیان، و هو لا یعقل مع وحدة النهی، و لا یعقل تعدّد النهی مع وحده المتعلّق، فلا بدّ و أن تنحلّ الطبیعة إلی الأفراد، و تکون مرآة لها، فیسقط نزاع الامتناع و الاجتماع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بتعلقهما بالطبائع، یمکن النزاع فی أن الطبائع المتحدة وجودا المختلفة وجوها، هل یعقل أن تکون مورد الأمر و النهی؛ لاختلاف الوجوه و العناوین،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الالتزام بتعلقهما بالأفراد، أو تعلق أحدهما بها کالنهی مثلا، لا معنی للنزاع؛ ضرورة أن معنی تعلّق الأمر بالأفراد، لیس هو أنّ متعلّق الأمر عنوان الفرد؛ لأنّه لأجل ما یری من أنّ الطبیعة لیست قابلة لتعلق شی‌ء بها؛ لعدم کونها مطلوبة و لا مبغوضة توهم تعلقهما بالأفراد، فلو کان مرامه تعلقه بعناوین الأفراد، فیلزم علیه ما کان یفر منه بوجه أسوأ،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أن الأوامر و النواهی تتعلّق بالخارج بالحمل الشائع،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ظرف السقوط، لا الثبوت و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القائل بتلک المقالة، یرید أنّ متعلّقهما الطبائع المقارنة مع المشخّصات و أمارات التشخّص، و ما به ظهور آثارها و خواصّها فانیة فی الخارج؛ بمعنی أنّها مرآة لما هو المطلوب بالذات و إن کان مورد الأمر مطلوبا بالعرض، و هکذا مورد النهی مبغوض بالعرض، و ما هو مبغوض بالذات هو شرب الخمر خارجا، فعند ذلک یلزم اتحاد المتعلق و وحدة مصب الأمر و النهی؛ و لو کان من ناحیة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جانب النهی لانحلاله، فضلا عما إذا کان من الطرفین، فإنه عندئذ یلزم وحدة المتعلقین من 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تقریب آخر لسقوط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قید المندوحة معتبر فی صحة النزاع، و علی القول بتعلقهما بالأفراد لا معنی لاعتبار المندوحة، فیسقط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قیدیة المندوحة محل المناقشة و المنع، کما سیمر علیک تفصیله إن شاء اللَّه تعالی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الأصحاب المتأخرون هنا بین طائفتین، فإن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عند ذلک یلزم الخروج عن محلّ النزاع؛ فإنّ ما هو محلّ النزاع هو ما إذا</w:t>
      </w:r>
    </w:p>
    <w:p>
      <w:pPr>
        <w:pStyle w:val="BookText"/>
        <w:rPr/>
      </w:pPr>
      <w:r>
        <w:rPr>
          <w:rFonts w:ascii="IRNazanin" w:hAnsi="IRNazanin" w:eastAsia="IRNazanin"/>
          <w:color w:val="111111"/>
          <w:sz w:val="28"/>
          <w:sz w:val="28"/>
          <w:szCs w:val="28"/>
          <w:rtl w:val="true"/>
          <w:lang w:bidi="fa-IR"/>
        </w:rPr>
        <w:t>کان متعلق الأمر و النهی کثیرا و متحدا مجمعا</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سائر المشایخ رحمهم اللَّه تعالی أفادوا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المبنی فاسد؛ ضرورة أنّ الأوامر و النواهی لا تتعلق إلا بالطبائع أو الأفراد الذاتیّة، دون الملازمات و اللوازم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إشکالا علیهم، فإنهم لأجل لزوم توحد المتعلق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المسألة مبنیة علی القول المزبور، فعدم تأتی النزاع علی مبناهم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تعلّقها بالأفراد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لعلة؛ و هی رجوع الأمر و النهی إلی الواحد فی مرکز الجعل و التقنین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 أیضا لیس إلا إنکار الکبری المحررة عندهم، فکأنهم قائلون بصحة مقالتهم علی مبناهم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طائفة أخری مثل العلامة الخراسانیّ </w:t>
      </w:r>
      <w:r>
        <w:rPr>
          <w:rStyle w:val="FootnoteAnchor"/>
          <w:rtl w:val="true"/>
        </w:rPr>
        <w:footnoteReference w:id="347"/>
      </w:r>
      <w:r>
        <w:rPr>
          <w:rFonts w:ascii="IRNazanin" w:hAnsi="IRNazanin" w:eastAsia="IRNazanin"/>
          <w:color w:val="111111"/>
          <w:sz w:val="28"/>
          <w:sz w:val="28"/>
          <w:szCs w:val="28"/>
          <w:rtl w:val="true"/>
          <w:lang w:bidi="fa-IR"/>
        </w:rPr>
        <w:t>و بعض آخر</w:t>
      </w:r>
      <w:r>
        <w:rPr>
          <w:rStyle w:val="FootnoteAnchor"/>
          <w:rtl w:val="true"/>
        </w:rPr>
        <w:footnoteReference w:id="348"/>
      </w:r>
      <w:r>
        <w:rPr>
          <w:rFonts w:ascii="IRNazanin" w:hAnsi="IRNazanin" w:eastAsia="IRNazanin"/>
          <w:color w:val="111111"/>
          <w:sz w:val="28"/>
          <w:sz w:val="28"/>
          <w:szCs w:val="28"/>
          <w:rtl w:val="true"/>
          <w:lang w:bidi="fa-IR"/>
        </w:rPr>
        <w:t>، لم یقفوا علی مبنی تعلق الأمر و النهی بالأفراد، و لو کانوا واقفین علی مرامهم لما قالوا بکفایة تعدّد الوجه؛ ضرورة أنّ أرباب تلک المقالة اختاروا أنّ جمیع وجوه الشی‌ء تندرج فی مصبّ الأمر و النهی، فلا ینفع تعدّد الوجه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الأمر و النهی بالأفراد ذو وجوه و احتمالات؛ و منها کون الطبیعة بما لها من الملازمات و اللوازم فی وجودها الخارجی، مورد الأمر أو النهی، فیکون المأمور به و المنهیّ عنه الکلّی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معنی لتعلّق الأمر و النهی بالأفراد الذاتیّة؛ لأنّ الفرد لا یکون فردا إلاّ لأجل الضمائم المقولیّة، و جعل إحدی الحیثیّات مورد الأمر أو النهی، معناه کون الطبیعة موردهما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 الأمر بإکرام زید العالم لا معنی</w:t>
      </w:r>
    </w:p>
    <w:p>
      <w:pPr>
        <w:pStyle w:val="BookText"/>
        <w:rPr/>
      </w:pPr>
      <w:r>
        <w:rPr>
          <w:rFonts w:ascii="IRNazanin" w:hAnsi="IRNazanin" w:eastAsia="IRNazanin"/>
          <w:color w:val="111111"/>
          <w:sz w:val="28"/>
          <w:sz w:val="28"/>
          <w:szCs w:val="28"/>
          <w:rtl w:val="true"/>
          <w:lang w:bidi="fa-IR"/>
        </w:rPr>
        <w:t>له؛ لأن مع تعلقه بزید یکون جمیع الضمائم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من المشخصات، أو أمارات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الأمر، و لا یکون العلم حینئذ إلا حیثیة 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حیثیة تقیدیة معناه إنکار کون زید متعلق الأمر رأسا، و یرجع حینئذ إلی أن یکون الموضوع هو العالم مأخوذا فیه الذات المبهمة؛ بناء علی أخذ الذات فی المشتق، و إلا فلا تعلق له بذات لا مبهمة، و لا 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کون الأفراد متعلقهما لا یرجع إلا إلی ما ذکرناه؛ حتّی لا یلزم المفاسد الواضحة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القول بتعلقهما بالطبائع، هو الاجتماع من غیر وجه للخلاف؛ ضرورة أن کل واحد من المأمور به و المنهی عنه، غیر معانق فی إحدی المراحل؛ لا فی مراحل التصور و التصدیق، و لا فی مراحل البعث و الزجر و التقنین، و لا فی مراحل الامتثال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لترکیبهما الاتحادی؛ لأجنبیة هذه المسألة عن الترکیب الاتحادی و الانضمامی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لسرایة أحدهما إلی الآخر؛ بعد اختلافهما و عدم تعانقهما فی مرحلة من المراحل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القول بتعلّقهما بالأفراد هو النزاع فی الاجتماع و الامتناع؛ فإنّ من الممکن أن یدّعی أنّ معنی تعلّقهما بالأفراد، لیس إلاّ تعلّق الأمر و النهی بحصّة من الکلّی؛ من غیر کون ما به الحصص داخلا فی المتعلّق، فتکون هذه الحصّة ذات وجوه و عناوین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باق علی حاله و إن قلنا بتعلقهما بالطبائع؛ لما عرفت أن أساس البحث فی مسألة الاجتماع و الامتناع، حول أن التحفظ علی</w:t>
      </w:r>
    </w:p>
    <w:p>
      <w:pPr>
        <w:pStyle w:val="BookText"/>
        <w:rPr/>
      </w:pPr>
      <w:r>
        <w:rPr>
          <w:rFonts w:ascii="IRNazanin" w:hAnsi="IRNazanin" w:eastAsia="IRNazanin"/>
          <w:color w:val="111111"/>
          <w:sz w:val="28"/>
          <w:sz w:val="28"/>
          <w:szCs w:val="28"/>
          <w:rtl w:val="true"/>
          <w:lang w:bidi="fa-IR"/>
        </w:rPr>
        <w:t>الإرادتین فی المجمع مع کون المتعلقین متلازمین فی الخارج من باب الاتفاق، ممکن أم لا</w:t>
      </w:r>
      <w:r>
        <w:rPr>
          <w:rStyle w:val="FootnoteAnchor"/>
          <w:rtl w:val="true"/>
        </w:rPr>
        <w:footnoteReference w:id="350"/>
      </w:r>
      <w:r>
        <w:rPr>
          <w:rFonts w:ascii="IRNazanin" w:hAnsi="IRNazanin" w:eastAsia="IRNazanin"/>
          <w:color w:val="111111"/>
          <w:sz w:val="28"/>
          <w:sz w:val="28"/>
          <w:szCs w:val="28"/>
          <w:rtl w:val="true"/>
          <w:lang w:bidi="fa-IR"/>
        </w:rPr>
        <w:t>، فلا تخلط، و 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تعلق الأمر و النهی بالأفراد و إن کان تعلّقهما بالملازمات و اللوازم المقارنة مع الکلّی و الطبیعة، و لکن لیس یرجع ذلک إلی تعلّقهما بعناوین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یرجع إلی تعلّقهما بمعنونات هذه العناوین التی تنتزع من تلک الطبائع بعد وجودها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المولی بالصلاة فلا یکون أمر الصلاة مراعی بحال المصلی؛ فإن صلی فی الغصب تکون الصلاة الغصبیّة مورد الأمر، و إن صلی فی المباح تکون الصلاة المباحة مورد الأمر، بل الصلاة مورد الأمر بملازماتها الخارجیة الاتفاقیة، و لکن لا بعناوینها الخاصة، بل بالمعنی الجامع، مثل عنوان الأین، و المتی، و الوضع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الالتزام بتعلّقهما بتلک العناوین الخاصّة فی جانب الأمر، غیر ممکن؛ لأنّه یلزم وجوب استیعاب جمیع الأفراد، و تکون الصلاة الغصبیّة و المباحة واجبة، مع أنّ الواجبة واحدة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تعلّقهما بالأفراد یلازم العموم البدلیّ فی جانب الأمر، و یکون التخییر شرعیا، و العموم الاستیعابی فی جانب النهی، فلا مانع من تعلقهما بتلک العناوین بعنوانها، فیلزم وحدة المتعلق أیضا، فیسقط النزاع فتأمل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تعلق الأمر و النهی بالأفراد، کون الواجب هی الصلاة المتقیدة بالعناوین الملازمة، و منها الغصب، و کون المحرم هو الغصب الکذائی المتقید بالعناوین الملازم معها، و منها عنوان الصلاة، فیکون الواجب الصلاة الغصبیة، و المحرم الغصب الصلاتی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یلازم ذلک وحدة المتعلق؛ لأن الأمر المتعلق بالصلاة المتقیدة یکون قیدها مورد الأمر الضمنی أو الغیری، و کلاهما بلا أساس </w:t>
      </w:r>
      <w:r>
        <w:rPr>
          <w:rStyle w:val="FootnoteAnchor"/>
          <w:rtl w:val="true"/>
        </w:rPr>
        <w:footnoteReference w:id="351"/>
      </w:r>
      <w:r>
        <w:rPr>
          <w:rFonts w:ascii="IRNazanin" w:hAnsi="IRNazanin" w:eastAsia="IRNazanin"/>
          <w:color w:val="111111"/>
          <w:sz w:val="28"/>
          <w:sz w:val="28"/>
          <w:szCs w:val="28"/>
          <w:rtl w:val="true"/>
          <w:lang w:bidi="fa-IR"/>
        </w:rPr>
        <w:t>، و النهی المتعلق بالغصب الصلاتی یکون القید مورد النهی الضمنی أو الغیری، فلا یلزم وحدة المتعلق، و لا الاندراج فی کبری باب التعارض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فرغنا فیما سلف من أن وحدة المتعلق بما هی وحدة متعلق الأمر و النهی، لا تکون محالا، بل بالذات المحالیة ناشئة من الجهة الأخری؛ و هی امتناع ترشح الإرادتین الآمرة و الزاجرة مع وحدته، و إذا کانت النسبة بین المتعلقین التلازم و لو لأجل جزء المتعلق، فلا یمکن ترشحها کما هو الواضح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یدعی القائل بتعلقهما بالطبائع؛ أن الأوامر و النواهی فی مرحلة الجعل و التقنین متعلقات بالطبائع، و فی مرحلة الامتثال تسری إلی الملازمات، و تصیر النتیجة سقوط النزاع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وجوب إتمام الحج بعد الشروع فیه، مع أنه مستحب، و حرمة إبطال الصلاة، فإنه لو لا تعین الزمان و المکان بالأمر المتعلق بالطبیعة، لما کان وجه لحرمة الإبطال و لإیجاب الإتمام علی خلاف التخییر العقلی و الشرعی الثابت بأصل الشرع فی الحج،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مما قدمناه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فیما فرضناه من تعلق الأمر و النهی بالأفراد من الأول أو فی ظرف الامتثال، لا یلزم وحدة المتعلق مع لزوم سقوط النزاع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بتعلقهما بالأفراد لا یقول بما سلمناه؛ للزوم کون التخییر شرعیا، مع سائر الدعاوی الباطلة المخالفة للوجدان، و لا یلتزم</w:t>
      </w:r>
      <w:bookmarkStart w:id="249" w:name="pg13163_143045"/>
    </w:p>
    <w:p>
      <w:pPr>
        <w:pStyle w:val="BookText"/>
        <w:rPr/>
      </w:pPr>
      <w:bookmarkEnd w:id="249"/>
      <w:r>
        <w:rPr>
          <w:rFonts w:ascii="IRNazanin" w:hAnsi="IRNazanin" w:eastAsia="IRNazanin"/>
          <w:color w:val="111111"/>
          <w:sz w:val="28"/>
          <w:sz w:val="28"/>
          <w:szCs w:val="28"/>
          <w:rtl w:val="true"/>
          <w:lang w:bidi="fa-IR"/>
        </w:rPr>
        <w:t>بالتفکیک بین متعلق الأمر و النهی فی هذه الجهة؛ و هی سرایة النهی إلی الملازمات دون الأمر، فتدبر</w:t>
      </w:r>
      <w:r>
        <w:rPr>
          <w:rFonts w:eastAsia="IRNazanin" w:cs="IRNazanin"/>
          <w:color w:val="111111"/>
          <w:sz w:val="28"/>
          <w:szCs w:val="28"/>
          <w:rtl w:val="true"/>
          <w:lang w:bidi="fa-IR"/>
        </w:rPr>
        <w:t>.</w:t>
      </w:r>
    </w:p>
    <w:p>
      <w:pPr>
        <w:pStyle w:val="Heading6"/>
        <w:numPr>
          <w:ilvl w:val="5"/>
          <w:numId w:val="1"/>
        </w:numPr>
        <w:rPr/>
      </w:pPr>
      <w:bookmarkStart w:id="250" w:name="__RefHeading___Toc533753_3244359995"/>
      <w:bookmarkStart w:id="251" w:name="_Toc94"/>
      <w:bookmarkEnd w:id="250"/>
      <w:r>
        <w:rPr>
          <w:rtl w:val="true"/>
        </w:rPr>
        <w:t>التوهم الثانی</w:t>
      </w:r>
      <w:r>
        <w:rPr>
          <w:rtl w:val="true"/>
        </w:rPr>
        <w:t>:</w:t>
      </w:r>
      <w:bookmarkEnd w:id="251"/>
    </w:p>
    <w:p>
      <w:pPr>
        <w:pStyle w:val="BookText"/>
        <w:rPr/>
      </w:pPr>
      <w:r>
        <w:rPr>
          <w:rFonts w:ascii="IRNazanin" w:hAnsi="IRNazanin" w:eastAsia="IRNazanin"/>
          <w:color w:val="111111"/>
          <w:sz w:val="28"/>
          <w:sz w:val="28"/>
          <w:szCs w:val="28"/>
          <w:rtl w:val="true"/>
          <w:lang w:bidi="fa-IR"/>
        </w:rPr>
        <w:t>قد یتوهم أن القول بالاجتماع، منوط بالقول بأن الأوامر و النواهی متعلقة بالطبائع، و القول بالامتناع منوط بتعلقهما بالأفراد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قد أحطت خبرا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مع تعلقهما بالطبائع، و عدم تداخلهما فی جمیع الأوعیة، یمکن القول بالامتناع؛ لما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الملازمة الاتفاقیة، تمنع عن بقاء الإرادتین علی قوّتهما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ملاک النزاع و مناط الخلاف هی السرایة و اللاسرایة، أو هو الترکیب الاتحادی و الانضمامی، فلقائل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القول بتعلقهما بالطبائع معناه عدم السرایة فی جمیع الأوعیة، و مع السرایة فی وعاء من الأوعیة یکون المتعلق هو الفرد، و یکون الترکیب اتحادیا، و یتعین الامتناع، فالاجتماع منوط علی الأول، و الامتناع علی الثانی، و حیث إن المعروف بین أبناء الأصول ذلک، فلا بدّ من تصحیح الدعوی المزبورة،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إلی الامتناع إلا من سلک سبیل الترکیب الاتحادی و السرایة، و لا معنی لذلک إلا برجوع الأمر بالطبیعة إلی الأفراد فی الخارج الّذی هو ظرف السقوط لا الثبوت، فانظر ما ذا تری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العجب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التوهم المزبور بلا وجه رأسا؛ لأن الفرق بین کون المتعلق نفس المقولة أو فردا منها، لا یورث إشکالا فی مسألة الاجتماع</w:t>
      </w:r>
      <w:bookmarkStart w:id="252" w:name="pg13163_143046"/>
    </w:p>
    <w:p>
      <w:pPr>
        <w:pStyle w:val="BookText"/>
        <w:rPr/>
      </w:pPr>
      <w:bookmarkEnd w:id="252"/>
      <w:r>
        <w:rPr>
          <w:rFonts w:ascii="IRNazanin" w:hAnsi="IRNazanin" w:eastAsia="IRNazanin"/>
          <w:color w:val="111111"/>
          <w:sz w:val="28"/>
          <w:sz w:val="28"/>
          <w:szCs w:val="28"/>
          <w:rtl w:val="true"/>
          <w:lang w:bidi="fa-IR"/>
        </w:rPr>
        <w:t>و الامتناع</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 أنت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بالفرد لا یرید الأفراد الذاتیّة و الحصص الممتازة</w:t>
      </w:r>
      <w:r>
        <w:rPr>
          <w:rStyle w:val="FootnoteAnchor"/>
          <w:rtl w:val="true"/>
        </w:rPr>
        <w:footnoteReference w:id="355"/>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Heading6"/>
        <w:numPr>
          <w:ilvl w:val="5"/>
          <w:numId w:val="1"/>
        </w:numPr>
        <w:rPr/>
      </w:pPr>
      <w:bookmarkStart w:id="253" w:name="__RefHeading___Toc533755_3244359995"/>
      <w:bookmarkStart w:id="254" w:name="_Toc95"/>
      <w:bookmarkEnd w:id="253"/>
      <w:r>
        <w:rPr>
          <w:rtl w:val="true"/>
        </w:rPr>
        <w:t>التوهم الثالث</w:t>
      </w:r>
      <w:r>
        <w:rPr>
          <w:rtl w:val="true"/>
        </w:rPr>
        <w:t>:</w:t>
      </w:r>
      <w:bookmarkEnd w:id="254"/>
    </w:p>
    <w:p>
      <w:pPr>
        <w:pStyle w:val="BookText"/>
        <w:rPr/>
      </w:pPr>
      <w:r>
        <w:rPr>
          <w:rFonts w:ascii="IRNazanin" w:hAnsi="IRNazanin" w:eastAsia="IRNazanin"/>
          <w:color w:val="111111"/>
          <w:sz w:val="28"/>
          <w:sz w:val="28"/>
          <w:szCs w:val="28"/>
          <w:rtl w:val="true"/>
          <w:lang w:bidi="fa-IR"/>
        </w:rPr>
        <w:t>ما مرّ فی ذیل البحث الأول من توهم تعین القول بالاجتماع، و سقوط النزاع علی القول بتعلق الأوامر و النواهی بالطبائع، و أما النزاع الصحیح فهو مبنی علی القول بتعلقهما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أحطت خبرا بفساد هذا التوهم أیضا؛ لإمکان جریان النزاع علی الأول أیضا، کما أمکن توهم سقوط النزاع و تعین الامتناع و إن قلنا بتعلقهما بالطبائع؛ لأن من الممکن توهم التفصیل بین مرحلة الجعل و التقنین، و مرحلة الامتثال و الخارج من غیر لزوم إشکال عقلی؛ و هو أن الخارج ظرف السقوط، فکیف یعقل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کیفیة تصویره فی المأمور به الّذی یکون تدریجی الوجود، کالصلاة و الحج</w:t>
      </w:r>
      <w:r>
        <w:rPr>
          <w:rFonts w:eastAsia="IRNazanin" w:cs="IRNazanin"/>
          <w:color w:val="111111"/>
          <w:sz w:val="28"/>
          <w:szCs w:val="28"/>
          <w:rtl w:val="true"/>
          <w:lang w:bidi="fa-IR"/>
        </w:rPr>
        <w:t>.</w:t>
      </w:r>
    </w:p>
    <w:p>
      <w:pPr>
        <w:pStyle w:val="Heading6"/>
        <w:numPr>
          <w:ilvl w:val="5"/>
          <w:numId w:val="1"/>
        </w:numPr>
        <w:rPr/>
      </w:pPr>
      <w:bookmarkStart w:id="255" w:name="__RefHeading___Toc533757_3244359995"/>
      <w:bookmarkStart w:id="256" w:name="_Toc96"/>
      <w:bookmarkEnd w:id="255"/>
      <w:r>
        <w:rPr>
          <w:rtl w:val="true"/>
        </w:rPr>
        <w:t>التوهم الرابع</w:t>
      </w:r>
      <w:r>
        <w:rPr>
          <w:rtl w:val="true"/>
        </w:rPr>
        <w:t>:</w:t>
      </w:r>
      <w:bookmarkEnd w:id="25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یتراءی أن قضیة القول بأصالة الوجود جعلا صحة النزاع؛ لإمکان الوجوه المتعددة و العناوین الکثیرة مع وحدة المعنون خارجا المتعدد حیثیة، و مقتضی القول بأصالة الماهیة جعلا سقوط النزاع، و تعین القول بالاجتماع؛ لأجنبیة الماهیات بعضها عن بعض و تباینها فی الخارج، فإن جامع الماهیات و المقولات المتعددة هو الوجود، و إلا فهی بأنفسها متباینات ذهنا و خارجا، و یتوهم</w:t>
      </w:r>
      <w:bookmarkStart w:id="257" w:name="pg13163_143047"/>
    </w:p>
    <w:p>
      <w:pPr>
        <w:pStyle w:val="BookText"/>
        <w:rPr/>
      </w:pPr>
      <w:bookmarkEnd w:id="257"/>
      <w:r>
        <w:rPr>
          <w:rFonts w:ascii="IRNazanin" w:hAnsi="IRNazanin" w:eastAsia="IRNazanin"/>
          <w:color w:val="111111"/>
          <w:sz w:val="28"/>
          <w:sz w:val="28"/>
          <w:szCs w:val="28"/>
          <w:rtl w:val="true"/>
          <w:lang w:bidi="fa-IR"/>
        </w:rPr>
        <w:t>اتحادها عرفا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إلا أن ذلک فی مثل ما إذا کان متعلق الأمر و النهی المقولات الحقیقیة لا الاعتباریة المجازیة، کالصلاة، و التصرف فی مال الغیر، فإن إمکان انتزاع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المقولة المتعلقة للأمر، یصحح النزاع، فضلا عما إذا کان منشأ انتزاع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یندرج تحت المقولة، کما نحن فیه، فما یظهر من بعض فی المقام </w:t>
      </w:r>
      <w:r>
        <w:rPr>
          <w:rStyle w:val="FootnoteAnchor"/>
          <w:rtl w:val="true"/>
        </w:rPr>
        <w:footnoteReference w:id="357"/>
      </w:r>
      <w:r>
        <w:rPr>
          <w:rFonts w:ascii="IRNazanin" w:hAnsi="IRNazanin" w:eastAsia="IRNazanin"/>
          <w:color w:val="111111"/>
          <w:sz w:val="28"/>
          <w:sz w:val="28"/>
          <w:szCs w:val="28"/>
          <w:rtl w:val="true"/>
          <w:lang w:bidi="fa-IR"/>
        </w:rPr>
        <w:t>لا یخلو من تأسف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بإیجاد واحد و جعل فارد یصیر خارجیا، و لو کان متعلق الأمر و النهی من المقولتین، فلا بدّ من اختصاص کل بجعل علی حدة، و إذن یخرج من محل النزاع، کما هو الواضح</w:t>
      </w:r>
      <w:r>
        <w:rPr>
          <w:rFonts w:eastAsia="IRNazanin" w:cs="IRNazanin"/>
          <w:color w:val="111111"/>
          <w:sz w:val="28"/>
          <w:szCs w:val="28"/>
          <w:rtl w:val="true"/>
          <w:lang w:bidi="fa-IR"/>
        </w:rPr>
        <w:t>.</w:t>
      </w:r>
    </w:p>
    <w:p>
      <w:pPr>
        <w:pStyle w:val="Heading6"/>
        <w:numPr>
          <w:ilvl w:val="5"/>
          <w:numId w:val="1"/>
        </w:numPr>
        <w:rPr/>
      </w:pPr>
      <w:bookmarkStart w:id="258" w:name="__RefHeading___Toc533759_3244359995"/>
      <w:bookmarkStart w:id="259" w:name="_Toc97"/>
      <w:bookmarkEnd w:id="258"/>
      <w:r>
        <w:rPr>
          <w:rtl w:val="true"/>
        </w:rPr>
        <w:t>التوهم الخامس</w:t>
      </w:r>
      <w:r>
        <w:rPr>
          <w:rtl w:val="true"/>
        </w:rPr>
        <w:t>:</w:t>
      </w:r>
      <w:bookmarkEnd w:id="259"/>
    </w:p>
    <w:p>
      <w:pPr>
        <w:pStyle w:val="Heading6"/>
        <w:numPr>
          <w:ilvl w:val="5"/>
          <w:numId w:val="1"/>
        </w:numPr>
        <w:rPr/>
      </w:pPr>
      <w:bookmarkStart w:id="260" w:name="__RefHeading___Toc533761_3244359995"/>
      <w:bookmarkStart w:id="261" w:name="_Toc98"/>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 xml:space="preserve">لا شبهة فی أن من شرائط النزاع فی هذه المسألة، فرض ثبوت الإطلاق لکل واحد من الدلیلین، کما یأتی تفصیله فی المقدمة المتکفلة لشرائط النزاع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إنکار الإطلاق لا یبقی محل للبحث حول إمکان التحفظ علی الإرادتین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الآمرة و الزاجرة فی المجمع، و عدم إمکانه؛ فإن مبنی ذلک هو اقتضاء کل من الأمر و النهی مع قطع النّظر عن الآخر فی مورد الاجتماع للمأمور به و المنهی عنه، و للباعثیة و الزاجریة بالنسبة إلی متعلقاتهما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إحراز المحبوبیة و المبغوضیة بالنسبة إلی خصوص المجمع إحرازا عاما أو خاصا، فهو غیر لازم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قضیة الإطلاقین علی تقدیر الاجتماع، إحراز المحبوبیة و المبغوضیة فی</w:t>
      </w:r>
    </w:p>
    <w:p>
      <w:pPr>
        <w:pStyle w:val="BookText"/>
        <w:rPr/>
      </w:pPr>
      <w:r>
        <w:rPr>
          <w:rFonts w:ascii="IRNazanin" w:hAnsi="IRNazanin" w:eastAsia="IRNazanin"/>
          <w:color w:val="111111"/>
          <w:sz w:val="28"/>
          <w:sz w:val="28"/>
          <w:szCs w:val="28"/>
          <w:rtl w:val="true"/>
          <w:lang w:bidi="fa-IR"/>
        </w:rPr>
        <w:t>المجمع إحرازا ظنیا؛ قضاء لحق شمول الدلیل الملازم لوصف المحبوبیة و المبغوضیة بناء علی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فاعتبار إحرازهما مع قطع النّظر عن الأمر و النهی و إطلاقهما، غیر صحیح، و لا معنی محصل له، و هکذا إحراز الملاک و المصلحة و المفسدة، فما نسب إلی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و تبعه الآخرون </w:t>
      </w:r>
      <w:r>
        <w:rPr>
          <w:rStyle w:val="FootnoteAnchor"/>
          <w:rtl w:val="true"/>
        </w:rPr>
        <w:footnoteReference w:id="360"/>
      </w:r>
      <w:r>
        <w:rPr>
          <w:rFonts w:ascii="IRNazanin" w:hAnsi="IRNazanin" w:eastAsia="IRNazanin"/>
          <w:color w:val="111111"/>
          <w:sz w:val="28"/>
          <w:sz w:val="28"/>
          <w:szCs w:val="28"/>
          <w:rtl w:val="true"/>
          <w:lang w:bidi="fa-IR"/>
        </w:rPr>
        <w:t>، غیر ملائم لأفق التحقیق، و غیر مناسب لشأن الباحث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یترتب علی ثبوت الإطلاقین علی القول بالاجتماع، إحراز الملاک و المصالح و المفاسد فی المجمع، و لذلک عد ذلک من إشکالات القول بالاجتماع؛ و أن الشی‌ء الواحد یلزم أن یکون محبوبا و مبغوضا، و مورد المصلحة و المفسدة، فجمیع ما أفاده العلامة الخراسانیّ رحمه اللَّه فی المقدمة الثامنة و التاسعة</w:t>
      </w:r>
      <w:r>
        <w:rPr>
          <w:rStyle w:val="FootnoteAnchor"/>
          <w:rtl w:val="true"/>
        </w:rPr>
        <w:footnoteReference w:id="361"/>
      </w:r>
      <w:r>
        <w:rPr>
          <w:rFonts w:ascii="IRNazanin" w:hAnsi="IRNazanin" w:eastAsia="IRNazanin"/>
          <w:color w:val="111111"/>
          <w:sz w:val="28"/>
          <w:sz w:val="28"/>
          <w:szCs w:val="28"/>
          <w:rtl w:val="true"/>
          <w:lang w:bidi="fa-IR"/>
        </w:rPr>
        <w:t>، خال من التحصیل، و لا ینبغی الغور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النزاع حسب المعروف صغرویا، فهذه المسألة متکفلة لإحراز صغری باب التعارض و التزاحم، فإنه علی الامتناع یلزم العلم بکذب أحدهما، و یقع التعارض بالعرض بین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الاجتماع، فمع إمکان الجمع فلا یکون من باب التزاحم حسب المعروف </w:t>
      </w:r>
      <w:r>
        <w:rPr>
          <w:rStyle w:val="FootnoteAnchor"/>
          <w:rtl w:val="true"/>
        </w:rPr>
        <w:footnoteReference w:id="362"/>
      </w:r>
      <w:r>
        <w:rPr>
          <w:rFonts w:ascii="IRNazanin" w:hAnsi="IRNazanin" w:eastAsia="IRNazanin"/>
          <w:color w:val="111111"/>
          <w:sz w:val="28"/>
          <w:sz w:val="28"/>
          <w:szCs w:val="28"/>
          <w:rtl w:val="true"/>
          <w:lang w:bidi="fa-IR"/>
        </w:rPr>
        <w:t>، خلافا للتحقیق الّذی مضی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التزاحم لا یتوقف علی عدم إمکان الجمع فی مقام الامتثال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عدم إمکان الجمع فهو من التزاحم، و لیس من هذه المسألة إلا علی</w:t>
      </w:r>
      <w:bookmarkStart w:id="262" w:name="pg13163_143049"/>
    </w:p>
    <w:p>
      <w:pPr>
        <w:pStyle w:val="BookText"/>
        <w:rPr/>
      </w:pPr>
      <w:bookmarkEnd w:id="262"/>
      <w:r>
        <w:rPr>
          <w:rFonts w:ascii="IRNazanin" w:hAnsi="IRNazanin" w:eastAsia="IRNazanin"/>
          <w:color w:val="111111"/>
          <w:sz w:val="28"/>
          <w:sz w:val="28"/>
          <w:szCs w:val="28"/>
          <w:rtl w:val="true"/>
          <w:lang w:bidi="fa-IR"/>
        </w:rPr>
        <w:t xml:space="preserve">القول بعدم اعتبار المندوحة فی مسألة الاجتماع و الامتناع، و سیأتی زیادة توضیح حول هذه الجهة فی بعض البحوث الآتیة إن شاء اللَّه تعالی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صغرویة النزاع، لا معنی لاعتبار إحراز المصالح و المفاسد فی الجانبین؛ ضرورة أن النزاع متکفل لتعیین الصغری من البابین، علی إشکال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النزاع کبرویا فالأمر أیضا کذلک، و لعل العلامة الخراسانیّ رحمه اللَّه أراد هنا ما أسمعناک،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لا یلزم أن یکون صحیحا علی جمیع المذاهب، فإن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قوله بصحة الجزاف فی الأمر و النهی الإلهیّین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یفرّ من القول بالامتناع مطلقا، کما مرّ تفصیله فیما سبق </w:t>
      </w:r>
      <w:r>
        <w:rPr>
          <w:rStyle w:val="FootnoteAnchor"/>
          <w:rtl w:val="true"/>
        </w:rPr>
        <w:footnoteReference w:id="365"/>
      </w:r>
      <w:r>
        <w:rPr>
          <w:rFonts w:ascii="IRNazanin" w:hAnsi="IRNazanin" w:eastAsia="IRNazanin"/>
          <w:color w:val="111111"/>
          <w:sz w:val="28"/>
          <w:sz w:val="28"/>
          <w:szCs w:val="28"/>
          <w:rtl w:val="true"/>
          <w:lang w:bidi="fa-IR"/>
        </w:rPr>
        <w:t>، فلا تکن من الجاهلین</w:t>
      </w:r>
      <w:r>
        <w:rPr>
          <w:rFonts w:eastAsia="IRNazanin" w:cs="IRNazanin"/>
          <w:color w:val="111111"/>
          <w:sz w:val="28"/>
          <w:szCs w:val="28"/>
          <w:rtl w:val="true"/>
          <w:lang w:bidi="fa-IR"/>
        </w:rPr>
        <w:t>.</w:t>
      </w:r>
    </w:p>
    <w:p>
      <w:pPr>
        <w:pStyle w:val="Heading6"/>
        <w:numPr>
          <w:ilvl w:val="5"/>
          <w:numId w:val="1"/>
        </w:numPr>
        <w:rPr/>
      </w:pPr>
      <w:bookmarkStart w:id="263" w:name="__RefHeading___Toc533763_3244359995"/>
      <w:bookmarkStart w:id="264" w:name="_Toc99"/>
      <w:bookmarkEnd w:id="263"/>
      <w:r>
        <w:rPr>
          <w:rtl w:val="true"/>
        </w:rPr>
        <w:t>إیقاظ و إفادة</w:t>
      </w:r>
      <w:r>
        <w:rPr>
          <w:rtl w:val="true"/>
        </w:rPr>
        <w:t xml:space="preserve">: </w:t>
      </w:r>
      <w:r>
        <w:rPr>
          <w:rtl w:val="true"/>
        </w:rPr>
        <w:t xml:space="preserve">حول توجیه الوالد المحقّق لما فی </w:t>
      </w:r>
      <w:r>
        <w:rPr>
          <w:rtl w:val="true"/>
        </w:rPr>
        <w:t>«</w:t>
      </w:r>
      <w:r>
        <w:rPr>
          <w:rtl w:val="true"/>
        </w:rPr>
        <w:t>الکفایة</w:t>
      </w:r>
      <w:r>
        <w:rPr>
          <w:rtl w:val="true"/>
        </w:rPr>
        <w:t>»</w:t>
      </w:r>
      <w:bookmarkEnd w:id="26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یستظهر من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ربما کان فی مقام إبداء الفرق بین هذا المقام و مقام التعارض، دفعا عما یمکن أن یرد علی ظاهر القوم من بنائهم علی إدراج العامین من وجه فی باب التعارض، فإنه عند ذلک کیف یمکن إدراجه فی هذه المسألة</w:t>
      </w:r>
      <w:r>
        <w:rPr>
          <w:rStyle w:val="FootnoteAnchor"/>
          <w:rtl w:val="true"/>
        </w:rPr>
        <w:footnoteReference w:id="3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أدرجوه فی باب التعارض، هو ما إذا کانت النسبة عموما من وجه بین متعلق المتعلقین؛ و هو العلماء، و الفساق، لا فی نفس المتعلق کما مضی</w:t>
      </w:r>
    </w:p>
    <w:p>
      <w:pPr>
        <w:pStyle w:val="BookText"/>
        <w:rPr/>
      </w:pPr>
      <w:r>
        <w:rPr>
          <w:rFonts w:ascii="IRNazanin" w:hAnsi="IRNazanin" w:eastAsia="IRNazanin"/>
          <w:color w:val="111111"/>
          <w:sz w:val="28"/>
          <w:sz w:val="28"/>
          <w:szCs w:val="28"/>
          <w:rtl w:val="true"/>
          <w:lang w:bidi="fa-IR"/>
        </w:rPr>
        <w:t xml:space="preserve">بعض الکلام فیه </w:t>
      </w:r>
      <w:r>
        <w:rPr>
          <w:rStyle w:val="FootnoteAnchor"/>
          <w:rtl w:val="true"/>
        </w:rPr>
        <w:footnoteReference w:id="367"/>
      </w:r>
      <w:r>
        <w:rPr>
          <w:rFonts w:ascii="IRNazanin" w:hAnsi="IRNazanin" w:eastAsia="IRNazanin"/>
          <w:color w:val="111111"/>
          <w:sz w:val="28"/>
          <w:sz w:val="28"/>
          <w:szCs w:val="28"/>
          <w:rtl w:val="true"/>
          <w:lang w:bidi="fa-IR"/>
        </w:rPr>
        <w:t>، و ما هو محل البحث هنا هو المعنی الأعم من هذه الصورة و سائر الصور، فلا یتم التوجیه المزبور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هذه المسألة کما مضی تحقیقه، لا تناط بمباحث الألفاظ، و لا تمس بها مطلق المساس </w:t>
      </w:r>
      <w:r>
        <w:rPr>
          <w:rStyle w:val="FootnoteAnchor"/>
          <w:rtl w:val="true"/>
        </w:rPr>
        <w:footnoteReference w:id="368"/>
      </w:r>
      <w:r>
        <w:rPr>
          <w:rFonts w:ascii="IRNazanin" w:hAnsi="IRNazanin" w:eastAsia="IRNazanin"/>
          <w:color w:val="111111"/>
          <w:sz w:val="28"/>
          <w:sz w:val="28"/>
          <w:szCs w:val="28"/>
          <w:rtl w:val="true"/>
          <w:lang w:bidi="fa-IR"/>
        </w:rPr>
        <w:t>، فإذا کان الأمر کذلک فلا بدّ من الاطلاع علی مرام المولی علی الإطلاق فی مصب الأمر و النهی حتی یمکن نزاع الاجتماع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أحد الأمور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فرض إحراز الإطلاقین و الحرمة و الوجوب المطلقین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فرض إحراز المحبوبیة و 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فرض إحراز المصالح و المفاسد المطلقة فی مصب الأمر و النهی بناء علی مذهب العدلیة، و یکون کل من الإحرازین تاما مع قطع النّظر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أحرزنا الإطلاقین فالامتناعی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حاکم بعدم تمامیة واحد منهما عند التصادق؛ بمعنی أن إحراز کل واحد من الإطلاقین مع قطع النّظر عن الآخر ممکن، و لکن فی المجمع فلا، و إذا أحرزنا المحبوبیة و المبغوضیة المطلقین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فالامتناعی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مع قطع النّظر عن الآخر ممکن، إلا أن اجتماعهما فی موضوع واحد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جانب إحراز المصالح و المفاسد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 اعتبار إحراز المصالح و المفاسد، لیس أنه لا بد من إحراز المصالح و المفاسد جمعا فی المجمع، بل المراد ما أشیر إلیه، و لأجل ذلک یتمسک</w:t>
      </w:r>
      <w:bookmarkStart w:id="265" w:name="pg13163_143051"/>
    </w:p>
    <w:p>
      <w:pPr>
        <w:pStyle w:val="BookText"/>
        <w:rPr/>
      </w:pPr>
      <w:bookmarkEnd w:id="265"/>
      <w:r>
        <w:rPr>
          <w:rFonts w:ascii="IRNazanin" w:hAnsi="IRNazanin" w:eastAsia="IRNazanin"/>
          <w:color w:val="111111"/>
          <w:sz w:val="28"/>
          <w:sz w:val="28"/>
          <w:szCs w:val="28"/>
          <w:rtl w:val="true"/>
          <w:lang w:bidi="fa-IR"/>
        </w:rPr>
        <w:t>لبطلان الاجتماع باجتماع المتضادات فی مرحلة الجعل، و فی مرحلة المناط و الملاک الخارجی، و فی النّفس و هو الحب و 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أن یکون المجمع علی أی تقدیر داخلا فی کبری باب التزاحم، إلا أنه علی الاجتماع تصح الصلاة علی أی تقدیر، و یحرم الغصب أیضا، و علی الامتناع تصح الصلاة علی تقدیر أقوائیة ملاکها، و لا تصح علی العکس و إن کانت ذات ملاک ضعیف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قضیة ما تحرر فی مسألة الضد، أن مع سقوط أحد الإطلاقین لأجل الامتناع، لا طریق إلی کشف الملاک فی المجمع؛ لأن کشف المناط و الملاک من طریق الهیئات، و لا سبیل وراء ذلک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الاجتماع و الامتناع موقوف علی إحراز الملاکات و الاطلاع علیها، و إحرازها فی المجمع منوط بإمکان الجمع، فالنزاع موقوف علی صحة الاجتماع، فتدبر و لا یخفی لطفه</w:t>
      </w:r>
      <w:r>
        <w:rPr>
          <w:rFonts w:eastAsia="IRNazanin" w:cs="IRNazanin"/>
          <w:color w:val="111111"/>
          <w:sz w:val="28"/>
          <w:szCs w:val="28"/>
          <w:rtl w:val="true"/>
          <w:lang w:bidi="fa-IR"/>
        </w:rPr>
        <w:t>.</w:t>
      </w:r>
    </w:p>
    <w:p>
      <w:pPr>
        <w:pStyle w:val="Heading6"/>
        <w:numPr>
          <w:ilvl w:val="5"/>
          <w:numId w:val="1"/>
        </w:numPr>
        <w:rPr/>
      </w:pPr>
      <w:bookmarkStart w:id="266" w:name="__RefHeading___Toc533765_3244359995"/>
      <w:bookmarkStart w:id="267" w:name="_Toc100"/>
      <w:bookmarkEnd w:id="266"/>
      <w:r>
        <w:rPr>
          <w:rtl w:val="true"/>
        </w:rPr>
        <w:t>التوهم السادس</w:t>
      </w:r>
      <w:r>
        <w:rPr>
          <w:rtl w:val="true"/>
        </w:rPr>
        <w:t>:</w:t>
      </w:r>
      <w:bookmarkEnd w:id="267"/>
    </w:p>
    <w:p>
      <w:pPr>
        <w:pStyle w:val="BookText"/>
        <w:rPr/>
      </w:pPr>
      <w:r>
        <w:rPr>
          <w:rFonts w:ascii="IRNazanin" w:hAnsi="IRNazanin" w:eastAsia="IRNazanin"/>
          <w:color w:val="111111"/>
          <w:sz w:val="28"/>
          <w:sz w:val="28"/>
          <w:szCs w:val="28"/>
          <w:rtl w:val="true"/>
          <w:lang w:bidi="fa-IR"/>
        </w:rPr>
        <w:t>قد ذکرنا فی بعض بحوث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کون الإطلاق جمع القیود هو القول بالامتناع، و مقتضی کونه رفض القیود هی صحة النزاع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بحثان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کون الإطلاق جمع القیود؛ هو لحاظ جمیع القیود الممکن</w:t>
      </w:r>
    </w:p>
    <w:p>
      <w:pPr>
        <w:pStyle w:val="BookText"/>
        <w:rPr/>
      </w:pPr>
      <w:r>
        <w:rPr>
          <w:rFonts w:ascii="IRNazanin" w:hAnsi="IRNazanin" w:eastAsia="IRNazanin"/>
          <w:color w:val="111111"/>
          <w:sz w:val="28"/>
          <w:sz w:val="28"/>
          <w:szCs w:val="28"/>
          <w:rtl w:val="true"/>
          <w:lang w:bidi="fa-IR"/>
        </w:rPr>
        <w:t>طروءها علی الموضوع فی مرحلة الأمر و الجعل، و إسراء الحکم إلی کافة اللواحق، و قد صرحوا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الإطلاق هو إفادة التسویة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سواء کان هاشمیا، أو أمویا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غصب کانت، أو صلاة 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لا بد من القول بالامتناع؛ لوحدة المتعلق،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حسب مقدمات الإطلاق انحلالا بدلیا إلی جمیع الأفراد و الأحوال، و یکون کل حال مورد الأمر التخییری،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بهذه الکیفیة إلی غصب صلاتی، و غصب غیر صلاتی، فیلزم إما وحدة المتعلق التی مرّ الکلام حولها؛ بناء علی تعلق الأوامر و النواهی بالأفراد، بل لا معنی محصول له إلا برجوعه إلی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سقوط النزاع حسبما عرفت فی البحوث الماضیة</w:t>
      </w:r>
      <w:r>
        <w:rPr>
          <w:rStyle w:val="FootnoteAnchor"/>
          <w:rtl w:val="true"/>
        </w:rPr>
        <w:footnoteReference w:id="373"/>
      </w:r>
      <w:r>
        <w:rPr>
          <w:rFonts w:ascii="IRNazanin" w:hAnsi="IRNazanin" w:eastAsia="IRNazanin"/>
          <w:color w:val="111111"/>
          <w:sz w:val="28"/>
          <w:sz w:val="28"/>
          <w:szCs w:val="28"/>
          <w:rtl w:val="true"/>
          <w:lang w:bidi="fa-IR"/>
        </w:rPr>
        <w:t>ضرورة أن الأمر التخییری المتعلق بالصلاة الغصبیة، و النهی الانحلالی المتعلق بالغصب الصلاتی، و إن اختلفا متعلقا فی عالم العنوانیة، و لکن هما متلازمان،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الإطلاق رفض القیود، فلا یلزم شبهة الاتحاد فی المتعلق بالضرورة، فیأتی النزاع علی شبهاته من الطرفین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حررنا فی محله؛ أن هذه العویصة تتوجه إلی أرباب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جمع القیود</w:t>
      </w:r>
      <w:r>
        <w:rPr>
          <w:rStyle w:val="FootnoteAnchor"/>
          <w:rtl w:val="true"/>
        </w:rPr>
        <w:footnoteReference w:id="374"/>
      </w:r>
      <w:r>
        <w:rPr>
          <w:rFonts w:ascii="IRNazanin" w:hAnsi="IRNazanin" w:eastAsia="IRNazanin"/>
          <w:color w:val="111111"/>
          <w:sz w:val="28"/>
          <w:sz w:val="28"/>
          <w:szCs w:val="28"/>
          <w:rtl w:val="true"/>
          <w:lang w:bidi="fa-IR"/>
        </w:rPr>
        <w:t>، و لا یمکن دفعها إلاّ إذا أرید منه توسعة الموضوع من غیر أن</w:t>
      </w:r>
      <w:bookmarkStart w:id="268" w:name="pg13163_143053"/>
    </w:p>
    <w:p>
      <w:pPr>
        <w:pStyle w:val="BookText"/>
        <w:rPr/>
      </w:pPr>
      <w:bookmarkEnd w:id="268"/>
      <w:r>
        <w:rPr>
          <w:rFonts w:ascii="IRNazanin" w:hAnsi="IRNazanin" w:eastAsia="IRNazanin"/>
          <w:color w:val="111111"/>
          <w:sz w:val="28"/>
          <w:sz w:val="28"/>
          <w:szCs w:val="28"/>
          <w:rtl w:val="true"/>
          <w:lang w:bidi="fa-IR"/>
        </w:rPr>
        <w:t xml:space="preserve">یتعدد الحکم و الأمر، و هو خلاف المقصود، بل غیر ممکن کما هو الواضح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533767_3244359995"/>
      <w:bookmarkStart w:id="270" w:name="_Toc101"/>
      <w:bookmarkEnd w:id="269"/>
      <w:r>
        <w:rPr>
          <w:rtl w:val="true"/>
        </w:rPr>
        <w:t>التوهم السابع</w:t>
      </w:r>
      <w:r>
        <w:rPr>
          <w:rtl w:val="true"/>
        </w:rPr>
        <w:t>:</w:t>
      </w:r>
      <w:bookmarkEnd w:id="270"/>
    </w:p>
    <w:p>
      <w:pPr>
        <w:pStyle w:val="BookText"/>
        <w:rPr/>
      </w:pPr>
      <w:r>
        <w:rPr>
          <w:rFonts w:ascii="IRNazanin" w:hAnsi="IRNazanin" w:eastAsia="IRNazanin"/>
          <w:color w:val="111111"/>
          <w:sz w:val="28"/>
          <w:sz w:val="28"/>
          <w:szCs w:val="28"/>
          <w:rtl w:val="true"/>
          <w:lang w:bidi="fa-IR"/>
        </w:rPr>
        <w:t>من المبانی المتوهم ابتناء هذه المسألة علیها؛ أن من الشرائط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الأصل المقوم للنزاع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الکون، و إلا فلا معنی للنزاع، و إذن یبتنی القول بالاجتماع علی جواز عروض العرض علی العرض، و القول بالامتناع علی عدم جوازه؛ ضرورة أن التصرف فی مال الغیر یوجد بعین وجود الصلاة، فیکون قائما به، و وجود الصلاة وجود عرضیّ لیس جوهریّا، و قیام العرض بالعرض محال فیمتنع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صحیح علی القول بجواز عروض العرض علی العرض، و لا یصحّ إذا کان ذلک ممتنعا؛ لأنّه علی تقدیر الامتناع یلزم کون اختصاص کلّ عرض بوجود یخصّه، و إیجاد یختصّ به، و عند ذلک یخرج عن محلّ النزاع؛ لأن المفروض فی محله وحدة الإیجاد و الوجود کما یأتی، بخلاف القول بالجواز، فإنه علی تقدیره یکون أحد العرضین قائما بالعرض الآخر، فیکونان موجودین بإیجاد واحد و وجود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العرض بالعرض واقع، کما صرّح أهله بقیام الخطّ بالسطح، و السطح بالجسم التعلیمیّ </w:t>
      </w:r>
      <w:r>
        <w:rPr>
          <w:rStyle w:val="FootnoteAnchor"/>
          <w:rtl w:val="true"/>
        </w:rPr>
        <w:footnoteReference w:id="376"/>
      </w:r>
      <w:r>
        <w:rPr>
          <w:rFonts w:ascii="IRNazanin" w:hAnsi="IRNazanin" w:eastAsia="IRNazanin"/>
          <w:color w:val="111111"/>
          <w:sz w:val="28"/>
          <w:sz w:val="28"/>
          <w:szCs w:val="28"/>
          <w:rtl w:val="true"/>
          <w:lang w:bidi="fa-IR"/>
        </w:rPr>
        <w:t xml:space="preserve">، و قد فصّلنا الکلام حوله فی حواشینا علی طبیعیّات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استشکلنا فی الأمر، و التفصیل فی محلّه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لهذه المسألة بتلک البحوث؛ لأنّ الصلاة لیست من الأعراض،</w:t>
      </w:r>
    </w:p>
    <w:p>
      <w:pPr>
        <w:pStyle w:val="BookText"/>
        <w:rPr/>
      </w:pPr>
      <w:r>
        <w:rPr>
          <w:rFonts w:ascii="IRNazanin" w:hAnsi="IRNazanin" w:eastAsia="IRNazanin"/>
          <w:color w:val="111111"/>
          <w:sz w:val="28"/>
          <w:sz w:val="28"/>
          <w:szCs w:val="28"/>
          <w:rtl w:val="true"/>
          <w:lang w:bidi="fa-IR"/>
        </w:rPr>
        <w:t>و لا التصرّف، و لا سائر العناوین المتعلّقة للأمر و النهی إلاّ ما شذّ، و حیث إنّ البحث حول العناوین المختلفة فی مناشئ انتزاعها و لو بالاختلاف اللحاظیّ و الاعتباریّ فتسقط هذه البحوث، کما تسقط المبانی المتوهّمة لهذه المسألة من السرایة، و الترکیب الاتحادی و الانضمامیّ؛ بما أنّ الاعتباریات خالیة عن مثله،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صغریات المسألة کما تکون الصلاة فی المغصوب، کذلک تکون الوضوء بالماء المغصوب، و شرب الماء المغصوب إذا کان الشرب علی الإطلاق واجبا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العجیب توهّم الإشکال فی المثالین الأخیرین بإنکار إمکان 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العنوان الآخر الواجب؛ لأنّ ما هو فی الخارج لیس إلاّ التصرّف فی الماء المغصوب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صحّة المثال الأوّل؛ بأنّ هناک ماهیّتین قد انضمّتا فی الخارج، حتّی قال بتعدّد الحرکة خارجا،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الصلاتیّة،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الحرکة الغصبیة</w:t>
      </w:r>
      <w:r>
        <w:rPr>
          <w:rStyle w:val="FootnoteAnchor"/>
          <w:rtl w:val="true"/>
        </w:rPr>
        <w:footnoteReference w:id="379"/>
      </w:r>
      <w:r>
        <w:rPr>
          <w:rFonts w:ascii="IRNazanin" w:hAnsi="IRNazanin" w:eastAsia="IRNazanin"/>
          <w:color w:val="111111"/>
          <w:sz w:val="28"/>
          <w:sz w:val="28"/>
          <w:szCs w:val="28"/>
          <w:rtl w:val="true"/>
          <w:lang w:bidi="fa-IR"/>
        </w:rPr>
        <w:t>، و لا حاجة إلی إفادة ما فی هذه الإفاضات، فتدبر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الإشکال فیما إذا کان متعلق الأمر و النهی من المقولتین الحقیقیّتین المحتاجتین إلی إیجاد خاص و وجود مخصوص، فإن کانا من قبیل العرضین القائم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کالکیفیّات المختصّة بالکمیات، مثل الاستدارة و التربّع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لخروجهما عن محل النزاع، و إلا فوجه الخروج عدم وحدة الکون المعتبرة فی النزاع، و سیظهر الکلام حول هذا الشرط، فإن أنکرنا شرطیّته الدائمیّة فلا یخرج أیضا، فانتظر و اصبر</w:t>
      </w:r>
      <w:r>
        <w:rPr>
          <w:rFonts w:eastAsia="IRNazanin" w:cs="IRNazanin"/>
          <w:color w:val="111111"/>
          <w:sz w:val="28"/>
          <w:szCs w:val="28"/>
          <w:rtl w:val="true"/>
          <w:lang w:bidi="fa-IR"/>
        </w:rPr>
        <w:t>.</w:t>
      </w:r>
      <w:bookmarkStart w:id="271" w:name="pg13163_143055"/>
    </w:p>
    <w:p>
      <w:pPr>
        <w:pStyle w:val="Heading6"/>
        <w:numPr>
          <w:ilvl w:val="5"/>
          <w:numId w:val="1"/>
        </w:numPr>
        <w:rPr/>
      </w:pPr>
      <w:bookmarkStart w:id="272" w:name="__RefHeading___Toc533769_3244359995"/>
      <w:bookmarkStart w:id="273" w:name="_Toc102"/>
      <w:bookmarkEnd w:id="271"/>
      <w:bookmarkEnd w:id="272"/>
      <w:r>
        <w:rPr>
          <w:rtl w:val="true"/>
        </w:rPr>
        <w:t>التوهم الثامن</w:t>
      </w:r>
      <w:r>
        <w:rPr>
          <w:rtl w:val="true"/>
        </w:rPr>
        <w:t>:</w:t>
      </w:r>
      <w:bookmarkEnd w:id="273"/>
    </w:p>
    <w:p>
      <w:pPr>
        <w:pStyle w:val="BookText"/>
        <w:rPr/>
      </w:pPr>
      <w:r>
        <w:rPr>
          <w:rFonts w:ascii="IRNazanin" w:hAnsi="IRNazanin" w:eastAsia="IRNazanin"/>
          <w:color w:val="111111"/>
          <w:sz w:val="28"/>
          <w:sz w:val="28"/>
          <w:szCs w:val="28"/>
          <w:rtl w:val="true"/>
          <w:lang w:bidi="fa-IR"/>
        </w:rPr>
        <w:t xml:space="preserve">قد بنوا الامتناع علی القول بالسرایة، و علی القول بالترکیب الاتحادی، و الجواز علی القول بعدم السرایة، و الترکیب الانضمامی </w:t>
      </w:r>
      <w:r>
        <w:rPr>
          <w:rStyle w:val="FootnoteAnchor"/>
          <w:rtl w:val="true"/>
        </w:rPr>
        <w:footnoteReference w:id="380"/>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قد أحطت خبرا بما فیه؛ ضرورة إمکان الالتزام بالامتناع علی القول بالترکیب الانضمامی و عدم السرایة؛ بدعوی أن التلازم الأحیانی یورث امتناع ترشح الإرادتین فی المجمع کما تحرر</w:t>
      </w:r>
      <w:r>
        <w:rPr>
          <w:rStyle w:val="FootnoteAnchor"/>
          <w:rtl w:val="true"/>
        </w:rPr>
        <w:footnoteReference w:id="381"/>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5"/>
        <w:numPr>
          <w:ilvl w:val="4"/>
          <w:numId w:val="1"/>
        </w:numPr>
        <w:rPr/>
      </w:pPr>
      <w:bookmarkStart w:id="274" w:name="__RefHeading___Toc533771_3244359995"/>
      <w:bookmarkStart w:id="275" w:name="_Toc103"/>
      <w:bookmarkEnd w:id="274"/>
      <w:r>
        <w:rPr>
          <w:rtl w:val="true"/>
        </w:rPr>
        <w:t>المقدمة السادسة</w:t>
      </w:r>
      <w:r>
        <w:rPr>
          <w:rtl w:val="true"/>
        </w:rPr>
        <w:t xml:space="preserve">: </w:t>
      </w:r>
      <w:r>
        <w:rPr>
          <w:rtl w:val="true"/>
        </w:rPr>
        <w:t>فیما یعدّ أو یمکن عدّه من الشرائط فی نزاع الامتناع و الاجتماع</w:t>
      </w:r>
      <w:bookmarkEnd w:id="275"/>
    </w:p>
    <w:p>
      <w:pPr>
        <w:pStyle w:val="Heading6"/>
        <w:numPr>
          <w:ilvl w:val="5"/>
          <w:numId w:val="1"/>
        </w:numPr>
        <w:rPr/>
      </w:pPr>
      <w:bookmarkStart w:id="276" w:name="__RefHeading___Toc533773_3244359995"/>
      <w:bookmarkStart w:id="277" w:name="_Toc104"/>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Heading6"/>
        <w:numPr>
          <w:ilvl w:val="5"/>
          <w:numId w:val="1"/>
        </w:numPr>
        <w:rPr/>
      </w:pPr>
      <w:bookmarkStart w:id="278" w:name="__RefHeading___Toc533775_3244359995"/>
      <w:bookmarkStart w:id="279" w:name="_Toc105"/>
      <w:bookmarkEnd w:id="278"/>
      <w:r>
        <w:rPr>
          <w:rtl w:val="true"/>
        </w:rPr>
        <w:t>الأمر الأول</w:t>
      </w:r>
      <w:r>
        <w:rPr>
          <w:rtl w:val="true"/>
        </w:rPr>
        <w:t xml:space="preserve">: </w:t>
      </w:r>
      <w:r>
        <w:rPr>
          <w:rtl w:val="true"/>
        </w:rPr>
        <w:t>ثبوت الإطلاقین المفیدین للتنجیز</w:t>
      </w:r>
      <w:bookmarkEnd w:id="279"/>
    </w:p>
    <w:p>
      <w:pPr>
        <w:pStyle w:val="BookText"/>
        <w:rPr/>
      </w:pPr>
      <w:r>
        <w:rPr>
          <w:rFonts w:ascii="IRNazanin" w:hAnsi="IRNazanin" w:eastAsia="IRNazanin"/>
          <w:color w:val="111111"/>
          <w:sz w:val="28"/>
          <w:sz w:val="28"/>
          <w:szCs w:val="28"/>
          <w:rtl w:val="true"/>
          <w:lang w:bidi="fa-IR"/>
        </w:rPr>
        <w:t xml:space="preserve">قد مضی أن من الشرائط القطعیة؛ ثبوت الإطلاقین المفیدین للحرمة و الوجوب المطلقین، أو ثبوت المبغوضیة و المحبوبیة المطلقین، أو المصالح و المفاسد علی سبیل البدل و علی الوجه الّذی عرفت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 امتناع اجتماع المحبوبیة و المبغوضیة الفعلیتین فی الشی‌ء</w:t>
      </w:r>
      <w:bookmarkStart w:id="280" w:name="pg13163_143056"/>
    </w:p>
    <w:p>
      <w:pPr>
        <w:pStyle w:val="BookText"/>
        <w:rPr/>
      </w:pPr>
      <w:bookmarkEnd w:id="280"/>
      <w:r>
        <w:rPr>
          <w:rFonts w:ascii="IRNazanin" w:hAnsi="IRNazanin" w:eastAsia="IRNazanin"/>
          <w:color w:val="111111"/>
          <w:sz w:val="28"/>
          <w:sz w:val="28"/>
          <w:szCs w:val="28"/>
          <w:rtl w:val="true"/>
          <w:lang w:bidi="fa-IR"/>
        </w:rPr>
        <w:t>الواحد</w:t>
      </w:r>
      <w:r>
        <w:rPr>
          <w:rStyle w:val="FootnoteAnchor"/>
          <w:rtl w:val="true"/>
        </w:rPr>
        <w:footnoteReference w:id="383"/>
      </w:r>
      <w:r>
        <w:rPr>
          <w:rFonts w:ascii="IRNazanin" w:hAnsi="IRNazanin" w:eastAsia="IRNazanin"/>
          <w:color w:val="111111"/>
          <w:sz w:val="28"/>
          <w:sz w:val="28"/>
          <w:szCs w:val="28"/>
          <w:rtl w:val="true"/>
          <w:lang w:bidi="fa-IR"/>
        </w:rPr>
        <w:t>، و لکنه لا یضر؛ لأن الاجتماعیّ ینکر الامتناع المزبور، و لیس من الممتنعات الواضحة، فلا تخلط</w:t>
      </w:r>
      <w:r>
        <w:rPr>
          <w:rFonts w:eastAsia="IRNazanin" w:cs="IRNazanin"/>
          <w:color w:val="111111"/>
          <w:sz w:val="28"/>
          <w:szCs w:val="28"/>
          <w:rtl w:val="true"/>
          <w:lang w:bidi="fa-IR"/>
        </w:rPr>
        <w:t>.</w:t>
      </w:r>
    </w:p>
    <w:p>
      <w:pPr>
        <w:pStyle w:val="Heading6"/>
        <w:numPr>
          <w:ilvl w:val="5"/>
          <w:numId w:val="1"/>
        </w:numPr>
        <w:rPr/>
      </w:pPr>
      <w:bookmarkStart w:id="281" w:name="__RefHeading___Toc533777_3244359995"/>
      <w:bookmarkStart w:id="282" w:name="_Toc106"/>
      <w:bookmarkEnd w:id="281"/>
      <w:r>
        <w:rPr>
          <w:rtl w:val="true"/>
        </w:rPr>
        <w:t>الأمر الثانی</w:t>
      </w:r>
      <w:r>
        <w:rPr>
          <w:rtl w:val="true"/>
        </w:rPr>
        <w:t xml:space="preserve">: </w:t>
      </w:r>
      <w:r>
        <w:rPr>
          <w:rtl w:val="true"/>
        </w:rPr>
        <w:t>وحدة الکون</w:t>
      </w:r>
      <w:bookmarkEnd w:id="282"/>
    </w:p>
    <w:p>
      <w:pPr>
        <w:pStyle w:val="Heading6"/>
        <w:numPr>
          <w:ilvl w:val="5"/>
          <w:numId w:val="1"/>
        </w:numPr>
        <w:rPr/>
      </w:pPr>
      <w:bookmarkStart w:id="283" w:name="__RefHeading___Toc533779_3244359995"/>
      <w:bookmarkStart w:id="284" w:name="_Toc107"/>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و أن یکون المأمور به و المنهیّ عنه یوجدان بإیجاد واحد و وجود فارد، و إلا إذا أمکن إیجاد أحدهما بدون الآخر فأوجدهما معا، فهو لیس مورد النزاع عندهم؛ لأن الضرورة قاضیة بإمکان الاجتماع، فیکون التلازم و عدم إمکان التفکیک بینهما فی المجمع، لازما فی أصل النزاع، و هذا هو الأصل المفروغ عنه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أساس منشأ الإشکال و ما ینشأ منه شبهة الامتناع؛ هو التلازم الأحیانیّ بین المأمور به و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الشرط یرجع ما فی کلمات بعضهم فی تحریر عنوان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النزاع حول ما إذا تعلق الأمر بشی‌ء و النهی بشی‌ء آخر، اللذین یوجدان بوجود واحد و إیجاد فارد، المنطبقین علی المجمع الواحد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فرارا من العنوانین المتصادقین علی واحد، و لکنهما لا یوجدان بإیجاد فارد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ناظرا إلی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یصدقان علی واحد، و لکنهما خارجان عن محلّ النزاع؛ لما لا یتحد بین المبدأین فی الکون و الوجود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الخلل فیما جعله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للبحث </w:t>
      </w:r>
      <w:r>
        <w:rPr>
          <w:rStyle w:val="FootnoteAnchor"/>
          <w:rtl w:val="true"/>
        </w:rPr>
        <w:footnoteReference w:id="385"/>
      </w:r>
      <w:r>
        <w:rPr>
          <w:rFonts w:ascii="IRNazanin" w:hAnsi="IRNazanin" w:eastAsia="IRNazanin"/>
          <w:color w:val="111111"/>
          <w:sz w:val="28"/>
          <w:sz w:val="28"/>
          <w:szCs w:val="28"/>
          <w:rtl w:val="true"/>
          <w:lang w:bidi="fa-IR"/>
        </w:rPr>
        <w:t>لصدقه علی المثال المزبور، مع أنه خارج عن محیط البحث بالضرورة</w:t>
      </w:r>
      <w:r>
        <w:rPr>
          <w:rFonts w:eastAsia="IRNazanin" w:cs="IRNazanin"/>
          <w:color w:val="111111"/>
          <w:sz w:val="28"/>
          <w:szCs w:val="28"/>
          <w:rtl w:val="true"/>
          <w:lang w:bidi="fa-IR"/>
        </w:rPr>
        <w:t>.</w:t>
      </w:r>
      <w:bookmarkStart w:id="285" w:name="pg13163_143057"/>
    </w:p>
    <w:p>
      <w:pPr>
        <w:pStyle w:val="Heading6"/>
        <w:numPr>
          <w:ilvl w:val="5"/>
          <w:numId w:val="1"/>
        </w:numPr>
        <w:rPr/>
      </w:pPr>
      <w:bookmarkStart w:id="286" w:name="__RefHeading___Toc533781_3244359995"/>
      <w:bookmarkStart w:id="287" w:name="_Toc108"/>
      <w:bookmarkEnd w:id="285"/>
      <w:bookmarkEnd w:id="286"/>
      <w:r>
        <w:rPr>
          <w:rtl w:val="true"/>
        </w:rPr>
        <w:t>إفادة</w:t>
      </w:r>
      <w:r>
        <w:rPr>
          <w:rtl w:val="true"/>
        </w:rPr>
        <w:t xml:space="preserve">: </w:t>
      </w:r>
      <w:r>
        <w:rPr>
          <w:rtl w:val="true"/>
        </w:rPr>
        <w:t>حول جریان النزاع فی الإکراه علی النّظر إلی الأجنبیة حال الصلاة</w:t>
      </w:r>
      <w:bookmarkEnd w:id="287"/>
    </w:p>
    <w:p>
      <w:pPr>
        <w:pStyle w:val="BookText"/>
        <w:rPr/>
      </w:pPr>
      <w:r>
        <w:rPr>
          <w:rFonts w:ascii="IRNazanin" w:hAnsi="IRNazanin" w:eastAsia="IRNazanin"/>
          <w:color w:val="111111"/>
          <w:sz w:val="28"/>
          <w:sz w:val="28"/>
          <w:szCs w:val="28"/>
          <w:rtl w:val="true"/>
          <w:lang w:bidi="fa-IR"/>
        </w:rPr>
        <w:t>ربما یختلج بالبال أن یقال بجریان النزاع فی هذه الصورة؛ و هی ما إذا أکره المکره علی النّظر إلی الأجنبیة حال الصلاة، و لا یکره علی الصلاة، و لا علی النّظر بالاستقلال، و علیه یکون مجبورا علی عدم التفکیک بین المأمور به و المنهیّ عنه، فلا یکون النّظر مورد الإکراه حتّی یرتفع بدلیله، فهل هذا النحو من الامتناع الشرعیّ یعدّ مثل الامتناع العقلی، فکما یمتنع عقلا التفکیک فی الدار المغصوبة بین الصلاة و الغصب، کذلک الأمر فی المقام؟</w:t>
      </w:r>
    </w:p>
    <w:p>
      <w:pPr>
        <w:pStyle w:val="BookText"/>
        <w:rPr/>
      </w:pPr>
      <w:r>
        <w:rPr>
          <w:rFonts w:ascii="IRNazanin" w:hAnsi="IRNazanin" w:eastAsia="IRNazanin"/>
          <w:color w:val="111111"/>
          <w:sz w:val="28"/>
          <w:sz w:val="28"/>
          <w:szCs w:val="28"/>
          <w:rtl w:val="true"/>
          <w:lang w:bidi="fa-IR"/>
        </w:rPr>
        <w:t>فعلی هذا تندرج فی محطّ الکلام مع تعدّد الإیجاد و الوجود، و الامتناعی یمکن أن یقول بامتناع التکلیفین؛ لأنه لیس قادرا علی الجمع، و الاجتماعیّ یدّعی بقاء الإرادتین علی حالهما و بقوّتهما، و لا مانع من ذلک، فوحدة الکون غیر ثابتة دخالتها تقویما فی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التلازم معتبر، و هو فیما إذا اتحدا کونا واضح عقلا، و إذا اختلفا فلا تلازم إلا فی صورة، و یکون التلازم بالعرض و تسامحا،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وجه الامتناع کون الشی‌ء الواحد، مورد التحریم و الإیجاب و الحب و البغض و أمثال ذلک، فلا یندرج فی محطّ الکلام، و أمّا إذا کان دلیله هذه الأمور فی صورة الوحدة عقلا، و أمراً آخر و هو امتناع ترشّح الإرادتین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الآمرة، و الزاجرة، مع امتناع التفکیک فی صورة الوحدة تسامحا، فیندرج فی محطّ التشاحّ</w:t>
      </w:r>
      <w:r>
        <w:rPr>
          <w:rFonts w:eastAsia="IRNazanin" w:cs="IRNazanin"/>
          <w:color w:val="111111"/>
          <w:sz w:val="28"/>
          <w:szCs w:val="28"/>
          <w:rtl w:val="true"/>
          <w:lang w:bidi="fa-IR"/>
        </w:rPr>
        <w:t>.</w:t>
      </w:r>
      <w:bookmarkStart w:id="288" w:name="pg13163_143058"/>
    </w:p>
    <w:p>
      <w:pPr>
        <w:pStyle w:val="Heading6"/>
        <w:numPr>
          <w:ilvl w:val="5"/>
          <w:numId w:val="1"/>
        </w:numPr>
        <w:rPr/>
      </w:pPr>
      <w:bookmarkStart w:id="289" w:name="__RefHeading___Toc533783_3244359995"/>
      <w:bookmarkStart w:id="290" w:name="_Toc109"/>
      <w:bookmarkEnd w:id="288"/>
      <w:bookmarkEnd w:id="289"/>
      <w:r>
        <w:rPr>
          <w:rtl w:val="true"/>
        </w:rPr>
        <w:t>الأمر الثالث</w:t>
      </w:r>
      <w:r>
        <w:rPr>
          <w:rtl w:val="true"/>
        </w:rPr>
        <w:t xml:space="preserve">: </w:t>
      </w:r>
      <w:r>
        <w:rPr>
          <w:rtl w:val="true"/>
        </w:rPr>
        <w:t>حول اعتبار المندوحة</w:t>
      </w:r>
      <w:bookmarkEnd w:id="290"/>
    </w:p>
    <w:p>
      <w:pPr>
        <w:pStyle w:val="Heading6"/>
        <w:numPr>
          <w:ilvl w:val="5"/>
          <w:numId w:val="1"/>
        </w:numPr>
        <w:rPr/>
      </w:pPr>
      <w:bookmarkStart w:id="291" w:name="__RefHeading___Toc533785_3244359995"/>
      <w:bookmarkStart w:id="292" w:name="_Toc110"/>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إن فی اعتبار شرطیّة المندوحة و عدم اعتبارها، أو إضرارها بالنزاع، أو التفصیل فی المسألة، وجوها و أقوالا لا بأس بالإشارة إلیها إجمالا؛ حتی یتبین الحقّ و یستبان حدوده</w:t>
      </w:r>
      <w:r>
        <w:rPr>
          <w:rFonts w:eastAsia="IRNazanin" w:cs="IRNazanin"/>
          <w:color w:val="111111"/>
          <w:sz w:val="28"/>
          <w:szCs w:val="28"/>
          <w:rtl w:val="true"/>
          <w:lang w:bidi="fa-IR"/>
        </w:rPr>
        <w:t>:</w:t>
      </w:r>
    </w:p>
    <w:p>
      <w:pPr>
        <w:pStyle w:val="Heading6"/>
        <w:numPr>
          <w:ilvl w:val="5"/>
          <w:numId w:val="1"/>
        </w:numPr>
        <w:rPr/>
      </w:pPr>
      <w:bookmarkStart w:id="293" w:name="__RefHeading___Toc533787_3244359995"/>
      <w:bookmarkStart w:id="294" w:name="_Toc111"/>
      <w:bookmarkEnd w:id="293"/>
      <w:r>
        <w:rPr>
          <w:rtl w:val="true"/>
        </w:rPr>
        <w:t>الوجه الأول</w:t>
      </w:r>
      <w:r>
        <w:rPr>
          <w:rtl w:val="true"/>
        </w:rPr>
        <w:t>:</w:t>
      </w:r>
      <w:bookmarkEnd w:id="294"/>
    </w:p>
    <w:p>
      <w:pPr>
        <w:pStyle w:val="BookText"/>
        <w:rPr/>
      </w:pPr>
      <w:r>
        <w:rPr>
          <w:rFonts w:ascii="IRNazanin" w:hAnsi="IRNazanin" w:eastAsia="IRNazanin"/>
          <w:color w:val="111111"/>
          <w:sz w:val="28"/>
          <w:sz w:val="28"/>
          <w:szCs w:val="28"/>
          <w:rtl w:val="true"/>
          <w:lang w:bidi="fa-IR"/>
        </w:rPr>
        <w:t xml:space="preserve">ما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 بعض آخر</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النزاع فی مسألة اجتماع الأمر و النهی، بعد الفراغ من صدور الأمر و النهی عن جدّ، و هو لا یعقل إلا فیما إذا کان العبد متمکنا من امتثال کلّ واحد منهما، و لو لم یکن یتمکن من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یجد أرضا مباحة یقیم فیها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أمر فی البین حتی یتنازع فی اجتماعه مع النهی؛ لأن الصلاة فی المغصوب لیست مورد الأمر، و الصلاة المطلقة غیر 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الشرعیّ کالممتنع العقلیّ، فلا بدّ من وجود المندوحة حتی لا یلزم التکلیف بالمحال المستتبع للتکلیف المحال مع الالتفات و التوجه، کما هو الظاهر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منه قدس سره أنّ المسلّم عند الکلّ عدم الجواز و الامتناع؛ لقبح التکلیف بما لا یطاق فی صورة عدم المندوحة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295" w:name="pg13163_143059"/>
    </w:p>
    <w:p>
      <w:pPr>
        <w:pStyle w:val="Heading6"/>
        <w:numPr>
          <w:ilvl w:val="5"/>
          <w:numId w:val="1"/>
        </w:numPr>
        <w:rPr/>
      </w:pPr>
      <w:bookmarkStart w:id="296" w:name="__RefHeading___Toc533789_3244359995"/>
      <w:bookmarkStart w:id="297" w:name="_Toc112"/>
      <w:bookmarkEnd w:id="295"/>
      <w:bookmarkEnd w:id="296"/>
      <w:r>
        <w:rPr>
          <w:rtl w:val="true"/>
        </w:rPr>
        <w:t>الوجه الثانی</w:t>
      </w:r>
      <w:r>
        <w:rPr>
          <w:rtl w:val="true"/>
        </w:rPr>
        <w:t>:</w:t>
      </w:r>
      <w:bookmarkEnd w:id="297"/>
    </w:p>
    <w:p>
      <w:pPr>
        <w:pStyle w:val="BookText"/>
        <w:rPr/>
      </w:pPr>
      <w:r>
        <w:rPr>
          <w:rFonts w:ascii="IRNazanin" w:hAnsi="IRNazanin" w:eastAsia="IRNazanin"/>
          <w:color w:val="111111"/>
          <w:sz w:val="28"/>
          <w:sz w:val="28"/>
          <w:szCs w:val="28"/>
          <w:rtl w:val="true"/>
          <w:lang w:bidi="fa-IR"/>
        </w:rPr>
        <w:t>لا یعتبر قید المندوحة فی صحة نزاع الاجتماع و الامتناع فی مرحلة الجعل و الإنشاء؛ لأن البحوث الأصولیة تکون فرضیّة و حیثیة، فالأمر و النهی فرضیّان، و البحث حیثیّ؛ أی یکون حول أن الأمر المتعلق بشی‌ء، و النهی المتعلّق بالعنوان الآخر، هل یتداخلان و تلزم الوحدة فی المتعلّق فی وعاء الجعل، أو فی وعاء الخارج، و یتجاوزان إلی أنفسهما، أم لا؟ و لا یلزم المحالیّة من هذه الجهة، و أمّا لزوم الاستحالة من المناشئ الاخر فلا ربط له بهذه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بعدم التهافت بین المقالتین؛ الأولی و هذه الثانیة الظاهرة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و بعض المحشّین </w:t>
      </w:r>
      <w:r>
        <w:rPr>
          <w:rStyle w:val="FootnoteAnchor"/>
          <w:rtl w:val="true"/>
        </w:rPr>
        <w:footnoteReference w:id="390"/>
      </w:r>
      <w:r>
        <w:rPr>
          <w:rFonts w:ascii="IRNazanin" w:hAnsi="IRNazanin" w:eastAsia="IRNazanin"/>
          <w:color w:val="111111"/>
          <w:sz w:val="28"/>
          <w:sz w:val="28"/>
          <w:szCs w:val="28"/>
          <w:rtl w:val="true"/>
          <w:lang w:bidi="fa-IR"/>
        </w:rPr>
        <w:t>لأن المفروض فی الأولی أنّ الأمر و النهی الفعلیین، هل یعقل اجتماعهما فی المجمع، أم لا؟ و الفعلیة منوطة بالقدرة، و هی لا تکون إلاّ مع المندوحة، و المفروض فی الثانیة عدم الفعلیّة؛ و أنّ البحث حیثی، فکلاهما یقبلان اعتبار القید و لا اعتباره؛ حسب اختلاف نظرهما إلی المسألة و إلی الجواز الفعلی و لا جوازه،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القائلین بصغرویّة النزاع، و إن کانوا یبحثون بحثا حیثیّا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امتناع اجتماع الأحکام المتضادة فی المجمع و عدمه، و امتناع السرایة و عدمه، من غیر النّظر إلی الجهة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لا یعتبروا قید المندوحة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کانوا ناظرین إلی الأمر و النهی الفعلیّین؛ و أنّهما لا یسریان إلی متعلق الآخر، و لا یتعانقان فی المجمع، فلا بدّ و أن یکون الأمر فعلیّا، و هو عندهم لا یعقل إلاّ مع القدرة علی الامتثال، فلا بدّ من وجود المندوحة، فمناط اعتبار قید المندوحة</w:t>
      </w:r>
      <w:bookmarkStart w:id="298" w:name="pg13163_143060"/>
    </w:p>
    <w:p>
      <w:pPr>
        <w:pStyle w:val="BookText"/>
        <w:rPr/>
      </w:pPr>
      <w:bookmarkEnd w:id="298"/>
      <w:r>
        <w:rPr>
          <w:rFonts w:ascii="IRNazanin" w:hAnsi="IRNazanin" w:eastAsia="IRNazanin"/>
          <w:color w:val="111111"/>
          <w:sz w:val="28"/>
          <w:sz w:val="28"/>
          <w:szCs w:val="28"/>
          <w:rtl w:val="true"/>
          <w:lang w:bidi="fa-IR"/>
        </w:rPr>
        <w:t>و عدمه هذا الأمر،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إفادة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قضیّة الصغرویّة عدم اعتبار المندوحة قطعا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النزاع حول لزوم وحدة المتعلّق و عدمه، و یکون بحثا حیثیّا، فلا وجه لاعتبار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حیثیّا، بل هو بعد الفراغ من أصل الأمر الفعلیّ، فلا بدّ من اعتباره حسبما رأوا من أنّه من التکلیف بالمحال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النزاع فی أنّ تصادم المجعولین فی المجمع، هل یستلزم مصادمة الجعلین بأیّ نحو أمکن، أم لا؟ فلا بدّ من قید المندوحة؛ لأنّ فعلیّة الجعل منوطة بالمندوحة، و إنّ کان النزاع فی أنّ تصادمهما فی المجمع، هل یوجب تصادم الجعلین من جهة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وحدة المتعلّق، و السرایة و عدمهما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القید معتبراً؛ لأنّه لم یفرض فعلیّة الجعلین، فلیتدبّر</w:t>
      </w:r>
      <w:r>
        <w:rPr>
          <w:rFonts w:eastAsia="IRNazanin" w:cs="IRNazanin"/>
          <w:color w:val="111111"/>
          <w:sz w:val="28"/>
          <w:szCs w:val="28"/>
          <w:rtl w:val="true"/>
          <w:lang w:bidi="fa-IR"/>
        </w:rPr>
        <w:t>.</w:t>
      </w:r>
    </w:p>
    <w:p>
      <w:pPr>
        <w:pStyle w:val="Heading6"/>
        <w:numPr>
          <w:ilvl w:val="5"/>
          <w:numId w:val="1"/>
        </w:numPr>
        <w:rPr/>
      </w:pPr>
      <w:bookmarkStart w:id="299" w:name="__RefHeading___Toc533791_3244359995"/>
      <w:bookmarkStart w:id="300" w:name="_Toc113"/>
      <w:bookmarkEnd w:id="299"/>
      <w:r>
        <w:rPr>
          <w:rtl w:val="true"/>
        </w:rPr>
        <w:t>الوجه الثالث</w:t>
      </w:r>
      <w:r>
        <w:rPr>
          <w:rtl w:val="true"/>
        </w:rPr>
        <w:t>:</w:t>
      </w:r>
      <w:bookmarkEnd w:id="3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مع الالتزام بفعلیّة الأمر و النهی، لا حاجة إلی قید المندوحة؛ بناء علی ما حرّرناه تبعا للوالد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الخطابات القانونیة تکون فعلیّة حتّی فی موارد العجز</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مراعاة شرائط الخطابات القانونیّة المحرّرة</w:t>
      </w:r>
      <w:bookmarkStart w:id="301" w:name="pg13163_143061"/>
    </w:p>
    <w:p>
      <w:pPr>
        <w:pStyle w:val="BookText"/>
        <w:rPr/>
      </w:pPr>
      <w:bookmarkEnd w:id="301"/>
      <w:r>
        <w:rPr>
          <w:rFonts w:ascii="IRNazanin" w:hAnsi="IRNazanin" w:eastAsia="IRNazanin"/>
          <w:color w:val="111111"/>
          <w:sz w:val="28"/>
          <w:sz w:val="28"/>
          <w:szCs w:val="28"/>
          <w:rtl w:val="true"/>
          <w:lang w:bidi="fa-IR"/>
        </w:rPr>
        <w:t>سابقا</w:t>
      </w:r>
      <w:r>
        <w:rPr>
          <w:rStyle w:val="FootnoteAnchor"/>
          <w:rtl w:val="true"/>
        </w:rPr>
        <w:footnoteReference w:id="394"/>
      </w:r>
      <w:r>
        <w:rPr>
          <w:rFonts w:ascii="IRNazanin" w:hAnsi="IRNazanin" w:eastAsia="IRNazanin"/>
          <w:color w:val="111111"/>
          <w:sz w:val="28"/>
          <w:sz w:val="28"/>
          <w:szCs w:val="28"/>
          <w:rtl w:val="true"/>
          <w:lang w:bidi="fa-IR"/>
        </w:rPr>
        <w:t>، فلا نعیدها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فی صورة فقدان المندوحة مکلّف فعلا بتکلیفین فعلیّین؛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 فإن أمکن اجتماعهما فی المجمع فهو، و إلاّ فلا بدّ من انکشاف سقوط أحد التکلیفین معیّنا، أو القول بالتخییر، فاعتبار قید المندوحة علی القول بأنّ النزاع لیس حیثیّا</w:t>
      </w:r>
      <w:r>
        <w:rPr>
          <w:rStyle w:val="FootnoteAnchor"/>
          <w:rtl w:val="true"/>
        </w:rPr>
        <w:footnoteReference w:id="395"/>
      </w:r>
      <w:r>
        <w:rPr>
          <w:rFonts w:ascii="IRNazanin" w:hAnsi="IRNazanin" w:eastAsia="IRNazanin"/>
          <w:color w:val="111111"/>
          <w:sz w:val="28"/>
          <w:sz w:val="28"/>
          <w:szCs w:val="28"/>
          <w:rtl w:val="true"/>
          <w:lang w:bidi="fa-IR"/>
        </w:rPr>
        <w:t>، أیضا ممنوع، فضلا عمّا إذا کان حیثیّا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سیظهر فی الوجه الآتی من ذی قبل أنّ الفعلیّة المقصودة فی المقام، لا تناط بالقول بالخطابات القانونیّة، بل یمکن الالتزام هنا بفعلیّة تجتمع مع انحلال الخطاب القانونیّ إلی الخطابات الجزئیّة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کون الأمر و النهی فعلیین علی أیّ تقدیر، لا یمکن النزاع إلاّ مع الالتزام بالخطابات القانونیّة، أو القول باعتبار المندوحة، فشرطیّة قید المندوحة فی عرض شرطیّة کون الخطابات قانونیّة، و لا وجه لترجیح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بقانونیّة الخطابات یتعیّن الاجتماع، فلا معنی للنزاع بعد ذلک، فإلغاء قید المندوحة یساوق إلغاء النزاع؛ لأنّ أساس الشبهة تحت کیفیّة إمکان الأمر و النهی فی المجمع مع التلازم الأحیانیّ، و إذا 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قانونیّة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 النوبة إلی اعتبار القید المزبور و عدمه، فتأمّل جدّاً</w:t>
      </w:r>
      <w:r>
        <w:rPr>
          <w:rFonts w:eastAsia="IRNazanin" w:cs="IRNazanin"/>
          <w:color w:val="111111"/>
          <w:sz w:val="28"/>
          <w:szCs w:val="28"/>
          <w:rtl w:val="true"/>
          <w:lang w:bidi="fa-IR"/>
        </w:rPr>
        <w:t>.</w:t>
      </w:r>
    </w:p>
    <w:p>
      <w:pPr>
        <w:pStyle w:val="Heading6"/>
        <w:numPr>
          <w:ilvl w:val="5"/>
          <w:numId w:val="1"/>
        </w:numPr>
        <w:rPr/>
      </w:pPr>
      <w:bookmarkStart w:id="302" w:name="__RefHeading___Toc533793_3244359995"/>
      <w:bookmarkStart w:id="303" w:name="_Toc114"/>
      <w:bookmarkEnd w:id="302"/>
      <w:r>
        <w:rPr>
          <w:rtl w:val="true"/>
        </w:rPr>
        <w:t>الوجه الرابع</w:t>
      </w:r>
      <w:r>
        <w:rPr>
          <w:rtl w:val="true"/>
        </w:rPr>
        <w:t>:</w:t>
      </w:r>
      <w:bookmarkEnd w:id="30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اعتبار قید المندوحة یلازم الالتزام بالاجتماع، و یستلزم سقوط النزاع قهرا، فیکون مضرّا؛ و ذلک لأنّ البحث فی مسألة الاجتماع و الامتناع، لا یدور حول</w:t>
      </w:r>
      <w:bookmarkStart w:id="304" w:name="pg13163_143062"/>
    </w:p>
    <w:p>
      <w:pPr>
        <w:pStyle w:val="BookText"/>
        <w:rPr/>
      </w:pPr>
      <w:bookmarkEnd w:id="304"/>
      <w:r>
        <w:rPr>
          <w:rFonts w:ascii="IRNazanin" w:hAnsi="IRNazanin" w:eastAsia="IRNazanin"/>
          <w:color w:val="111111"/>
          <w:sz w:val="28"/>
          <w:sz w:val="28"/>
          <w:szCs w:val="28"/>
          <w:rtl w:val="true"/>
          <w:lang w:bidi="fa-IR"/>
        </w:rPr>
        <w:t>أنّ الأحکام متضادّة أم لا، و لا یدور حول أنّ المحبوبیّة و المبغوضیّة متضادّة أم لا، و لا حول أنّ المصالح و المفاسد متباینات أم لا؛ ضرورة أنّ اجتماع هذه الأمور إمّا غیر لازم، أو غیر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یدور حول السرایة و عدمها، و لا حول الترکیب الاتحادی و الانضمامیّ، کما عرفت مرارا</w:t>
      </w:r>
      <w:r>
        <w:rPr>
          <w:rStyle w:val="FootnoteAnchor"/>
          <w:rtl w:val="true"/>
        </w:rPr>
        <w:footnoteReference w:id="396"/>
      </w:r>
      <w:r>
        <w:rPr>
          <w:rFonts w:ascii="IRNazanin" w:hAnsi="IRNazanin" w:eastAsia="IRNazanin"/>
          <w:color w:val="111111"/>
          <w:sz w:val="28"/>
          <w:sz w:val="28"/>
          <w:szCs w:val="28"/>
          <w:rtl w:val="true"/>
          <w:lang w:bidi="fa-IR"/>
        </w:rPr>
        <w:t>لإمکان الالتزام بالامتناع مع القول بالانضمام و عدم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أساس النزاع و مبدأ الخلاف و التشاحّ؛ هو أنّ فی المجمع یمکن المحافظة علی إطلاق الأمر و النهی، و تکون الإرادتان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الآمریّة و الزاجریّة، باقیتین فیه علی قوّتهما، أم لا، و إذا کان المکلّف متمکّنا من الجمع بین الصلاة و ترک الغصب، فلا معنی للإشکال فی الإمکان المذکور؛ ضرورة وضوح جواز ترشّح الإرادتین حتّی فی المجمع، فالنزاع یصحّ علی تقدیر عدم وجود المندوحة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وجه الامتناع أحد الأمور المزبورة إجمالا، فلا یضرّ قید المندوحة؛ لأنّ القائل بالامتناع یقول بتضادّ الأحکام، و مع وحدة المجمع یلزم الجمع بین الضدّین، و هکذا سائر التوهّمات، فإنّه عند ذلک لا ینفع و لا یضرّ، و أمّا إذا کان فساد هذه الأمور واضحا، فیضرّ القید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التفصیل، فلا یعتبر قید المندوحة علی أساس الأمور المشار إلیها، و یکون مضرّا علی الأصل المذکور</w:t>
      </w:r>
      <w:r>
        <w:rPr>
          <w:rFonts w:eastAsia="IRNazanin" w:cs="IRNazanin"/>
          <w:color w:val="111111"/>
          <w:sz w:val="28"/>
          <w:szCs w:val="28"/>
          <w:rtl w:val="true"/>
          <w:lang w:bidi="fa-IR"/>
        </w:rPr>
        <w:t>.</w:t>
      </w:r>
    </w:p>
    <w:p>
      <w:pPr>
        <w:pStyle w:val="Heading6"/>
        <w:numPr>
          <w:ilvl w:val="5"/>
          <w:numId w:val="1"/>
        </w:numPr>
        <w:rPr/>
      </w:pPr>
      <w:bookmarkStart w:id="305" w:name="__RefHeading___Toc533795_3244359995"/>
      <w:bookmarkStart w:id="306" w:name="_Toc115"/>
      <w:bookmarkEnd w:id="305"/>
      <w:r>
        <w:rPr>
          <w:rtl w:val="true"/>
        </w:rPr>
        <w:t>الوجه الخامس</w:t>
      </w:r>
      <w:r>
        <w:rPr>
          <w:rtl w:val="true"/>
        </w:rPr>
        <w:t>:</w:t>
      </w:r>
      <w:bookmarkEnd w:id="30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النزاع إن کان حیثیّا، فلا حاجة إلی قید المندوحة، و إن کان النزاع مطلقا و فرض فعلیّة الأمر و النهی، فلا تعتبر المندوحة أیضا و إن لم نقل بالخطابات القانونیّة؛ و ذلک أنّ المبحوث عنه فی مسألة الاجتماع و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الأمر مع</w:t>
      </w:r>
      <w:bookmarkStart w:id="307" w:name="pg13163_143063"/>
    </w:p>
    <w:p>
      <w:pPr>
        <w:pStyle w:val="BookText"/>
        <w:rPr/>
      </w:pPr>
      <w:bookmarkEnd w:id="307"/>
      <w:r>
        <w:rPr>
          <w:rFonts w:ascii="IRNazanin" w:hAnsi="IRNazanin" w:eastAsia="IRNazanin"/>
          <w:color w:val="111111"/>
          <w:sz w:val="28"/>
          <w:sz w:val="28"/>
          <w:szCs w:val="28"/>
          <w:rtl w:val="true"/>
          <w:lang w:bidi="fa-IR"/>
        </w:rPr>
        <w:t>قطع النّظر عن النهی یکون فعلیّا علی عنوانه، و النهی مع قطع النّظر عن الأمر یکون فعلیّا علی عنوانه، و إنّما النزاع فی أنّهما معا یبقیان علی فعلیّتهما فی المجمع أم لا؟</w:t>
      </w:r>
    </w:p>
    <w:p>
      <w:pPr>
        <w:pStyle w:val="BookText"/>
        <w:rPr/>
      </w:pPr>
      <w:r>
        <w:rPr>
          <w:rFonts w:ascii="IRNazanin" w:hAnsi="IRNazanin" w:eastAsia="IRNazanin"/>
          <w:color w:val="111111"/>
          <w:sz w:val="28"/>
          <w:sz w:val="28"/>
          <w:szCs w:val="28"/>
          <w:rtl w:val="true"/>
          <w:lang w:bidi="fa-IR"/>
        </w:rPr>
        <w:t xml:space="preserve">و لا شبهة فی أنّ أمر الصلاة مع قطع النّظر عن حرمة الغصب فعلیّ و بالعکس، فعلیه لا معنی للتمسّک بأنّ الممتنع الشرعیّ کالممتنع العقلیّ </w:t>
      </w:r>
      <w:r>
        <w:rPr>
          <w:rStyle w:val="FootnoteAnchor"/>
          <w:rtl w:val="true"/>
        </w:rPr>
        <w:footnoteReference w:id="397"/>
      </w:r>
      <w:r>
        <w:rPr>
          <w:rFonts w:ascii="IRNazanin" w:hAnsi="IRNazanin" w:eastAsia="IRNazanin"/>
          <w:color w:val="111111"/>
          <w:sz w:val="28"/>
          <w:sz w:val="28"/>
          <w:szCs w:val="28"/>
          <w:rtl w:val="true"/>
          <w:lang w:bidi="fa-IR"/>
        </w:rPr>
        <w:t>، حتّی یعتبر قید المندوحة فی محطّ الخلاف؛ ضرورة أنّ المکلّف یتمکّن من امتثال أمر الصلاة مع قطع النّظر عن حرمة الغصب و بالعکس، فیکون الخلاف فی هذه الصورة و فی أنّهما یبقیان فی المجمع علی حالهما من الفعلیة أم لا، فلا یعتبر المندوحة فی الفعلیّة المقصودة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 بالامتناع یقع التعارض بالعرض؛ سواء کانت المندوحة، أو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قلنا بالاجتماع، فإن کانت المندوحة فلا یقع التزاحم إلاّ علی وجه أبدعناه فی إمکان التزاحم مع القدرة علی الجمع فی التزاحم بین أحد أطراف الواجب التخییریّ و بین الواجب التعیینیّ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لم یکن مندوحة فیقع التزاحم، و یعالج المبتلی به بمعالجات باب التزاحم، فالمندوحة مفیدة فی نتیجة المسألة، لا فی النزاع و عدمه</w:t>
      </w:r>
      <w:r>
        <w:rPr>
          <w:rFonts w:eastAsia="IRNazanin" w:cs="IRNazanin"/>
          <w:color w:val="111111"/>
          <w:sz w:val="28"/>
          <w:szCs w:val="28"/>
          <w:rtl w:val="true"/>
          <w:lang w:bidi="fa-IR"/>
        </w:rPr>
        <w:t>.</w:t>
      </w:r>
    </w:p>
    <w:p>
      <w:pPr>
        <w:pStyle w:val="Heading6"/>
        <w:numPr>
          <w:ilvl w:val="5"/>
          <w:numId w:val="1"/>
        </w:numPr>
        <w:rPr/>
      </w:pPr>
      <w:bookmarkStart w:id="308" w:name="__RefHeading___Toc533797_3244359995"/>
      <w:bookmarkStart w:id="309" w:name="_Toc116"/>
      <w:bookmarkEnd w:id="308"/>
      <w:r>
        <w:rPr>
          <w:rtl w:val="true"/>
        </w:rPr>
        <w:t>التحقیق فی عدم اعتبار المندوحة</w:t>
      </w:r>
      <w:bookmarkEnd w:id="309"/>
    </w:p>
    <w:p>
      <w:pPr>
        <w:pStyle w:val="Heading6"/>
        <w:numPr>
          <w:ilvl w:val="5"/>
          <w:numId w:val="1"/>
        </w:numPr>
        <w:rPr/>
      </w:pPr>
      <w:bookmarkStart w:id="310" w:name="__RefHeading___Toc533799_3244359995"/>
      <w:bookmarkStart w:id="311" w:name="_Toc117"/>
      <w:bookmarkEnd w:id="310"/>
      <w:r>
        <w:rPr>
          <w:rtl w:val="true"/>
        </w:rPr>
        <w:t>اشارة</w:t>
      </w:r>
      <w:bookmarkEnd w:id="31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تبیّنت هذه الوجوه الرئیسة فی المسألة و مبانیها، فالذی هو الأقوی فی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المندوحة مضرّة بأساس البحث علی الوجه الّذی هو مورد نظرنا</w:t>
      </w:r>
      <w:r>
        <w:rPr>
          <w:rFonts w:eastAsia="IRNazanin" w:cs="IRNazanin"/>
          <w:color w:val="111111"/>
          <w:sz w:val="28"/>
          <w:szCs w:val="28"/>
          <w:rtl w:val="true"/>
          <w:lang w:bidi="fa-IR"/>
        </w:rPr>
        <w:t>.</w:t>
      </w:r>
      <w:bookmarkStart w:id="312" w:name="pg13163_143064"/>
    </w:p>
    <w:p>
      <w:pPr>
        <w:pStyle w:val="BookText"/>
        <w:rPr/>
      </w:pPr>
      <w:bookmarkEnd w:id="312"/>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من تفرّعات مبنی النزاع و أصل التشاحّ؛ فعلی ما تخیّلناه </w:t>
      </w:r>
      <w:r>
        <w:rPr>
          <w:rStyle w:val="FootnoteAnchor"/>
          <w:rtl w:val="true"/>
        </w:rPr>
        <w:footnoteReference w:id="399"/>
      </w:r>
      <w:r>
        <w:rPr>
          <w:rFonts w:ascii="IRNazanin" w:hAnsi="IRNazanin" w:eastAsia="IRNazanin"/>
          <w:color w:val="111111"/>
          <w:sz w:val="28"/>
          <w:sz w:val="28"/>
          <w:szCs w:val="28"/>
          <w:rtl w:val="true"/>
          <w:lang w:bidi="fa-IR"/>
        </w:rPr>
        <w:t xml:space="preserve">یکون مضرّا، و علی ما توهّمه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لا یکون شرطا، إلاّ إذا کان المراد من الأمر و النهی الحکمین الفعلیین، و علی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لا یکون شرطا مطلقا، و علی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الخطابات </w:t>
      </w:r>
      <w:r>
        <w:rPr>
          <w:rStyle w:val="FootnoteAnchor"/>
          <w:rtl w:val="true"/>
        </w:rPr>
        <w:footnoteReference w:id="402"/>
      </w:r>
      <w:r>
        <w:rPr>
          <w:rFonts w:ascii="IRNazanin" w:hAnsi="IRNazanin" w:eastAsia="IRNazanin"/>
          <w:color w:val="111111"/>
          <w:sz w:val="28"/>
          <w:sz w:val="28"/>
          <w:szCs w:val="28"/>
          <w:rtl w:val="true"/>
          <w:lang w:bidi="fa-IR"/>
        </w:rPr>
        <w:t>یکون شرطا؛ بناء علی عدم کون البحث حیثیّا،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یناله أهله،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المندوحة دائر بین کونه مضرّا، و بین کونه غیر لازم حتّی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الأمر و النهی التکلیفین الفعلیین؛ و أنّ الخطابات شخصیّة، لا کلیّة قانونیّة</w:t>
      </w:r>
      <w:r>
        <w:rPr>
          <w:rFonts w:eastAsia="IRNazanin" w:cs="IRNazanin"/>
          <w:color w:val="111111"/>
          <w:sz w:val="28"/>
          <w:szCs w:val="28"/>
          <w:rtl w:val="true"/>
          <w:lang w:bidi="fa-IR"/>
        </w:rPr>
        <w:t>.</w:t>
      </w:r>
    </w:p>
    <w:p>
      <w:pPr>
        <w:pStyle w:val="Heading6"/>
        <w:numPr>
          <w:ilvl w:val="5"/>
          <w:numId w:val="1"/>
        </w:numPr>
        <w:rPr/>
      </w:pPr>
      <w:bookmarkStart w:id="313" w:name="__RefHeading___Toc533801_3244359995"/>
      <w:bookmarkStart w:id="314" w:name="_Toc118"/>
      <w:bookmarkEnd w:id="313"/>
      <w:r>
        <w:rPr>
          <w:rtl w:val="true"/>
        </w:rPr>
        <w:t>و فذلکة الکلام فی المقام</w:t>
      </w:r>
      <w:bookmarkEnd w:id="3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خلافا جوهریّا، و الاختلاف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فی أصل مبنائیّ؛ و هو انحلال الخطاب القانونیّ إلی الخطابات الشخصیّة و عدمه، و ما هو المخالف جوهرا، هو أمران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المندوحة مضرّ بالنزاع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المندوحة لا یعتبر؛ و لو کان المراد من الأمر و النهی التکلیفین الفعلیین، و قلنا بانحلال الخطابات القانونیّة إلی الجزئیّة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بحمد اللَّه و له الشکر اطلعت علی أنّ مع الالتزام بالانحلال المزبور، لا یلزم کون البحث فی جهة خاصّة؛ و هو أنّ تعدّد العنوان یورث تعدّد المعنون، أم لا</w:t>
      </w:r>
      <w:r>
        <w:rPr>
          <w:rFonts w:eastAsia="IRNazanin" w:cs="IRNazanin"/>
          <w:color w:val="111111"/>
          <w:sz w:val="28"/>
          <w:szCs w:val="28"/>
          <w:rtl w:val="true"/>
          <w:lang w:bidi="fa-IR"/>
        </w:rPr>
        <w:t>.</w:t>
      </w:r>
      <w:bookmarkStart w:id="315" w:name="pg13163_143065"/>
    </w:p>
    <w:p>
      <w:pPr>
        <w:pStyle w:val="Heading6"/>
        <w:numPr>
          <w:ilvl w:val="5"/>
          <w:numId w:val="1"/>
        </w:numPr>
        <w:rPr/>
      </w:pPr>
      <w:bookmarkStart w:id="316" w:name="__RefHeading___Toc533803_3244359995"/>
      <w:bookmarkStart w:id="317" w:name="_Toc119"/>
      <w:bookmarkEnd w:id="315"/>
      <w:bookmarkEnd w:id="316"/>
      <w:r>
        <w:rPr>
          <w:rtl w:val="true"/>
        </w:rPr>
        <w:t>تذنیب</w:t>
      </w:r>
      <w:r>
        <w:rPr>
          <w:rtl w:val="true"/>
        </w:rPr>
        <w:t xml:space="preserve">: </w:t>
      </w:r>
      <w:r>
        <w:rPr>
          <w:rtl w:val="true"/>
        </w:rPr>
        <w:t>فی کلام المحقّق القمّی</w:t>
      </w:r>
      <w:bookmarkEnd w:id="317"/>
    </w:p>
    <w:p>
      <w:pPr>
        <w:pStyle w:val="BookText"/>
        <w:rPr/>
      </w:pPr>
      <w:r>
        <w:rPr>
          <w:rFonts w:ascii="IRNazanin" w:hAnsi="IRNazanin" w:eastAsia="IRNazanin"/>
          <w:color w:val="111111"/>
          <w:sz w:val="28"/>
          <w:sz w:val="28"/>
          <w:szCs w:val="28"/>
          <w:rtl w:val="true"/>
          <w:lang w:bidi="fa-IR"/>
        </w:rPr>
        <w:t>عن المحقّق القمّی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قید المندوحة معتبر؛ لقبح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العجز عن امتثال الأمر مستندا إلی سوء اختیار المکلّف، فلا یعتبر</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قدس سره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القبح هو القبح العقلائیّ القابل للاستثناء، مع أنّه قبح ناشئ من الامتناع العقلیّ غیر القابل للتخصیص</w:t>
      </w:r>
      <w:r>
        <w:rPr>
          <w:rFonts w:eastAsia="IRNazanin" w:cs="IRNazanin"/>
          <w:color w:val="111111"/>
          <w:sz w:val="28"/>
          <w:szCs w:val="28"/>
          <w:rtl w:val="true"/>
          <w:lang w:bidi="fa-IR"/>
        </w:rPr>
        <w:t>.</w:t>
      </w:r>
    </w:p>
    <w:p>
      <w:pPr>
        <w:pStyle w:val="Heading6"/>
        <w:numPr>
          <w:ilvl w:val="5"/>
          <w:numId w:val="1"/>
        </w:numPr>
        <w:rPr/>
      </w:pPr>
      <w:bookmarkStart w:id="318" w:name="__RefHeading___Toc533805_3244359995"/>
      <w:bookmarkStart w:id="319" w:name="_Toc120"/>
      <w:bookmarkEnd w:id="318"/>
      <w:r>
        <w:rPr>
          <w:rtl w:val="true"/>
        </w:rPr>
        <w:t>إفادة</w:t>
      </w:r>
      <w:r>
        <w:rPr>
          <w:rtl w:val="true"/>
        </w:rPr>
        <w:t xml:space="preserve">: </w:t>
      </w:r>
      <w:r>
        <w:rPr>
          <w:rtl w:val="true"/>
        </w:rPr>
        <w:t>حول مختار المحقّق الإیروانی قدس سره فی عدم اعتبار المندوحة</w:t>
      </w:r>
      <w:bookmarkEnd w:id="319"/>
    </w:p>
    <w:p>
      <w:pPr>
        <w:pStyle w:val="BookText"/>
        <w:rPr/>
      </w:pPr>
      <w:r>
        <w:rPr>
          <w:rFonts w:ascii="IRNazanin" w:hAnsi="IRNazanin" w:eastAsia="IRNazanin"/>
          <w:color w:val="111111"/>
          <w:sz w:val="28"/>
          <w:sz w:val="28"/>
          <w:szCs w:val="28"/>
          <w:rtl w:val="true"/>
          <w:lang w:bidi="fa-IR"/>
        </w:rPr>
        <w:t>عن الفاضل الإیروانی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اعتبار قید المندوحة لا معنی له؛ بناء علی تعلّق الأمر و النهی بالأفراد، ضرورة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الفرد المباح من المأمور به الّذی یکون المکلّف لأجله فی الوسع و الفسحة من الامتثال، و إذا کان مورد الأمر هو الفرد، فلا یکون الفرد الآخر فردا من المأمور به، بل هو فرد آخر مخصوص بأمر آخر، و لا یکون فردا للطبیعة التی هی مورد الأمر</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الفاضل أیضا اغترّ بما فی ظاهر کلماتهم 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المندوحة</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 إلاّ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یبرّر التکلیف، فإذا کان المکلّف مقتدرا علی امتثال أحد الأطراف من التکلیف التخییریّ، فلا مانع من توجیه الخطاب بنحو التخییر إلیه، إلاّ إذا کان التخییر شرعیّا، فإنّه عندنا أیضا غیر ممکن، فلیلاحظ جیّدا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تعلّق الأمر بالأفراد، لیس إلاّ عدم المحلّ لاعتبار قید</w:t>
      </w:r>
      <w:bookmarkStart w:id="320" w:name="pg13163_143066"/>
    </w:p>
    <w:p>
      <w:pPr>
        <w:pStyle w:val="BookText"/>
        <w:rPr/>
      </w:pPr>
      <w:bookmarkEnd w:id="320"/>
      <w:r>
        <w:rPr>
          <w:rFonts w:ascii="IRNazanin" w:hAnsi="IRNazanin" w:eastAsia="IRNazanin"/>
          <w:color w:val="111111"/>
          <w:sz w:val="28"/>
          <w:sz w:val="28"/>
          <w:szCs w:val="28"/>
          <w:rtl w:val="true"/>
          <w:lang w:bidi="fa-IR"/>
        </w:rPr>
        <w:t>المندوحة، و لکن لا یلزم منه سقوط النزاع کما عرفت؛ لأنّ تعلّق الأمر بفرد من الصلاة إذا کان ممکنا عقلا فی المغصوب، لا یکون ممتنعا؛ لأنّ المفروض تعلّقه بفرد منها مع قطع النّظر عن محرّمیة الغصب، و هکذا فی جانب النهی، فلا وجه للتمسّک بأنّ الممتنع الشرعیّ کالممتنع العقلیّ؛ لأنّ الکلام هنا حول لزوم الامتناع الشرعیّ أم لا؛ ضرورة أنّ مع الالتزام بالاجتماع، لا تکون الصلاة فی المغصوب من الممتنع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صحّ أنّ الممتنع الشرعیّ کالممتنع العقلیّ، فهو فی مثل ما إذا کان مقدّمة الواجب حراما، و أمّا إذا کان ملازمه حراما فلا یکون منه، کما لا یخفی، و سیظهر فی الآتی بعض البحث حول هذه المسألة إن شاء اللَّه تعالی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533807_3244359995"/>
      <w:bookmarkStart w:id="322" w:name="_Toc121"/>
      <w:bookmarkEnd w:id="321"/>
      <w:r>
        <w:rPr>
          <w:rtl w:val="true"/>
        </w:rPr>
        <w:t>إیقاظ</w:t>
      </w:r>
      <w:r>
        <w:rPr>
          <w:rtl w:val="true"/>
        </w:rPr>
        <w:t xml:space="preserve">: </w:t>
      </w:r>
      <w:r>
        <w:rPr>
          <w:rtl w:val="true"/>
        </w:rPr>
        <w:t>فی تحقّق المندوحة بالتمکّن الطولی من الفرد المباح</w:t>
      </w:r>
      <w:bookmarkEnd w:id="322"/>
    </w:p>
    <w:p>
      <w:pPr>
        <w:pStyle w:val="BookText"/>
        <w:rPr/>
      </w:pPr>
      <w:r>
        <w:rPr>
          <w:rFonts w:ascii="IRNazanin" w:hAnsi="IRNazanin" w:eastAsia="IRNazanin"/>
          <w:color w:val="111111"/>
          <w:sz w:val="28"/>
          <w:sz w:val="28"/>
          <w:szCs w:val="28"/>
          <w:rtl w:val="true"/>
          <w:lang w:bidi="fa-IR"/>
        </w:rPr>
        <w:t xml:space="preserve">کما یکون التمکّن من الفرد المباح عرضا من المندوحة، کذلک التمکّن منه طولا یکون من المندوحة، فلو کان فی أوّل الوقت عاجزا عنه دون آخره صحّ التکلیف؛ لما عرفت من عدم اعتبار القدرة علی الامتثال حین التکلیف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اعتبار أصل القدرة فی الفعلیّة، و إلاّ فالأمر أوضح</w:t>
      </w:r>
      <w:r>
        <w:rPr>
          <w:rFonts w:eastAsia="IRNazanin" w:cs="IRNazanin"/>
          <w:color w:val="111111"/>
          <w:sz w:val="28"/>
          <w:szCs w:val="28"/>
          <w:rtl w:val="true"/>
          <w:lang w:bidi="fa-IR"/>
        </w:rPr>
        <w:t>.</w:t>
      </w:r>
    </w:p>
    <w:p>
      <w:pPr>
        <w:pStyle w:val="Heading6"/>
        <w:numPr>
          <w:ilvl w:val="5"/>
          <w:numId w:val="1"/>
        </w:numPr>
        <w:rPr/>
      </w:pPr>
      <w:bookmarkStart w:id="323" w:name="__RefHeading___Toc533809_3244359995"/>
      <w:bookmarkStart w:id="324" w:name="_Toc122"/>
      <w:bookmarkEnd w:id="323"/>
      <w:r>
        <w:rPr>
          <w:rtl w:val="true"/>
        </w:rPr>
        <w:t>الأمر الرابع</w:t>
      </w:r>
      <w:r>
        <w:rPr>
          <w:rtl w:val="true"/>
        </w:rPr>
        <w:t xml:space="preserve">: </w:t>
      </w:r>
      <w:r>
        <w:rPr>
          <w:rtl w:val="true"/>
        </w:rPr>
        <w:t>ترتّب الثمرة المقصودة</w:t>
      </w:r>
      <w:bookmarkEnd w:id="324"/>
    </w:p>
    <w:p>
      <w:pPr>
        <w:pStyle w:val="Heading6"/>
        <w:numPr>
          <w:ilvl w:val="5"/>
          <w:numId w:val="1"/>
        </w:numPr>
        <w:rPr/>
      </w:pPr>
      <w:bookmarkStart w:id="325" w:name="__RefHeading___Toc533811_3244359995"/>
      <w:bookmarkStart w:id="326" w:name="_Toc123"/>
      <w:bookmarkEnd w:id="325"/>
      <w:r>
        <w:rPr>
          <w:rtl w:val="true"/>
        </w:rPr>
        <w:t>اشارة</w:t>
      </w:r>
      <w:bookmarkEnd w:id="32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شرائط عقلائیّة النزاع ترتّب الثمرة المقصودة، فإذا کان قضیّة القول بالاجتماع هی صحّة الصلاة فی المغصوب، کان للنزاع المعروف وجه عقلائیّ، و إلاّ</w:t>
      </w:r>
      <w:bookmarkStart w:id="327" w:name="pg13163_143067"/>
    </w:p>
    <w:p>
      <w:pPr>
        <w:pStyle w:val="BookText"/>
        <w:rPr/>
      </w:pPr>
      <w:bookmarkEnd w:id="327"/>
      <w:r>
        <w:rPr>
          <w:rFonts w:ascii="IRNazanin" w:hAnsi="IRNazanin" w:eastAsia="IRNazanin"/>
          <w:color w:val="111111"/>
          <w:sz w:val="28"/>
          <w:sz w:val="28"/>
          <w:szCs w:val="28"/>
          <w:rtl w:val="true"/>
          <w:lang w:bidi="fa-IR"/>
        </w:rPr>
        <w:t>فلا و یکون مجرّد إتلاف الوقت، و قد وقعت صحّتها مورد الإشکالات مطلقا</w:t>
      </w:r>
      <w:r>
        <w:rPr>
          <w:rFonts w:eastAsia="IRNazanin" w:cs="IRNazanin"/>
          <w:color w:val="111111"/>
          <w:sz w:val="28"/>
          <w:szCs w:val="28"/>
          <w:rtl w:val="true"/>
          <w:lang w:bidi="fa-IR"/>
        </w:rPr>
        <w:t>:</w:t>
      </w:r>
    </w:p>
    <w:p>
      <w:pPr>
        <w:pStyle w:val="Heading6"/>
        <w:numPr>
          <w:ilvl w:val="5"/>
          <w:numId w:val="1"/>
        </w:numPr>
        <w:rPr/>
      </w:pPr>
      <w:bookmarkStart w:id="328" w:name="__RefHeading___Toc533813_3244359995"/>
      <w:bookmarkStart w:id="329" w:name="_Toc124"/>
      <w:bookmarkEnd w:id="328"/>
      <w:r>
        <w:rPr>
          <w:rtl w:val="true"/>
        </w:rPr>
        <w:t>الإشکال الأوّل</w:t>
      </w:r>
      <w:r>
        <w:rPr>
          <w:rtl w:val="true"/>
        </w:rPr>
        <w:t>:</w:t>
      </w:r>
      <w:bookmarkEnd w:id="329"/>
    </w:p>
    <w:p>
      <w:pPr>
        <w:pStyle w:val="BookText"/>
        <w:rPr/>
      </w:pPr>
      <w:r>
        <w:rPr>
          <w:rFonts w:ascii="IRNazanin" w:hAnsi="IRNazanin" w:eastAsia="IRNazanin"/>
          <w:color w:val="111111"/>
          <w:sz w:val="28"/>
          <w:sz w:val="28"/>
          <w:szCs w:val="28"/>
          <w:rtl w:val="true"/>
          <w:lang w:bidi="fa-IR"/>
        </w:rPr>
        <w:t>من ناحیة أنّ المقرّب و المبعّد لا یمکن أن یکونا واحدا، و الالتزام بجواز اجتماع الأمر و النهی فی مرحلة التشریع، لا یلازم صحّة الصلاة فی المجمع، و صحّة کون الواحد مقرّبا و مبعّدا؛ ضرورة أنّ الإرادة التشریعیّة لا تتعلّق إلاّ بما قامت به المصالح؛ و هی الصلاة و حیثیّتها، و أمّا الإرادة التکوینیّة الفاعلیّة، فهی تتعلّق بالوجود الخاصّ الّذی هو أمر وحدانیّ جزئیّ، و إذا کان هو مبغوضا لأجل مصداقیّته للحیثیّة المبغوضة، فلا یصلح لأن یتقرّب به، و قد اشترطوا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المأتیّ به صالحا لأن یتقرّب به </w:t>
      </w:r>
      <w:r>
        <w:rPr>
          <w:rStyle w:val="FootnoteAnchor"/>
          <w:rtl w:val="true"/>
        </w:rPr>
        <w:footnoteReference w:id="408"/>
      </w:r>
      <w:r>
        <w:rPr>
          <w:rFonts w:ascii="IRNazanin" w:hAnsi="IRNazanin" w:eastAsia="IRNazanin"/>
          <w:color w:val="111111"/>
          <w:sz w:val="28"/>
          <w:sz w:val="28"/>
          <w:szCs w:val="28"/>
          <w:rtl w:val="true"/>
          <w:lang w:bidi="fa-IR"/>
        </w:rPr>
        <w:t>، و تلک الصلاحیة لا تتلاءم مع کونه مبعّدا، و لأجل ذلک حکم الأصحاب بفساد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لأجل الامتناع قالوا بالبطلان </w:t>
      </w:r>
      <w:r>
        <w:rPr>
          <w:rStyle w:val="FootnoteAnchor"/>
          <w:rtl w:val="true"/>
        </w:rPr>
        <w:footnoteReference w:id="409"/>
      </w:r>
      <w:r>
        <w:rPr>
          <w:rFonts w:ascii="IRNazanin" w:hAnsi="IRNazanin" w:eastAsia="IRNazanin"/>
          <w:color w:val="111111"/>
          <w:sz w:val="28"/>
          <w:sz w:val="28"/>
          <w:szCs w:val="28"/>
          <w:rtl w:val="true"/>
          <w:lang w:bidi="fa-IR"/>
        </w:rPr>
        <w:t xml:space="preserve">، فی غیر محله؛ لأن المراجعة إلی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 xml:space="preserve">و السید رحمه اللَّه </w:t>
      </w:r>
      <w:r>
        <w:rPr>
          <w:rStyle w:val="FootnoteAnchor"/>
          <w:rtl w:val="true"/>
        </w:rPr>
        <w:footnoteReference w:id="411"/>
      </w:r>
      <w:r>
        <w:rPr>
          <w:rFonts w:ascii="IRNazanin" w:hAnsi="IRNazanin" w:eastAsia="IRNazanin"/>
          <w:color w:val="111111"/>
          <w:sz w:val="28"/>
          <w:sz w:val="28"/>
          <w:szCs w:val="28"/>
          <w:rtl w:val="true"/>
          <w:lang w:bidi="fa-IR"/>
        </w:rPr>
        <w:t>لا تعطی مقالتهم بالامتناع، و إفتاءهم بالبطلان لا یلازم ذلک؛ لما یمکن أن یقولوا بالجواز فی کبری المسألة، و بالبطلان فی مقام الامتثال، و تکون النتیجة هی الامتناع فی مقام الامتثال؛ أی فساد الصلاة فی المجمع، فنسبة الامتناع إلی المشهور استنادا إلی الفتوی المذکورة، فی غیر محلّها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المقرّبیة و المبعّدیة، لیستا من العوارض الخارجیّة و من المقولات العرضیّة، فهی الاعتباریّات القائمة بوجوه و استحسانات، و من الأمور</w:t>
      </w:r>
    </w:p>
    <w:p>
      <w:pPr>
        <w:pStyle w:val="BookText"/>
        <w:rPr/>
      </w:pPr>
      <w:r>
        <w:rPr>
          <w:rFonts w:ascii="IRNazanin" w:hAnsi="IRNazanin" w:eastAsia="IRNazanin"/>
          <w:color w:val="111111"/>
          <w:sz w:val="28"/>
          <w:sz w:val="28"/>
          <w:szCs w:val="28"/>
          <w:rtl w:val="true"/>
          <w:lang w:bidi="fa-IR"/>
        </w:rPr>
        <w:t>المعنویّة و الروحانیّة القابلة للتفکیک فی مقام الدرک و الامتثال، فکون الصلاة مقرّبة، لیس إلا أنها قابلة لأن یتقرّب بها منه تعالی مع رعایة الشرائط الاخر، و هکذا مبعدیة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کما تتعلق إرادة الأمر بالبعث نحو الصلاة، کذلک تتعلق إرادة الفاعل بما یمکن أن یکون لأجل اشتماله علی المقرب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 منه تعالی، فالإرادة الفاعلیة لا تتعلق بما هو المبعد، و لا بما هو المقرب، بل تتعلق بما هو یمکن أن یتقرب به، و یمکن أن یتعبد به بلا شبهة؛ لأن المجمع منشأ اعتبار ما هو المقرب بالذات و هی الصلاة، و ما هو المبعّد بالذات و هو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التحلیل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الصلاة مورد الإرادة بالذات، و لا التصرف، بل ما هو مورد الإرادة هی الحرکة الخارجیّة، و اتصاف تلک الحرکات بالعناوین؛ لأجل انضمام المقاصد و النیّات بها، و لو کانت الصلاة من المقولات و هکذا الغصب، لکان تتعلق الإرادة بهما، و أما إذا کانا من الاعتباریات فلا یتم التوهم المزبور الّذی أفاده أستاذنا البروجردیّ قدس سره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إشکالا لا یختص بمورد، بل یأتی فی جمیع العبادات فی المجمع، فلا تغفل، و کن علی بصیرة، و سیأتی توضیح ذلک بذکر الأمثلة العرفیّة حول المفاسد المتوهّمة علی القول بالاجتماع إن شاء اللَّه تعالی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فی کلماته؛ من اعتبار کون الشی‌ء صالحا للمقرّبیة زائدا علی اعتبار قصد القربة</w:t>
      </w:r>
      <w:r>
        <w:rPr>
          <w:rStyle w:val="FootnoteAnchor"/>
          <w:rtl w:val="true"/>
        </w:rPr>
        <w:footnoteReference w:id="415"/>
      </w:r>
      <w:r>
        <w:rPr>
          <w:rFonts w:ascii="IRNazanin" w:hAnsi="IRNazanin" w:eastAsia="IRNazanin"/>
          <w:color w:val="111111"/>
          <w:sz w:val="28"/>
          <w:sz w:val="28"/>
          <w:szCs w:val="28"/>
          <w:rtl w:val="true"/>
          <w:lang w:bidi="fa-IR"/>
        </w:rPr>
        <w:t>، لا یکون راجعا إلی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بطلان العبادة فی المجمع</w:t>
      </w:r>
    </w:p>
    <w:p>
      <w:pPr>
        <w:pStyle w:val="BookText"/>
        <w:rPr/>
      </w:pPr>
      <w:r>
        <w:rPr>
          <w:rFonts w:ascii="IRNazanin" w:hAnsi="IRNazanin" w:eastAsia="IRNazanin"/>
          <w:color w:val="111111"/>
          <w:sz w:val="28"/>
          <w:sz w:val="28"/>
          <w:szCs w:val="28"/>
          <w:rtl w:val="true"/>
          <w:lang w:bidi="fa-IR"/>
        </w:rPr>
        <w:t xml:space="preserve">لأجل هذا و ما یأتی </w:t>
      </w:r>
      <w:r>
        <w:rPr>
          <w:rStyle w:val="FootnoteAnchor"/>
          <w:rtl w:val="true"/>
        </w:rPr>
        <w:footnoteReference w:id="416"/>
      </w:r>
      <w:r>
        <w:rPr>
          <w:rFonts w:ascii="IRNazanin" w:hAnsi="IRNazanin" w:eastAsia="IRNazanin"/>
          <w:color w:val="111111"/>
          <w:sz w:val="28"/>
          <w:sz w:val="28"/>
          <w:szCs w:val="28"/>
          <w:rtl w:val="true"/>
          <w:lang w:bidi="fa-IR"/>
        </w:rPr>
        <w:t>، فلا نسلم انحصار الثمرة بصحة العبادة؛ بعد ما عرفت من جریان النزاع فی العبادات و المعاملات، و بناء علی الاجتماع تکون المعاملة الواقعة مورد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انطباق العنوان المحرّم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التوصلیات النفسیّة یستحق الثواب؛ بناء علی القول به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اختیار المجمع بسوء الاختیار، لا یلزم ترک الواجب بلا عذر؛ لأنّه قد أتی بما هو الواجب و إن کان فاعلا للحرام من جهة انطباق العنوان المحرّم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الوفاء بالدین موجبا للتصرف فی مال الغیر، و ارتکب المکلّف ما یورث هذا التلازم و الاستلزام، فإنّه بناء علی الامتناع یحرم التصرّف، و یعاقب علی ترک الوفاء بالدین؛ لأنّه بسوء الاختیار، فلو تصدّی للوفاء بالدین فلا یقع؛ لأنّ الدین من الأحکام الوضعیّة المنتزعة عن التکلیفیّة حسبما قیل </w:t>
      </w:r>
      <w:r>
        <w:rPr>
          <w:rStyle w:val="FootnoteAnchor"/>
          <w:rtl w:val="true"/>
        </w:rPr>
        <w:footnoteReference w:id="419"/>
      </w:r>
      <w:r>
        <w:rPr>
          <w:rFonts w:ascii="IRNazanin" w:hAnsi="IRNazanin" w:eastAsia="IRNazanin"/>
          <w:color w:val="111111"/>
          <w:sz w:val="28"/>
          <w:sz w:val="28"/>
          <w:szCs w:val="28"/>
          <w:rtl w:val="true"/>
          <w:lang w:bidi="fa-IR"/>
        </w:rPr>
        <w:t>، فلا وجوب حتّی ینتزع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بالاجتماع لا یلزم ترک الواجب و هو الوفاء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بعض خصوصیّات المثال، أو بعض المبانی، خارج عن دأب المحصّلین؛ لأنّ النّظر إلی إفادة ما هو مورد الاستنتاج من القول بالاجتماع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الصناعة صحّة الصلاة و العبادة فی المجمع، فضلا عن المعاملة، و اللَّه العالم</w:t>
      </w:r>
      <w:r>
        <w:rPr>
          <w:rFonts w:eastAsia="IRNazanin" w:cs="IRNazanin"/>
          <w:color w:val="111111"/>
          <w:sz w:val="28"/>
          <w:szCs w:val="28"/>
          <w:rtl w:val="true"/>
          <w:lang w:bidi="fa-IR"/>
        </w:rPr>
        <w:t>.</w:t>
      </w:r>
      <w:bookmarkStart w:id="330" w:name="pg13163_143070"/>
    </w:p>
    <w:p>
      <w:pPr>
        <w:pStyle w:val="Heading6"/>
        <w:numPr>
          <w:ilvl w:val="5"/>
          <w:numId w:val="1"/>
        </w:numPr>
        <w:rPr/>
      </w:pPr>
      <w:bookmarkStart w:id="331" w:name="__RefHeading___Toc533815_3244359995"/>
      <w:bookmarkStart w:id="332" w:name="_Toc125"/>
      <w:bookmarkEnd w:id="330"/>
      <w:bookmarkEnd w:id="331"/>
      <w:r>
        <w:rPr>
          <w:rtl w:val="true"/>
        </w:rPr>
        <w:t>الإشکال الثانی</w:t>
      </w:r>
      <w:r>
        <w:rPr>
          <w:rtl w:val="true"/>
        </w:rPr>
        <w:t>:</w:t>
      </w:r>
      <w:bookmarkEnd w:id="332"/>
    </w:p>
    <w:p>
      <w:pPr>
        <w:pStyle w:val="BookText"/>
        <w:rPr/>
      </w:pPr>
      <w:r>
        <w:rPr>
          <w:rFonts w:ascii="IRNazanin" w:hAnsi="IRNazanin" w:eastAsia="IRNazanin"/>
          <w:color w:val="111111"/>
          <w:sz w:val="28"/>
          <w:sz w:val="28"/>
          <w:szCs w:val="28"/>
          <w:rtl w:val="true"/>
          <w:lang w:bidi="fa-IR"/>
        </w:rPr>
        <w:t>أنّ النسبة بین الصلاة و التصرف فی مال الغیر و إن کانت بحسب المفهوم عموما من وجه، و لکن بعد کونهما موضوعین للحکم تکون النسبة عموما مطلقا؛ و ذلک لما عرفت من أنّ الأمر یتعلّق بنفس الطبیعة من غیر انحلال، و النهی یتعلّق بالطبیعة علی وجه الانحلال، و لا یتصوّر الانحلال إلاّ بکثرة الموضوع، و لا تتکثر الطبیعة الموضوعة إلاّ بلحاظ ورود العوارض و الخصوصیّات، فیسری النهی إلی المصداق للصلاة، فتکون النسبة بین الفرد من الصلاة و الطبیعة، عموما و خصوصا مطلقا، فالنسبة بین المتعلقین دائما عموم مطلق، و تصیر النتیجة أنّ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من صغریات النهی فی العبادات، أو تصیر خارجة عن محطّ نزاع الاجتماع و الامتناع علی الوجه الّذی قوّیناه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منّا بعض الکلام فی بحث المائز بین هذه المسألة، و مسألة النهی فی العبادات </w:t>
      </w:r>
      <w:r>
        <w:rPr>
          <w:rStyle w:val="FootnoteAnchor"/>
          <w:rtl w:val="true"/>
        </w:rPr>
        <w:footnoteReference w:id="421"/>
      </w:r>
      <w:r>
        <w:rPr>
          <w:rFonts w:ascii="IRNazanin" w:hAnsi="IRNazanin" w:eastAsia="IRNazanin"/>
          <w:color w:val="111111"/>
          <w:sz w:val="28"/>
          <w:sz w:val="28"/>
          <w:szCs w:val="28"/>
          <w:rtl w:val="true"/>
          <w:lang w:bidi="fa-IR"/>
        </w:rPr>
        <w:t xml:space="preserve">، و قد استفدنا هذا الإشکال من بعض تنبیهات السید الأستاذ البروجردیّ قدس سره </w:t>
      </w:r>
      <w:r>
        <w:rPr>
          <w:rStyle w:val="FootnoteAnchor"/>
          <w:rtl w:val="true"/>
        </w:rPr>
        <w:footnoteReference w:id="422"/>
      </w:r>
      <w:r>
        <w:rPr>
          <w:rFonts w:ascii="IRNazanin" w:hAnsi="IRNazanin" w:eastAsia="IRNazanin"/>
          <w:color w:val="111111"/>
          <w:sz w:val="28"/>
          <w:sz w:val="28"/>
          <w:szCs w:val="28"/>
          <w:rtl w:val="true"/>
          <w:lang w:bidi="fa-IR"/>
        </w:rPr>
        <w:t>و قد فرغنا من فساده بما لا مزید علیه؛ من أنّ نتیجة الانحلال لیست کون متعلق النهی الأفراد، کما أنّه قدس سره قد أنکر ذلک أشدّ الإنکار</w:t>
      </w:r>
      <w:r>
        <w:rPr>
          <w:rStyle w:val="FootnoteAnchor"/>
          <w:rtl w:val="true"/>
        </w:rPr>
        <w:footnoteReference w:id="423"/>
      </w:r>
      <w:r>
        <w:rPr>
          <w:rFonts w:ascii="IRNazanin" w:hAnsi="IRNazanin" w:eastAsia="IRNazanin"/>
          <w:color w:val="111111"/>
          <w:sz w:val="28"/>
          <w:sz w:val="28"/>
          <w:szCs w:val="28"/>
          <w:rtl w:val="true"/>
          <w:lang w:bidi="fa-IR"/>
        </w:rPr>
        <w:t>، فإذا کان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ینحلّ إلی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متعلّق بالأفراد بعد الانحلال أیضا، فلا بدّ من بقاء النسبة علی العموم من وجه؛ و ذلک إمّا بدعوی انحلاله إلی الفرد الذاتیّ، من غیر کون المنضمّات داخلة فی مصبّ النهی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333" w:name="pg13163_143071"/>
    </w:p>
    <w:p>
      <w:pPr>
        <w:pStyle w:val="BookText"/>
        <w:rPr/>
      </w:pPr>
      <w:bookmarkEnd w:id="333"/>
      <w:r>
        <w:rPr>
          <w:rFonts w:ascii="IRNazanin" w:hAnsi="IRNazanin" w:eastAsia="IRNazanin"/>
          <w:color w:val="111111"/>
          <w:sz w:val="28"/>
          <w:sz w:val="28"/>
          <w:szCs w:val="28"/>
          <w:rtl w:val="true"/>
          <w:lang w:bidi="fa-IR"/>
        </w:rPr>
        <w:t>أو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تعلّق النهی بالطبیعة، هو التحذّر و الاحتراز من جمیع وجوداتها بالوجه الّذی مضی تفصیله </w:t>
      </w:r>
      <w:r>
        <w:rPr>
          <w:rStyle w:val="FootnoteAnchor"/>
          <w:rtl w:val="true"/>
        </w:rPr>
        <w:footnoteReference w:id="425"/>
      </w:r>
      <w:r>
        <w:rPr>
          <w:rFonts w:ascii="IRNazanin" w:hAnsi="IRNazanin" w:eastAsia="IRNazanin"/>
          <w:color w:val="111111"/>
          <w:sz w:val="28"/>
          <w:sz w:val="28"/>
          <w:szCs w:val="28"/>
          <w:rtl w:val="true"/>
          <w:lang w:bidi="fa-IR"/>
        </w:rPr>
        <w:t>، من غیر لزوم کون الموضوع متکررا، فلیتدبر جیدا</w:t>
      </w:r>
      <w:r>
        <w:rPr>
          <w:rFonts w:eastAsia="IRNazanin" w:cs="IRNazanin"/>
          <w:color w:val="111111"/>
          <w:sz w:val="28"/>
          <w:szCs w:val="28"/>
          <w:rtl w:val="true"/>
          <w:lang w:bidi="fa-IR"/>
        </w:rPr>
        <w:t>.</w:t>
      </w:r>
    </w:p>
    <w:p>
      <w:pPr>
        <w:pStyle w:val="Heading6"/>
        <w:numPr>
          <w:ilvl w:val="5"/>
          <w:numId w:val="1"/>
        </w:numPr>
        <w:rPr/>
      </w:pPr>
      <w:bookmarkStart w:id="334" w:name="__RefHeading___Toc533817_3244359995"/>
      <w:bookmarkStart w:id="335" w:name="_Toc126"/>
      <w:bookmarkEnd w:id="334"/>
      <w:r>
        <w:rPr>
          <w:rtl w:val="true"/>
        </w:rPr>
        <w:t>الإشکال الثالث</w:t>
      </w:r>
      <w:r>
        <w:rPr>
          <w:rtl w:val="true"/>
        </w:rPr>
        <w:t>:</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فی المجمع باطلة، و لا یمکن تصحیحها؛ لا من ناحیة الأمر، و لا من ناحیة الترتب، و لا من ناحیة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الناحیة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حقیقة التکلیف هی البعث إلی الحصة المقدورة، و الصلاة فی الغصب غیر مقدورة شرعا، و الممتنع الشرعیّ کالممتنع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الثانیة؛ فلأن تقیید أمر الصلاة إما یکون بفعل من الأفعال المضادة لها، کالأکل و الشرب، أو بفعل الصلاة، و علی التقدیرین لا یعقل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الثالثة؛ فلأن القبح الفاعلیّ یمنع عن إمکان التقرب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نسب إلی العلاّمة النائینی قدس سره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عن عدم اقتضاء التکلیف للقدرة عقلا و لا عرفا</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اقتضی ذلک فالقدرة علی الامتثال کافیة</w:t>
      </w:r>
      <w:r>
        <w:rPr>
          <w:rStyle w:val="FootnoteAnchor"/>
          <w:rtl w:val="true"/>
        </w:rPr>
        <w:footnoteReference w:id="428"/>
      </w:r>
      <w:r>
        <w:rPr>
          <w:rFonts w:ascii="IRNazanin" w:hAnsi="IRNazanin" w:eastAsia="IRNazanin"/>
          <w:color w:val="111111"/>
          <w:sz w:val="28"/>
          <w:sz w:val="28"/>
          <w:szCs w:val="28"/>
          <w:rtl w:val="true"/>
          <w:lang w:bidi="fa-IR"/>
        </w:rPr>
        <w:t>فإن التکلیف متقوم بالقدرة حتی یصرفها إلی أحد طرفی المقدور، و أما لزوم کونها مستوعبة للوقت فلا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حدیث الامتناع الشرعیّ کالعقلیّ لا أصل له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له أصل</w:t>
      </w:r>
      <w:bookmarkStart w:id="336" w:name="pg13163_143072"/>
    </w:p>
    <w:p>
      <w:pPr>
        <w:pStyle w:val="BookText"/>
        <w:rPr/>
      </w:pPr>
      <w:bookmarkEnd w:id="336"/>
      <w:r>
        <w:rPr>
          <w:rFonts w:ascii="IRNazanin" w:hAnsi="IRNazanin" w:eastAsia="IRNazanin"/>
          <w:color w:val="111111"/>
          <w:sz w:val="28"/>
          <w:sz w:val="28"/>
          <w:szCs w:val="28"/>
          <w:rtl w:val="true"/>
          <w:lang w:bidi="fa-IR"/>
        </w:rPr>
        <w:t xml:space="preserve">فلا صغری له فی المقام؛ لأنّ الصلاة فی الغصب، لیست ممتنعة شرعا علی القول بالجواز بعد وجود المندوحة، أو بدونها أیضا بناء علی ما سلکناه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فرغنا من فساد الترتب بما لا مزید علیه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الترتب صحیحا فی وجه ذکرناه </w:t>
      </w:r>
      <w:r>
        <w:rPr>
          <w:rStyle w:val="FootnoteAnchor"/>
          <w:rtl w:val="true"/>
        </w:rPr>
        <w:footnoteReference w:id="432"/>
      </w:r>
      <w:r>
        <w:rPr>
          <w:rFonts w:ascii="IRNazanin" w:hAnsi="IRNazanin" w:eastAsia="IRNazanin"/>
          <w:color w:val="111111"/>
          <w:sz w:val="28"/>
          <w:sz w:val="28"/>
          <w:szCs w:val="28"/>
          <w:rtl w:val="true"/>
          <w:lang w:bidi="fa-IR"/>
        </w:rPr>
        <w:t>، فهو هنا أیضا صحیح و یرجع صیغة التقیید و الترتب إلی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و إن کنت غاصبا فبالصلاة اغصب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قصة الملاک، فهی أمر یختلف الأشخاص فی ناحیته، فربما یطمئن بعض النفوس بثبوت الملاک فی مورد سقوط الأمر؛ لما یجد أن السقوط المستند إلی العجز، لا یلازم قصورا فی المقتضی، و ربما لا یطمئن بعضهم بذلک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الهیئة یلازم الشک فی ثبوت المقتضی، و لا مورد لاستصحاب بقائه،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تنزّلنا عن جمیع هذه الأمور، فلا یلزم سقوط النزاع؛ لما عرفت من إمکان الانتفاع منه فی المعاملات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533819_3244359995"/>
      <w:bookmarkStart w:id="338" w:name="_Toc127"/>
      <w:bookmarkEnd w:id="337"/>
      <w:r>
        <w:rPr>
          <w:rtl w:val="true"/>
        </w:rPr>
        <w:t>الإشکال الرابع</w:t>
      </w:r>
      <w:r>
        <w:rPr>
          <w:rtl w:val="true"/>
        </w:rPr>
        <w:t>:</w:t>
      </w:r>
      <w:bookmarkEnd w:id="338"/>
    </w:p>
    <w:p>
      <w:pPr>
        <w:pStyle w:val="BookText"/>
        <w:rPr/>
      </w:pPr>
      <w:r>
        <w:rPr>
          <w:rFonts w:ascii="IRNazanin" w:hAnsi="IRNazanin" w:eastAsia="IRNazanin"/>
          <w:color w:val="111111"/>
          <w:sz w:val="28"/>
          <w:sz w:val="28"/>
          <w:szCs w:val="28"/>
          <w:rtl w:val="true"/>
          <w:lang w:bidi="fa-IR"/>
        </w:rPr>
        <w:t>أنّ المنصرف من الأمر اختیار الفرد المباح فی مقام الامتثال، و هذا أمر عقلائیّ، فلا تصحّ الصلاة فی المغصوبة عند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وجود الاختیار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أمر الصلاة و نهی الغصب باقیان علی فعلیّتهما، فالصلاة صحیحة مطلقا؛ لأنّها مورد الأمر و إن کان مورد النهی أهمّ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بامتناع اجتماع الفعلیتین، کما هو مذهب المشهور</w:t>
      </w:r>
      <w:r>
        <w:rPr>
          <w:rStyle w:val="FootnoteAnchor"/>
          <w:rtl w:val="true"/>
        </w:rPr>
        <w:footnoteReference w:id="434"/>
      </w:r>
      <w:r>
        <w:rPr>
          <w:rFonts w:ascii="IRNazanin" w:hAnsi="IRNazanin" w:eastAsia="IRNazanin"/>
          <w:color w:val="111111"/>
          <w:sz w:val="28"/>
          <w:sz w:val="28"/>
          <w:szCs w:val="28"/>
          <w:rtl w:val="true"/>
          <w:lang w:bidi="fa-IR"/>
        </w:rPr>
        <w:t>غیر المنصور،</w:t>
      </w:r>
    </w:p>
    <w:p>
      <w:pPr>
        <w:pStyle w:val="BookText"/>
        <w:rPr/>
      </w:pPr>
      <w:r>
        <w:rPr>
          <w:rFonts w:ascii="IRNazanin" w:hAnsi="IRNazanin" w:eastAsia="IRNazanin"/>
          <w:color w:val="111111"/>
          <w:sz w:val="28"/>
          <w:sz w:val="28"/>
          <w:szCs w:val="28"/>
          <w:rtl w:val="true"/>
          <w:lang w:bidi="fa-IR"/>
        </w:rPr>
        <w:t>فإطلاق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لأنّه إذا کان مورد النهی أهمّ، و أنکرنا الترتب و الملاک، فلا یمکن تصحیح الصلاة کما هو الظاهر، و قد علمت منّا فی بحوث التعبّدی و التوصّلی أنّ قضیّة الأصل العقلائیّ لزوم اختیار الفرد المباح، و عدم کفایة الامتثال بالفرد المحرّم </w:t>
      </w:r>
      <w:r>
        <w:rPr>
          <w:rStyle w:val="FootnoteAnchor"/>
          <w:rtl w:val="true"/>
        </w:rPr>
        <w:footnoteReference w:id="436"/>
      </w:r>
      <w:r>
        <w:rPr>
          <w:rFonts w:ascii="IRNazanin" w:hAnsi="IRNazanin" w:eastAsia="IRNazanin"/>
          <w:color w:val="111111"/>
          <w:sz w:val="28"/>
          <w:sz w:val="28"/>
          <w:szCs w:val="28"/>
          <w:rtl w:val="true"/>
          <w:lang w:bidi="fa-IR"/>
        </w:rPr>
        <w:t>، و ذلک یرجع إلی فهم العقلاء نوع تقیید فی المأمور به طبعا، و التقیید المزبور لا إطلاق له حتّی یسقط أمر الصلاة عند عدم الاختیار، فتکون الصلاة باطلة و غیر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کون الصلاة و العبادة صحیحة مورد المنع إلاّ فی صورة، مبتن علی القول بجواز الاجتماع؛ و هی ما إذا لم یکن مندوحة فی البین، فإنّه علی القول بالاجتماع و بفعلیّة أمر الصلاة تصحّ مطلقا، أو تصحّ علی الترتّب، أو تصحّ علی الملاک علی الوجه المزبور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الّذی أوردناه لا یلازم سقوط ثمرة النزاع أیضا؛ لأنّ صحّة الصلاة عند عدم المندوحة منوطة بصحّة الاجتماع، و إطلاق الصحّة منوط بکون الخطابات قانونیّة، أو منوط بکون الترتّب صحیحا، أو بکون الملاک موجودا،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فساد العبادة لا یلازم سقوط ثمرة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العبادة تصحّ فی المغصوبة علی الاجتماع مع عدم المندوحة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مع المندوحة لا تصحّ عندنا؛ للأصل العقلائیّ المحرّر فی محلّه </w:t>
      </w:r>
      <w:r>
        <w:rPr>
          <w:rStyle w:val="FootnoteAnchor"/>
          <w:rtl w:val="true"/>
        </w:rPr>
        <w:footnoteReference w:id="437"/>
      </w:r>
      <w:r>
        <w:rPr>
          <w:rFonts w:ascii="IRNazanin" w:hAnsi="IRNazanin" w:eastAsia="IRNazanin"/>
          <w:color w:val="111111"/>
          <w:sz w:val="28"/>
          <w:sz w:val="28"/>
          <w:szCs w:val="28"/>
          <w:rtl w:val="true"/>
          <w:lang w:bidi="fa-IR"/>
        </w:rPr>
        <w:t xml:space="preserve">، و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من حواشی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لجدّی العلاّمة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أفاد الأستاذ لبطلانها أنّ الأخبار المشتملة علی أنّ الأئمّة علیهم السلام أباحوا الأراضی</w:t>
      </w:r>
      <w:bookmarkStart w:id="339" w:name="pg13163_143074"/>
    </w:p>
    <w:p>
      <w:pPr>
        <w:pStyle w:val="BookText"/>
        <w:rPr/>
      </w:pPr>
      <w:bookmarkEnd w:id="339"/>
      <w:r>
        <w:rPr>
          <w:rFonts w:ascii="IRNazanin" w:hAnsi="IRNazanin" w:eastAsia="IRNazanin"/>
          <w:color w:val="111111"/>
          <w:sz w:val="28"/>
          <w:sz w:val="28"/>
          <w:szCs w:val="28"/>
          <w:rtl w:val="true"/>
          <w:lang w:bidi="fa-IR"/>
        </w:rPr>
        <w:t>المختصّة بهم للشیعة حتّی تصحّ صلاتهم فیها، تدل علی بطلانها لو لا الإباحة</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فراجع محالّها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ثمرة النزاع حسب بعض المبانی، لا یلازم عدم عقلائیّة النزاع؛ بعد ذهاب جمع آخر إلی الاستنتاج من الاجتماع صحّة العبادة، أو إمکان ذهاب جمع إلیه إمکانا قریبا جدّاً</w:t>
      </w:r>
      <w:r>
        <w:rPr>
          <w:rFonts w:eastAsia="IRNazanin" w:cs="IRNazanin"/>
          <w:color w:val="111111"/>
          <w:sz w:val="28"/>
          <w:szCs w:val="28"/>
          <w:rtl w:val="true"/>
          <w:lang w:bidi="fa-IR"/>
        </w:rPr>
        <w:t>.</w:t>
      </w:r>
    </w:p>
    <w:p>
      <w:pPr>
        <w:pStyle w:val="Heading6"/>
        <w:numPr>
          <w:ilvl w:val="5"/>
          <w:numId w:val="1"/>
        </w:numPr>
        <w:rPr/>
      </w:pPr>
      <w:bookmarkStart w:id="340" w:name="__RefHeading___Toc533821_3244359995"/>
      <w:bookmarkStart w:id="341" w:name="_Toc128"/>
      <w:bookmarkEnd w:id="340"/>
      <w:r>
        <w:rPr>
          <w:rtl w:val="true"/>
        </w:rPr>
        <w:t>الإشکال الخامس</w:t>
      </w:r>
      <w:r>
        <w:rPr>
          <w:rtl w:val="true"/>
        </w:rPr>
        <w:t>:</w:t>
      </w:r>
      <w:bookmarkEnd w:id="341"/>
    </w:p>
    <w:p>
      <w:pPr>
        <w:pStyle w:val="BookText"/>
        <w:rPr/>
      </w:pPr>
      <w:r>
        <w:rPr>
          <w:rFonts w:ascii="IRNazanin" w:hAnsi="IRNazanin" w:eastAsia="IRNazanin"/>
          <w:color w:val="111111"/>
          <w:sz w:val="28"/>
          <w:sz w:val="28"/>
          <w:szCs w:val="28"/>
          <w:rtl w:val="true"/>
          <w:lang w:bidi="fa-IR"/>
        </w:rPr>
        <w:t>أنّ العبادة فی المجمع صحیحة علی الاجتماع و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المجمع مورد الملاک و المصلحة، و سقوط فعلیّة أحد التکلیفین، لا یلازم إنکار الحسن الذاتیّ و الملاک المستکشف بالهیئة مع إطلاق المادّة، فإن کان التکلیف الساقط لأجل الامتناع عقلا التکلیف التحریمیّ، فالصحّة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الغلبة علی جانب النهی، فالعصیان لا ینافی صحّة العبادة؛ إمّا لأجل الترتّب، أو لأجل الملاک؛ حسبما تحرّر فی مبحث الضدّ</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ملازمة الملاک و الحسن الذاتیّ مع المبغوض الذاتی و المفسدة، لا توجب قصورا فی صحّة التقرّب و ترشّح الأمر الترتّبی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غیر فرق بین حال وجود المندوحة و عدمه، فإذا صحّت الصلاة فی حال العمد، ففی حال السهو و النسیان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تقصیر کان، أو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w:t>
      </w:r>
    </w:p>
    <w:p>
      <w:pPr>
        <w:pStyle w:val="BookText"/>
        <w:rPr/>
      </w:pPr>
      <w:r>
        <w:rPr>
          <w:rFonts w:ascii="IRNazanin" w:hAnsi="IRNazanin" w:eastAsia="IRNazanin"/>
          <w:color w:val="111111"/>
          <w:sz w:val="28"/>
          <w:sz w:val="28"/>
          <w:szCs w:val="28"/>
          <w:rtl w:val="true"/>
          <w:lang w:bidi="fa-IR"/>
        </w:rPr>
        <w:t>الصحّة أقوی و أظهر، فلا ثمرة فی محلّ النزاع، و یسقط القول ببطلان العبادة علی الامتناع و غلبة جانب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تغلیب جانب الأمر، لا معنی له إذا کان البحث فی صورة اقتدار العبد علی إتیان الفرد الآخر من المأمور به، و علی هذا لا یبقی وجه لترجیح جانب الأمر أصلا و لو بلغ من الأهمیّة قصواها</w:t>
      </w:r>
      <w:r>
        <w:rPr>
          <w:rStyle w:val="FootnoteAnchor"/>
          <w:rtl w:val="true"/>
        </w:rPr>
        <w:footnoteReference w:id="441"/>
      </w:r>
      <w:r>
        <w:rPr>
          <w:rFonts w:ascii="IRNazanin" w:hAnsi="IRNazanin" w:eastAsia="IRNazanin"/>
          <w:color w:val="111111"/>
          <w:sz w:val="28"/>
          <w:sz w:val="28"/>
          <w:szCs w:val="28"/>
          <w:rtl w:val="true"/>
          <w:lang w:bidi="fa-IR"/>
        </w:rPr>
        <w:t>، فما فی کلماتهم من فرض غلبة جانب الأمر للأهمیّة</w:t>
      </w:r>
      <w:r>
        <w:rPr>
          <w:rStyle w:val="FootnoteAnchor"/>
          <w:rtl w:val="true"/>
        </w:rPr>
        <w:footnoteReference w:id="442"/>
      </w:r>
      <w:r>
        <w:rPr>
          <w:rFonts w:ascii="IRNazanin" w:hAnsi="IRNazanin" w:eastAsia="IRNazanin"/>
          <w:color w:val="111111"/>
          <w:sz w:val="28"/>
          <w:sz w:val="28"/>
          <w:szCs w:val="28"/>
          <w:rtl w:val="true"/>
          <w:lang w:bidi="fa-IR"/>
        </w:rPr>
        <w:t>، غیر راجع إلی محصل فی محطّ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ینتهی إلی فساد الصلاة بأحد الوجوه المزبورة،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العجیب تمسکهم أحیانا بالإجماع علی البطلان فی صورة العلم و الالتفات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خارج عن البحث الأصولیّ و الثمرة المقصودة، فإنّه ربّما یتمّ الإجماع فی خصوص الصلاة، و لا یتمّ فی سائر العبادات، أو یشکل صحّة مثل الإجماع المزبور؛ لاحتمال کونه مستندا إلی الأصول العقلیة و المبادئ العلمیّة المنتهیة إلی القول بالامتناع و تغلیب جانب النهی، غافلین عمّا هو الحقّ الثابت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تصحیح الصلاة بالترتّب، یکون فی مورد لا مفسدة فی الصلاة قطعا؛ لأنّها مزاحمة بالمصلحة الأقوی فی شی‌ء آخر، و هی الإزالة، بخلاف ما نحن فیه، فإنّها مقرونة بالمفسدة الأقوی و الأهمّ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بمعزل عن التحقیق؛ لما عرفت من أنّ جهة التقرّب و البعد و جهة المصلحة و المفسدة غیر متداخلة، و یصحّ التقرّب فی محیط العقلاء بالمجمع و لو</w:t>
      </w:r>
    </w:p>
    <w:p>
      <w:pPr>
        <w:pStyle w:val="BookText"/>
        <w:rPr/>
      </w:pPr>
      <w:r>
        <w:rPr>
          <w:rFonts w:ascii="IRNazanin" w:hAnsi="IRNazanin" w:eastAsia="IRNazanin"/>
          <w:color w:val="111111"/>
          <w:sz w:val="28"/>
          <w:sz w:val="28"/>
          <w:szCs w:val="28"/>
          <w:rtl w:val="true"/>
          <w:lang w:bidi="fa-IR"/>
        </w:rPr>
        <w:t xml:space="preserve">استحقّ العقوبة علی العصیان </w:t>
      </w:r>
      <w:r>
        <w:rPr>
          <w:rStyle w:val="FootnoteAnchor"/>
          <w:rtl w:val="true"/>
        </w:rPr>
        <w:footnoteReference w:id="444"/>
      </w:r>
      <w:r>
        <w:rPr>
          <w:rFonts w:ascii="IRNazanin" w:hAnsi="IRNazanin" w:eastAsia="IRNazanin"/>
          <w:color w:val="111111"/>
          <w:sz w:val="28"/>
          <w:sz w:val="28"/>
          <w:szCs w:val="28"/>
          <w:rtl w:val="true"/>
          <w:lang w:bidi="fa-IR"/>
        </w:rPr>
        <w:t>، و لا ینبغی الخلط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هذه الشبهة مبنیّ علی القول؛ بأنّ المفروض فی المجمع وجود الملاک و المناط، و قد فرغنا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من توهّمه ذلک </w:t>
      </w:r>
      <w:r>
        <w:rPr>
          <w:rStyle w:val="FootnoteAnchor"/>
          <w:rtl w:val="true"/>
        </w:rPr>
        <w:footnoteReference w:id="446"/>
      </w:r>
      <w:r>
        <w:rPr>
          <w:rFonts w:ascii="IRNazanin" w:hAnsi="IRNazanin" w:eastAsia="IRNazanin"/>
          <w:color w:val="111111"/>
          <w:sz w:val="28"/>
          <w:sz w:val="28"/>
          <w:szCs w:val="28"/>
          <w:rtl w:val="true"/>
          <w:lang w:bidi="fa-IR"/>
        </w:rPr>
        <w:t>، و عمّا فی غیره من أجنبیّة المسألة عن إحراز الملاک و المناط</w:t>
      </w:r>
      <w:r>
        <w:rPr>
          <w:rStyle w:val="FootnoteAnchor"/>
          <w:rtl w:val="true"/>
        </w:rPr>
        <w:footnoteReference w:id="447"/>
      </w:r>
      <w:r>
        <w:rPr>
          <w:rFonts w:ascii="IRNazanin" w:hAnsi="IRNazanin" w:eastAsia="IRNazanin"/>
          <w:color w:val="111111"/>
          <w:sz w:val="28"/>
          <w:sz w:val="28"/>
          <w:szCs w:val="28"/>
          <w:rtl w:val="true"/>
          <w:lang w:bidi="fa-IR"/>
        </w:rPr>
        <w:t>، و تصیر النتیجة علی هذا فی صورة الاطلاع علی الملاک و المناط من الخارج، إمکان التوصّل إلی تصحیح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سبیل إلی الاطلاع علیه من ناحیة إطلاق الأمر و النهی، کما مرّ مرارا</w:t>
      </w:r>
      <w:r>
        <w:rPr>
          <w:rStyle w:val="FootnoteAnchor"/>
          <w:rtl w:val="true"/>
        </w:rPr>
        <w:footnoteReference w:id="448"/>
      </w:r>
      <w:r>
        <w:rPr>
          <w:rFonts w:ascii="IRNazanin" w:hAnsi="IRNazanin" w:eastAsia="IRNazanin"/>
          <w:color w:val="111111"/>
          <w:sz w:val="28"/>
          <w:sz w:val="28"/>
          <w:szCs w:val="28"/>
          <w:rtl w:val="true"/>
          <w:lang w:bidi="fa-IR"/>
        </w:rPr>
        <w:t xml:space="preserve">، فما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فی عدم التمامیّة من ناحیة إطلاق کلامهم، و عدم العثور علی مغزی المسألة فی محطّ البحث</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مورد ثبوت إطلاق الأمر و النهی و سقوط أحد الدلیلین، لا تندرج المسألة فی صغری باب التعارض إن کان شرط الاندراج، إحراز کون أحد الدلیلین بلا ملاک؛ لأنّه فی المجمع غیر ممکن، لإمکان وجود الملاک ثبوتا و إن لم یتمکّن من إحرازه إثباتا، لا بالهیئة؛ لسقوطها لأجل الامتناع، و لا بإطلاق مادّته؛ لعدم المعنی المعقول لإطلاق المادّة حسبما تحرر، لأن الإطلاق یکون من عوارض تعلّق الحکم بالموضوع، فکیف یعقل مع القطع بسقوط الحکم </w:t>
      </w:r>
      <w:r>
        <w:rPr>
          <w:rStyle w:val="FootnoteAnchor"/>
          <w:rtl w:val="true"/>
        </w:rPr>
        <w:footnoteReference w:id="4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بإطلاق سائر الأدلّة الواردة فی بیان محبوبیّة الصلاة علی کلّ تقدیر</w:t>
      </w:r>
      <w:r>
        <w:rPr>
          <w:rStyle w:val="FootnoteAnchor"/>
          <w:rtl w:val="true"/>
        </w:rPr>
        <w:footnoteReference w:id="450"/>
      </w:r>
      <w:r>
        <w:rPr>
          <w:rFonts w:ascii="IRNazanin" w:hAnsi="IRNazanin" w:eastAsia="IRNazanin"/>
          <w:color w:val="111111"/>
          <w:sz w:val="28"/>
          <w:sz w:val="28"/>
          <w:szCs w:val="28"/>
          <w:rtl w:val="true"/>
          <w:lang w:bidi="fa-IR"/>
        </w:rPr>
        <w:t>لعدم کونها فی مقام البیان من</w:t>
      </w:r>
      <w:bookmarkStart w:id="342" w:name="pg13163_143077"/>
    </w:p>
    <w:p>
      <w:pPr>
        <w:pStyle w:val="BookText"/>
        <w:rPr/>
      </w:pPr>
      <w:bookmarkEnd w:id="342"/>
      <w:r>
        <w:rPr>
          <w:rFonts w:ascii="Amiri" w:hAnsi="Amiri" w:eastAsia="Amiri" w:cs="Amiri"/>
          <w:color w:val="111111"/>
          <w:sz w:val="28"/>
          <w:sz w:val="28"/>
          <w:szCs w:val="28"/>
          <w:rtl w:val="true"/>
          <w:lang w:bidi="ar-SA"/>
        </w:rPr>
        <w:t>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لم یکن ذلک شرطا فتندرج المسألة فی مورد النزاع فی باب التعارض؛ لأنّه من المتعارضین بالعرض، و فی شمول الأدلّة لمثله خلاف، و قد استشکلنا فی ذلک جدّاً</w:t>
      </w:r>
      <w:r>
        <w:rPr>
          <w:rStyle w:val="FootnoteAnchor"/>
          <w:rtl w:val="true"/>
        </w:rPr>
        <w:footnoteReference w:id="451"/>
      </w:r>
      <w:r>
        <w:rPr>
          <w:rFonts w:ascii="IRNazanin" w:hAnsi="IRNazanin" w:eastAsia="IRNazanin"/>
          <w:color w:val="111111"/>
          <w:sz w:val="28"/>
          <w:sz w:val="28"/>
          <w:szCs w:val="28"/>
          <w:rtl w:val="true"/>
          <w:lang w:bidi="fa-IR"/>
        </w:rPr>
        <w:t>، فلا تکون المسألة من صغریات باب التعارض، و لا التزاحم، نعم تصیر شبهة موضوعیّة للبابین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کلام سیّدنا الأستاذ البروجردی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تغلیب جانب النهی مطلقا؛ جمعا بین الدلیلین </w:t>
      </w:r>
      <w:r>
        <w:rPr>
          <w:rStyle w:val="FootnoteAnchor"/>
          <w:rtl w:val="true"/>
        </w:rPr>
        <w:footnoteReference w:id="452"/>
      </w:r>
      <w:r>
        <w:rPr>
          <w:rFonts w:ascii="IRNazanin" w:hAnsi="IRNazanin" w:eastAsia="IRNazanin"/>
          <w:color w:val="111111"/>
          <w:sz w:val="28"/>
          <w:sz w:val="28"/>
          <w:szCs w:val="28"/>
          <w:rtl w:val="true"/>
          <w:lang w:bidi="fa-IR"/>
        </w:rPr>
        <w:t>، فهو متین، و لکنّه علی تقدیر اعتبار قید المندوحة فی محطّ البحث، و إلاّ فإن قلنا بإمکان کون الدلیلین فعلیین عرضا، فلا معنی أیضا لغلبة جانب الأمر أو النهی، بل الصلاة صحیحة و لو کانت مفسدة النهی أقوی و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ترکها إذا استلزمت التصرف الزائد علی أصل الکون فی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ذلک بسوء الاختیار، فله مقام آخر یأتی من ذی قبل إن شاء اللَّه تعالی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قلنا بعدم فعلیتهما العرضیّة؛ لعدم المندوحة، فلا بدّ من ملاحظة الملاک؛ فلو کان التصرّف أقوی ملاکا من الصلاة فلا بدّ من ترکها، إلاّ إذا لم تستلزم التصرّف الزائد، أو تصرّفا رأسا؛ علی ما مرّ تفصیله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 w:name="__RefHeading___Toc533823_3244359995"/>
      <w:bookmarkStart w:id="344" w:name="_Toc129"/>
      <w:bookmarkEnd w:id="343"/>
      <w:r>
        <w:rPr>
          <w:rtl w:val="true"/>
        </w:rPr>
        <w:t>تذنیب</w:t>
      </w:r>
      <w:r>
        <w:rPr>
          <w:rtl w:val="true"/>
        </w:rPr>
        <w:t xml:space="preserve">: </w:t>
      </w:r>
      <w:r>
        <w:rPr>
          <w:rtl w:val="true"/>
        </w:rPr>
        <w:t>حول صحّة عبادة الجاهل و الناسی علی القواعد</w:t>
      </w:r>
      <w:bookmarkEnd w:id="34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حکم العامد و الجاهل و الناسی علی الاجتماع، و هکذا حکم العامد</w:t>
      </w:r>
    </w:p>
    <w:p>
      <w:pPr>
        <w:pStyle w:val="BookText"/>
        <w:rPr/>
      </w:pPr>
      <w:r>
        <w:rPr>
          <w:rFonts w:ascii="IRNazanin" w:hAnsi="IRNazanin" w:eastAsia="IRNazanin"/>
          <w:color w:val="111111"/>
          <w:sz w:val="28"/>
          <w:sz w:val="28"/>
          <w:szCs w:val="28"/>
          <w:rtl w:val="true"/>
          <w:lang w:bidi="fa-IR"/>
        </w:rPr>
        <w:t>علی الامتناع، و بقی حکم الجاهل و الناسی علی الامتناع؛ و أنّه هل تصحّ عبادتهم علی القواعد الأوّلیة العقلیّة، أم لا؟</w:t>
      </w:r>
    </w:p>
    <w:p>
      <w:pPr>
        <w:pStyle w:val="BookText"/>
        <w:rPr/>
      </w:pPr>
      <w:r>
        <w:rPr>
          <w:rFonts w:ascii="IRNazanin" w:hAnsi="IRNazanin" w:eastAsia="IRNazanin"/>
          <w:color w:val="111111"/>
          <w:sz w:val="28"/>
          <w:sz w:val="28"/>
          <w:szCs w:val="28"/>
          <w:rtl w:val="true"/>
          <w:lang w:bidi="fa-IR"/>
        </w:rPr>
        <w:t>فربّما یقال بالصحّة؛ لأجل أنّ فی مفروض المسألة لا فعلیّة و لا تنجّز لحکم الغصب و التصرّف فی مال الغیر، فلا معنی لعدم فعلیّة حکم الصلاة عندئذ بعد وجود المقتضی؛ حسب المفروض فی أصل المسألة، فالمانع فعلیّة حکم الضدّ، و عند انتفائها یؤثّر المقتضی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استحقاق عقوبة الجاهل المقصّر لا ینافی الصحّة؛ لأنّ سقوط الفعلیّة مستند إلی سوء اختیاره المصحّح لصحّة عقوبته، کما فی موارد النسیان عند التخلّف عن وجوب التحفّظ، فإنّه لا یعقل الفعلیّة، و مع ذلک یستحقّ العقوبة علی تفویت المصلحة الملزمة، أو جلب المفسدة الملزمة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ما تحرّر فی محلّه أنّ العالم و الجاهل و القادر و العاجز و الذاکر و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طبقاتهم، و تشعّب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مشترکون فی التکالیف الکلّیة الإلهیّة تحریمیة کانت، أو إیجابیة، و تلک الأحکام فعلیّة</w:t>
      </w:r>
      <w:r>
        <w:rPr>
          <w:rStyle w:val="FootnoteAnchor"/>
          <w:rtl w:val="true"/>
        </w:rPr>
        <w:footnoteReference w:id="456"/>
      </w:r>
      <w:r>
        <w:rPr>
          <w:rFonts w:ascii="IRNazanin" w:hAnsi="IRNazanin" w:eastAsia="IRNazanin"/>
          <w:color w:val="111111"/>
          <w:sz w:val="28"/>
          <w:sz w:val="28"/>
          <w:szCs w:val="28"/>
          <w:rtl w:val="true"/>
          <w:lang w:bidi="fa-IR"/>
        </w:rPr>
        <w:t>، فلا یتمّ ما اشتهر، و لا ما أفادوه فی المقام حسب هذا المبنی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إسقاط الفعلیة حال الجهل خلاف ما ذهب إلیه العدلیّة؛ من اشتراک الجاهل و العالم فی الحکم </w:t>
      </w:r>
      <w:r>
        <w:rPr>
          <w:rStyle w:val="FootnoteAnchor"/>
          <w:rtl w:val="true"/>
        </w:rPr>
        <w:footnoteReference w:id="457"/>
      </w:r>
      <w:r>
        <w:rPr>
          <w:rFonts w:ascii="IRNazanin" w:hAnsi="IRNazanin" w:eastAsia="IRNazanin"/>
          <w:color w:val="111111"/>
          <w:sz w:val="28"/>
          <w:sz w:val="28"/>
          <w:szCs w:val="28"/>
          <w:rtl w:val="true"/>
          <w:lang w:bidi="fa-IR"/>
        </w:rPr>
        <w:t>، فیکون الحکم علی موضوعه فعلیّا؛ حسب أنّ الأحکام الشرعیّة من قبیل القضایا الحقیقیّة، و لا یتقوّم فعلیّة الأحکام فیها علی وجود الموضوعات، بل هی علی عناوینها الکلّیة فعلیّة، و لو کانت الفعلیّة منوطة</w:t>
      </w:r>
    </w:p>
    <w:p>
      <w:pPr>
        <w:pStyle w:val="BookText"/>
        <w:rPr/>
      </w:pPr>
      <w:r>
        <w:rPr>
          <w:rFonts w:ascii="IRNazanin" w:hAnsi="IRNazanin" w:eastAsia="IRNazanin"/>
          <w:color w:val="111111"/>
          <w:sz w:val="28"/>
          <w:sz w:val="28"/>
          <w:szCs w:val="28"/>
          <w:rtl w:val="true"/>
          <w:lang w:bidi="fa-IR"/>
        </w:rPr>
        <w:t xml:space="preserve">بالعلم للزم الدور المزبور فی محلّه </w:t>
      </w:r>
      <w:r>
        <w:rPr>
          <w:rStyle w:val="FootnoteAnchor"/>
          <w:rtl w:val="true"/>
        </w:rPr>
        <w:footnoteReference w:id="458"/>
      </w:r>
      <w:r>
        <w:rPr>
          <w:rFonts w:ascii="IRNazanin" w:hAnsi="IRNazanin" w:eastAsia="IRNazanin"/>
          <w:color w:val="111111"/>
          <w:sz w:val="28"/>
          <w:sz w:val="28"/>
          <w:szCs w:val="28"/>
          <w:rtl w:val="true"/>
          <w:lang w:bidi="fa-IR"/>
        </w:rPr>
        <w:t>، و للزم التصویب غیر الجائز،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منا أن القول بالامتناع، کما یستلزم امتناع اجتماع الأمر و النهی، یستلزم امتناع اجتماع الحب و البغض </w:t>
      </w:r>
      <w:r>
        <w:rPr>
          <w:rStyle w:val="FootnoteAnchor"/>
          <w:rtl w:val="true"/>
        </w:rPr>
        <w:footnoteReference w:id="459"/>
      </w:r>
      <w:r>
        <w:rPr>
          <w:rFonts w:ascii="IRNazanin" w:hAnsi="IRNazanin" w:eastAsia="IRNazanin"/>
          <w:color w:val="111111"/>
          <w:sz w:val="28"/>
          <w:sz w:val="28"/>
          <w:szCs w:val="28"/>
          <w:rtl w:val="true"/>
          <w:lang w:bidi="fa-IR"/>
        </w:rPr>
        <w:t>، فلو کانت الصلاة فی المغصوب مبغوضة لسرایة البغض و لغیر ذلک من أدلّتهم، لما أمکن التقرّب، ففی کلّ مورد التزم بمبغوضیّتها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الجهل عن تقصیر، و النسیان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الالتزام بصحّة العبادة حسب مسلکه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قضیّة ما 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الملاک و المناط فی المجمع </w:t>
      </w:r>
      <w:r>
        <w:rPr>
          <w:rStyle w:val="FootnoteAnchor"/>
          <w:rtl w:val="true"/>
        </w:rPr>
        <w:footnoteReference w:id="460"/>
      </w:r>
      <w:r>
        <w:rPr>
          <w:rFonts w:ascii="IRNazanin" w:hAnsi="IRNazanin" w:eastAsia="IRNazanin"/>
          <w:color w:val="111111"/>
          <w:sz w:val="28"/>
          <w:sz w:val="28"/>
          <w:szCs w:val="28"/>
          <w:rtl w:val="true"/>
          <w:lang w:bidi="fa-IR"/>
        </w:rPr>
        <w:t>و مقتضی الامتناع جمعا، هو البطلان مطلقا؛ لشیوع المبغوضیة، و تصیر الصلاة حینئذ مبغوضة مطلقا؛ و إن لم تکن مورد التکلیف لأجل المحاذیر العقلیّة فی فعلیّة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اللازم بناء علیه بطلان الصلاة مطلقا؛ لأنّ مبغوضیّة حیثیّة النهی تسری إلی حیثیّة الأمر مثلا الملازم لمبغوضیة الصلاة طبعا، فلا تصح علی الامتناع، و علی ما 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إحراز المناط فی صحة النزاع،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اللازم أیضا بطلانها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نتیجة الامتناع هو التخییر</w:t>
      </w:r>
      <w:r>
        <w:rPr>
          <w:rStyle w:val="FootnoteAnchor"/>
          <w:rtl w:val="true"/>
        </w:rPr>
        <w:footnoteReference w:id="46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بناء علی ما عرفت من عدم شرطیّة إحراز المناط فی صحّة النزاع </w:t>
      </w:r>
      <w:r>
        <w:rPr>
          <w:rStyle w:val="FootnoteAnchor"/>
          <w:rtl w:val="true"/>
        </w:rPr>
        <w:footnoteReference w:id="462"/>
      </w:r>
      <w:r>
        <w:rPr>
          <w:rFonts w:ascii="IRNazanin" w:hAnsi="IRNazanin" w:eastAsia="IRNazanin"/>
          <w:color w:val="111111"/>
          <w:sz w:val="28"/>
          <w:sz w:val="28"/>
          <w:szCs w:val="28"/>
          <w:rtl w:val="true"/>
          <w:lang w:bidi="fa-IR"/>
        </w:rPr>
        <w:t>أنّه کما لا یمکن إبطالها حال عدم تمامیّة التکلیف بالنسبة إلی الغصب و التصرّف و لو</w:t>
      </w:r>
      <w:bookmarkStart w:id="345" w:name="pg13163_143080"/>
    </w:p>
    <w:p>
      <w:pPr>
        <w:pStyle w:val="BookText"/>
        <w:rPr/>
      </w:pPr>
      <w:bookmarkEnd w:id="345"/>
      <w:r>
        <w:rPr>
          <w:rFonts w:ascii="IRNazanin" w:hAnsi="IRNazanin" w:eastAsia="IRNazanin"/>
          <w:color w:val="111111"/>
          <w:sz w:val="28"/>
          <w:sz w:val="28"/>
          <w:szCs w:val="28"/>
          <w:rtl w:val="true"/>
          <w:lang w:bidi="fa-IR"/>
        </w:rPr>
        <w:t>کان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ربّما لا یمکن استکشاف المبغوضیّة؛ لأجل سقوط الهیئة فرضا، و لا سبیل إلی کشفها إلاّ الهیئة الساقطة،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یمکن إبطالها علی القول بالتخییر؛ لأنّه یرجع إلی وجود الأمر الکافی للصحّة مع عدم العلم بالمبغوضیّة المنافیة للتقرّب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تصحیح الصلاة و إن قلنا بغلبة جانب النهی، کذلک یمکن إبطالها و إن قلنا بغلبة جانب الأمر؛ و ذلک لأنّ الشی‌ء الواحد إذا لم یمکن أن یکون مقرّبا و مبعّدا فلا یمکن أن یحصل القرب؛ لما فیه من جهة البعد و جهة مبغوضیّة المولی و إن لم یتمکن المولی من النهی عن تلک الجهة، فافهم و اغتنم</w:t>
      </w:r>
      <w:r>
        <w:rPr>
          <w:rFonts w:eastAsia="IRNazanin" w:cs="IRNazanin"/>
          <w:color w:val="111111"/>
          <w:sz w:val="28"/>
          <w:szCs w:val="28"/>
          <w:rtl w:val="true"/>
          <w:lang w:bidi="fa-IR"/>
        </w:rPr>
        <w:t>.</w:t>
      </w:r>
    </w:p>
    <w:p>
      <w:pPr>
        <w:pStyle w:val="Heading4"/>
        <w:numPr>
          <w:ilvl w:val="3"/>
          <w:numId w:val="1"/>
        </w:numPr>
        <w:rPr/>
      </w:pPr>
      <w:bookmarkStart w:id="346" w:name="__RefHeading___Toc533825_3244359995"/>
      <w:bookmarkStart w:id="347" w:name="_Toc130"/>
      <w:bookmarkEnd w:id="346"/>
      <w:r>
        <w:rPr>
          <w:rtl w:val="true"/>
        </w:rPr>
        <w:t>التحقیق فی جواز الاجتماع و عدمه</w:t>
      </w:r>
      <w:bookmarkEnd w:id="347"/>
    </w:p>
    <w:p>
      <w:pPr>
        <w:pStyle w:val="Heading5"/>
        <w:numPr>
          <w:ilvl w:val="4"/>
          <w:numId w:val="1"/>
        </w:numPr>
        <w:rPr/>
      </w:pPr>
      <w:bookmarkStart w:id="348" w:name="__RefHeading___Toc533827_3244359995"/>
      <w:bookmarkStart w:id="349" w:name="_Toc131"/>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إذا تبینت هذه المقدّمات و تلک الأمور التی لا بدّ من الاطلاع علیها فی فهم هذه المسألة، فلا بدّ من الورود فی أصلها؛ و أنّه هل یجوز الاجتماع، أم لا، أو یقع فی المسألة تفصیل؟</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أحطت فیما سبق بأنّ النزاع فی هذه المسألة یقع علی وجهین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الاختلاف بین الأعلام یکون حیثیّا؛ أی فی حیثیّة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مجرّد اختلاف متعلّق الأمر و النهی عنوانا مع وحدة المعنون، یکفی لعدم لزوم غائلة اجتماع الأحکام المتضادّة و المتخالفة الغیر القابلة للجمع، أم لا</w:t>
      </w:r>
      <w:r>
        <w:rPr>
          <w:rStyle w:val="FootnoteAnchor"/>
          <w:rtl w:val="true"/>
        </w:rPr>
        <w:footnoteReference w:id="463"/>
      </w:r>
      <w:r>
        <w:rPr>
          <w:rFonts w:ascii="IRNazanin" w:hAnsi="IRNazanin" w:eastAsia="IRNazanin"/>
          <w:color w:val="111111"/>
          <w:sz w:val="28"/>
          <w:sz w:val="28"/>
          <w:szCs w:val="28"/>
          <w:rtl w:val="true"/>
          <w:lang w:bidi="fa-IR"/>
        </w:rPr>
        <w:t>، و فی هذه الوجهة لا نظر إلی بعض الإشکالات الناشئة عن</w:t>
      </w:r>
    </w:p>
    <w:p>
      <w:pPr>
        <w:pStyle w:val="BookText"/>
        <w:rPr/>
      </w:pPr>
      <w:r>
        <w:rPr>
          <w:rFonts w:ascii="IRNazanin" w:hAnsi="IRNazanin" w:eastAsia="IRNazanin"/>
          <w:color w:val="111111"/>
          <w:sz w:val="28"/>
          <w:sz w:val="28"/>
          <w:szCs w:val="28"/>
          <w:rtl w:val="true"/>
          <w:lang w:bidi="fa-IR"/>
        </w:rPr>
        <w:t>امتناع ترشّح الإرادة من المولی و المقنّن، و لا إلی مسألة فعلیّة التکلیف و عدم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الإطلاقین الثابتین لکلّ واحد من العنوانین، هل هما باقیان علی حالهما فی المجمع، و تکون الإرادتان باقیتین حال اجتماع العنوانین علی واحد، أم لا؟</w:t>
      </w:r>
    </w:p>
    <w:p>
      <w:pPr>
        <w:pStyle w:val="BookText"/>
        <w:rPr/>
      </w:pPr>
      <w:r>
        <w:rPr>
          <w:rFonts w:ascii="IRNazanin" w:hAnsi="IRNazanin" w:eastAsia="IRNazanin"/>
          <w:color w:val="111111"/>
          <w:sz w:val="28"/>
          <w:sz w:val="28"/>
          <w:szCs w:val="28"/>
          <w:rtl w:val="true"/>
          <w:lang w:bidi="fa-IR"/>
        </w:rPr>
        <w:t>و إنّک و إن اطلعت فیما سلف علی أنّ النزاع بالحقیقة یکون فی هذه الجهة</w:t>
      </w:r>
      <w:r>
        <w:rPr>
          <w:rStyle w:val="FootnoteAnchor"/>
          <w:rtl w:val="true"/>
        </w:rPr>
        <w:footnoteReference w:id="464"/>
      </w:r>
      <w:r>
        <w:rPr>
          <w:rFonts w:ascii="IRNazanin" w:hAnsi="IRNazanin" w:eastAsia="IRNazanin"/>
          <w:color w:val="111111"/>
          <w:sz w:val="28"/>
          <w:sz w:val="28"/>
          <w:szCs w:val="28"/>
          <w:rtl w:val="true"/>
          <w:lang w:bidi="fa-IR"/>
        </w:rPr>
        <w:t xml:space="preserve">، و لکن لمکان ذهاب کثیر منهم إلی الوجه الأوّل </w:t>
      </w:r>
      <w:r>
        <w:rPr>
          <w:rStyle w:val="FootnoteAnchor"/>
          <w:rtl w:val="true"/>
        </w:rPr>
        <w:footnoteReference w:id="465"/>
      </w:r>
      <w:r>
        <w:rPr>
          <w:rFonts w:ascii="IRNazanin" w:hAnsi="IRNazanin" w:eastAsia="IRNazanin"/>
          <w:color w:val="111111"/>
          <w:sz w:val="28"/>
          <w:sz w:val="28"/>
          <w:szCs w:val="28"/>
          <w:rtl w:val="true"/>
          <w:lang w:bidi="fa-IR"/>
        </w:rPr>
        <w:t>، لا بدّ من تحریر المسألة علی الطریقین و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أنّ فی مسألة الاجتماع یقع النزاع فی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الممکن أن یختار الاجتماع فی النزاع الأوّل من یقول بالامتناع فی النزاع الثانی؛ و ذلک لأنّ القائل بعدم السرایة و بعدم اعتبار المندوحة فی المبحث الأوّل، لا بدّ و أن یقول بالامتناع فی النزاع الثانی؛ إذا کان یری أنّ الخطابات الشرعیّة الکلّیة تنحلّ إلی الخطابات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الوجه الأوّل یکون القول بالاجتماع متعینا و بلا مناقشة یعتد بها، و فی الوجه الثانی یقع التفصیل؛ فإن کانت مندوحة فالاجتماع قطعیّ، و إن لم تکن مندوحة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الخطابات قانونیّة فالاجتماع مسلّم و إلاّ فیتعیّن الامتناع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الکلام فی المقام یستدعی البحث فی مقامین</w:t>
      </w:r>
      <w:r>
        <w:rPr>
          <w:rFonts w:eastAsia="IRNazanin" w:cs="IRNazanin"/>
          <w:color w:val="111111"/>
          <w:sz w:val="28"/>
          <w:szCs w:val="28"/>
          <w:rtl w:val="true"/>
          <w:lang w:bidi="fa-IR"/>
        </w:rPr>
        <w:t>:</w:t>
      </w:r>
      <w:bookmarkStart w:id="350" w:name="pg13163_143082"/>
    </w:p>
    <w:p>
      <w:pPr>
        <w:pStyle w:val="Heading5"/>
        <w:numPr>
          <w:ilvl w:val="4"/>
          <w:numId w:val="1"/>
        </w:numPr>
        <w:rPr/>
      </w:pPr>
      <w:bookmarkStart w:id="351" w:name="__RefHeading___Toc533829_3244359995"/>
      <w:bookmarkStart w:id="352" w:name="_Toc132"/>
      <w:bookmarkEnd w:id="350"/>
      <w:bookmarkEnd w:id="351"/>
      <w:r>
        <w:rPr>
          <w:rtl w:val="true"/>
        </w:rPr>
        <w:t>المقام الأوّل</w:t>
      </w:r>
      <w:r>
        <w:rPr>
          <w:rtl w:val="true"/>
        </w:rPr>
        <w:t xml:space="preserve">: </w:t>
      </w:r>
      <w:r>
        <w:rPr>
          <w:rtl w:val="true"/>
        </w:rPr>
        <w:t>فی کفایة اختلاف العنوانین لرفع غائلة الاجتماع</w:t>
      </w:r>
      <w:bookmarkEnd w:id="352"/>
    </w:p>
    <w:p>
      <w:pPr>
        <w:pStyle w:val="Heading6"/>
        <w:numPr>
          <w:ilvl w:val="5"/>
          <w:numId w:val="1"/>
        </w:numPr>
        <w:rPr/>
      </w:pPr>
      <w:bookmarkStart w:id="353" w:name="__RefHeading___Toc533831_3244359995"/>
      <w:bookmarkStart w:id="354" w:name="_Toc133"/>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 xml:space="preserve">هل أنّ مجرّد اختلاف متعلّقی الأمر و النهی مع وحدة المعنون، کاف فی رفع غائلة المسألة و منع لزوم الجمع بین الأحکام المتخالفة، أم لا؟ و جهان، و قد ذهب إلی الثانی جمع </w:t>
      </w:r>
      <w:r>
        <w:rPr>
          <w:rStyle w:val="FootnoteAnchor"/>
          <w:rtl w:val="true"/>
        </w:rPr>
        <w:footnoteReference w:id="466"/>
      </w:r>
      <w:r>
        <w:rPr>
          <w:rFonts w:ascii="IRNazanin" w:hAnsi="IRNazanin" w:eastAsia="IRNazanin"/>
          <w:color w:val="111111"/>
          <w:sz w:val="28"/>
          <w:sz w:val="28"/>
          <w:szCs w:val="28"/>
          <w:rtl w:val="true"/>
          <w:lang w:bidi="fa-IR"/>
        </w:rPr>
        <w:t xml:space="preserve">، و علی رأسهم العلاّمة الخراسانیّ قدس سره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لنذکر الآن ما هو السبیل الوحید لما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انتزاع العناوین المختلفة، لا یمکن من الواحد بجهة واحدة بالضرورة، کما لا یمکن انتزاع العنوان الواحد من الکثیر بما هو کثیر قطعا، فإذا کان مفهوم شرب الماء غیر مفهوم التصرّف فی مال الغیر، و مفهوم الصلاة غیر مفهوم الغصب، فلا بدّ من کون منشأ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واحدا بحسب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 بحسب الحیثیّة و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یکون کذلک فی انتزاع العناوین الکمالیّة من حقیقة الوجود البسیطة، فإنّ مفهوم العالم و القادر ینتزعان منها، و لکن بلحاظات مختلفة، مثلا ینتزع العالم منها لأجل انکشاف ذاتها لدی ذاتها الملازم لانکشاف معلولاتها، و ینتزع القادر بلحاظ إخراج الأعیان الممکنة من کتم العدم، أو بلحاظ إمکان ذلک علیه و هکذا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العناوین تارة تکون کثیرة، و المصداق واحد بسیط لا ینثلم بها وحدته </w:t>
      </w:r>
      <w:r>
        <w:rPr>
          <w:rStyle w:val="FootnoteAnchor"/>
          <w:rtl w:val="true"/>
        </w:rPr>
        <w:footnoteReference w:id="468"/>
      </w:r>
      <w:r>
        <w:rPr>
          <w:rFonts w:ascii="IRNazanin" w:hAnsi="IRNazanin" w:eastAsia="IRNazanin"/>
          <w:color w:val="111111"/>
          <w:sz w:val="28"/>
          <w:sz w:val="28"/>
          <w:szCs w:val="28"/>
          <w:rtl w:val="true"/>
          <w:lang w:bidi="fa-IR"/>
        </w:rPr>
        <w:t>، لا ینفع فی المقام شیئا، لأنّ مبدأ الانتزاع مختلف و لو کان فی</w:t>
      </w:r>
    </w:p>
    <w:p>
      <w:pPr>
        <w:pStyle w:val="BookText"/>
        <w:rPr/>
      </w:pPr>
      <w:r>
        <w:rPr>
          <w:rFonts w:ascii="IRNazanin" w:hAnsi="IRNazanin" w:eastAsia="IRNazanin"/>
          <w:color w:val="111111"/>
          <w:sz w:val="28"/>
          <w:sz w:val="28"/>
          <w:szCs w:val="28"/>
          <w:rtl w:val="true"/>
          <w:lang w:bidi="fa-IR"/>
        </w:rPr>
        <w:t>اللحاظ، هذا فی البسیط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هذه النشأة، فلا ینتزع إلاّ لأجل جهة تکوینیّة أو اعتباریّة قائمة بالفرد و المصداق،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العناوین بالنسبة إلی البسیط خارج المحمول، و بالنسبة إلی المرکّبات محمولات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الواحد 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اختلاف الحیثیّات فیه، و لأجل انطباق العناوین الحسنة و غیر الحسنة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مشتملا علی المصالح و المفاسد، فیکون لاشتماله علی المصالح قابلا لتعلّق الأمر به، و لاشتماله علی المفاسد قابلا لتعلّق النهی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الصلاتیّة فی المغصوب مشتملة علی مصلحة الصلاتیّة، و علی مفسدة الغصبیّة، و لأجل تلک الحیثیّتین یمکن بالإمکان العامّ أن یتعلّق بها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العناوین یلازم قهرا اختلاف الحیثیّات و الضمائم، و إلاّ فلا یعقل وجه لاختلاف المفاهیم المنتزعة من واحد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المقدّمة الأُولی سقوط ما اشتهر من توهّم الترکیب الاتحادی </w:t>
      </w:r>
      <w:r>
        <w:rPr>
          <w:rStyle w:val="FootnoteAnchor"/>
          <w:rtl w:val="true"/>
        </w:rPr>
        <w:footnoteReference w:id="469"/>
      </w:r>
      <w:r>
        <w:rPr>
          <w:rFonts w:ascii="IRNazanin" w:hAnsi="IRNazanin" w:eastAsia="IRNazanin"/>
          <w:color w:val="111111"/>
          <w:sz w:val="28"/>
          <w:sz w:val="28"/>
          <w:szCs w:val="28"/>
          <w:rtl w:val="true"/>
          <w:lang w:bidi="fa-IR"/>
        </w:rPr>
        <w:t>إن أرید منه أنّ العنوانین ینتزعان من الواحد بجهة واحدة، و سیأتی توضیحه إن شاء اللَّه تعالی و سقوط 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العناوین الکثیرة تنتزع من الواحد البسیط؛ من غیر الحاجة إلی اللحاظ الزائد، کما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قضیّة المقدّمة الثانیة أنّ الشی‌ء الواحد لأجل اختلاف حیثیّاته، یمکن أن یشتمل علی المصالح و المفاسد، فیکون لأجل المصالح مورد الأمر، و یتعلّق الأمر بعنوان ینطبق علی حیثیّة مصلحته، و یتعلّق به النهی کذلک، و یسقط توهّم سرایة إحدی الحیثیّات إلی الحیثیّة الأخری </w:t>
      </w:r>
      <w:r>
        <w:rPr>
          <w:rStyle w:val="FootnoteAnchor"/>
          <w:rtl w:val="true"/>
        </w:rPr>
        <w:footnoteReference w:id="471"/>
      </w:r>
      <w:r>
        <w:rPr>
          <w:rFonts w:ascii="IRNazanin" w:hAnsi="IRNazanin" w:eastAsia="IRNazanin"/>
          <w:color w:val="111111"/>
          <w:sz w:val="28"/>
          <w:sz w:val="28"/>
          <w:szCs w:val="28"/>
          <w:rtl w:val="true"/>
          <w:lang w:bidi="fa-IR"/>
        </w:rPr>
        <w:t>لأنّ مقتضی السرایة انتزاع الکثیر من الواحد بجهة واحدة، فلا تتداخل الحیثیّات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 المولی فی مقام الإرادة التشریعیّة یختار أحد العنوانین، فهو موکول إلی النزاع الآتی و الوجه الثانی </w:t>
      </w:r>
      <w:r>
        <w:rPr>
          <w:rStyle w:val="FootnoteAnchor"/>
          <w:rtl w:val="true"/>
        </w:rPr>
        <w:footnoteReference w:id="472"/>
      </w:r>
      <w:r>
        <w:rPr>
          <w:rFonts w:ascii="IRNazanin" w:hAnsi="IRNazanin" w:eastAsia="IRNazanin"/>
          <w:color w:val="111111"/>
          <w:sz w:val="28"/>
          <w:sz w:val="28"/>
          <w:szCs w:val="28"/>
          <w:rtl w:val="true"/>
          <w:lang w:bidi="fa-IR"/>
        </w:rPr>
        <w:t>، و قد مرّ أنّ هذا البحث متکفّل لإثبات أنّ اختلاف العنوانین، کاف لعدم لزوم الجمع بین الضدّین؛ أی أنّ العنوانین بما هما عنوانان، یحکیان عن الجهتین المختلفتین طبعا و قطعا من غیر سرایة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بین ما تکون من العناوین الأصیلة و الماهیّات الطبیعیّة و المقولات الحقیقیّة، و بین العناوین الاعتباریّة و المفاهیم الاختراعیّة الاجتماعیّة، فما کانت من قبیل الأوّل فتختصّ بالوجود و الإیجاد؛ لأنّها تعتبر و تنتزع من الحدود الإمکانیّة، و ما کانت من قبیل الثانی فیمکن أن یوجد و یعتبر الکثیر منها من شی‌ء واحد و بإیجاد فارد، و لا یختصّ بوجود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ما کان من السنخ الأوّل یخرج من مصبّ النزاع؛ لأنّ البحث فی المقام حول ما إذا کان العنوانان، متصادقین علی واحد و موجودین بوجود واحد و إیجاد فارد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جریان النزاع فیه، فلا محیص من القول بالاجتماع فی هذا النزاع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من النسخ الثانی، فهو داخل فی محطّ النزاع و مصبّ النفی و الإثبات،</w:t>
      </w:r>
    </w:p>
    <w:p>
      <w:pPr>
        <w:pStyle w:val="BookText"/>
        <w:rPr/>
      </w:pPr>
      <w:r>
        <w:rPr>
          <w:rFonts w:ascii="IRNazanin" w:hAnsi="IRNazanin" w:eastAsia="IRNazanin"/>
          <w:color w:val="111111"/>
          <w:sz w:val="28"/>
          <w:sz w:val="28"/>
          <w:szCs w:val="28"/>
          <w:rtl w:val="true"/>
          <w:lang w:bidi="fa-IR"/>
        </w:rPr>
        <w:t>کما أومأنا إلیه فی المقدّمات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 غیرها</w:t>
      </w:r>
      <w:r>
        <w:rPr>
          <w:rStyle w:val="FootnoteAnchor"/>
          <w:rtl w:val="true"/>
        </w:rPr>
        <w:footnoteReference w:id="474"/>
      </w:r>
      <w:r>
        <w:rPr>
          <w:rFonts w:ascii="IRNazanin" w:hAnsi="IRNazanin" w:eastAsia="IRNazanin"/>
          <w:color w:val="111111"/>
          <w:sz w:val="28"/>
          <w:sz w:val="28"/>
          <w:szCs w:val="28"/>
          <w:rtl w:val="true"/>
          <w:lang w:bidi="fa-IR"/>
        </w:rPr>
        <w:t>من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ماهیّة لها وجود مخصوص بها، فی غیر محلّه؛ لأنّه فیما تصحّ مقالته یکون کلامه أجنبیّا عن بحث الاجتماع و الامتناع، و فی مورد البحث لا یکون لکلّ عنوان وجود علی حدة، بل ینتزع الکثیر من الواحد بجهات اعتباریّة کثیرة، لا واقعیّة تکوینیّة؛ فإنّ التصرّف فی مال الغیر من الاعتباریّات المنتزعة من الحرکة الخارجیّة، و لا یختصّ بوجود وراء وجود تلک الحرکة،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المفاهیم الاعتباریة التی یتعلق بها الأمر و النهی، و بین الماهیات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الترکیب الاتحادی الواقع بین الهیولی و الصورة علی فرض غیر صحیح، و بین انطباق العناوین الکثیرة علی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بیان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فی الکتب العقلیّة نزاع بین صدر المتألّهین و السیّد الدشتکی، و بین جمع آخر، و منهم السید السند، و العلامة السبزواری، و محط النزاع هو أن الترکیب بین المادّة و الصورة هل یکون اتحادیّا، أو انضمامیّا</w:t>
      </w:r>
      <w:r>
        <w:rPr>
          <w:rStyle w:val="FootnoteAnchor"/>
          <w:rtl w:val="true"/>
        </w:rPr>
        <w:footnoteReference w:id="475"/>
      </w:r>
      <w:r>
        <w:rPr>
          <w:rFonts w:ascii="IRNazanin" w:hAnsi="IRNazanin" w:eastAsia="IRNazanin"/>
          <w:color w:val="111111"/>
          <w:sz w:val="28"/>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فرغنا عن فساد هذا النزاع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 ذکرنا هناک أنّ الصدر یقول بترکیب الجسم من الهیولی و الصورة، فکیف یعقل أن یختار الترکیب الاتحادی؟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الترکیب الاتحادی من الجمل المتناقضة صدرا و ذیلا؛ فإنّ</w:t>
      </w:r>
    </w:p>
    <w:p>
      <w:pPr>
        <w:pStyle w:val="BookText"/>
        <w:rPr/>
      </w:pPr>
      <w:r>
        <w:rPr>
          <w:rFonts w:ascii="IRNazanin" w:hAnsi="IRNazanin" w:eastAsia="IRNazanin"/>
          <w:color w:val="111111"/>
          <w:sz w:val="28"/>
          <w:sz w:val="28"/>
          <w:szCs w:val="28"/>
          <w:rtl w:val="true"/>
          <w:lang w:bidi="fa-IR"/>
        </w:rPr>
        <w:t>الوحدة تنافی الترکیب، فلا معنی للترکیب الاتحادی رأسا إلاّ بمعنی أنّ الهیولی قوّة الوجود، و قوّة الوجود متدلّیة بالصورة؛ من غیر إمکان کون حیثیّة القوّة عین حیثیّة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أرید منه أنّ ما هو الصورة هی نفس القوّة بالنسبة إلی الصور الآتیة، فهو یرجع إلی إنکار الترکیب و إنکار الهیولی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فیما هو محطّ بحث الترکیب الاتحادی و الانضمامیّ هکذا، فکیف بما إذا کانت العناوین الکثیرة منطبقة علی واحد؛ فإنّه لو کان یلازم الترکیب للزم ترکیب الجسم من الجوهر و المقولات، لصدقها علیه، و للزم الترکیب فی المبدأ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صدق العناوین الکثیرة علی واحد، لا یستلزم الترکیب الاتحادی، و إلاّ یلزم کون العناوین الکثیرة واحدة؛ لأنّ منشأها صار واحدا، و هذا باطل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الأمر فی الماهیّات الأصیلة المنطبقة علی الخارج هکذا، فکیف بالمفاهیم الاعتباریّة کالصلاة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إنّ من أدخل هذه المسألة فی هذا البحث </w:t>
      </w:r>
      <w:r>
        <w:rPr>
          <w:rStyle w:val="FootnoteAnchor"/>
          <w:rtl w:val="true"/>
        </w:rPr>
        <w:footnoteReference w:id="477"/>
      </w:r>
      <w:r>
        <w:rPr>
          <w:rFonts w:ascii="IRNazanin" w:hAnsi="IRNazanin" w:eastAsia="IRNazanin"/>
          <w:color w:val="111111"/>
          <w:sz w:val="28"/>
          <w:sz w:val="28"/>
          <w:szCs w:val="28"/>
          <w:rtl w:val="true"/>
          <w:lang w:bidi="fa-IR"/>
        </w:rPr>
        <w:t>، لم یکن له مساس بالعقلیّات، و قد قرع سمعه بعض الرسمیّات، و اللَّه هو الموفّق و المؤیّد، و الحافظ من الزلاّت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هذه المقدّمات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الکثیرة تنتزع من البسیط الحقیقیّ؛ لکثرة اللحاظ، و من المرکّبات الخارجیّة؛ لکثرة الضمائم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الضمائم قد تکون طبیعیّة، کما فی الماهیّات الأصیلة، و قد</w:t>
      </w:r>
    </w:p>
    <w:p>
      <w:pPr>
        <w:pStyle w:val="BookText"/>
        <w:rPr/>
      </w:pPr>
      <w:r>
        <w:rPr>
          <w:rFonts w:ascii="IRNazanin" w:hAnsi="IRNazanin" w:eastAsia="IRNazanin"/>
          <w:color w:val="111111"/>
          <w:sz w:val="28"/>
          <w:sz w:val="28"/>
          <w:szCs w:val="28"/>
          <w:rtl w:val="true"/>
          <w:lang w:bidi="fa-IR"/>
        </w:rPr>
        <w:t>تکون اعتباریّة، کما فی المفاهیم العرفیّة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الضمائم لا تتداخل أبدا، و إلاّ للزم التداخل فی المفاهیم، مثلا ینتزع من الواحد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هذین العنوانین کاشف عن وجود الضمائم، و لا تتداخل حیثیّة البیاض و الحلو دائما و إلاّ یتداخل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تختلط الحیثیّات أیضا، و إلاّ للزم انتزاع العنوان الآخر الحاکی عن اختلاطها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فی کلماتهم، لا معنی لها بحسب الواقع و نفس الأمر؛ أی أنّ اختلاف الأمر و النهی، ناشئ من اختلاف هذه الواقعیّات الحقیقیّة أو الاعتباریّة الحسنة و غیر الحسنة، فإذا امتنع تداخلها امتنع اجتماع الأمر و النهی اللذین تعلّق کلّ واحد منهما بعنوان 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للعنوان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الماهیّات الأصیلة تختصّ بالوجودات المختصّة بها، و أمّا الماهیّات الاعتباریة فلا خارجیة لها إلا بالاعتبار، و تکون الضمائم الخارجیة الموجبة لاعتبار تلک العناوین، ضمائم اعتباریّة لا تکوینیّة، و إلاّ تکون من الانتزاعیّات و الأمور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الترکیب الاتحادی و الانضمامیّ لا أساس له فی العقلیّات، فضلا عن هذه المقامات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النتیجة التی تحصل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جمیع الأوعیة، لا یکون بین الأمر و النهی مساس و اختلاط؛ لأنّ نفس الأمر و النهی لا اجتماع بینهما بالذات، و لو کان فهو من ناحیة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نظرنا إلی متعلقاتهما بعد ما کانت مختلفة المفاهیم واقعا، فلا نجد تخالطا بینهما و لا سرایة، و لا یعقل السرایة و التخالط، کما لا یعقل التخالط بین البیاض و الحلو دائما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تحرّر و تقرّر، لکنّ الکلام فی أنّ أمر المولی فی المجمع یدعو إلی الغصب، و نهی المولی فی المجمع یزجر عن الصلاة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لذلک بعد ما عرفت؛ لأنّ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أن یحکی إلاّ عن حیثیّة مخصوصة بها،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أمر المولی و إن کان له الإطلاق، و لکن لا معنی لإطلاقه بالنسبة إلی ما هو الخارج عن مصبّه، فلا یدعو الأمر إلاّ إلی حیثیّة الصلاة التی هی من الوجوه الحسنة المنطبقة علی الخارج، و النهی لا یدعو إلاّ إلی الزجر عن حیثیّة الغصب، و هما حیثیّتان مختلفتان بالضرورة، و لا معنی معقول لحکایة عنوان عن غیر الحیثیّة المتعلّقة به، کما لا یحکی الجوهر عن العرض، و لا القیام عن العقود، و لا البیاض عن الحلو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من الماهیّات الأصیلة، و الغصب من المقولات العرضیّة، ناشئ من عدم الاطلاع علی حدود الحقائق العینیّة، و قد مرّ بعض الکلام فی اختراعیّة الصلاة و اعتباریّة الغصب فیما سلف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ما تحرّر و تقرّر، هل یعقل توهّم الاجتماع بین المتعلّقین بعد کونهما مختلفین دائما؛ و إن کانا متّحدین بحسب الإیجاد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قائم علی أنّ کلّ فعل من أفعال المکلّف، لا بدّ و أن یکون مختصّا بالإیجاد الواحد و الموجود الفارد، فلا بدّ و أن یکون الغصب مختصّا بالإیجاد الواحد و الوجود الفارد، و الصلاة هکذا، غیر مسموعة؛ لعدم أثر منه فی الکتب الإسلامیّة، و لا المتون الفقهیّة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لیست متعلّق الأمر و النهی، بل متعلّق الأمر و النهی هو واقع</w:t>
      </w:r>
    </w:p>
    <w:p>
      <w:pPr>
        <w:pStyle w:val="BookText"/>
        <w:rPr/>
      </w:pPr>
      <w:r>
        <w:rPr>
          <w:rFonts w:ascii="IRNazanin" w:hAnsi="IRNazanin" w:eastAsia="IRNazanin"/>
          <w:color w:val="111111"/>
          <w:sz w:val="28"/>
          <w:sz w:val="28"/>
          <w:szCs w:val="28"/>
          <w:rtl w:val="true"/>
          <w:lang w:bidi="fa-IR"/>
        </w:rPr>
        <w:t>فعل المکلّف، و هو واحد، و إذا کان واحدا فلا یتعدّد الأمر و النهی واقعا؛ للزوم الجمع بین المتخالفات و المتضادّات بالذات، أو بالغیر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من المسائل غیر التامّة، لا لأجل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أنّ الفعل الخارجیّ مورد الأمر أو النهی </w:t>
      </w:r>
      <w:r>
        <w:rPr>
          <w:rStyle w:val="FootnoteAnchor"/>
          <w:rtl w:val="true"/>
        </w:rPr>
        <w:footnoteReference w:id="480"/>
      </w:r>
      <w:r>
        <w:rPr>
          <w:rFonts w:ascii="IRNazanin" w:hAnsi="IRNazanin" w:eastAsia="IRNazanin"/>
          <w:color w:val="111111"/>
          <w:sz w:val="28"/>
          <w:sz w:val="28"/>
          <w:szCs w:val="28"/>
          <w:rtl w:val="true"/>
          <w:lang w:bidi="fa-IR"/>
        </w:rPr>
        <w:t>،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تحصیل الحاصل </w:t>
      </w:r>
      <w:r>
        <w:rPr>
          <w:rStyle w:val="FootnoteAnchor"/>
          <w:rtl w:val="true"/>
        </w:rPr>
        <w:footnoteReference w:id="481"/>
      </w:r>
      <w:r>
        <w:rPr>
          <w:rFonts w:ascii="IRNazanin" w:hAnsi="IRNazanin" w:eastAsia="IRNazanin"/>
          <w:color w:val="111111"/>
          <w:sz w:val="28"/>
          <w:sz w:val="28"/>
          <w:szCs w:val="28"/>
          <w:rtl w:val="true"/>
          <w:lang w:bidi="fa-IR"/>
        </w:rPr>
        <w:t>، فإنّه قدس سره أعظم شأنا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لأجل أنّ الحرکة التی تصدر من المکلّف ذات 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اختراعیّة و هی الصلاة، و اعتباریّة و هو التصرّف فی مال الغیر، بشهادة صدقهما علیها، و حیث یکون 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حیثیّة حسن فیها، و العنوان الثانی کاشفا عن حیثیّة سوء فیها، فهی تکون قابلة لأن تلاحظ عند اللاحظ علی الوجهتین، و هما واقعیّتان اعتباریّتان، مختلفتان فی الحیثیّة، و متّحدتان فی الوجود، و لأجل ذلک الاختلاف یمکن کون إحداهما مورد الأمر، و الأخری مورد النهی من غیر أن یتجاوز إحداهما إلی الأخری، أو تسری إحدی الحیثیّتین إلی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یرید من وحدة العنوان المعنون الخارجیّ، حتّی یتوجّه إلیه إشکال تحصیل الحاصل، بل هو یرید المعنون العنوانیّ؛ و هو عنوان فعل المکلّف، فإنّه یصدق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یصدر من المکلّف إلاّ فعل واحد، و الفعل الواحد موضوع لحکم واحد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و لکن لا وجه لصرف الأمر بالصلاة إلی الأمر بعنوان الفعل، و لا صرف النهی عن الغصب إلی ذلک العنوان؛ بعد کونهما مستقلّین کما عرفت</w:t>
      </w:r>
      <w:r>
        <w:rPr>
          <w:rFonts w:eastAsia="IRNazanin" w:cs="IRNazanin"/>
          <w:color w:val="111111"/>
          <w:sz w:val="28"/>
          <w:szCs w:val="28"/>
          <w:rtl w:val="true"/>
          <w:lang w:bidi="fa-IR"/>
        </w:rPr>
        <w:t>.</w:t>
      </w:r>
      <w:bookmarkStart w:id="355" w:name="pg13163_143090"/>
    </w:p>
    <w:p>
      <w:pPr>
        <w:pStyle w:val="Heading6"/>
        <w:numPr>
          <w:ilvl w:val="5"/>
          <w:numId w:val="1"/>
        </w:numPr>
        <w:rPr/>
      </w:pPr>
      <w:bookmarkStart w:id="356" w:name="__RefHeading___Toc533833_3244359995"/>
      <w:bookmarkStart w:id="357" w:name="_Toc134"/>
      <w:bookmarkEnd w:id="355"/>
      <w:bookmarkEnd w:id="356"/>
      <w:r>
        <w:rPr>
          <w:rtl w:val="true"/>
        </w:rPr>
        <w:t>فذلکة الکلام</w:t>
      </w:r>
      <w:bookmarkEnd w:id="357"/>
    </w:p>
    <w:p>
      <w:pPr>
        <w:pStyle w:val="BookText"/>
        <w:rPr/>
      </w:pPr>
      <w:r>
        <w:rPr>
          <w:rFonts w:ascii="IRNazanin" w:hAnsi="IRNazanin" w:eastAsia="IRNazanin"/>
          <w:color w:val="111111"/>
          <w:sz w:val="28"/>
          <w:sz w:val="28"/>
          <w:szCs w:val="28"/>
          <w:rtl w:val="true"/>
          <w:lang w:bidi="fa-IR"/>
        </w:rPr>
        <w:t>إنّ من تدبّر فیما أسلفناه یظهر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التی أخذ فی ترتیبها القائل بالاجتماع، کلّها غیر نافعة فی حلّ المعضلة فی هذه المسألة و 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بتعلّق الأوامر و النواهی بالطبائع، لا ینفع إلاّ بعد الدقّة فی ماهیّة المسألة، و کیفیّة وجود الطبائع، و کیفیّة اعتبارها و انتزاعها، و عدم إمکان تداخل مناشئها، و أنّ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متضادّة بالأصالة و الحقیقة، أو بالعرض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تفید شیئا؛ لأنّ مع تضادّها و اختلاف موضوعها لا یتضرّر منه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فیما بیّناه یظهر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بالامتناع غیر ممکن فی هذا النزاع، و أنّ حدیث السرایة و الترکیب الاتحادی ینافی تعدّد العنوان و تعدّد المفاهیم المفروض عند کلّ من الاجتماعیّ و الامتناعیّ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نظر فیما أسمعناکم یظهر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بالاجتماع یصحّ حتّی إذا قلنا بتعلّقهما بالأفراد؛ لأنّ المراد من الأفراد لیس إلاّ الفرد الذاتیّ، فإنّ الجسم بما أنّه أبیض فرد البیاض، لا بما أنّه متکمّم، فتلک الحرکة لأجل حیثیّة الصلاة فرد الصلاة، و لأجل حیثیّة الغصب فرد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أرید من فرد الغصب المصداق بجمیع حیثیّاته فلا یعقل، و لکنّه باطل عاطل عند ذی مسکة،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تفکّر فی الأمور المشار إلیها، یتوجّه إلی أنّ القائل بالسرایة، لا یمکن أن یرید سرایة الحیثیّة الصلاتیّة إلی الغصبیّة و بالعکس، أو ترکّب الحیثیّتین و حدوث الحیثیّة الثالثة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له أن یرید سرایة الأمر إلی متعلّق النهی و بالعکس، و لکنّه من الواضح</w:t>
      </w:r>
    </w:p>
    <w:p>
      <w:pPr>
        <w:pStyle w:val="BookText"/>
        <w:rPr/>
      </w:pPr>
      <w:r>
        <w:rPr>
          <w:rFonts w:ascii="IRNazanin" w:hAnsi="IRNazanin" w:eastAsia="IRNazanin"/>
          <w:color w:val="111111"/>
          <w:sz w:val="28"/>
          <w:sz w:val="28"/>
          <w:szCs w:val="28"/>
          <w:rtl w:val="true"/>
          <w:lang w:bidi="fa-IR"/>
        </w:rPr>
        <w:t>فساده، و البین غیّه؛ ضرورة أنّ مصبّ الأمر و النهی فی مقام الجعل و التشریع، غیر متّحدین وجودا حتی یمکن ذلک، و فیما إذا اتحدا لا یبقی منهما الأثر؛ لأنّ ظرف اتحادهما الخارج و هو ظرف سقوطهما کما هو المحرّر</w:t>
      </w:r>
      <w:r>
        <w:rPr>
          <w:rStyle w:val="FootnoteAnchor"/>
          <w:rtl w:val="true"/>
        </w:rPr>
        <w:footnoteReference w:id="482"/>
      </w:r>
      <w:r>
        <w:rPr>
          <w:rFonts w:ascii="IRNazanin" w:hAnsi="IRNazanin" w:eastAsia="IRNazanin"/>
          <w:color w:val="111111"/>
          <w:sz w:val="28"/>
          <w:sz w:val="28"/>
          <w:szCs w:val="28"/>
          <w:rtl w:val="true"/>
          <w:lang w:bidi="fa-IR"/>
        </w:rPr>
        <w:t>مع أنّهما فی الخارج أیضا غیر متخالطین، و لا مترکّبین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الثابت لکلّ من الأمر و النهی إن کان معناه رفض القیود، فلا معنی لسرایة الأمر إلی متعلّق النهی، و إن کان معناه لحاظ التسریة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الصلاة واجبة سواء کان غصب أو لم یکن، و الغصب حرام سواء کانت صلاة أو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أیضا للسرایة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کان معنی الإطلاق هی التسریة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الصلاة واجبة و لو کانت مصاحبة مع الغصب، و الغصب حرام و لو کان مصاحبا مع الصلاة، حتی یکون الموضوع للوجوب مرکبا من الصلاة، و المصاحبة مع الغصب، و موضوع النهی مرکبا من الغصب، و من التصاحب مع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 فیما مضی فی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هذا الإطلاق هو الخروج عن حریم النزاع </w:t>
      </w:r>
      <w:r>
        <w:rPr>
          <w:rStyle w:val="FootnoteAnchor"/>
          <w:rtl w:val="true"/>
        </w:rPr>
        <w:footnoteReference w:id="483"/>
      </w:r>
      <w:r>
        <w:rPr>
          <w:rFonts w:ascii="IRNazanin" w:hAnsi="IRNazanin" w:eastAsia="IRNazanin"/>
          <w:color w:val="111111"/>
          <w:sz w:val="28"/>
          <w:sz w:val="28"/>
          <w:szCs w:val="28"/>
          <w:rtl w:val="true"/>
          <w:lang w:bidi="fa-IR"/>
        </w:rPr>
        <w:t>للزوم وحدة المتعلّق فی مرحلة الإنشاء و الجعل، و لا شبهة فی امتناع وحدة المتعلق مع تعدد الأمر و النهی؛ لأن الأمر و النهی لا یجتمعان فی مصبّ واحد، مع کون المکلف واحدا، و المکلف واحدا، و الزمان واحدا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أنهما لا یجتمعان؛ أی أنه لا یعقل ترشح الإرادة الجدّیة من المولی الملتفت بالنسبة إلی الشی‌ء الواحد، لا بمعنی امتناع اجتماعهما ذاتا کما</w:t>
      </w:r>
      <w:bookmarkStart w:id="358" w:name="pg13163_143092"/>
    </w:p>
    <w:p>
      <w:pPr>
        <w:pStyle w:val="BookText"/>
        <w:rPr/>
      </w:pPr>
      <w:bookmarkEnd w:id="358"/>
      <w:r>
        <w:rPr>
          <w:rFonts w:ascii="IRNazanin" w:hAnsi="IRNazanin" w:eastAsia="IRNazanin"/>
          <w:color w:val="111111"/>
          <w:sz w:val="28"/>
          <w:sz w:val="28"/>
          <w:szCs w:val="28"/>
          <w:rtl w:val="true"/>
          <w:lang w:bidi="fa-IR"/>
        </w:rPr>
        <w:t xml:space="preserve">توهّمه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533835_3244359995"/>
      <w:bookmarkStart w:id="360" w:name="_Toc135"/>
      <w:bookmarkEnd w:id="359"/>
      <w:r>
        <w:rPr>
          <w:rtl w:val="true"/>
        </w:rPr>
        <w:t>إیضاح و إفادة</w:t>
      </w:r>
      <w:bookmarkEnd w:id="360"/>
    </w:p>
    <w:p>
      <w:pPr>
        <w:pStyle w:val="BookText"/>
        <w:rPr/>
      </w:pPr>
      <w:r>
        <w:rPr>
          <w:rFonts w:ascii="IRNazanin" w:hAnsi="IRNazanin" w:eastAsia="IRNazanin"/>
          <w:color w:val="111111"/>
          <w:sz w:val="28"/>
          <w:sz w:val="28"/>
          <w:szCs w:val="28"/>
          <w:rtl w:val="true"/>
          <w:lang w:bidi="fa-IR"/>
        </w:rPr>
        <w:t>قد تبیّن فیما سلف و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و لو کانت متضادّة حسب الاصطلاح، لا تضرّ بالقول بالاجتماع؛ لأنّ مصبهما مختلف فی جمیع الأوعیة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محفوظة فی ظرف الخارج؛ فإنّ کلّ حکم مخصوص بحیثیّة ممتازة عن الحیثیّة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فی التکوین اجتماع السواد و البیاض فی الجسم الواحد، مع اختلاف محلّهما بحسب سعة الجسم و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القول بالامتناع لا یتقوّم بکون الأحکام متضادّة بالأصالة و الحقیقة، و یکون من التکلیف الممتنع، لا من التکلیف بالمحال و الممتنع؛ و ذلک لأنّ القائل بالامتناع إذا کان یری أنّ تعدّد العنوان، لا یورث انحلال مشکلة الاجتماع؛ لأنّ ما هو موضوع الأمر و النهی هو فعل المکلّف، فلا یعقل الاجتماع و لو کانت الأحکام متضادّة بالغیر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یری صحّة السرایة، فإن کان نظره إلی سرایة الجهات أو سرایة الأمر و النهی إلی المتعلق الآخر، فلا یعقل اجتماعهما أیضا و إن کانت الأحکام غیر 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کان نظر القائل بالامتناع إلی الترکیب الاتحادی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تحصّل و تقرّر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إطالة الکلام حول خصوصیّات التضادّ المشهوریّ و الحقیقیّ أوّلا، ثمّ البحث عن أنّ الأحکام هل هی متضادّة حقیقة أم لا؟</w:t>
      </w:r>
    </w:p>
    <w:p>
      <w:pPr>
        <w:pStyle w:val="BookText"/>
        <w:rPr/>
      </w:pPr>
      <w:r>
        <w:rPr>
          <w:rFonts w:ascii="IRNazanin" w:hAnsi="IRNazanin" w:eastAsia="IRNazanin"/>
          <w:color w:val="111111"/>
          <w:sz w:val="28"/>
          <w:sz w:val="28"/>
          <w:szCs w:val="28"/>
          <w:rtl w:val="true"/>
          <w:lang w:bidi="fa-IR"/>
        </w:rPr>
        <w:t>من اللغو المنهیّ عنه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البیّن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التضادّ و أمثاله من أحکام الطبائع و الحقائق العینیّة، و ما لا وجود له فی الخارج إلاّ فی مقام الاعتبار و التسمیة، لا یندرج فی موضوع هذه</w:t>
      </w:r>
      <w:bookmarkStart w:id="361" w:name="pg13163_143093"/>
    </w:p>
    <w:p>
      <w:pPr>
        <w:pStyle w:val="BookText"/>
        <w:rPr/>
      </w:pPr>
      <w:bookmarkEnd w:id="361"/>
      <w:r>
        <w:rPr>
          <w:rFonts w:ascii="IRNazanin" w:hAnsi="IRNazanin" w:eastAsia="IRNazanin"/>
          <w:color w:val="111111"/>
          <w:sz w:val="28"/>
          <w:sz w:val="28"/>
          <w:szCs w:val="28"/>
          <w:rtl w:val="true"/>
          <w:lang w:bidi="fa-IR"/>
        </w:rPr>
        <w:t>البحوث رأسا، فلا تکون من الخالطین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هو نفس الإرادة، و قلنا بأنّ النهی و الحرمة مبدؤهما الکراهة، فیکون بین الکراهة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کونهما فی محلّ و موضوع واحد و مندرجتین تحت جنس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 ضرورة أنّ الحکم إمّا هو اعتبار من الإنشاء، أو هو نفس المنشأ، أو هو الإرادة المظهرة، و لا معنی لکونه نفس الإرادة، و لا یذهب إلیه أحد بالضرورة،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مبدأ النهی و الحرمة لیس الکراهة؛ لما مرّ أنّ الکراهة لا تقابل الإرادة، بل مبدأ النهی و الحرمة هی إرادة الزجر و المنع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الإرادة فی موضوع و هی النّفس، بل الإرادة من منفعلات النّفس و مخلوقاتها، و قائمة بها قیام صدور لا حلول، فعلی جمیع التقادیر لا معنی لعدّ الحرمة و الوجوب من المتضادّین؛ حقیقیا کان، أو مشهوریا</w:t>
      </w:r>
      <w:r>
        <w:rPr>
          <w:rFonts w:eastAsia="IRNazanin" w:cs="IRNazanin"/>
          <w:color w:val="111111"/>
          <w:sz w:val="28"/>
          <w:szCs w:val="28"/>
          <w:rtl w:val="true"/>
          <w:lang w:bidi="fa-IR"/>
        </w:rPr>
        <w:t>.</w:t>
      </w:r>
    </w:p>
    <w:p>
      <w:pPr>
        <w:pStyle w:val="Heading5"/>
        <w:numPr>
          <w:ilvl w:val="4"/>
          <w:numId w:val="1"/>
        </w:numPr>
        <w:rPr/>
      </w:pPr>
      <w:bookmarkStart w:id="362" w:name="__RefHeading___Toc533837_3244359995"/>
      <w:bookmarkStart w:id="363" w:name="_Toc136"/>
      <w:bookmarkEnd w:id="362"/>
      <w:r>
        <w:rPr>
          <w:rtl w:val="true"/>
        </w:rPr>
        <w:t>المقام الثانی</w:t>
      </w:r>
      <w:r>
        <w:rPr>
          <w:rtl w:val="true"/>
        </w:rPr>
        <w:t xml:space="preserve">: </w:t>
      </w:r>
      <w:r>
        <w:rPr>
          <w:rtl w:val="true"/>
        </w:rPr>
        <w:t>فی معقولیّة أمر المولی و نهیه عن عنوانین مع وحدة المعنون</w:t>
      </w:r>
      <w:bookmarkEnd w:id="36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الفراغ عن عدم إمکان الالتزام بالامتناع فی النزاع الأوّل، و بعد وضوح صحّة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الأمر و النهی لا یلزم فی محطّ البحث، اجتماعهما فی محلّ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النوبة إلی النزاع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کیف یعقل أن یتصدّی المولی الملتفت إلی الأمر و النهی عن العنوانین، مع عدم تمکّن العبد من التفکیک بینهما إلاّ فی صورة وجود المندوحة، مع أنّ من القائل بالاجتماع من یقول بجواز</w:t>
      </w:r>
    </w:p>
    <w:p>
      <w:pPr>
        <w:pStyle w:val="BookText"/>
        <w:rPr/>
      </w:pPr>
      <w:r>
        <w:rPr>
          <w:rFonts w:ascii="IRNazanin" w:hAnsi="IRNazanin" w:eastAsia="IRNazanin"/>
          <w:color w:val="111111"/>
          <w:sz w:val="28"/>
          <w:sz w:val="28"/>
          <w:szCs w:val="28"/>
          <w:rtl w:val="true"/>
          <w:lang w:bidi="fa-IR"/>
        </w:rPr>
        <w:t>ذلک، و یقول بجواز ترشّح الإرادة الباعثة و الزاجرة من المکلَّف الواحد بالنسبة إلی المکلف الواحد فی الزمان الواحد، مع التلازم الطبیعیّ بین المأمور و المنهی عنه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فیما سبق إلی أنّ النزاع الأوّل نزاع صغرویّ </w:t>
      </w:r>
      <w:r>
        <w:rPr>
          <w:rStyle w:val="FootnoteAnchor"/>
          <w:rtl w:val="true"/>
        </w:rPr>
        <w:footnoteReference w:id="486"/>
      </w:r>
      <w:r>
        <w:rPr>
          <w:rFonts w:ascii="IRNazanin" w:hAnsi="IRNazanin" w:eastAsia="IRNazanin"/>
          <w:color w:val="111111"/>
          <w:sz w:val="28"/>
          <w:sz w:val="28"/>
          <w:szCs w:val="28"/>
          <w:rtl w:val="true"/>
          <w:lang w:bidi="fa-IR"/>
        </w:rPr>
        <w:t>، و هو یکون حول لزوم اجتماع الأمر و النهی أم لا، و القائل بالاجتماع یرید نفی لزوم اجتماعهما فی مصبّ واحد فی جمیع الأوعیة، و لأجل ذلک لا یصحّ أن یقال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اجتماعیّ؛ و إنّه یقول بالاجتماع، بل یصحّ أن یعبّر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امتناعیّ؛ أی یقول بعدم لزوم الاجتماع بین الأمر و النهی فی جمیع المراحل و المنازل، و الامتناعیّ اجتماعیّ؛ أی یقول بلزوم اجتماعهما فی مصبّ واحد و محلّ فارد، و هو مستحیل و محال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النزاع الثانی کبرویّ؛ لرجوع البحث فیه إلی أنّه هل یمکن المحافظة علی الإطلاقین، و یجوز صیانة بقائهما علی عنوانهما؛ إذا کانا منطبقین علی واحد، أم لا؟</w:t>
      </w:r>
    </w:p>
    <w:p>
      <w:pPr>
        <w:pStyle w:val="BookText"/>
        <w:rPr/>
      </w:pPr>
      <w:r>
        <w:rPr>
          <w:rFonts w:ascii="IRNazanin" w:hAnsi="IRNazanin" w:eastAsia="IRNazanin"/>
          <w:color w:val="111111"/>
          <w:sz w:val="28"/>
          <w:sz w:val="28"/>
          <w:szCs w:val="28"/>
          <w:rtl w:val="true"/>
          <w:lang w:bidi="fa-IR"/>
        </w:rPr>
        <w:t>إذا عرفت تلک النکتة فلیعلم أنّ هنا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یکن مندوحة، و لم یکن المکلّف فی سعة من إتیان المأمور به علی وجه الإباحة، و علی وجه لا یلازم الإثم و التصرّف فی مال الغیر، فإنّه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هو المعروف بینهم من انحلال الخطابات الشرعیّة إلی الخطابات الجزئیّة الشخصیّة</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المحافظة علیهما، فإنّه من التکلیف بالمحال الملازم للتکلیف المحال؛ ضرورة أنّ القدرة علی امتثال کلّ من الأمر و النهی شرط، و إذا کانت هی مفقودة فلا یعقل ترشّحهما معا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العبد من أول الوقت إلی آخر الوقت، غیر قادر علی إتیان</w:t>
      </w:r>
    </w:p>
    <w:p>
      <w:pPr>
        <w:pStyle w:val="BookText"/>
        <w:rPr/>
      </w:pPr>
      <w:r>
        <w:rPr>
          <w:rFonts w:ascii="IRNazanin" w:hAnsi="IRNazanin" w:eastAsia="IRNazanin"/>
          <w:color w:val="111111"/>
          <w:sz w:val="28"/>
          <w:sz w:val="28"/>
          <w:szCs w:val="28"/>
          <w:rtl w:val="true"/>
          <w:lang w:bidi="fa-IR"/>
        </w:rPr>
        <w:t>الصلاة فی الأرض المباحة، فالأمر بالصلاة باعث نحوها، و النهی عن التصرّف فی مال الغیر زاجر عنها، و هو لا یتمکّن عقلا من امتثال التکلیفین، فلا بدّ من اختیار سقوطهما، أو سقوط أحدهما المعیّن أو اللامعیّن إن أمکن، فإنّه بذلک ترتفع الغائلة، و هذا من غیر فرق بین کون ذلک بسوء اختیاره، أو لا بسوء اختیاره؛ لأنّ سوء الاختیار لا یصحّح ترشّح الإرادتین فی المجمع، و بقاء الإطلاقین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نتیجة سوء الاختیار صحّة عقوبة المکلّف علی ترک الصلاة و التصرّف فی مال الغیر، و سیأتی تفصیله فی بعض البحوث الآتیة إن شاء اللَّه تعالی </w:t>
      </w:r>
      <w:r>
        <w:rPr>
          <w:rStyle w:val="FootnoteAnchor"/>
          <w:rtl w:val="true"/>
        </w:rPr>
        <w:footnoteReference w:id="488"/>
      </w:r>
      <w:r>
        <w:rPr>
          <w:rFonts w:ascii="IRNazanin" w:hAnsi="IRNazanin" w:eastAsia="IRNazanin"/>
          <w:color w:val="111111"/>
          <w:sz w:val="28"/>
          <w:sz w:val="28"/>
          <w:szCs w:val="28"/>
          <w:rtl w:val="true"/>
          <w:lang w:bidi="fa-IR"/>
        </w:rPr>
        <w:t xml:space="preserve">فما نسب إلی العلاّمة القمّی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غیر تامّ کما مرّ</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المبنی المشهور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بعدم انحلال الخطابات القانونیّة الکلّیة إلی الخطابات الکثیرة الجزئیّة</w:t>
      </w:r>
      <w:r>
        <w:rPr>
          <w:rStyle w:val="FootnoteAnchor"/>
          <w:rtl w:val="true"/>
        </w:rPr>
        <w:footnoteReference w:id="491"/>
      </w:r>
      <w:r>
        <w:rPr>
          <w:rFonts w:ascii="IRNazanin" w:hAnsi="IRNazanin" w:eastAsia="IRNazanin"/>
          <w:color w:val="111111"/>
          <w:sz w:val="28"/>
          <w:sz w:val="28"/>
          <w:szCs w:val="28"/>
          <w:rtl w:val="true"/>
          <w:lang w:bidi="fa-IR"/>
        </w:rPr>
        <w:t>، فلا مانع من المحافظة علی الإطلاقین؛ لما تقرّر منّا فی مباحث الضدّ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من ثمرات الخطاب القانونیّ؛ جواز تصویر التکلیف الفعلیّ بالنسبة إلی العاجز، و الجاهل، و الغافل، و النائم، فالواقع فی الغائلة المزبورة مکلّف فعلا بالصلاة، و مکلّف بترک التصرّف تکلیفین عرضیین فعلیین، و ینظر بعد ذلک إلی ما هو الأهمّ، و یأتی به، و یکون بالنسبة إلی ترک المهمّ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أوقع نفسه بسوء الاختیار فی المغصوب من الدار، أو فی التوضؤ بماء الغیر، فإنه عندئذ لا بدّ عقلا من أن یتوضّأ، و یعاقب علی تصرّفه فی ملک الغیر، و مع ذلک تصحّ صلاته و وضوؤه و غسله و تیمّمه، و غیر ذلک ممّا یصدر منه معنونا بالعنوانین، فلا تکن من الخالطین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مندوحة، و کان العبد فی الفسحة و السعة من إتیان المأمور به فی الأرض المباحة، و التوضّؤ بالماء المباح، فإنّه علی القول المزبور من عدم الانحلال، فإمکان المحافظة علی الإطلاقین واضح، و تکون الإرادتان الباعثة و الزاجرة، باقیتین علی حالهما من البعث و الزجر و الفعلیّة و التنجّز، و هذا ممّا لا غبار علیه، و لا شبهة تعتریه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بانحلال الخطاب الوحدانیّ القانونیّ إلی الکثیر الشخصیّ،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تفصیله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المحافظة علیهما؛ لأنّ القدرة علی فرد من الطبیعة المأمور بها فی طول الوقت، کافیة لإیجاب الطبیعة فی تمام الوقت؛ لأنّ ما هو مورد التکلیف هی الطبیعة بین الحدّین، و لا شبهة فی أنّها مورد القدرة، و ما لیس مورد القدرة هو الفرد منها، و هو لیس مورد التکلیف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کما ینحلّ بحسب الأفراد و الحالات من العاجز و القادر و العالم و الجاهل، کذلک ینحلّ بحسب أجزاء الزمان، و إذا کان هو منحلا بحسبها، فلا یعقل المحافظة علی الخطابین فی الجزء منه؛ و هو حینما کان یتصرّف المکلّف فی مال الغیر، و قد سبق منّا وجه الانحلال من هذه الجهة أیضا، و لا نطیل الکلام بإعادة ذلک،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تبیّن فی بحث الضدّ من الخطابات القانونیّة</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واضحا، کالنار علی المنار، أو کالشمس فی رابعة النهار، و الحمد للَّه الواحد القهّار</w:t>
      </w:r>
      <w:r>
        <w:rPr>
          <w:rFonts w:eastAsia="IRNazanin" w:cs="IRNazanin"/>
          <w:color w:val="111111"/>
          <w:sz w:val="28"/>
          <w:szCs w:val="28"/>
          <w:rtl w:val="true"/>
          <w:lang w:bidi="fa-IR"/>
        </w:rPr>
        <w:t>.</w:t>
      </w:r>
      <w:bookmarkStart w:id="364" w:name="pg13163_143097"/>
    </w:p>
    <w:p>
      <w:pPr>
        <w:pStyle w:val="Heading4"/>
        <w:numPr>
          <w:ilvl w:val="3"/>
          <w:numId w:val="1"/>
        </w:numPr>
        <w:rPr/>
      </w:pPr>
      <w:bookmarkStart w:id="365" w:name="__RefHeading___Toc533839_3244359995"/>
      <w:bookmarkStart w:id="366" w:name="_Toc137"/>
      <w:bookmarkEnd w:id="364"/>
      <w:bookmarkEnd w:id="365"/>
      <w:r>
        <w:rPr>
          <w:rtl w:val="true"/>
        </w:rPr>
        <w:t>تنبیهات</w:t>
      </w:r>
      <w:bookmarkEnd w:id="366"/>
    </w:p>
    <w:p>
      <w:pPr>
        <w:pStyle w:val="Heading5"/>
        <w:numPr>
          <w:ilvl w:val="4"/>
          <w:numId w:val="1"/>
        </w:numPr>
        <w:rPr/>
      </w:pPr>
      <w:bookmarkStart w:id="367" w:name="__RefHeading___Toc533841_3244359995"/>
      <w:bookmarkStart w:id="368" w:name="_Toc138"/>
      <w:bookmarkEnd w:id="367"/>
      <w:r>
        <w:rPr>
          <w:rtl w:val="true"/>
        </w:rPr>
        <w:t>التنبیه الأوّل محذور اجتماع الأوصاف المتقابلة فی المجمع</w:t>
      </w:r>
      <w:bookmarkEnd w:id="368"/>
    </w:p>
    <w:p>
      <w:pPr>
        <w:pStyle w:val="BookText"/>
        <w:rPr/>
      </w:pPr>
      <w:r>
        <w:rPr>
          <w:rFonts w:ascii="IRNazanin" w:hAnsi="IRNazanin" w:eastAsia="IRNazanin"/>
          <w:color w:val="111111"/>
          <w:sz w:val="28"/>
          <w:sz w:val="28"/>
          <w:szCs w:val="28"/>
          <w:rtl w:val="true"/>
          <w:lang w:bidi="fa-IR"/>
        </w:rPr>
        <w:t>لو صحّ اجتماع الأمر و النهی الفعلیین فی المجمع، للزم کون الشی‌ء الواحد موصوفا بالأوصاف المتقابلة؛ و هی المحبوبیّة و المبغوضیّة، و المقرّبیة و المبعّدیة، و ذات المصلحة و المفسدة، و لا شبهة فی تقابل تلک النعوت، کما لا شبهة فی لزوم ذلک، و لا سیّما علی مذهب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بأنّ من المتقابلات هی العلیّة و المعلولیّة، و المحبّیة و المحبوبیّة، و الفوقیّة و التحتیّة، مع أنّ الشی‌ء الواحد یوصف بها قطعا و بلا شبهة، فلو صحّ الأمر هنا یصحّ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الأوصاف و النعوت مختلفة؛ فبعض منها ما هی الواقعیّة، و لا مدخلیّة للاعتبار و الإضافة فیها، کالأبیضیّة و الأسودیّة، فإنّها لا یمکن اجتماعها، و لا یختلف الحکم باختلاف اللحاظ و الجهة فیها؛ لأنّها من الصفات غیر ذات الإضافة، و من المقولات الحقیقیّة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منها من الأمور الواقعیّة التی تکون ذات إضافة، و تکون ذات منشأ مقولیّ حسب المشهور، کالفوقیّة و التحتیّة، فإنّهما من المنتزعات عن المقولة الخارجیّة؛ و هی مقولة الإضافة، و بکونها ذات إضافة یختلف الحکم و التوصیف باختلاف الجهات و الإضافات، فیصیر الشی‌ء الواحد فوقا بالإضافة إلی ما تحته،</w:t>
      </w:r>
    </w:p>
    <w:p>
      <w:pPr>
        <w:pStyle w:val="BookText"/>
        <w:rPr/>
      </w:pPr>
      <w:r>
        <w:rPr>
          <w:rFonts w:ascii="IRNazanin" w:hAnsi="IRNazanin" w:eastAsia="IRNazanin"/>
          <w:color w:val="111111"/>
          <w:sz w:val="28"/>
          <w:sz w:val="28"/>
          <w:szCs w:val="28"/>
          <w:rtl w:val="true"/>
          <w:lang w:bidi="fa-IR"/>
        </w:rPr>
        <w:t>و تحتا بالإضافة إلی ما فوقه، مع أنّ منشأ ذلک فرد من مقولة الإضافة، و هی من الواقعیّات، إلاّ أنّ الواقعیّات ذات الإضافة تکون بهذه المثابة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القسم الثالث من الأوصاف ما لا خارجیّة لها، و لا منشأ مخصوص بها، و لا یحاذیها الحیثیّة الزائدة علی ذات الموضوع، کالعلیّة و المعلولیّة، و العاقلیّة و المعقولیّة، و قد فرغنا من توضیح هذه الأمور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النعوت لیست مندرجة تحت المقولات، و تعدّ من الأوصاف المتضایفة مفهوما الساریة فی جمیع أنحاء العالم؛ حتّی البسیط الحقیقیّ، و یکون من خارج المحمول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الرابع من الأوصاف ما هی الأمور الاعتباریّة التی لا خارجیّة لها إلاّ فی الاعتبار، کالملکیّة و الحرّیة و العبدیّة و أمثالها، فیکون الشی‌ء الواحد مملوکا و مالکا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بتفصیل مع إجمال فیه أیضا فلیعلم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المحبوبیّة و المبغوضیّة لیستا ممّا لا تجتمعان بحسب اختلاف الإضافة و الجهة بالضرورة، بل هما من قبیل وصف المعلومیّة و المجهولیّة، فکما أنّ الشی‌ء الواحد یمکن أن یکون معلوما بحسب وجوده فی النجف، و یکون مجهولا بحسب وجوده فی دار فلان، کذلک یکون محبوبا بحسب ما فیه جهة الحسن، و مبغوضا بحسب ما فیه جهة 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المعلومیّة و المجهولیّة من الأوصاف العرضیّة للخارج، کذلک المحبوبیّة و المبغوضیّة، فإنّ ما یتعلّق الحبّ به بالنسبة إلینا هی الصورة الذهنیّة أوّلا و بالذات، ثمّ لمکان انطباق تلک الصورة علی ما فی الخارج یکون الخارج محبوبا بالعرض و المجاز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المحبوبیّة و المبغوضیّة أسوأ حالا من سائر الأوصاف المزبورة؛ لأنّها کلّها توصف بها الأشیاء علی الحقیقة، و یکون من التوصیف بحال</w:t>
      </w:r>
    </w:p>
    <w:p>
      <w:pPr>
        <w:pStyle w:val="BookText"/>
        <w:rPr/>
      </w:pPr>
      <w:r>
        <w:rPr>
          <w:rFonts w:ascii="IRNazanin" w:hAnsi="IRNazanin" w:eastAsia="IRNazanin"/>
          <w:color w:val="111111"/>
          <w:sz w:val="28"/>
          <w:sz w:val="28"/>
          <w:szCs w:val="28"/>
          <w:rtl w:val="true"/>
          <w:lang w:bidi="fa-IR"/>
        </w:rPr>
        <w:t>أنفسها، بخلافهما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 الحقّ الأوّل عزّ و جلّ لیس الأمر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المقرّبیة و المبعّدیة ممّا لا بأس باجتماعهما؛ لإمکان کون الشی‌ء الواحد مقربا من جهة، و مبعّدا من أخری؛ لأنّهما من المفاهیم الإضافیّة الحاصلة من اختلاف الأشیاء فی جهة الحسن و القبح، أ فلا تری أنّ من حرّک یده لضرب عبد المولی یستحقّ العقوبة علی 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ملک الغیر، و من حرّکها علی وجه التلطیف لیس مثله، و هکذا سائر الأمثلة المذکورة الواضح سبیلها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 المصالح و المفاسد واضح الإمکان و واقع، فإنّ الشی‌ء الواحد یکون بالنسبة إلی شخص ذا مصلحة، و بالنسبة إلی الآخر ذا مفسدة، و لیس ذلک إلاّ لأنّ المصالح و المفاسد، لیست من قبیل القسم الأوّل من الأوصاف المقولیّة، و لا من الثانیّ، بل هی من الوجوه و الاعتبارات العقلائیّة أحیانا، و لو کانت ترجع إلی الخواصّ و الآثار الطبیعیّة فی مورد، فلا مانع من کون الواحد الشخصیّ جامعا لهما بالضرورة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لتوهّم الشبهة فی إمکان الاجتماع فی النزاعین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الصغرویّ، و الکبرویّ، و المسألة بعد ذلک تکون من الواضحات الغنیّة عن البیان، و دعوی بداهة صحّة الاجتماع </w:t>
      </w:r>
      <w:r>
        <w:rPr>
          <w:rStyle w:val="FootnoteAnchor"/>
          <w:rtl w:val="true"/>
        </w:rPr>
        <w:footnoteReference w:id="496"/>
      </w:r>
      <w:r>
        <w:rPr>
          <w:rFonts w:ascii="IRNazanin" w:hAnsi="IRNazanin" w:eastAsia="IRNazanin"/>
          <w:color w:val="111111"/>
          <w:sz w:val="28"/>
          <w:sz w:val="28"/>
          <w:szCs w:val="28"/>
          <w:rtl w:val="true"/>
          <w:lang w:bidi="fa-IR"/>
        </w:rPr>
        <w:t>قریبة جدّاً، و انتساب المخالف إلی عدم تصوّر أطراف المسألة جائز قطعا</w:t>
      </w:r>
      <w:r>
        <w:rPr>
          <w:rFonts w:eastAsia="IRNazanin" w:cs="IRNazanin"/>
          <w:color w:val="111111"/>
          <w:sz w:val="28"/>
          <w:szCs w:val="28"/>
          <w:rtl w:val="true"/>
          <w:lang w:bidi="fa-IR"/>
        </w:rPr>
        <w:t>.</w:t>
      </w:r>
      <w:bookmarkStart w:id="369" w:name="pg13163_143100"/>
    </w:p>
    <w:p>
      <w:pPr>
        <w:pStyle w:val="Heading5"/>
        <w:numPr>
          <w:ilvl w:val="4"/>
          <w:numId w:val="1"/>
        </w:numPr>
        <w:rPr/>
      </w:pPr>
      <w:bookmarkStart w:id="370" w:name="__RefHeading___Toc533843_3244359995"/>
      <w:bookmarkStart w:id="371" w:name="_Toc139"/>
      <w:bookmarkEnd w:id="369"/>
      <w:bookmarkEnd w:id="370"/>
      <w:r>
        <w:rPr>
          <w:rtl w:val="true"/>
        </w:rPr>
        <w:t>التنبیه الثانی حول اندراج المسألة فی باب التعارض أو التزاحم</w:t>
      </w:r>
      <w:bookmarkEnd w:id="371"/>
    </w:p>
    <w:p>
      <w:pPr>
        <w:pStyle w:val="BookText"/>
        <w:rPr/>
      </w:pPr>
      <w:r>
        <w:rPr>
          <w:rFonts w:ascii="IRNazanin" w:hAnsi="IRNazanin" w:eastAsia="IRNazanin"/>
          <w:color w:val="111111"/>
          <w:sz w:val="28"/>
          <w:sz w:val="28"/>
          <w:szCs w:val="28"/>
          <w:rtl w:val="true"/>
          <w:lang w:bidi="fa-IR"/>
        </w:rPr>
        <w:t xml:space="preserve">قد مرّ فی طیّ کلامنا ما یتعلّق بحال المسألة علی القول بالامتناع، و أنّ الاحتمالات فی کونها صغری باب التعارض أو التزاحم، کما نسب أحیانا إلی الشیخ قدس سره </w:t>
      </w:r>
      <w:r>
        <w:rPr>
          <w:rStyle w:val="FootnoteAnchor"/>
          <w:rtl w:val="true"/>
        </w:rPr>
        <w:footnoteReference w:id="497"/>
      </w:r>
      <w:r>
        <w:rPr>
          <w:rFonts w:ascii="IRNazanin" w:hAnsi="IRNazanin" w:eastAsia="IRNazanin"/>
          <w:color w:val="111111"/>
          <w:sz w:val="28"/>
          <w:sz w:val="28"/>
          <w:szCs w:val="28"/>
          <w:rtl w:val="true"/>
          <w:lang w:bidi="fa-IR"/>
        </w:rPr>
        <w:t>أو أنّ المسألة تکون من الشبهات الموضوعیّة للبابین کثیرة، و اخترنا الثالث، و ذکرنا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شرائط کونها مندرجة فی بحث التعارض؛ هو کون المورد ذا ملاک واحد مجهول فعلا و ترکا</w:t>
      </w:r>
      <w:r>
        <w:rPr>
          <w:rStyle w:val="FootnoteAnchor"/>
          <w:rtl w:val="true"/>
        </w:rPr>
        <w:footnoteReference w:id="498"/>
      </w:r>
      <w:r>
        <w:rPr>
          <w:rFonts w:ascii="IRNazanin" w:hAnsi="IRNazanin" w:eastAsia="IRNazanin"/>
          <w:color w:val="111111"/>
          <w:sz w:val="28"/>
          <w:sz w:val="28"/>
          <w:szCs w:val="28"/>
          <w:rtl w:val="true"/>
          <w:lang w:bidi="fa-IR"/>
        </w:rPr>
        <w:t>، و فیما نحن فیه لم یحرز ذلک؛ لأنّ سقوط أحد الدلیلین عقلا لا یلازم عدم ثبوت الملاک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التعارض الواقع بینهما یکون بالعرض و المجاز، و قد منعنا شمول أدلّته لمثله فی محلّه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شرائط کونها مندرجة فی کبری باب التزاحم إحراز الملاکین فی الجانبین، و هو هنا غیر ممکن؛ لأنّ مع سقوط الهیئة لا کاشف لنا عن إحرازه، کما هو الظاهر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فما حکم المسألة إذا وصلت النوبة إلی الشبهة؟ و قد أهملنا فیما</w:t>
      </w:r>
    </w:p>
    <w:p>
      <w:pPr>
        <w:pStyle w:val="BookText"/>
        <w:rPr/>
      </w:pPr>
      <w:r>
        <w:rPr>
          <w:rFonts w:ascii="IRNazanin" w:hAnsi="IRNazanin" w:eastAsia="IRNazanin"/>
          <w:color w:val="111111"/>
          <w:sz w:val="28"/>
          <w:sz w:val="28"/>
          <w:szCs w:val="28"/>
          <w:rtl w:val="true"/>
          <w:lang w:bidi="fa-IR"/>
        </w:rPr>
        <w:t>سلف حکم المسألة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بالتزاحم و اختیار الامتناع ممکن، کما هو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یعتبر من شرائط النزاع، إحراز الملاکین و المناطین و المصلحة و المفسدة</w:t>
      </w:r>
      <w:r>
        <w:rPr>
          <w:rStyle w:val="FootnoteAnchor"/>
          <w:rtl w:val="true"/>
        </w:rPr>
        <w:footnoteReference w:id="500"/>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فی المجمع، کما یمکن أن یکون لأجل العلم بکذب أحد الدلیلین، و تصیر النتیجة هی التخییر، کذلک یمکن لأجل حدوث الحکم التخییریّ الابتدائیّ؛ و ذلک لأنّ المولی الملتفت إلی المصالح و المفاسد الموجودة فی المجمع، یلاحظ الملاکات و المناطات، فإن کانت إحداهما غالبة یجعل علی طبقها الحکم، و إلاّ فیحکم بالتخییر، ففرق بین التعارض فی الخبرین المتعارضین، و بین التعارض فی المقام، فإنّ هناک یکون أحد الخبرین واجب الأخذ وجوبا طریقیّا، و أمّا هنا فیکون قد أوجب واجبا تخییرا بین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ینقدح إمکان جعل التخییر الشرعیّ بین المحذورین؛ و هما الفعل و الترک،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التعارض هو التقیید بإتیان الصلاة فی الأرض المباحة إذا کان المکلّف فی مندوحة، و إلاّ فهو التخییر، و قضیّة التزاحم هو الأخذ بالأهمّ، و إلاّ فهو مخیّر بین الفعل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امتناع التخییر بین ذی المصلحة و ذی المفسدة، فی غیر محلّه، کما هو الواضح، و لا حاجة إلی الإطالة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شکّ فی المسألة، و علمنا بأنّ المجمع إمّا مندرج فی کبری باب التعارض أو التزاحم، فإن لم یکن فی البین أهمّ فهو بالخیار؛ لأنّه الحکم المشترک بین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البین أهمّ فیدور الأمر بین التعیین و التخییر، فإن مقتضی الباب الأول هو کونه بالخیار، و مقتضی الباب الثانی تعیّن الأهمّ فإذا دار الأمر بین التعیین و التخییر فلا بدّ من المراجعة إلی مقتضی القاعدة فی تلک المسألة من البراءة أو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اندراج المسألة فی أحد البابین، بل هی خارجة عنهما، و لا نعلم إجمالا بکونها منهما؛ و ذلک لأنّ من شرائط الاندراج فی کبری باب التعارض، إحراز عدم الملاک لأحد المتعارضین، و هو هنا منتف، و من شرائط الاندراج فی کبری باب التزاحم، إحراز الملاکین، و هو أیضا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ینفع استصحاب بقاء الملاک بعد سقوط الهیئة؛ لأنّه من الأصل المثبت، فعلیه تکون المسألة خارجة عن کبری البابین، أو لا حالة سابقة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لا یتقوّم الاندراج فی صغری باب التعارض بإحراز عدم الملاک، بل هو تابع لواقعه، و لا شبهة فی أنّ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داخلة فی باب التعارض؛ إن کانت بحسب الواقع بلا ملاک، و إمّا داخلة فی باب التزاحم إن کانت بحسب الواقع ذات ملاک، و یکون الملاکان باقیین، ففی صورة العلم الإجمالیّ تندرج فی کبری مسألة الدوران بین التعیین و التخییر،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إعضال و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دوران الأمر بین التخییر و التعیین، یختلف الحکم باختلاف تلک الموارد، مثلا إذا کان فی باب الطرق و الأمارات فالتعیین متعیّن؛ لأنّ الشکّ فی حجیة الطرق مساوق للقطع بعدم حجیتها؛ و ذلک لأنّ الحجیة لا واقعیّة لها إلاّ فی مرحلة الإثبات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فی باب التکالیف النفسیّة ففیه الخلاف بین الأعلام، و منشأ الخلاف</w:t>
      </w:r>
    </w:p>
    <w:p>
      <w:pPr>
        <w:pStyle w:val="BookText"/>
        <w:rPr/>
      </w:pPr>
      <w:r>
        <w:rPr>
          <w:rFonts w:ascii="IRNazanin" w:hAnsi="IRNazanin" w:eastAsia="IRNazanin"/>
          <w:color w:val="111111"/>
          <w:sz w:val="28"/>
          <w:sz w:val="28"/>
          <w:szCs w:val="28"/>
          <w:rtl w:val="true"/>
          <w:lang w:bidi="fa-IR"/>
        </w:rPr>
        <w:t xml:space="preserve">هو الخلاف فی تفسیر الواجب التخییریّ، کما مضی تفصیله فی محلّه </w:t>
      </w:r>
      <w:r>
        <w:rPr>
          <w:rStyle w:val="FootnoteAnchor"/>
          <w:rtl w:val="true"/>
        </w:rPr>
        <w:footnoteReference w:id="501"/>
      </w:r>
      <w:r>
        <w:rPr>
          <w:rFonts w:ascii="IRNazanin" w:hAnsi="IRNazanin" w:eastAsia="IRNazanin"/>
          <w:color w:val="111111"/>
          <w:sz w:val="28"/>
          <w:sz w:val="28"/>
          <w:szCs w:val="28"/>
          <w:rtl w:val="true"/>
          <w:lang w:bidi="fa-IR"/>
        </w:rPr>
        <w:t xml:space="preserve">، و یأتی فی بحوث الاشتغال إن شاء اللَّه تعالی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فیما کان مورده من باب التکالیف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فیما نحن فیه مشکل؛ لأنّه علی التخییر یکون من باب الطرق، و علی التعیین یکون من باب التکالیف النفسیّة، و هذا أمر مرکّب من البابین، فیکون خارجا عن حکمهما طبعا، و یشکل الأمر و یعضل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هذه المعضلة؛ لعدم خروج شی‌ء عن مقتضی حکم العقل براءة و اشتغالا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أدلّة باب التعارض هو وجوب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 لا یکون التخییر بالحمل الشائع مجعولا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الأمر بنحو الوجوب التخییریّ بإیجاب الأخذ بهذه الروایة أو تلک الروایة، فیکون ما هو مورد الوجوب هو الأخذ بالروایة علی سبیل التخییر، فإنّه فی هذه الصورة لا بدّ من القول بالاشتغال؛ حسبما تقرّر من أنّ الوجوب التخییریّ سنخ وجوب مقابل التعیینیّ و المشروط، خلافا لجلّ الأعلام الذاهبین إلی رجوعه إلی الواجب المشروط، أو المعلّق، أو الواجب التعیینیّ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الأمر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مثل الأوّل حتّی یلزم الاشتغال؛ ضرورة أنّه لا نعلم تفصیلا بوجوب الصلاة فی المجمع وجوبا أعمّ من التخییریّ و التعیینیّ، أو وجوب الأخذ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تخییرا</w:t>
      </w:r>
      <w:r>
        <w:rPr>
          <w:rFonts w:eastAsia="IRNazanin" w:cs="IRNazanin"/>
          <w:color w:val="111111"/>
          <w:sz w:val="28"/>
          <w:szCs w:val="28"/>
          <w:rtl w:val="true"/>
          <w:lang w:bidi="fa-IR"/>
        </w:rPr>
        <w:t>».</w:t>
      </w:r>
      <w:bookmarkStart w:id="372" w:name="pg13163_143104"/>
    </w:p>
    <w:p>
      <w:pPr>
        <w:pStyle w:val="BookText"/>
        <w:rPr/>
      </w:pPr>
      <w:bookmarkEnd w:id="372"/>
      <w:r>
        <w:rPr>
          <w:rFonts w:ascii="IRNazanin" w:hAnsi="IRNazanin" w:eastAsia="IRNazanin"/>
          <w:color w:val="111111"/>
          <w:sz w:val="28"/>
          <w:sz w:val="28"/>
          <w:szCs w:val="28"/>
          <w:rtl w:val="true"/>
          <w:lang w:bidi="fa-IR"/>
        </w:rPr>
        <w:t xml:space="preserve">نعم، نعلم بوجوب الصلاة إمّا تعیینا، أو وجوب الأخذ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المنطبق علی الصلاة أحیانا، و علی التصرّف فی مال الغیر، فلا نعلم تفصیلا بتکلیف حتّی یشکّ فی السقوط بإتیان الطرف،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المختار فی دوران الأمر بین التعیین و التخییر فی التکالیف النفسیّة و إن کان الاشتغال </w:t>
      </w:r>
      <w:r>
        <w:rPr>
          <w:rStyle w:val="FootnoteAnchor"/>
          <w:rtl w:val="true"/>
        </w:rPr>
        <w:footnoteReference w:id="505"/>
      </w:r>
      <w:r>
        <w:rPr>
          <w:rFonts w:ascii="IRNazanin" w:hAnsi="IRNazanin" w:eastAsia="IRNazanin"/>
          <w:color w:val="111111"/>
          <w:sz w:val="28"/>
          <w:sz w:val="28"/>
          <w:szCs w:val="28"/>
          <w:rtl w:val="true"/>
          <w:lang w:bidi="fa-IR"/>
        </w:rPr>
        <w:t>، و لکن فیما نحن فیه یتعیّن البراءة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لأنّ التخییر المزبور لیس من التخییر الشرعیّ؛ لأنّه من التخییر بین المحذورین، لأنّ الکلام فی صورة عدم وجود المندوحة علی الامتناع، و فی تلک الصورة لا یتمکّن المکلّف من امتثال الأمر و النهی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لأنّ مصبّ الأمر بالتخییر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واحد من الطرفین مورد الأمر الانحلالیّ العقلیّ، فلا سبیل إلی الاشتغال؛ علی الوجه المحرّر فی مسألة دوران الأمر بین التعیین و التخییر، فلیتدبّر جدّاً</w:t>
      </w:r>
      <w:r>
        <w:rPr>
          <w:rFonts w:eastAsia="IRNazanin" w:cs="IRNazanin"/>
          <w:color w:val="111111"/>
          <w:sz w:val="28"/>
          <w:szCs w:val="28"/>
          <w:rtl w:val="true"/>
          <w:lang w:bidi="fa-IR"/>
        </w:rPr>
        <w:t>.</w:t>
      </w:r>
    </w:p>
    <w:p>
      <w:pPr>
        <w:pStyle w:val="Heading5"/>
        <w:numPr>
          <w:ilvl w:val="4"/>
          <w:numId w:val="1"/>
        </w:numPr>
        <w:rPr/>
      </w:pPr>
      <w:bookmarkStart w:id="373" w:name="__RefHeading___Toc533845_3244359995"/>
      <w:bookmarkStart w:id="374" w:name="_Toc140"/>
      <w:bookmarkEnd w:id="373"/>
      <w:r>
        <w:rPr>
          <w:rtl w:val="true"/>
        </w:rPr>
        <w:t>التنبیه الثالث فی حکم الشک فی الاجتماع و الامتناع صحة و فسادا</w:t>
      </w:r>
      <w:bookmarkEnd w:id="374"/>
    </w:p>
    <w:p>
      <w:pPr>
        <w:pStyle w:val="Heading6"/>
        <w:numPr>
          <w:ilvl w:val="5"/>
          <w:numId w:val="1"/>
        </w:numPr>
        <w:rPr/>
      </w:pPr>
      <w:bookmarkStart w:id="375" w:name="__RefHeading___Toc533847_3244359995"/>
      <w:bookmarkStart w:id="376" w:name="_Toc141"/>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ربّما لا یتمکّن الخروج عن عهدة البحث، و یشکّ فی الاجتماع و الامتناع صحة و فسادا، فالظاهر أنّ النتیجة تکون کنتیجة الاجتماع؛ لأنّ الإطلاقین علی عنوانهما باقیا، و لا مانع من قبل العقل عن امتناع اجتماعهما، و لم یحرز دلیل یهدم به أحد الإطلاقین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النزاع الأوّل الصغرویّ، لا ینهض ما یکون سببا لسقوط أحد التکلیفین من السرایة و غیرها، و فی النزاع الثانی الکبرویّ یرجع الشکّ إلی أنّ</w:t>
      </w:r>
      <w:bookmarkStart w:id="377" w:name="pg13163_143105"/>
    </w:p>
    <w:p>
      <w:pPr>
        <w:pStyle w:val="BookText"/>
        <w:rPr/>
      </w:pPr>
      <w:bookmarkEnd w:id="377"/>
      <w:r>
        <w:rPr>
          <w:rFonts w:ascii="IRNazanin" w:hAnsi="IRNazanin" w:eastAsia="IRNazanin"/>
          <w:color w:val="111111"/>
          <w:sz w:val="28"/>
          <w:sz w:val="28"/>
          <w:szCs w:val="28"/>
          <w:rtl w:val="true"/>
          <w:lang w:bidi="fa-IR"/>
        </w:rPr>
        <w:t>الخطابات قانونیّة أم شخصیّة، فعلی القانونیّة یکون التکلیفین علی حالهما، و علی الشخصیّة یکون أحدهما ساقطا، و لا سیّما مع عدم المندوحة، و إذا تردّد الأمر فلا إطلاق یؤخذ به لحفظ الإطلاق فی المجمع؛ لأنّ باختلاف حال المکلّف و عنوانه ربّما یتبدّل موضوع الإطلاق، فلا یبقی للتمسّک بالإطلاق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بتوضیح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انحلال الخطاب القانونیّ إلی الشخصیّات؛ هو تبدّل موضوع التکلیف، فإذا کان المکلف قادرا فیتعلّق به التکلیف، و إذا کان عاجزا فلا یتعلّق به التکلیف، و یکون خارجا عن مصبّ الإطلاق، فعلیه إذا کان المکلّف فی مندوحة فیمکن دعوی بقاء الإطلاق؛ لأنّه قادر، و أمّا إذا لم تکن مندوحة فلا یمکن التمسّک بالإطلاق؛ لأنّ موضوعه القادر، و هذا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یحرز عجزه من الصلاة؛ لإمکان کون الواجب علیه فی المجمع هی الصلاة، و ما هو الساقط لأجل المحذور العقلیّ هو حرمة الغصب، فعلیه لا بدّ من الاحتیاط؛ لما تقرّر من وجوبه عند الشکّ فی القدرة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کذلک بالنسبة إلی التکلیف التحریمیّ، فتصیر النتیجة هی التخییر و البراءة عن تعیّن الصلاة علیه</w:t>
      </w:r>
      <w:r>
        <w:rPr>
          <w:rFonts w:eastAsia="IRNazanin" w:cs="IRNazanin"/>
          <w:color w:val="111111"/>
          <w:sz w:val="28"/>
          <w:szCs w:val="28"/>
          <w:rtl w:val="true"/>
          <w:lang w:bidi="fa-IR"/>
        </w:rPr>
        <w:t>.</w:t>
      </w:r>
    </w:p>
    <w:p>
      <w:pPr>
        <w:pStyle w:val="Heading6"/>
        <w:numPr>
          <w:ilvl w:val="5"/>
          <w:numId w:val="1"/>
        </w:numPr>
        <w:rPr/>
      </w:pPr>
      <w:bookmarkStart w:id="378" w:name="__RefHeading___Toc533849_3244359995"/>
      <w:bookmarkStart w:id="379" w:name="_Toc142"/>
      <w:bookmarkEnd w:id="378"/>
      <w:r>
        <w:rPr>
          <w:rtl w:val="true"/>
        </w:rPr>
        <w:t>فذلکة الکلام</w:t>
      </w:r>
      <w:bookmarkEnd w:id="3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منشأ الشکّ فی إمکان الاجتماع و عدم إمکانه، الشکّ فی انحلال الخطاب القانونیّ إلی الشخصیّ و عدمه، و قد عرفت أنّ فی النزاع الثانی یکون الکلام فی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وجود المندوحة و عدمها</w:t>
      </w:r>
      <w:r>
        <w:rPr>
          <w:rStyle w:val="FootnoteAnchor"/>
          <w:rtl w:val="true"/>
        </w:rPr>
        <w:footnoteReference w:id="507"/>
      </w:r>
      <w:r>
        <w:rPr>
          <w:rFonts w:ascii="IRNazanin" w:hAnsi="IRNazanin" w:eastAsia="IRNazanin"/>
          <w:color w:val="111111"/>
          <w:sz w:val="28"/>
          <w:sz w:val="28"/>
          <w:szCs w:val="28"/>
          <w:rtl w:val="true"/>
          <w:lang w:bidi="fa-IR"/>
        </w:rPr>
        <w:t>، ففیما إذا کانت المندوحة، فإن قلنا بإمکان الاجتماع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تقدیر الانحلال و عدمه کما</w:t>
      </w:r>
    </w:p>
    <w:p>
      <w:pPr>
        <w:pStyle w:val="BookText"/>
        <w:rPr/>
      </w:pPr>
      <w:r>
        <w:rPr>
          <w:rFonts w:ascii="IRNazanin" w:hAnsi="IRNazanin" w:eastAsia="IRNazanin"/>
          <w:color w:val="111111"/>
          <w:sz w:val="28"/>
          <w:sz w:val="28"/>
          <w:szCs w:val="28"/>
          <w:rtl w:val="true"/>
          <w:lang w:bidi="fa-IR"/>
        </w:rPr>
        <w:t xml:space="preserve">عرفت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الشکّ فی جواز الاجتماع، بل یتعیّن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جواز الاجتماع فی الصورتین منوط بعدم الانحلال، فلا ترتفع الشبهة فیهما، و یکون الشکّ فی جواز الاجتماع فی الصورتین باقیا علی حاله، و لا رافع له من الإطلاق و غیره؛ لما عرفت أنّه یرجع إلی الشکّ فی موضوع الإطلاق، و لا یعقل حینئذ التمسّک به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الانحلال أیضا لا یلزم کون موضوع الخطاب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المکلف فی المجمع لیس بقادر، أو شاکّ فی قدرته، بل قضیّة الانحلال خروج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العامّة لأجل الدلیل اللبّی، و لذلک لا بدّ من الاحتیاط عند الشکّ فی القدرة لجواز التمسّک بالعمومات فی الشبهات المصداقیّة للدلیل اللبّی، فعلی هذا یجوز التمسّک بالأدلّة الأوّلیة و بإطلاق دلیل الصلاة لتعیینها علیه فی المجمع حتّی یصحّ العقاب علیه إذا کان بسوء الاختیار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المکلّف کما یکون مردّدا فی قدرته علی الصلاة و امتثال أمرها، کذلک مردّدا فی قدرته علی امتثال النهی، و قضیّة التقریب المزبور بقاء حجّیة دلیل النهی علی حجیته بالنسبة إلیه فیقع التهافت؛ لأنّه لا یکون قادرا علی امتثالها، و لا یمکن حسب القول بالامتناع بقاء حجّیة الدلیلین فی المجمع؛ لعجزه عن الجمع بین الامتثالین، فلیتأمّل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فالمکلّف فیما إذا کان فی مندوحة، و کان شاکّا فی جواز الاجتماع، له أن یصلّی فی المغصوب، و یکون أمر صلاته ساقطا حسب الظاهر، و یعدّ معذورا فی صورة التخلّف عن الواقع؛ و ذلک لأنّه قادر علی الامتثال، فیکون مورد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القول بانحلال الخطاب حسب أجزاء الزمان </w:t>
      </w:r>
      <w:r>
        <w:rPr>
          <w:rStyle w:val="FootnoteAnchor"/>
          <w:rtl w:val="true"/>
        </w:rPr>
        <w:footnoteReference w:id="509"/>
      </w:r>
      <w:r>
        <w:rPr>
          <w:rFonts w:ascii="IRNazanin" w:hAnsi="IRNazanin" w:eastAsia="IRNazanin"/>
          <w:color w:val="111111"/>
          <w:sz w:val="28"/>
          <w:sz w:val="28"/>
          <w:szCs w:val="28"/>
          <w:rtl w:val="true"/>
          <w:lang w:bidi="fa-IR"/>
        </w:rPr>
        <w:t>، فیصیر شاکّا</w:t>
      </w:r>
      <w:bookmarkStart w:id="380" w:name="pg13163_143107"/>
    </w:p>
    <w:p>
      <w:pPr>
        <w:pStyle w:val="BookText"/>
        <w:rPr/>
      </w:pPr>
      <w:bookmarkEnd w:id="380"/>
      <w:r>
        <w:rPr>
          <w:rFonts w:ascii="IRNazanin" w:hAnsi="IRNazanin" w:eastAsia="IRNazanin"/>
          <w:color w:val="111111"/>
          <w:sz w:val="28"/>
          <w:sz w:val="28"/>
          <w:szCs w:val="28"/>
          <w:rtl w:val="true"/>
          <w:lang w:bidi="fa-IR"/>
        </w:rPr>
        <w:t>فی تکلیفه فی تلک الحال، و إذا کانت له الحالة السابقة فیستصحب الحکم، و تکون الصلاة فی المجمع صحیحة؛ و إن کان عاصیا بالنسبة إلی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فی مندوحة فصحّة صلاته أیضا منوطة بکونه ذا حالة سابقة، و إلاّ فلا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عقابه، فإن کان بسوء الاختیار فعلی التقریب الأخیر لا یبعد ذلک؛ لأنّه علی جمیع التقادیر قد فوّت المصلحة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الموضوع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الخروج عنه بالاختیار، کما هو شأن سائر الموضوعات، فلا یستحقّ، و اللَّه العالم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الشکّ إذا أمکن بالأدلّة الاجتهادیّة فهو، و إلاّ فتصل النوبة إلی الأصول العملیّة، و مقتضاها یختلف حسب اختلاف حالات المکلف</w:t>
      </w:r>
      <w:r>
        <w:rPr>
          <w:rFonts w:eastAsia="IRNazanin" w:cs="IRNazanin"/>
          <w:color w:val="111111"/>
          <w:sz w:val="28"/>
          <w:szCs w:val="28"/>
          <w:rtl w:val="true"/>
          <w:lang w:bidi="fa-IR"/>
        </w:rPr>
        <w:t>.</w:t>
      </w:r>
    </w:p>
    <w:p>
      <w:pPr>
        <w:pStyle w:val="Heading6"/>
        <w:numPr>
          <w:ilvl w:val="5"/>
          <w:numId w:val="1"/>
        </w:numPr>
        <w:rPr/>
      </w:pPr>
      <w:bookmarkStart w:id="381" w:name="__RefHeading___Toc533851_3244359995"/>
      <w:bookmarkStart w:id="382" w:name="_Toc143"/>
      <w:bookmarkEnd w:id="381"/>
      <w:r>
        <w:rPr>
          <w:rtl w:val="true"/>
        </w:rPr>
        <w:t>تکمیل</w:t>
      </w:r>
      <w:bookmarkEnd w:id="382"/>
    </w:p>
    <w:p>
      <w:p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المسألة من موارد الشکّ فی القدرة؛ لأنّ المکلّف بالنسبة إلی کلّ واحد من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علی الامتثال، و لا تکلیف بالجمع حتّی یکون عاجزا بالنسبة إلیه، کما مرّ فی بحوث الضدّ</w:t>
      </w:r>
      <w:r>
        <w:rPr>
          <w:rStyle w:val="FootnoteAnchor"/>
          <w:rtl w:val="true"/>
        </w:rPr>
        <w:footnoteReference w:id="510"/>
      </w:r>
      <w:r>
        <w:rPr>
          <w:rFonts w:ascii="IRNazanin" w:hAnsi="IRNazanin" w:eastAsia="IRNazanin"/>
          <w:color w:val="111111"/>
          <w:sz w:val="28"/>
          <w:sz w:val="28"/>
          <w:szCs w:val="28"/>
          <w:rtl w:val="true"/>
          <w:lang w:bidi="fa-IR"/>
        </w:rPr>
        <w:t xml:space="preserve">، فالشکّ فی جواز الاجتماع و لا جوازه، لیس من الشکّ فی تحقّق موضوع الدلیل؛ سواء کان موضوعه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موضوعه عنوانا آخر، و قد خرج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الامتناع یعلم بانتفاء أحد التکلیفین، و یعلم إجمالا بوجود الآخر، فلا سبیل إلی تعیین الآخر و هو الأمر أو النهی، فلا بدّ من العمل علی طبق الأصول</w:t>
      </w:r>
      <w:bookmarkStart w:id="383" w:name="pg13163_143108"/>
    </w:p>
    <w:p>
      <w:pPr>
        <w:pStyle w:val="BookText"/>
        <w:rPr/>
      </w:pPr>
      <w:bookmarkEnd w:id="383"/>
      <w:r>
        <w:rPr>
          <w:rFonts w:ascii="IRNazanin" w:hAnsi="IRNazanin" w:eastAsia="IRNazanin"/>
          <w:color w:val="111111"/>
          <w:sz w:val="28"/>
          <w:sz w:val="28"/>
          <w:szCs w:val="28"/>
          <w:rtl w:val="true"/>
          <w:lang w:bidi="fa-IR"/>
        </w:rPr>
        <w:t>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أنّ مع الحالة السابقة یجوز الاتّکال علی استصحاب بقاء أمر الصلاة، فإذا صلّی فی المغصوب صحّت و تجزئ، و إلاّ فلا یصحّ الاکتفاء بالصلاة فی المغصوب، إلاّ إذا أحرز الأمر أو ملاکه؛ حسبما مرّ فی محلّه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533853_3244359995"/>
      <w:bookmarkStart w:id="385" w:name="_Toc144"/>
      <w:bookmarkEnd w:id="384"/>
      <w:r>
        <w:rPr>
          <w:rtl w:val="true"/>
        </w:rPr>
        <w:t>التنبیه الرابع الاستدلال علی الاجتماع ببعض الروایات</w:t>
      </w:r>
      <w:bookmarkEnd w:id="385"/>
    </w:p>
    <w:p>
      <w:pPr>
        <w:pStyle w:val="Heading6"/>
        <w:numPr>
          <w:ilvl w:val="5"/>
          <w:numId w:val="1"/>
        </w:numPr>
        <w:rPr/>
      </w:pPr>
      <w:bookmarkStart w:id="386" w:name="__RefHeading___Toc533855_3244359995"/>
      <w:bookmarkStart w:id="387" w:name="_Toc145"/>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من الممکن أن یتمسّک لجواز الاجتماع بما ورد من الأخبار فی أبواب نکاح العبید و الإماء؛ فإنّ أدلّ الدلیل علی شی‌ء وقوعه، ففی معتبر زرارة، عن أبی جعفر علیه السلام قال سألته عن مملوک تزوّج بغیر 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سیّده؛ إن شاء أجازه، و إن شاء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عیینة و إبراهیم النخعیّ و أصحابهما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أصل النکاح فاسد، و لا تحلّ إجازة السیّد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 اللَّه، إنّما عصی سیّده، فإذا أجازه فهو له جائز</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معتبرة الآخر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تزوّج عبده المرأة بغیر إذن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أصل النکاح کان عاصیا؟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أتی شیئا حلالا، و لیس بعاص للَّه، إنّما عصی سیّده، و لم یعص اللَّه، إنّ ذلک لیس کإتیان ما حرّم اللَّه علیه من نکاح فی عدّة و أشباهه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 منصور بن حازم،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مملوک تزوّج بغیر إذن مولاه، أعاص 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أنّه حرام، و قل له أن لا یفعل إلاّ بإذن مولاه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 النزاع بین زرارة و ابن حازم و بینهما علیهما السلام کان فی جواز اجتماع الحلال و الحرام و عدمه، و کانا من المانعین، و کانا علیهما السلام من المجوّزین، و کانت الأذهان البدویّة امتناعیّة، و العقول الکلّیة اجتماعیّة، و قد مرّ فی مقدّمات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لا یختصّ بأبواب التکالیف، بل یجری فی المعاملات، و أنّه لا یختصّ بالحرام و الواجب، بل یجری فی الحلال و الحرام؛ لامتناع اجتماعهما فی الواحد أیضا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لنعم ما أفاده الوالد المحقّق فی توضیح ذلک فی بحوث النهی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توهّموه من الإشکال الّذی یصعب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عصیان السیّد یستلزم عصیان اللَّه تعالی، و النکاح یکون مورد عصیان اللَّه؛ لأنّ عصیان السیّد عین عصیان اللَّه؛ ضرورة وجوب إطاعة السیّد، و حرمة مخالفته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محلّه؛ و ذلک لأنّ ما هو المحرّم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هو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إطاعة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النکاح الّذی هو أحد العناوین المستقلّة قبال سائر العناوین، فهو حلال، إلاّ مثل النکاح فی العدّة و أشباهه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الخارج ینطبق علیه العنوانان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ذاتیّ،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عرضیّ، و إذا کان تعدّد العنوان کاشفا عن</w:t>
      </w:r>
      <w:bookmarkStart w:id="388" w:name="pg13163_143110"/>
    </w:p>
    <w:p>
      <w:pPr>
        <w:pStyle w:val="BookText"/>
        <w:rPr/>
      </w:pPr>
      <w:bookmarkEnd w:id="388"/>
      <w:r>
        <w:rPr>
          <w:rFonts w:ascii="IRNazanin" w:hAnsi="IRNazanin" w:eastAsia="IRNazanin"/>
          <w:color w:val="111111"/>
          <w:sz w:val="28"/>
          <w:sz w:val="28"/>
          <w:szCs w:val="28"/>
          <w:rtl w:val="true"/>
          <w:lang w:bidi="fa-IR"/>
        </w:rPr>
        <w:t>تعدّد الجهة و الحیثیّة و لو اعتباریّا، فلا یعقل سرایة الحرمة إلی محلّ الحلیة، و لا سرایة الحلیة إلی محلّ الحرمة، و لا یکون من الترکیب الاتحادی، و لا یبقی وجه 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للحکم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المکلّف</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و هو هنا واحد، و لا یتعدّد حتّی یتعدّد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یتمّ جمیع ما أفادوه فی مسألة الامتناع، و تصیر المسألة بعد ذلک من الواضح، و بها تنحلّ مشکلة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کیف فکّک بین المحرّم و المحلّل فی المجمع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إنّما أتی شیئا حلالا، و لیس بعاص للَّه، و إنّما عصی سیّده، و لم یعص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العنوان الذاتیّ و العرضیّ، مورد خلافهم فی جواز اجتماع الأمر و النهی حتّی عند المجوّزین، و قد فرغنا عن فساد الخلاف المذکور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نحن فیه، و فی مثال الصلاة فی الغصب، و فی مثال شرب الماء المغصوب و الوضوء بالمغصوب و هکذا، یکون المجمع مجتمعا فیه العنوانان الذاتیّ و العرضیّ، فکما أنّه بالصلاة یکون متصرّفا فی مال الغیر، کذلک العبد بالنکاح یکون متصرّفا فی مال الغیر، أو یکون عاصیا لسیّده؛ لأنّه بلا إذنه</w:t>
      </w:r>
      <w:r>
        <w:rPr>
          <w:rFonts w:eastAsia="IRNazanin" w:cs="IRNazanin"/>
          <w:color w:val="111111"/>
          <w:sz w:val="28"/>
          <w:szCs w:val="28"/>
          <w:rtl w:val="true"/>
          <w:lang w:bidi="fa-IR"/>
        </w:rPr>
        <w:t>.</w:t>
      </w:r>
    </w:p>
    <w:p>
      <w:pPr>
        <w:pStyle w:val="Heading6"/>
        <w:numPr>
          <w:ilvl w:val="5"/>
          <w:numId w:val="1"/>
        </w:numPr>
        <w:rPr/>
      </w:pPr>
      <w:bookmarkStart w:id="389" w:name="__RefHeading___Toc533857_3244359995"/>
      <w:bookmarkStart w:id="390" w:name="_Toc146"/>
      <w:bookmarkEnd w:id="389"/>
      <w:r>
        <w:rPr>
          <w:rtl w:val="true"/>
        </w:rPr>
        <w:t>توهّم و دفع</w:t>
      </w:r>
      <w:bookmarkEnd w:id="39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یظهر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کان مسبوقا بنهی المولی عن التزویج، فلا یکون عاصیا لمولاه إلاّ بمعنی أنّه لیس بمطیع له؛ لأنّ النکاح بلا إذن لیس من عصیانه، مع أنّه لم ینهه عنه، فعلیه لا تکون دالّة علی أنّ العنوان الذاتیّ حلال،</w:t>
      </w:r>
    </w:p>
    <w:p>
      <w:pPr>
        <w:pStyle w:val="BookText"/>
        <w:rPr/>
      </w:pPr>
      <w:r>
        <w:rPr>
          <w:rFonts w:ascii="IRNazanin" w:hAnsi="IRNazanin" w:eastAsia="IRNazanin"/>
          <w:color w:val="111111"/>
          <w:sz w:val="28"/>
          <w:sz w:val="28"/>
          <w:szCs w:val="28"/>
          <w:rtl w:val="true"/>
          <w:lang w:bidi="fa-IR"/>
        </w:rPr>
        <w:t>و العنوان العرضیّ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عاص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مطیعا له، فلا یکون نکاحه محرّما، و لا یکون حینئذ فاسدا، و لا تکون الأخبار عندئذ مرتبطة بهذه المسألة حتّی یصحّ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الممکن أن تکون فتوی العامّة ببطلان أصل النکاح </w:t>
      </w:r>
      <w:r>
        <w:rPr>
          <w:rStyle w:val="FootnoteAnchor"/>
          <w:rtl w:val="true"/>
        </w:rPr>
        <w:footnoteReference w:id="520"/>
      </w:r>
      <w:r>
        <w:rPr>
          <w:rFonts w:ascii="IRNazanin" w:hAnsi="IRNazanin" w:eastAsia="IRNazanin"/>
          <w:color w:val="111111"/>
          <w:sz w:val="28"/>
          <w:sz w:val="28"/>
          <w:szCs w:val="28"/>
          <w:rtl w:val="true"/>
          <w:lang w:bidi="fa-IR"/>
        </w:rPr>
        <w:t>لأجل اشتراط صحّته بالإذن، لا لأجل حرمته و فساده، و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أصل النکاح کان عاصیا</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معناه أنّه فی أصل النکاح لم یطع مولاه، فلا بدّ من کونه فاسدا،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لیس بعاص للَّه، و إنّما لم یطع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فی البین محرّم، حتّی یقال باجتماعه مع المحلّل فی الواحد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نفی عصیانه للَّه تعالی، مع أنّ عصیان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اللَّه بالضرورة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لصرف ظهور العصیان عمّا هو علیه إلاّ بحجّة واضحة، و لا شاهد علی عدم مسبوقیّة العبد بالنهی بالضرورة؛ لأنّ إقدام العبد علی النکاح بغیر إذنه، لا ینافی أن یکون إقدامه مع النهی؛ إن لم نقل بظهوره فی ذلک حسب الفهم العرفیّ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ذلک قول ابن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أصل النکاح کان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أتی شیئا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مقابل ما فهمه زرارة من حرمة النکاح نفسه؛ لأنّه عصیان</w:t>
      </w:r>
      <w:r>
        <w:rPr>
          <w:rFonts w:eastAsia="IRNazanin" w:cs="IRNazanin"/>
          <w:color w:val="111111"/>
          <w:sz w:val="28"/>
          <w:szCs w:val="28"/>
          <w:rtl w:val="true"/>
          <w:lang w:bidi="fa-IR"/>
        </w:rPr>
        <w:t>.</w:t>
      </w:r>
      <w:bookmarkStart w:id="391" w:name="pg13163_143112"/>
    </w:p>
    <w:p>
      <w:pPr>
        <w:pStyle w:val="BookText"/>
        <w:rPr/>
      </w:pPr>
      <w:bookmarkEnd w:id="391"/>
      <w:r>
        <w:rPr>
          <w:rFonts w:ascii="IRNazanin" w:hAnsi="IRNazanin" w:eastAsia="IRNazanin"/>
          <w:color w:val="111111"/>
          <w:sz w:val="28"/>
          <w:sz w:val="28"/>
          <w:szCs w:val="28"/>
          <w:rtl w:val="true"/>
          <w:lang w:bidi="fa-IR"/>
        </w:rPr>
        <w:t>ثمّ إنّ العبد لا یجوز له هذه الأنحاء من التصرّفات؛ لأنّها من التصرّف فی ملک الغیر، و لا بدّ من الإذن، و إلاّ فیکون بلا إذن حراما، و لا تتقوّم حرمته بالنهی، کما فی سائر الأموال، و لأجله قال علیه السلام فی ذیل معتبر ابن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له أن لا یفعل إلاّ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جائزا بدون الإذن، لما کان وجه لنهیه علیه السلام فعلیه یکون النکاح بدون الأمر و الإذن محرّما؛ لأنّه من التصرّف فی مال الغیر، فلا یکون فی أصل النکاح عاصیا للَّه، و إنّما یکون قد عصی سیّده؛ لأنّه قد تصرّف فی ماله، و لأجله یعدّ عاصیا 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سکوته علیه السلام عن أنّ عصیان السیّد عصیان اللَّه، فی محلّه؛ لوجود القرینة علی ما هو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إثبات حلّیة أصل النکاح مقابل النکاح فی العدّة، و إثبات أنّ العبد عاص لسیّده، و أمّا أنّ عصیان السید عصیان اللَّه، فهو أمر کان واضحا لا یحتاج إلی البیان</w:t>
      </w:r>
      <w:r>
        <w:rPr>
          <w:rFonts w:eastAsia="IRNazanin" w:cs="IRNazanin"/>
          <w:color w:val="111111"/>
          <w:sz w:val="28"/>
          <w:szCs w:val="28"/>
          <w:rtl w:val="true"/>
          <w:lang w:bidi="fa-IR"/>
        </w:rPr>
        <w:t>.</w:t>
      </w:r>
    </w:p>
    <w:p>
      <w:pPr>
        <w:pStyle w:val="Heading6"/>
        <w:numPr>
          <w:ilvl w:val="5"/>
          <w:numId w:val="1"/>
        </w:numPr>
        <w:rPr/>
      </w:pPr>
      <w:bookmarkStart w:id="392" w:name="__RefHeading___Toc533859_3244359995"/>
      <w:bookmarkStart w:id="393" w:name="_Toc147"/>
      <w:bookmarkEnd w:id="392"/>
      <w:r>
        <w:rPr>
          <w:rtl w:val="true"/>
        </w:rPr>
        <w:t>تلخیص</w:t>
      </w:r>
      <w:bookmarkEnd w:id="393"/>
    </w:p>
    <w:p>
      <w:pPr>
        <w:pStyle w:val="BookText"/>
        <w:rPr/>
      </w:pPr>
      <w:r>
        <w:rPr>
          <w:rFonts w:ascii="IRNazanin" w:hAnsi="IRNazanin" w:eastAsia="IRNazanin"/>
          <w:color w:val="111111"/>
          <w:sz w:val="28"/>
          <w:sz w:val="28"/>
          <w:szCs w:val="28"/>
          <w:rtl w:val="true"/>
          <w:lang w:bidi="fa-IR"/>
        </w:rPr>
        <w:t>لو سلّمنا أنّ هذا النحو من التصرّف لیس ممنوعا؛ إذ لا یعدّ من التصرّف لغة و عرفا، فلا نسلّم کون النکاح بغیر الإذن یکون جائزا؛ لأنّ العبد علیه أن لا یفعل شیئا إلاّ بإذنه، کما فی صحیحة ابن حازم، و هو الظاهر من الروایات الأُخر</w:t>
      </w:r>
      <w:r>
        <w:rPr>
          <w:rStyle w:val="FootnoteAnchor"/>
          <w:rtl w:val="true"/>
        </w:rPr>
        <w:footnoteReference w:id="523"/>
      </w:r>
      <w:r>
        <w:rPr>
          <w:rFonts w:ascii="IRNazanin" w:hAnsi="IRNazanin" w:eastAsia="IRNazanin"/>
          <w:color w:val="111111"/>
          <w:sz w:val="28"/>
          <w:sz w:val="28"/>
          <w:szCs w:val="28"/>
          <w:rtl w:val="true"/>
          <w:lang w:bidi="fa-IR"/>
        </w:rPr>
        <w:t>، فکان قد ارتکب عصیان السیّد؛ لأنّه إذا کان القانون المواظبة علی أمره و نهیه، و أن لا یفعل شیئا بدون الإذن، یعدّ عاصیا، و عصیانه حرام کما فی صحیحة ابن حازم أیضا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أصل النکاح حلال، فاجتماع الحلّ و الحرمة فی الواحد حسب نظرهما علیهما السلام ظاهرا</w:t>
      </w:r>
      <w:r>
        <w:rPr>
          <w:rFonts w:eastAsia="IRNazanin" w:cs="IRNazanin"/>
          <w:color w:val="111111"/>
          <w:sz w:val="28"/>
          <w:szCs w:val="28"/>
          <w:rtl w:val="true"/>
          <w:lang w:bidi="fa-IR"/>
        </w:rPr>
        <w:t>.</w:t>
      </w:r>
      <w:bookmarkStart w:id="394" w:name="pg13163_143113"/>
    </w:p>
    <w:p>
      <w:pPr>
        <w:pStyle w:val="BookText"/>
        <w:rPr/>
      </w:pPr>
      <w:bookmarkEnd w:id="394"/>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اقتضت الأدلّة العقلیّة الامتناع فلا بدّ من التأویل، و إلاّ فالأخبار تکون مؤیّدة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هذه الأخبار تنفع لرفع الشکّ الأصولیّ المقرّر بحثه و المحرّر حکمه فی التنبیه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من الناس من یجد فی أمثال هذه المباحث برهانا عقلیا قطعیّا حتّی یؤوّل الظواهر، و لا سیّما إذا کانت المسألة لفظیّة و راجعة إلی الاستظهار و لو فی بعض مقدّماتها، فلیتأمّل جیّدا</w:t>
      </w:r>
      <w:r>
        <w:rPr>
          <w:rFonts w:eastAsia="IRNazanin" w:cs="IRNazanin"/>
          <w:color w:val="111111"/>
          <w:sz w:val="28"/>
          <w:szCs w:val="28"/>
          <w:rtl w:val="true"/>
          <w:lang w:bidi="fa-IR"/>
        </w:rPr>
        <w:t>.</w:t>
      </w:r>
    </w:p>
    <w:p>
      <w:pPr>
        <w:pStyle w:val="Heading5"/>
        <w:numPr>
          <w:ilvl w:val="4"/>
          <w:numId w:val="1"/>
        </w:numPr>
        <w:rPr/>
      </w:pPr>
      <w:bookmarkStart w:id="395" w:name="__RefHeading___Toc533861_3244359995"/>
      <w:bookmarkStart w:id="396" w:name="_Toc148"/>
      <w:bookmarkEnd w:id="395"/>
      <w:r>
        <w:rPr>
          <w:rtl w:val="true"/>
        </w:rPr>
        <w:t>التنبیه الخامس حول الاستدلال علی الاجتماع بالعبادات المکروهة</w:t>
      </w:r>
      <w:bookmarkEnd w:id="396"/>
    </w:p>
    <w:p>
      <w:pPr>
        <w:pStyle w:val="Heading6"/>
        <w:numPr>
          <w:ilvl w:val="5"/>
          <w:numId w:val="1"/>
        </w:numPr>
        <w:rPr/>
      </w:pPr>
      <w:bookmarkStart w:id="397" w:name="__RefHeading___Toc533863_3244359995"/>
      <w:bookmarkStart w:id="398" w:name="_Toc149"/>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قد اشتهر الاستدلال لجواز الاجتماع بالعبادات المکروهة؛ ظنّا أنّ الأحکام متضادّة بالأسر، و أدلّ الدلیل علی شی‌ء وقوعه، فإذا جاز بین الواجب و المستحبّ و بین المکروه و جاز بین الواجب و المستحبّ و المباح، جاز بین الحرام و المستحبّ و الواجب بالضرورة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9" w:name="__RefHeading___Toc533865_3244359995"/>
      <w:bookmarkStart w:id="400" w:name="_Toc150"/>
      <w:bookmarkEnd w:id="399"/>
      <w:r>
        <w:rPr>
          <w:rtl w:val="true"/>
        </w:rPr>
        <w:t>الأقسام الثلاثة للعبادات المکروهة و أحکامها</w:t>
      </w:r>
      <w:bookmarkEnd w:id="400"/>
    </w:p>
    <w:p>
      <w:pPr>
        <w:pStyle w:val="Heading6"/>
        <w:numPr>
          <w:ilvl w:val="5"/>
          <w:numId w:val="1"/>
        </w:numPr>
        <w:rPr/>
      </w:pPr>
      <w:bookmarkStart w:id="401" w:name="__RefHeading___Toc533867_3244359995"/>
      <w:bookmarkStart w:id="402" w:name="_Toc151"/>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ثمّ إنّه أیضا اشتهر بینهم تقسیم العبادات المکروهة إلی أقسام ثلاثة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یکون بذاته مورد النهی من غیر أن یکون له البدل، کصوم یوم عاشوراء،</w:t>
      </w:r>
    </w:p>
    <w:p>
      <w:pPr>
        <w:pStyle w:val="BookText"/>
        <w:rPr/>
      </w:pPr>
      <w:r>
        <w:rPr>
          <w:rFonts w:ascii="IRNazanin" w:hAnsi="IRNazanin" w:eastAsia="IRNazanin"/>
          <w:color w:val="111111"/>
          <w:sz w:val="28"/>
          <w:sz w:val="28"/>
          <w:szCs w:val="28"/>
          <w:rtl w:val="true"/>
          <w:lang w:bidi="fa-IR"/>
        </w:rPr>
        <w:t>و الصلاة فی الأوقات الخاصّة، کعند الطلوع و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یکون بذاته مورد النهی، و لکنّه له البدل، کالصلاة فی الأماکن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کون الصوم فی السفر منها إشکال لأنّه بین ما لا یجوز، و بین ما یستحبّ و لا یکون بمکروه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قضیّة بعض أخبار المسألة</w:t>
      </w:r>
      <w:r>
        <w:rPr>
          <w:rStyle w:val="FootnoteAnchor"/>
          <w:rtl w:val="true"/>
        </w:rPr>
        <w:footnoteReference w:id="526"/>
      </w:r>
      <w:r>
        <w:rPr>
          <w:rFonts w:ascii="IRNazanin" w:hAnsi="IRNazanin" w:eastAsia="IRNazanin"/>
          <w:color w:val="111111"/>
          <w:sz w:val="28"/>
          <w:sz w:val="28"/>
          <w:szCs w:val="28"/>
          <w:rtl w:val="true"/>
          <w:lang w:bidi="fa-IR"/>
        </w:rPr>
        <w:t>استحباب الصوم فی السفر من غیر الحاجة إلی النذر، و حیث إنّه مورد النهی فیکون من أمثلة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 ما یکون مورد النهی منطبقا علیه، و لعلّ منه الصلاة فی مواضع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للاستدلال بالأخبار فی المسألة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فیه الفائدة عند الشکّ فی المسألة الأصولیّة، کما مرّ فیما سبق، فتکون مرجعا لرفع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الاستدلال و لا یتمّ؛ لأنّ مورد النزاع ما یکون النسبة بینهما العموم من وجه، و فی العبادات المکروهة تکون النسبة عموما مطلقا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أمکن اجتماعهما فیما کانت النسبة بین العنوانین عموما مطلقا، لکان الاجتماع فی مورد النزاع أولی و أظهر؛ لأنّ وجه الخروج عن حریم النزاع عدم کفایة النسبة المزبورة لعروض الحکمین المتخالفین، و إذا صحّ فی ذلک المورد ففیما نحن فیه یصیر قطعیّا، فما أفاده العلاّمة النائینیّ رحمه اللَّه </w:t>
      </w:r>
      <w:r>
        <w:rPr>
          <w:rStyle w:val="FootnoteAnchor"/>
          <w:rtl w:val="true"/>
        </w:rPr>
        <w:footnoteReference w:id="528"/>
      </w:r>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أن خروج العامین المطلقین عن النزاع مورد الخلاف </w:t>
      </w:r>
      <w:r>
        <w:rPr>
          <w:rStyle w:val="FootnoteAnchor"/>
          <w:rtl w:val="true"/>
        </w:rPr>
        <w:footnoteReference w:id="529"/>
      </w:r>
      <w:r>
        <w:rPr>
          <w:rFonts w:ascii="IRNazanin" w:hAnsi="IRNazanin" w:eastAsia="IRNazanin"/>
          <w:color w:val="111111"/>
          <w:sz w:val="28"/>
          <w:sz w:val="28"/>
          <w:szCs w:val="28"/>
          <w:rtl w:val="true"/>
          <w:lang w:bidi="fa-IR"/>
        </w:rPr>
        <w:t>، و لا وجه للنظر إلی الاستدلال حسب الرّأی الخاصّ فی المسألة، بل المستدل لا بد و أن یرفض خصوصیات مرامه فی الاستدلالات المختلفة و البراهین الکثیرة، فلا تغفل عن أصول المناظرة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لیست متضادّة</w:t>
      </w:r>
      <w:r>
        <w:rPr>
          <w:rStyle w:val="FootnoteAnchor"/>
          <w:rtl w:val="true"/>
        </w:rPr>
        <w:footnoteReference w:id="530"/>
      </w:r>
      <w:r>
        <w:rPr>
          <w:rFonts w:ascii="IRNazanin" w:hAnsi="IRNazanin" w:eastAsia="IRNazanin"/>
          <w:color w:val="111111"/>
          <w:sz w:val="28"/>
          <w:sz w:val="28"/>
          <w:szCs w:val="28"/>
          <w:rtl w:val="true"/>
          <w:lang w:bidi="fa-IR"/>
        </w:rPr>
        <w:t>، فهو غیر متین؛ لأن المراد من التضاد هی المضادة اللغویة، و هی بینها ضروریة؛ فإن الشی‌ء الواحد لا یمکن أن یوصف بتلک الأحکام مع کون المکلَّف واحدا، و المکلِّف واحدا، و الزمان واحدا، و هذا یشهد علی أن المقصود هو التخالف العقلیّ و التضاد اللغوی، 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المحقق فی محله صحة العبادات المکروهة، 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بالأمر الفعلی، فلا یظهر من کلام الأصحاب رحمه اللَّه و علیه ربما یمکن أن تستند الصحة إلی الملاک، و لا یمنع النهی التنزیهیّ عن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السید الأستاذ البروجردیّ قدس سره </w:t>
      </w:r>
      <w:r>
        <w:rPr>
          <w:rStyle w:val="FootnoteAnchor"/>
          <w:rtl w:val="true"/>
        </w:rPr>
        <w:footnoteReference w:id="531"/>
      </w:r>
      <w:r>
        <w:rPr>
          <w:rFonts w:ascii="IRNazanin" w:hAnsi="IRNazanin" w:eastAsia="IRNazanin"/>
          <w:color w:val="111111"/>
          <w:sz w:val="28"/>
          <w:sz w:val="28"/>
          <w:szCs w:val="28"/>
          <w:rtl w:val="true"/>
          <w:lang w:bidi="fa-IR"/>
        </w:rPr>
        <w:t>و فیه ما لا یخفی؛ فإن دأب القدماء ما کان علی هذه الدقائق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أم الملاک بدون الأمر مما لا سبیل إلیه، کما تحرر فیما سبق و تقرر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التنزیهیّ الکاشف عن جهة البعد فی المجمع، یمنع عن صحة التقرب علی مسلکه، فلا بدّ من توضیح آخر فی المسألة حتی یتمکن من حل عقدة الاستدلال، و لا یکفی الإجمال الّذی أفاده، فراجع و تدبر</w:t>
      </w:r>
      <w:r>
        <w:rPr>
          <w:rFonts w:eastAsia="IRNazanin" w:cs="IRNazanin"/>
          <w:color w:val="111111"/>
          <w:sz w:val="28"/>
          <w:szCs w:val="28"/>
          <w:rtl w:val="true"/>
          <w:lang w:bidi="fa-IR"/>
        </w:rPr>
        <w:t>.</w:t>
      </w:r>
      <w:bookmarkStart w:id="403" w:name="pg13163_143116"/>
    </w:p>
    <w:p>
      <w:pPr>
        <w:pStyle w:val="BookText"/>
        <w:rPr/>
      </w:pPr>
      <w:bookmarkEnd w:id="403"/>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الاستدلال المزبور بعد اشتهار أن المراد من العبادات المکروهة هی الأقل ثوابا</w:t>
      </w:r>
      <w:r>
        <w:rPr>
          <w:rStyle w:val="FootnoteAnchor"/>
          <w:rtl w:val="true"/>
        </w:rPr>
        <w:footnoteReference w:id="533"/>
      </w:r>
      <w:r>
        <w:rPr>
          <w:rFonts w:ascii="IRNazanin" w:hAnsi="IRNazanin" w:eastAsia="IRNazanin"/>
          <w:color w:val="111111"/>
          <w:sz w:val="28"/>
          <w:sz w:val="28"/>
          <w:szCs w:val="28"/>
          <w:rtl w:val="true"/>
          <w:lang w:bidi="fa-IR"/>
        </w:rPr>
        <w:t>، فعلیه لا یلزم الجمع بین الأحکام المتضادّة فی المجمع، بل النواهی إرشاد إلی وجود المنقصة فی الفرد المأتی به؛ برجوع المنقصة إلی نقصان المصلحة، من دون أن یکون للفاعل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الطبیعة علی خصوصیة المکان الکذائیّ و الزمان، تکون کفقدان الطبیعة للکمال الأعلی و المحاسن الزائدة، فلا یتم الاستدلال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الاستدلال یتوقف علی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الکراهة الاصطلاحیة، إلا أن الالتزام بتلک الکراهة محل المناقشة ثبوتا و إثباتا، و لأجل انجرار البحث إلی ذلک، فلا بدّ من النّظر فی الاستدلال المزبور علی الوجه الّذی هو التحقیق و هو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یقع فی جهات</w:t>
      </w:r>
      <w:r>
        <w:rPr>
          <w:rFonts w:eastAsia="IRNazanin" w:cs="IRNazanin"/>
          <w:color w:val="111111"/>
          <w:sz w:val="28"/>
          <w:szCs w:val="28"/>
          <w:rtl w:val="true"/>
          <w:lang w:bidi="fa-IR"/>
        </w:rPr>
        <w:t>:</w:t>
      </w:r>
    </w:p>
    <w:p>
      <w:pPr>
        <w:pStyle w:val="Heading6"/>
        <w:numPr>
          <w:ilvl w:val="5"/>
          <w:numId w:val="1"/>
        </w:numPr>
        <w:rPr/>
      </w:pPr>
      <w:bookmarkStart w:id="404" w:name="__RefHeading___Toc533869_3244359995"/>
      <w:bookmarkStart w:id="405" w:name="_Toc152"/>
      <w:bookmarkEnd w:id="404"/>
      <w:r>
        <w:rPr>
          <w:rtl w:val="true"/>
        </w:rPr>
        <w:t>الجهة الأولی</w:t>
      </w:r>
      <w:r>
        <w:rPr>
          <w:rtl w:val="true"/>
        </w:rPr>
        <w:t xml:space="preserve">: </w:t>
      </w:r>
      <w:r>
        <w:rPr>
          <w:rtl w:val="true"/>
        </w:rPr>
        <w:t>فی القسم الثالث من العبادات المکروهة</w:t>
      </w:r>
      <w:bookmarkEnd w:id="405"/>
    </w:p>
    <w:p>
      <w:pPr>
        <w:pStyle w:val="Heading6"/>
        <w:numPr>
          <w:ilvl w:val="5"/>
          <w:numId w:val="1"/>
        </w:numPr>
        <w:rPr/>
      </w:pPr>
      <w:bookmarkStart w:id="406" w:name="__RefHeading___Toc533871_3244359995"/>
      <w:bookmarkStart w:id="407" w:name="_Toc153"/>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فإن العنوان المنطبق علیها إذا کان مورد النهی التنزیهی، فهو لا یکون من أقسام العبادة المکروهة، بل یکون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 و بما أنه ینطبق علیه العنوان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الکون فی موضع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 فلا یکون من العبادات المکروهة إلا علی القول بالامتناع و إسراء النهی إلی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مجرد الاجتماع مورثا لکون العبادة مکروهة، فیلزم من الاجتماع عدم الاجتماع، و یلزم کون الصلاة فی المغصوب عبادة محرمة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 هذا القسم من أقسام العبادات المکروهة غلط</w:t>
      </w:r>
      <w:r>
        <w:rPr>
          <w:rStyle w:val="FootnoteAnchor"/>
          <w:rtl w:val="true"/>
        </w:rPr>
        <w:footnoteReference w:id="534"/>
      </w:r>
      <w:r>
        <w:rPr>
          <w:rFonts w:ascii="IRNazanin" w:hAnsi="IRNazanin" w:eastAsia="IRNazanin"/>
          <w:color w:val="111111"/>
          <w:sz w:val="28"/>
          <w:sz w:val="28"/>
          <w:szCs w:val="28"/>
          <w:rtl w:val="true"/>
          <w:lang w:bidi="fa-IR"/>
        </w:rPr>
        <w:t>، و الاستدلال به لإثبات</w:t>
      </w:r>
      <w:bookmarkStart w:id="408" w:name="pg13163_143117"/>
    </w:p>
    <w:p>
      <w:pPr>
        <w:pStyle w:val="BookText"/>
        <w:rPr/>
      </w:pPr>
      <w:bookmarkEnd w:id="408"/>
      <w:r>
        <w:rPr>
          <w:rFonts w:ascii="IRNazanin" w:hAnsi="IRNazanin" w:eastAsia="IRNazanin"/>
          <w:color w:val="111111"/>
          <w:sz w:val="28"/>
          <w:sz w:val="28"/>
          <w:szCs w:val="28"/>
          <w:rtl w:val="true"/>
          <w:lang w:bidi="fa-IR"/>
        </w:rPr>
        <w:t xml:space="preserve">جواز الاجتماع </w:t>
      </w:r>
      <w:r>
        <w:rPr>
          <w:rStyle w:val="FootnoteAnchor"/>
          <w:rtl w:val="true"/>
        </w:rPr>
        <w:footnoteReference w:id="535"/>
      </w:r>
      <w:r>
        <w:rPr>
          <w:rFonts w:ascii="IRNazanin" w:hAnsi="IRNazanin" w:eastAsia="IRNazanin"/>
          <w:color w:val="111111"/>
          <w:sz w:val="28"/>
          <w:sz w:val="28"/>
          <w:szCs w:val="28"/>
          <w:rtl w:val="true"/>
          <w:lang w:bidi="fa-IR"/>
        </w:rPr>
        <w:t>أکثر غلطا؛ لأنّ صحّة الاستدلال بذلک علی جواز الاجتماع، موقوفة علی الامتناع و غلبة النهی التنزیهیّ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الاستدلال بهذا القسم، موقوفة علی اندراجه فی القسم الثانی، فلا یصحّ التقسیم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یوجد فی کلمات المستدلّین تعیین مواضع العبادات المکروهة،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Heading6"/>
        <w:numPr>
          <w:ilvl w:val="5"/>
          <w:numId w:val="1"/>
        </w:numPr>
        <w:rPr/>
      </w:pPr>
      <w:bookmarkStart w:id="409" w:name="__RefHeading___Toc533873_3244359995"/>
      <w:bookmarkStart w:id="410" w:name="_Toc154"/>
      <w:bookmarkEnd w:id="409"/>
      <w:r>
        <w:rPr>
          <w:rtl w:val="true"/>
        </w:rPr>
        <w:t>ذنابة</w:t>
      </w:r>
      <w:r>
        <w:rPr>
          <w:rtl w:val="true"/>
        </w:rPr>
        <w:t xml:space="preserve">: </w:t>
      </w:r>
      <w:r>
        <w:rPr>
          <w:rtl w:val="true"/>
        </w:rPr>
        <w:t>حول صحّة العبادة مطلقا بناء علی تنزیهیّة النهی</w:t>
      </w:r>
      <w:bookmarkEnd w:id="410"/>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العبادة فیما إذا کان النهی تنزیهیّا صحیحة مطلقا؛ لأنّ النهی التنزیهیّ لا یمنع عن صحّة التقرّب بالمجمع </w:t>
      </w:r>
      <w:r>
        <w:rPr>
          <w:rStyle w:val="FootnoteAnchor"/>
          <w:rtl w:val="true"/>
        </w:rPr>
        <w:footnoteReference w:id="536"/>
      </w:r>
      <w:r>
        <w:rPr>
          <w:rFonts w:ascii="IRNazanin" w:hAnsi="IRNazanin" w:eastAsia="IRNazanin"/>
          <w:color w:val="111111"/>
          <w:sz w:val="28"/>
          <w:sz w:val="28"/>
          <w:szCs w:val="28"/>
          <w:rtl w:val="true"/>
          <w:lang w:bidi="fa-IR"/>
        </w:rPr>
        <w:t xml:space="preserve">، أو لأنّ الأمر لمکان تعلّقه بصرف الوجود من الطبیعة، فلا یمنع عن الفرد الخاصّ فی موضع التهمة، فإذا منع الشرع عنه فهو لا ینافی مقتضی الأمر،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 بدلیّ، و الإطلاقات البدلیّة تجتمع مع التحریم و التنزیه التعینیین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مفاد النهی هی الحرمة یلزم تقیید جانب الأمر، و أمّا إذا کان مفاده التنزیه فلا یقاوم الوجوب حتّی یصیر الفرد بلا أمر فیکون صحیحا علی أیّ تقدیر، و بتعبیر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التنزیهیّ ترخیص فی جانب الفعل، فیصحّ الفعل علی کلّ تقدیر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منشأ فساد العبادة عدم إمکان اجتماع المقرّب و المبعّد فلا یفرق</w:t>
      </w:r>
      <w:bookmarkStart w:id="411" w:name="pg13163_143118"/>
    </w:p>
    <w:p>
      <w:pPr>
        <w:pStyle w:val="BookText"/>
        <w:rPr/>
      </w:pPr>
      <w:bookmarkEnd w:id="411"/>
      <w:r>
        <w:rPr>
          <w:rFonts w:ascii="IRNazanin" w:hAnsi="IRNazanin" w:eastAsia="IRNazanin"/>
          <w:color w:val="111111"/>
          <w:sz w:val="28"/>
          <w:sz w:val="28"/>
          <w:szCs w:val="28"/>
          <w:rtl w:val="true"/>
          <w:lang w:bidi="fa-IR"/>
        </w:rPr>
        <w:t>الأمر بین کونه تنزیهیّا أو تحریمیّا؛ لأنّ النهی التنزیهیّ یکشف عن جهة البعد فی المجمع، فلا یصلح للتقرّب به، و سیمرّ علیک تفصیل البحث حول هذه المسألة إن شاء اللَّه تعالی فی الجهة الآتیة</w:t>
      </w:r>
      <w:r>
        <w:rPr>
          <w:rFonts w:eastAsia="IRNazanin" w:cs="IRNazanin"/>
          <w:color w:val="111111"/>
          <w:sz w:val="28"/>
          <w:szCs w:val="28"/>
          <w:rtl w:val="true"/>
          <w:lang w:bidi="fa-IR"/>
        </w:rPr>
        <w:t>.</w:t>
      </w:r>
    </w:p>
    <w:p>
      <w:pPr>
        <w:pStyle w:val="Heading6"/>
        <w:numPr>
          <w:ilvl w:val="5"/>
          <w:numId w:val="1"/>
        </w:numPr>
        <w:rPr/>
      </w:pPr>
      <w:bookmarkStart w:id="412" w:name="__RefHeading___Toc533875_3244359995"/>
      <w:bookmarkStart w:id="413" w:name="_Toc155"/>
      <w:bookmarkEnd w:id="412"/>
      <w:r>
        <w:rPr>
          <w:rtl w:val="true"/>
        </w:rPr>
        <w:t>الجهة الثانیة</w:t>
      </w:r>
      <w:r>
        <w:rPr>
          <w:rtl w:val="true"/>
        </w:rPr>
        <w:t xml:space="preserve">: </w:t>
      </w:r>
      <w:r>
        <w:rPr>
          <w:rtl w:val="true"/>
        </w:rPr>
        <w:t>فی القسم الثانی منها</w:t>
      </w:r>
      <w:bookmarkEnd w:id="413"/>
    </w:p>
    <w:p>
      <w:pPr>
        <w:pStyle w:val="Heading6"/>
        <w:numPr>
          <w:ilvl w:val="5"/>
          <w:numId w:val="1"/>
        </w:numPr>
        <w:rPr/>
      </w:pPr>
      <w:bookmarkStart w:id="414" w:name="__RefHeading___Toc533877_3244359995"/>
      <w:bookmarkStart w:id="415" w:name="_Toc156"/>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و هی ما کانت مورد النهی لأجل خصوصیّة ملتحقة بها، کالکون فی الحمّام و نحوه، فإن کانت الصلاة فی الحمّام مورد الأمر؛ لأجل کونها صلاة، و مورد النهی؛ لأجل کونها فی الحمّام، و کان النهی نفسیّا تنزیهیّا، کان للاستدلال المزبور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النهی إرشادا إلی المنقصة فی المقرّب؛ و أنّ المقرّب یکون ضعیف التقرّب من غیر کون المأتیّ به مورد النهی الاصطلاحیّ، فهو خارج عن الاستدلال؛ ضرورة أنّ الصلاة الثنائیّة فی أماکن التخییر من جهة المقرّبیة، أضعف من الرباعیّة فیها، من غیر کونها مورد النهی اصطلاحا، فالنقصان فی المقرّبیة غیر کون المجمع مورد النهی شرعا، فلأجل ذلک فإنّ الالتزام بالکراهة المصطلحة فی العبادات، مورد المناقشة ثبوتا و إثباتا، فالبحث یتمّ فی مقامین</w:t>
      </w:r>
      <w:r>
        <w:rPr>
          <w:rFonts w:eastAsia="IRNazanin" w:cs="IRNazanin"/>
          <w:color w:val="111111"/>
          <w:sz w:val="28"/>
          <w:szCs w:val="28"/>
          <w:rtl w:val="true"/>
          <w:lang w:bidi="fa-IR"/>
        </w:rPr>
        <w:t>:</w:t>
      </w:r>
    </w:p>
    <w:p>
      <w:pPr>
        <w:pStyle w:val="Heading6"/>
        <w:numPr>
          <w:ilvl w:val="5"/>
          <w:numId w:val="1"/>
        </w:numPr>
        <w:rPr/>
      </w:pPr>
      <w:bookmarkStart w:id="416" w:name="__RefHeading___Toc533879_3244359995"/>
      <w:bookmarkStart w:id="417" w:name="_Toc157"/>
      <w:bookmarkEnd w:id="416"/>
      <w:r>
        <w:rPr>
          <w:rtl w:val="true"/>
        </w:rPr>
        <w:t>المقام الأول</w:t>
      </w:r>
      <w:r>
        <w:rPr>
          <w:rtl w:val="true"/>
        </w:rPr>
        <w:t xml:space="preserve">: </w:t>
      </w:r>
      <w:r>
        <w:rPr>
          <w:rtl w:val="true"/>
        </w:rPr>
        <w:t>حول معقولیة کراهة العبادة ثبوتا</w:t>
      </w:r>
      <w:bookmarkEnd w:id="417"/>
    </w:p>
    <w:p>
      <w:p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الحمّام لا یعقل أن تکون مورد النهی النفسیّ التنزیهیّ، مع أنّها مورد الأمر الاستحبابیّ أو الوجوبیّ؛ لأنّ الطبیعة الواحدة لا توصف بالحکمین، فلا بدّ من صرف الکراهة و النواهی هنا إلی خلاف ظاهرها؛ و إلی الإرشاد إلی النقصان الحاصل من الکون الخاصّ</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إشکالا علی الاستدلال مستقلا، بل هو إشکال معروف فی اندراج المطلق و المقیّد فی محطّ النزاع فی بحث الاجتماع </w:t>
      </w:r>
      <w:r>
        <w:rPr>
          <w:rStyle w:val="FootnoteAnchor"/>
          <w:rtl w:val="true"/>
        </w:rPr>
        <w:footnoteReference w:id="538"/>
      </w:r>
      <w:r>
        <w:rPr>
          <w:rFonts w:ascii="IRNazanin" w:hAnsi="IRNazanin" w:eastAsia="IRNazanin"/>
          <w:color w:val="111111"/>
          <w:sz w:val="28"/>
          <w:sz w:val="28"/>
          <w:szCs w:val="28"/>
          <w:rtl w:val="true"/>
          <w:lang w:bidi="fa-IR"/>
        </w:rPr>
        <w:t>، و هو إشکال لا یمکن</w:t>
      </w:r>
      <w:bookmarkStart w:id="418" w:name="pg13163_143119"/>
    </w:p>
    <w:p>
      <w:pPr>
        <w:pStyle w:val="BookText"/>
        <w:rPr/>
      </w:pPr>
      <w:bookmarkEnd w:id="418"/>
      <w:r>
        <w:rPr>
          <w:rFonts w:ascii="IRNazanin" w:hAnsi="IRNazanin" w:eastAsia="IRNazanin"/>
          <w:color w:val="111111"/>
          <w:sz w:val="28"/>
          <w:sz w:val="28"/>
          <w:szCs w:val="28"/>
          <w:rtl w:val="true"/>
          <w:lang w:bidi="fa-IR"/>
        </w:rPr>
        <w:t>الفرار منه، إلاّ أنّ اللازم قطع النّظر عنه، و عند ذلک یتمّ الاستدلال؛ لأنّ المجوّز القائل بالاندراج أو الشاکّ فی دخوله فی محلّ البحث، یستکشف من العبادة المکروهة صحّة الاجتماع فی هذه الصورة، و من ذلک یعلم صحّتها فی الصورة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کانت النسبة بین المأمور به و المنهیّ عنه،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الصلاة فی الحمّام بناء علی الاجتماع مکروهة و واجبة؛ لأنّها مثل الصلاة فی المغصوب، إلاّ أنّ فیما نحن فیه تکون الصلاة بما أنّها فی الحمّام مورد النهی، و بما هی هی مورد الأمر، فلیتدبّر</w:t>
      </w:r>
      <w:r>
        <w:rPr>
          <w:rFonts w:eastAsia="IRNazanin" w:cs="IRNazanin"/>
          <w:color w:val="111111"/>
          <w:sz w:val="28"/>
          <w:szCs w:val="28"/>
          <w:rtl w:val="true"/>
          <w:lang w:bidi="fa-IR"/>
        </w:rPr>
        <w:t>.</w:t>
      </w:r>
    </w:p>
    <w:p>
      <w:pPr>
        <w:pStyle w:val="Heading6"/>
        <w:numPr>
          <w:ilvl w:val="5"/>
          <w:numId w:val="1"/>
        </w:numPr>
        <w:rPr/>
      </w:pPr>
      <w:bookmarkStart w:id="419" w:name="__RefHeading___Toc533881_3244359995"/>
      <w:bookmarkStart w:id="420" w:name="_Toc158"/>
      <w:bookmarkEnd w:id="419"/>
      <w:r>
        <w:rPr>
          <w:rtl w:val="true"/>
        </w:rPr>
        <w:t>المقام الثانی</w:t>
      </w:r>
      <w:r>
        <w:rPr>
          <w:rtl w:val="true"/>
        </w:rPr>
        <w:t xml:space="preserve">: </w:t>
      </w:r>
      <w:r>
        <w:rPr>
          <w:rtl w:val="true"/>
        </w:rPr>
        <w:t>حول عدم مساعدة العرف علی کراهة العبادة إثباتا</w:t>
      </w:r>
      <w:bookmarkEnd w:id="42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عرفت تمامیّة الاستدلال علی مسلک المستدل، تقع المناقشة فی أنّ العرف لا یساعد علیه فی مرحلة الإثبات؛ فإنّ قوله علیه السلام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معلومیّة کونه من النهی التنزیهیّ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 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فکما أنّ الثانی یورث المانعیّة أو الشرطیّة الملازمة لاستکشاف النقصان فی مورد النهی؛ بحیث لا تصیر الطبیعة الواجدة له قابلة للتقرّب بها، کذلک النهی فیما نحن فیه یکون من الإرشاد إلی النقیصة، و إلی حسن فقدان الطبیعة للکون المزبور، من غیر کونه نهیا نفسیّا، بل یعدّ من النواهی الإرشادیّة إلی اشتمال هذه الحصّة من الطبیعة علی المنقصة، فلا یتمّ الاستدلال بحسب المقام الثانی، کما هو الظاهر</w:t>
      </w:r>
      <w:r>
        <w:rPr>
          <w:rFonts w:eastAsia="IRNazanin" w:cs="IRNazanin"/>
          <w:color w:val="111111"/>
          <w:sz w:val="28"/>
          <w:szCs w:val="28"/>
          <w:rtl w:val="true"/>
          <w:lang w:bidi="fa-IR"/>
        </w:rPr>
        <w:t>.</w:t>
      </w:r>
      <w:bookmarkStart w:id="421" w:name="pg13163_143120"/>
    </w:p>
    <w:p>
      <w:pPr>
        <w:pStyle w:val="BookText"/>
        <w:rPr/>
      </w:pPr>
      <w:bookmarkEnd w:id="421"/>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من انضمام هذا النهی إلی الأمر بالطبیعة علی الإطلاق؛ أنّ الصلاة فی الحمّام و إن کانت مورد الأمر، إلاّ أنّها تشتمل علی منقصة أیضا، کما ربّما تکون مشتملة علی الکمالات الاستحبابیّة، فلا یکون النهی فی المقام من النهی الحکمیّ حتّی یصحّ الاستدلال، و لا یلزم من الحمل المزبور کون الکراهة فی العبادات کراهة خاصّة، بل النهی فی العبادات یرشد إلی حیثیّة خاصّة فی متعلّقه؛ 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المتفاهم فی العرف من الأوامر و النواهی فی أجزاء العبادات و المعاملات، غیر المتفاهم العرفیّ منها فی سائر المواقف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موارد النواهی التحریمیّة، لا یکون بناؤهم علی درج المسألة فی محلّ النزاع، و لا تکون الصلاة فی و بر ما لا یؤکل لحمه من المجمع للأمر و النهی حتّی تکون صلاة صحیحة محرّمة تکلیفا، کذلک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النسبة بین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مطلق، فعلی هذا لو أمکن ثبوتا أن تکون الصلوات المکروهة من موارد اجتماع الأمر و النهی لما أمکن ذلک إثباتا، و تصیر النتیجة سقوط الاستدلال المزبور</w:t>
      </w:r>
      <w:r>
        <w:rPr>
          <w:rFonts w:eastAsia="IRNazanin" w:cs="IRNazanin"/>
          <w:color w:val="111111"/>
          <w:sz w:val="28"/>
          <w:szCs w:val="28"/>
          <w:rtl w:val="true"/>
          <w:lang w:bidi="fa-IR"/>
        </w:rPr>
        <w:t>.</w:t>
      </w:r>
    </w:p>
    <w:p>
      <w:pPr>
        <w:pStyle w:val="Heading6"/>
        <w:numPr>
          <w:ilvl w:val="5"/>
          <w:numId w:val="1"/>
        </w:numPr>
        <w:rPr/>
      </w:pPr>
      <w:bookmarkStart w:id="422" w:name="__RefHeading___Toc533883_3244359995"/>
      <w:bookmarkStart w:id="423" w:name="_Toc159"/>
      <w:bookmarkEnd w:id="422"/>
      <w:r>
        <w:rPr>
          <w:rtl w:val="true"/>
        </w:rPr>
        <w:t>تذنیب</w:t>
      </w:r>
      <w:r>
        <w:rPr>
          <w:rtl w:val="true"/>
        </w:rPr>
        <w:t xml:space="preserve">: </w:t>
      </w:r>
      <w:r>
        <w:rPr>
          <w:rtl w:val="true"/>
        </w:rPr>
        <w:t>حول إمکان القول بالامتناع مع کون النهی نفسیّا</w:t>
      </w:r>
      <w:bookmarkEnd w:id="423"/>
    </w:p>
    <w:p>
      <w:pPr>
        <w:pStyle w:val="BookText"/>
        <w:rPr/>
      </w:pP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أساس للکراهة الاصطلاحیّة فی العبادات المکروهة، یقع سؤال مبنیّ علی التنازل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فرضنا أنّ النهی الوارد یکون من النهی النفسیّ، و بنینا علی عدم جواز الاجتماع، فهل یمکن عقلا ذلک، أم لا بدّ من اختیار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الکراهة بمعنی الحزازة، أو الالتزام بجواز الاجتماع؟ و جهان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یقال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صفة الکراهة و الوجوب، مثل صفة الحلّیة</w:t>
      </w:r>
    </w:p>
    <w:p>
      <w:pPr>
        <w:pStyle w:val="BookText"/>
        <w:rPr/>
      </w:pPr>
      <w:r>
        <w:rPr>
          <w:rFonts w:ascii="IRNazanin" w:hAnsi="IRNazanin" w:eastAsia="IRNazanin"/>
          <w:color w:val="111111"/>
          <w:sz w:val="28"/>
          <w:sz w:val="28"/>
          <w:szCs w:val="28"/>
          <w:rtl w:val="true"/>
          <w:lang w:bidi="fa-IR"/>
        </w:rPr>
        <w:t>الثابتة لأصل الطبیعة و الحرمة الثابتة لها بالعرض لعارض خارجیّ، کالوطء و نحوه، فالشاة حلال و حرام، و الصلاة فی الحمّام واجبة و مکروهة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من أنّ صفة الحلّیة الثابتة لأصل الطبیعة، منتفیة عن شخص الفرد، و المقصود هنا إثبات وجوب الشخص الموجود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تقریرات العلاّمة الکاظمی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المأمور به هی الصلاة، و المنهیّ عنه هو التعبّد بها</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و إن کان فی القسم الآتی، إلاّ أنّه یمکن إجراؤه فی هذا القسم أیضا، و سیأتی ما فیه من الضعف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قضیّة ما أفاده هو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المستحبّ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موضوع المستحبّ هو الصلاة، و موضوع المکروه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الموضوعان، إلاّ أنّه یلزم من صحّة القضیّة الثانیة فساد القضیّة الأولی،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النسبة بین متعلّق الأمر و النهی عموم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تکون الصلاة بلا أمر؛ لأنّ قضیّة الکراهة أنّها مورد النهی، و لا یعقل اجتماعها مع صفة الوجوب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الفرق بین العبادة المکروهة و العبادة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العبادة فی مورد النهی التحریمیّ معلومة مبعّدیتها، و تکون من المحرّم الّذی لا یمکن التقرّب به، و فی مورد النهی التنزیهیّ یحتمل إمکان التقرّب بها، و یجوز الإتیان بها بداعی التقرّب؛ لأنّ حقیقة الکراهة و إن کان معناها الترخیص فی الفعل، و لا یعقل الترخیص فی العبادات إلاّ مع فرض وجود الأمر، و إذا کان مورد الکراهة مورد الأمر یلزم انتفاء</w:t>
      </w:r>
      <w:bookmarkStart w:id="424" w:name="pg13163_143122"/>
    </w:p>
    <w:p>
      <w:pPr>
        <w:pStyle w:val="BookText"/>
        <w:rPr/>
      </w:pPr>
      <w:bookmarkEnd w:id="424"/>
      <w:r>
        <w:rPr>
          <w:rFonts w:ascii="IRNazanin" w:hAnsi="IRNazanin" w:eastAsia="IRNazanin"/>
          <w:color w:val="111111"/>
          <w:sz w:val="28"/>
          <w:sz w:val="28"/>
          <w:szCs w:val="28"/>
          <w:rtl w:val="true"/>
          <w:lang w:bidi="fa-IR"/>
        </w:rPr>
        <w:t>الکراهة، فمن کراهة العبادة اصطلاحا یلزم عدم کراهتها، إلاّ أنّه یمکن تفسیر الکراهة علی الوجه المزبور مقابل الحرمة الثابتة فی العبادات؛ و أنّ العبادة المحرّمة لا یمکن التقرّب بها، و تکون حراما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العبادة المکروهة، فإنّ طریق إمکان التقرّب بها غیر مسدود، فتکون 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مقام الثبوت و فی مرحلة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للتقرّب بها، بخلاف الصلاة فی أیّام الحیض، فإنّها لا یمکن أن یتقرّب بها کما لا یخفی</w:t>
      </w:r>
      <w:r>
        <w:rPr>
          <w:rFonts w:eastAsia="IRNazanin" w:cs="IRNazanin"/>
          <w:color w:val="111111"/>
          <w:sz w:val="28"/>
          <w:szCs w:val="28"/>
          <w:rtl w:val="true"/>
          <w:lang w:bidi="fa-IR"/>
        </w:rPr>
        <w:t>.</w:t>
      </w:r>
    </w:p>
    <w:p>
      <w:pPr>
        <w:pStyle w:val="Heading6"/>
        <w:numPr>
          <w:ilvl w:val="5"/>
          <w:numId w:val="1"/>
        </w:numPr>
        <w:rPr/>
      </w:pPr>
      <w:bookmarkStart w:id="425" w:name="__RefHeading___Toc533885_3244359995"/>
      <w:bookmarkStart w:id="426" w:name="_Toc160"/>
      <w:bookmarkEnd w:id="425"/>
      <w:r>
        <w:rPr>
          <w:rtl w:val="true"/>
        </w:rPr>
        <w:t>بقی شی‌ء</w:t>
      </w:r>
      <w:r>
        <w:rPr>
          <w:rtl w:val="true"/>
        </w:rPr>
        <w:t xml:space="preserve">: </w:t>
      </w:r>
      <w:r>
        <w:rPr>
          <w:rtl w:val="true"/>
        </w:rPr>
        <w:t>حول صحّة الصلاة فی الحمّام و عدمها</w:t>
      </w:r>
      <w:bookmarkEnd w:id="426"/>
    </w:p>
    <w:p>
      <w:pPr>
        <w:pStyle w:val="BookText"/>
        <w:rPr/>
      </w:pPr>
      <w:r>
        <w:rPr>
          <w:rFonts w:ascii="IRNazanin" w:hAnsi="IRNazanin" w:eastAsia="IRNazanin"/>
          <w:color w:val="111111"/>
          <w:sz w:val="28"/>
          <w:sz w:val="28"/>
          <w:szCs w:val="28"/>
          <w:rtl w:val="true"/>
          <w:lang w:bidi="fa-IR"/>
        </w:rPr>
        <w:t>و هو أنّ الصلاة علی تفسیر النهی بالإرشاد تکون صحیحة، و معنی أنّ النهی إرشاد غیر کون الکراهة هی الأقلّ ثوابا، بل النهی یلازم الحزازة، و نتیجة ذلک عدم وصول العبد لجمیع ثواب الطبیعة الجامعة للکمالات، و الفاقدة للنواقص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بناء علی أن یکون النهی نفسیّا، تکون باطلة؛ لعدم إمکان بقاء الأمر فی الحصّة الواقعة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الاکتفاء بتلک الحصّة عن الطبیعة الواجبة، و إن کان بحسب اللبّ یحتمل الصحّة؛ لإمکان کونها مورد الملاک، و قابلة للتقرب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تصحّ الصلاة علی الاجتماع و الامتناع مطلقا</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غیر واضح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الاجتماع، فقد مرّ وجه المناقشة فیه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الامتناع و غلبة النهی، فالأمر ساقط، و لا بدّ فی تصحیح العبادة من التشبّث بما یتشبّث به فی مورد النهی التحریمیّ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بین النهی التحریمیّ و التنزیهیّ من هذه الجهة، خلافا لما فی تقریرات العلاّمة الکاظمیّ قدس سره حیث توهّم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إذا تعلّق بالطبیعة علی نحو صرف الوجود، و النهی تعلّق بها علی نحو مطلق الوجود، لا یقع التهافت بین الأمر و النهی رأسا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غریب الکلام؛ ضرورة أنّ البحث یکون حول صفة الوجوب و الکراهة فی الصلاة فی الحمّام، و المفروض أنّ ما هو مورد النهی هی الصلاة أیضا، و لو صحّ ما أفید فهو یرجع إلی إنکار الامتناع بین الأمر و النهی التنزیهیّ، و هو خلاف الفرض؛ لأنّ الکلام حول صحّة الصلاة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الصلاة فی الحمّام منهیّة؛ أنّها مرجوحة، و معنی أنّها بما هی هی مورد الأمر؛ أنّها راجحة علی الإطلاق فی جمیع الأکوان، و لا یمکن الجمع بین مرجوحیّة الحصّة و راجحیّة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الطبیعة بین الحدّین أوّل الوقت و آخره، إذا کانت مورد الأمر، لا یکون معناها أنّها بصرف الوجود مورد الأمر، أو بالإطلاق البدلیّ، فإنّ الکلّ غلط، بل معناه أنّ نفس الطبیعة بما هی هی مورد الأمر، و قضیّة ذلک سقوط الأمر بإتیان الطبیعة مرّة، و هذا لا یمکن أن یجتمع مع کراهتها حصّة، فلا تغترّ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الاجتماع تصحّ الصلاة، و علی الامتناع و فرض ثبوت الکراهة لا تصحّ الصلاة؛ لأنّها بلا أمر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تشبّث بما مرّ فی تصحیح الصلاة فی أصل المسألة من الترتّب، و الحسن الذاتیّ، و من استصحاب بقاء الملاک المستکشف بالأمر</w:t>
      </w:r>
      <w:r>
        <w:rPr>
          <w:rStyle w:val="FootnoteAnchor"/>
          <w:rtl w:val="true"/>
        </w:rPr>
        <w:footnoteReference w:id="546"/>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bookmarkStart w:id="427" w:name="pg13163_143124"/>
    </w:p>
    <w:p>
      <w:pPr>
        <w:pStyle w:val="Heading6"/>
        <w:numPr>
          <w:ilvl w:val="5"/>
          <w:numId w:val="1"/>
        </w:numPr>
        <w:rPr/>
      </w:pPr>
      <w:bookmarkStart w:id="428" w:name="__RefHeading___Toc533887_3244359995"/>
      <w:bookmarkStart w:id="429" w:name="_Toc161"/>
      <w:bookmarkEnd w:id="427"/>
      <w:bookmarkEnd w:id="428"/>
      <w:r>
        <w:rPr>
          <w:rtl w:val="true"/>
        </w:rPr>
        <w:t>الجهة الثالثة</w:t>
      </w:r>
      <w:r>
        <w:rPr>
          <w:rtl w:val="true"/>
        </w:rPr>
        <w:t xml:space="preserve">: </w:t>
      </w:r>
      <w:r>
        <w:rPr>
          <w:rtl w:val="true"/>
        </w:rPr>
        <w:t>فی القسم الأوّل منها</w:t>
      </w:r>
      <w:bookmarkEnd w:id="429"/>
    </w:p>
    <w:p>
      <w:pPr>
        <w:pStyle w:val="BookText"/>
        <w:rPr/>
      </w:pPr>
      <w:r>
        <w:rPr>
          <w:rFonts w:ascii="IRNazanin" w:hAnsi="IRNazanin" w:eastAsia="IRNazanin"/>
          <w:color w:val="111111"/>
          <w:sz w:val="28"/>
          <w:sz w:val="28"/>
          <w:szCs w:val="28"/>
          <w:rtl w:val="true"/>
          <w:lang w:bidi="fa-IR"/>
        </w:rPr>
        <w:t xml:space="preserve">و هو ما إذا کانت العبادة مورد النهی التنزیهیّ، و لا یکون لها البدل، کصوم یوم عاشوراء، و قد اتفقت کلمات المجوّز و المانع علی عدم جواز الاجتماع؛ لوحدة المتعلّق </w:t>
      </w:r>
      <w:r>
        <w:rPr>
          <w:rStyle w:val="FootnoteAnchor"/>
          <w:rtl w:val="true"/>
        </w:rPr>
        <w:footnoteReference w:id="547"/>
      </w:r>
      <w:r>
        <w:rPr>
          <w:rFonts w:ascii="IRNazanin" w:hAnsi="IRNazanin" w:eastAsia="IRNazanin"/>
          <w:color w:val="111111"/>
          <w:sz w:val="28"/>
          <w:sz w:val="28"/>
          <w:szCs w:val="28"/>
          <w:rtl w:val="true"/>
          <w:lang w:bidi="fa-IR"/>
        </w:rPr>
        <w:t>، و حیث إنّ الصوم صحیح فی یوم عاشوراء</w:t>
      </w:r>
      <w:r>
        <w:rPr>
          <w:rStyle w:val="FootnoteAnchor"/>
          <w:rtl w:val="true"/>
        </w:rPr>
        <w:footnoteReference w:id="548"/>
      </w:r>
      <w:r>
        <w:rPr>
          <w:rFonts w:ascii="IRNazanin" w:hAnsi="IRNazanin" w:eastAsia="IRNazanin"/>
          <w:color w:val="111111"/>
          <w:sz w:val="28"/>
          <w:sz w:val="28"/>
          <w:szCs w:val="28"/>
          <w:rtl w:val="true"/>
          <w:lang w:bidi="fa-IR"/>
        </w:rPr>
        <w:t>، فکیف یمکن أن یکون مصداق المکروه و مورد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کلّ مهربا لحلّ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الصحّة لأجل الملاک دون الأمر</w:t>
      </w:r>
      <w:r>
        <w:rPr>
          <w:rFonts w:eastAsia="IRNazanin" w:cs="IRNazanin"/>
          <w:color w:val="111111"/>
          <w:sz w:val="28"/>
          <w:szCs w:val="28"/>
          <w:rtl w:val="true"/>
          <w:lang w:bidi="fa-IR"/>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ما مرّ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المنهیّ لیس الصوم، بل المنهیّ عنوان آخر ینطبق علیه؛ و هو العنوان الوجودیّ القابل للانطباق علی الصوم، و هو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التشبّه ببنی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صوم یوم عاشوراء،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التشبّه بعبدة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وقت الطلوع و الغروب، و إن کان یمکن حلّ المشکلة من طریق آخر، إلاّ أنّ المستفاد من المجموع هو ذلک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الأمر کذلک فی الصلاة فی الحمّام؛ لأنّ المنهیّ هی العبادة فی أماکن القذرة و لو بغیر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أفاده العلمان الأستاذان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Style w:val="FootnoteAnchor"/>
          <w:rtl w:val="true"/>
        </w:rPr>
        <w:footnoteReference w:id="551"/>
      </w:r>
      <w:r>
        <w:rPr>
          <w:rFonts w:ascii="IRNazanin" w:hAnsi="IRNazanin" w:eastAsia="IRNazanin"/>
          <w:color w:val="111111"/>
          <w:sz w:val="28"/>
          <w:sz w:val="28"/>
          <w:szCs w:val="28"/>
          <w:rtl w:val="true"/>
          <w:lang w:bidi="fa-IR"/>
        </w:rPr>
        <w:t>،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الظاهر من الأدلّة، و مجرّد کون النکتة ذلک لا یکفی لصرف الظواهر،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تبعه الآخر</w:t>
      </w:r>
      <w:r>
        <w:rPr>
          <w:rStyle w:val="FootnoteAnchor"/>
          <w:rtl w:val="true"/>
        </w:rPr>
        <w:footnoteReference w:id="5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الفعل فیه جهة الحسن، و الترک ملازم لجهة الحسن، أو ینطبق علیه جهة الحسن، و لذلک وقع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انطباق العنوان العدمیّ غیر مفید؛ لأنّ العناوین العدمیّة بلا مصلحة و لا مفسدة، و انطباق العنوان الوجودیّ غیر ممکن؛ لأنّ المنطبق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عدمیّ </w:t>
      </w:r>
      <w:r>
        <w:rPr>
          <w:rStyle w:val="FootnoteAnchor"/>
          <w:rtl w:val="true"/>
        </w:rPr>
        <w:footnoteReference w:id="555"/>
      </w:r>
      <w:r>
        <w:rPr>
          <w:rFonts w:ascii="IRNazanin" w:hAnsi="IRNazanin" w:eastAsia="IRNazanin"/>
          <w:color w:val="111111"/>
          <w:sz w:val="28"/>
          <w:sz w:val="28"/>
          <w:szCs w:val="28"/>
          <w:rtl w:val="true"/>
          <w:lang w:bidi="fa-IR"/>
        </w:rPr>
        <w:t>، و لو کان قابلا للدفع، و لا یضرّ بمبناه؛ لأنّ احتمال وجود الملازمة باق بحاله، و لکن المحرّر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الترک لیس مورد الأمر فی المکروه </w:t>
      </w:r>
      <w:r>
        <w:rPr>
          <w:rStyle w:val="FootnoteAnchor"/>
          <w:rtl w:val="true"/>
        </w:rPr>
        <w:footnoteReference w:id="556"/>
      </w:r>
      <w:r>
        <w:rPr>
          <w:rFonts w:ascii="IRNazanin" w:hAnsi="IRNazanin" w:eastAsia="IRNazanin"/>
          <w:color w:val="111111"/>
          <w:sz w:val="28"/>
          <w:sz w:val="28"/>
          <w:szCs w:val="28"/>
          <w:rtl w:val="true"/>
          <w:lang w:bidi="fa-IR"/>
        </w:rPr>
        <w:t>، بل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للزجر عن الفعل </w:t>
      </w:r>
      <w:r>
        <w:rPr>
          <w:rStyle w:val="FootnoteAnchor"/>
          <w:rtl w:val="true"/>
        </w:rPr>
        <w:footnoteReference w:id="557"/>
      </w:r>
      <w:r>
        <w:rPr>
          <w:rFonts w:ascii="IRNazanin" w:hAnsi="IRNazanin" w:eastAsia="IRNazanin"/>
          <w:color w:val="111111"/>
          <w:sz w:val="28"/>
          <w:sz w:val="28"/>
          <w:szCs w:val="28"/>
          <w:rtl w:val="true"/>
          <w:lang w:bidi="fa-IR"/>
        </w:rPr>
        <w:t>، فیکون صوم یوم عاشوراء مورد الزجر و مورد الأمر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الشرع الواقف علی المصالح و المفاسد، إمّا یرجّح جانب المصالح فیأمر، أو جانب المفاسد فینهی عنه، و أمّا الجمع بین الأمر و النهی فی الموضوعات المرکّبة من المصالح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کالخمر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و لم یعهد من دأبه و 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موارد التزاحم بین الملاکات یأمر و ینهی، و تصیر النتیجة التخییر بین کسب المصلحة و دفع المفسدة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تعبّدا فیه الثواب، و التشبّه ببنی أمیّة فیه الحزازة و المفسدة، فإن</w:t>
      </w:r>
    </w:p>
    <w:p>
      <w:pPr>
        <w:pStyle w:val="BookText"/>
        <w:rPr/>
      </w:pPr>
      <w:r>
        <w:rPr>
          <w:rFonts w:ascii="IRNazanin" w:hAnsi="IRNazanin" w:eastAsia="IRNazanin"/>
          <w:color w:val="111111"/>
          <w:sz w:val="28"/>
          <w:sz w:val="28"/>
          <w:szCs w:val="28"/>
          <w:rtl w:val="true"/>
          <w:lang w:bidi="fa-IR"/>
        </w:rPr>
        <w:t>صام فقد أدرک الخیر، و إذا ترک الصوم فقد فرّ من مفسدة التشبّه، و لمّا لم یکن فی البین غالب فلا بدّ من الأمر و النهی، و تکون المسألة من موارد التزاحم بین المصالح و المفاسد عند المقنّن و فی مرحلة الجعل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نحن فیه من التزاحم؛ لإمکان أن یترک المکلّف أمر الصوم و النهی؛ لأنّه إذا صام من غیر قصد القربة لم یمتثل الأمر و لا النهی، لأنّ ما هو الباعث علی النهی هو الإفطار، لأنّه ترک التشبّه ببنی أمیّة، دون الصوم الباطل و بلا قربة، فعلیه یکون الأمر و النهی من المتزاحمین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ضرورة أنّ الثابت فی أصل الشرع، ترک الصوم الّذی کان یأتی به بنو أمیّة؛ و هو الصوم العبادیّ بداعی التقرّب منه تعالی، و ترکه لا یتوقّف علی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أتی بالصوم ریاء فإنّه قد استجلب مفسدة التشبه و مفسدة الریاء، و ابتلی بعدم استجلاب ثواب الأمر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المأمور هو طبیعة الصوم، و المنهیّ هو التعبّد بالصوم، فیتعدّد الموضوع</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القائل به یعتقد بأنّ النسبة بین المأمور و المنهیّ عنه إذا کانت عموما مطلقا، فهی کما إذا کانت النسبة تساویا</w:t>
      </w:r>
      <w:r>
        <w:rPr>
          <w:rStyle w:val="FootnoteAnchor"/>
          <w:rtl w:val="true"/>
        </w:rPr>
        <w:footnoteReference w:id="560"/>
      </w:r>
      <w:r>
        <w:rPr>
          <w:rFonts w:ascii="IRNazanin" w:hAnsi="IRNazanin" w:eastAsia="IRNazanin"/>
          <w:color w:val="111111"/>
          <w:sz w:val="28"/>
          <w:sz w:val="28"/>
          <w:szCs w:val="28"/>
          <w:rtl w:val="true"/>
          <w:lang w:bidi="fa-IR"/>
        </w:rPr>
        <w:t>، فلا تنحلّ بذلک غائلة المسألة و المشکلة التی ابتلی بها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الدقّة، و لکنّ العدول عن جمیع هذه کان أولی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إمکان کون الطبیعة الواحدة مورد الأمر و النهی؛ إذا کان</w:t>
      </w:r>
      <w:bookmarkStart w:id="430" w:name="pg13163_143127"/>
    </w:p>
    <w:p>
      <w:pPr>
        <w:pStyle w:val="BookText"/>
        <w:rPr/>
      </w:pPr>
      <w:bookmarkEnd w:id="430"/>
      <w:r>
        <w:rPr>
          <w:rFonts w:ascii="IRNazanin" w:hAnsi="IRNazanin" w:eastAsia="IRNazanin"/>
          <w:color w:val="111111"/>
          <w:sz w:val="28"/>
          <w:sz w:val="28"/>
          <w:szCs w:val="28"/>
          <w:rtl w:val="true"/>
          <w:lang w:bidi="fa-IR"/>
        </w:rPr>
        <w:t>الآمر متعدّدا، مثلا یصحّ أن یأمر الوالد بشراء شی‌ء، و تنهی عنه الوالدة، و هذا کاشف عن أنّ الأحکام لیست متضادّة حسب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الصوم مورد أمر اللَّه تعالی، فإنّ الصیام المنویّة مستحبة بأصل الشرع و فی کلّ زمان إلاّ یومین، و صوم یوم عاشوراء مورد النهی الحکومتیّ الإسلامیّ؛ حذرا من بعض المفاسد المترتّبة علیه، أو المصالح المستحسن مراعاتها، فیکون الصوم مورد النهی، و لکن لا النهی الإلهیّ، بل نهی الحاکم النافذ حکمه بین الأمة الإسلامیّة، و أمّا وجوب إطاعة الحاکم فی أصل الشرع فلا ینافی الأمر المتوجّه إلی الصوم؛ لما أنّ النسبة بین المأمور بذلک الأمر و المأمور بهذا الأمر،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بذلک تجتمع الظواهر، و ترتفع الغائلة</w:t>
      </w:r>
      <w:r>
        <w:rPr>
          <w:rFonts w:eastAsia="IRNazanin" w:cs="IRNazanin"/>
          <w:color w:val="111111"/>
          <w:sz w:val="28"/>
          <w:szCs w:val="28"/>
          <w:rtl w:val="true"/>
          <w:lang w:bidi="fa-IR"/>
        </w:rPr>
        <w:t>.</w:t>
      </w:r>
    </w:p>
    <w:p>
      <w:pPr>
        <w:pStyle w:val="Heading6"/>
        <w:numPr>
          <w:ilvl w:val="5"/>
          <w:numId w:val="1"/>
        </w:numPr>
        <w:rPr/>
      </w:pPr>
      <w:bookmarkStart w:id="431" w:name="__RefHeading___Toc533889_3244359995"/>
      <w:bookmarkStart w:id="432" w:name="_Toc162"/>
      <w:bookmarkEnd w:id="431"/>
      <w:r>
        <w:rPr>
          <w:rtl w:val="true"/>
        </w:rPr>
        <w:t>فذلکة الکلام</w:t>
      </w:r>
      <w:bookmarkEnd w:id="432"/>
    </w:p>
    <w:p>
      <w:pPr>
        <w:pStyle w:val="BookText"/>
        <w:rPr/>
      </w:pPr>
      <w:r>
        <w:rPr>
          <w:rFonts w:ascii="IRNazanin" w:hAnsi="IRNazanin" w:eastAsia="IRNazanin"/>
          <w:color w:val="111111"/>
          <w:sz w:val="28"/>
          <w:sz w:val="28"/>
          <w:szCs w:val="28"/>
          <w:rtl w:val="true"/>
          <w:lang w:bidi="fa-IR"/>
        </w:rPr>
        <w:t>إنّ الغائلة نشأت من کون الأمر و النهی متعیّنین، و علی الوجه الأوّل الّذی أوضحناه یکون الأمر و النهی علی سبیل التخییر؛ لأنّ لکلّ من الصوم و التشبّه ببنی أمیّة فی الصوم، مصلحة و مفسدة من غیر غلبة لإحداهما علی الأخری، فإذا صام صحّ؛ لأنّه مورد الأمر التخییریّ، و لو ترک ذلک لأجل النهی المزبور یثاب، و تکون المسألة من باب التزاحم فی مقام التقنین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من باب التزاحم الاصطلاحیّ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إمکان ترک الامتثالین بالصوم بلا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أوضح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مقتضی هذا الوجه التصرف فی الظاهرین بحملهما علی التخییریّ، بخلاف الوجه الأخیر، فلیتدبّر جیدا</w:t>
      </w:r>
      <w:r>
        <w:rPr>
          <w:rFonts w:eastAsia="IRNazanin" w:cs="IRNazanin"/>
          <w:color w:val="111111"/>
          <w:sz w:val="28"/>
          <w:szCs w:val="28"/>
          <w:rtl w:val="true"/>
          <w:lang w:bidi="fa-IR"/>
        </w:rPr>
        <w:t>.</w:t>
      </w:r>
      <w:bookmarkStart w:id="433" w:name="pg13163_143128"/>
    </w:p>
    <w:p>
      <w:pPr>
        <w:pStyle w:val="Heading6"/>
        <w:numPr>
          <w:ilvl w:val="5"/>
          <w:numId w:val="1"/>
        </w:numPr>
        <w:rPr/>
      </w:pPr>
      <w:bookmarkStart w:id="434" w:name="__RefHeading___Toc533891_3244359995"/>
      <w:bookmarkStart w:id="435" w:name="_Toc163"/>
      <w:bookmarkEnd w:id="433"/>
      <w:bookmarkEnd w:id="434"/>
      <w:r>
        <w:rPr>
          <w:rtl w:val="true"/>
        </w:rPr>
        <w:t>تنبیه</w:t>
      </w:r>
      <w:r>
        <w:rPr>
          <w:rtl w:val="true"/>
        </w:rPr>
        <w:t xml:space="preserve">: </w:t>
      </w:r>
      <w:r>
        <w:rPr>
          <w:rtl w:val="true"/>
        </w:rPr>
        <w:t>فی دخول صوم عاشوراء فی القسم الثانی من أقسام العبادات</w:t>
      </w:r>
      <w:bookmarkEnd w:id="435"/>
    </w:p>
    <w:p>
      <w:pPr>
        <w:pStyle w:val="BookText"/>
        <w:rPr/>
      </w:pPr>
      <w:r>
        <w:rPr>
          <w:rFonts w:ascii="IRNazanin" w:hAnsi="IRNazanin" w:eastAsia="IRNazanin"/>
          <w:color w:val="111111"/>
          <w:sz w:val="28"/>
          <w:sz w:val="28"/>
          <w:szCs w:val="28"/>
          <w:rtl w:val="true"/>
          <w:lang w:bidi="fa-IR"/>
        </w:rPr>
        <w:t>ربّما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صوم یوم عاشوراء بعنوان التشبّه مورد النهی، بخلاف الصوم المطلق، فإنّه مورد الأمر، فیکون هذا القسم من القسم الثانی أیضا، و الکلام فیه ما مرّ تفصیله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بکراهته للجاهل بذلک الأمر،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وجیه من وجه و خلاف المطلقات أیضا</w:t>
      </w:r>
      <w:r>
        <w:rPr>
          <w:rFonts w:eastAsia="IRNazanin" w:cs="IRNazanin"/>
          <w:color w:val="111111"/>
          <w:sz w:val="28"/>
          <w:szCs w:val="28"/>
          <w:rtl w:val="true"/>
          <w:lang w:bidi="fa-IR"/>
        </w:rPr>
        <w:t>.</w:t>
      </w:r>
    </w:p>
    <w:p>
      <w:pPr>
        <w:pStyle w:val="Heading6"/>
        <w:numPr>
          <w:ilvl w:val="5"/>
          <w:numId w:val="1"/>
        </w:numPr>
        <w:rPr/>
      </w:pPr>
      <w:bookmarkStart w:id="436" w:name="__RefHeading___Toc533893_3244359995"/>
      <w:bookmarkStart w:id="437" w:name="_Toc164"/>
      <w:bookmarkEnd w:id="436"/>
      <w:r>
        <w:rPr>
          <w:rtl w:val="true"/>
        </w:rPr>
        <w:t>تذنیب</w:t>
      </w:r>
      <w:r>
        <w:rPr>
          <w:rtl w:val="true"/>
        </w:rPr>
        <w:t xml:space="preserve">: </w:t>
      </w:r>
      <w:r>
        <w:rPr>
          <w:rtl w:val="true"/>
        </w:rPr>
        <w:t>حول الاستدلال علی الاجتماع بالعبادات الاستئجاریّة و المنذورة</w:t>
      </w:r>
      <w:bookmarkEnd w:id="437"/>
    </w:p>
    <w:p>
      <w:pPr>
        <w:pStyle w:val="BookText"/>
        <w:rPr/>
      </w:pPr>
      <w:r>
        <w:rPr>
          <w:rFonts w:ascii="IRNazanin" w:hAnsi="IRNazanin" w:eastAsia="IRNazanin"/>
          <w:color w:val="111111"/>
          <w:sz w:val="28"/>
          <w:sz w:val="28"/>
          <w:szCs w:val="28"/>
          <w:rtl w:val="true"/>
          <w:lang w:bidi="fa-IR"/>
        </w:rPr>
        <w:t>للمستدلّ أن یستدلّ بالعبادات الواقعة مورد الإجارة، کالحجّ و نحوه؛ لأنّه إذا جاز اجتماع الأمر الندبیّ و الوجوبیّ، جاز اجتماع الأمر و النهی، ضرورة أنّ الأحکام بأسرها غیر قابلة للاجتماع و تکون متضادّة بالأسر، و لا ریب فی أنّ النائب یستحبّ له الحجّ بذاته و لنفسه، و إذا استؤجر للحجّ یجب علیه الحجّ عن الغیر؛ لأجل الأمر الإجاریّ، فیلزم اجتماع الأمر الاستحبابیّ و الوجوبیّ، و یکون متعلّق الأوّل نفس الطبیعة، و متعلّق الثانی الطبیعة الخاصّة و إذا صحّ و أمکن ذلک فی المطلق و المقیّد، ففی العموم من وجه بطریق أولی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النذر المتعلّق بصلاة اللیل، فإنّ صلاة اللیل مستحبّة، و الصلاة المستحبّة واجبة بالوجوب التوصّلی، فیلزم اجتماع الوجوب و الندب فی العنوانین المتصادقین علی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تصادقهما علی واحد؛ لأنّ مورد الأمر هی الصلاة، و مورد الأمر التوصّلی هی الصلاة المأتیّ بها قربة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تحرّر منّا فی محلّه أنّ الأمر المتعلّق بالصلاة، لا یفید صحّة التقرب؛ لأنّ أصالة التعبدیة بلا أساس </w:t>
      </w:r>
      <w:r>
        <w:rPr>
          <w:rStyle w:val="FootnoteAnchor"/>
          <w:rtl w:val="true"/>
        </w:rPr>
        <w:footnoteReference w:id="562"/>
      </w:r>
      <w:r>
        <w:rPr>
          <w:rFonts w:ascii="IRNazanin" w:hAnsi="IRNazanin" w:eastAsia="IRNazanin"/>
          <w:color w:val="111111"/>
          <w:sz w:val="28"/>
          <w:sz w:val="28"/>
          <w:szCs w:val="28"/>
          <w:rtl w:val="true"/>
          <w:lang w:bidi="fa-IR"/>
        </w:rPr>
        <w:t xml:space="preserve">، فلا بدّ من أخذ قید التقرّب فی المتعلق حتّی یصیر عبادیّا، و یصیر عندئذ مجمعا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القربیّة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للصلاة القربیّة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مورد الأمر و النهی عنوانا واحدا؛ حتّی لا یتمکّن المستدلّ من الاستدلال کما لا یخفی، فافهم و اغتنم،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المقدّمة واجبة، فإنّ صلاة الظهر مورد الأمر النفسیّ، و تکون مورد الأمر الغیریّ؛ لأنّها مقدّمة وجودیّة بالنسبة إلی صلاة العصر، و لکن الأمر المقدّمی لا یتعلّق بذلک العنوان، بل متعلّقه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للمستدل الاستدلال بمثله و بنظائره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النذر لا یعقل أن یکون متعلق الأمر النذریّ الصلاة المأمور بها بالأمر الاستحبابیّ؛ لأنّه بالنذر لا یتمکن من الامتثال، لأنّها تصیر واجبة بالنذر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الاستدلال فیما إذا نذر الصلاة الواجبة، فإنّه بالنذر یتمکّن من إتیان الصلاة الواجبة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للانقلاب المزبور الواقع فی کلام العلامة النائینیّ قدس سره </w:t>
      </w:r>
      <w:r>
        <w:rPr>
          <w:rStyle w:val="FootnoteAnchor"/>
          <w:rtl w:val="true"/>
        </w:rPr>
        <w:footnoteReference w:id="564"/>
      </w:r>
      <w:r>
        <w:rPr>
          <w:rFonts w:ascii="IRNazanin" w:hAnsi="IRNazanin" w:eastAsia="IRNazanin"/>
          <w:color w:val="111111"/>
          <w:sz w:val="28"/>
          <w:sz w:val="28"/>
          <w:szCs w:val="28"/>
          <w:rtl w:val="true"/>
          <w:lang w:bidi="fa-IR"/>
        </w:rPr>
        <w:t>لأنّ المفروض أنّ متعلّق النذر هی الصلاة المأمور بها، دون مطلق الصلاة، و المکلف بعد</w:t>
      </w:r>
      <w:bookmarkStart w:id="438" w:name="pg13163_143130"/>
    </w:p>
    <w:p>
      <w:pPr>
        <w:pStyle w:val="BookText"/>
        <w:rPr/>
      </w:pPr>
      <w:bookmarkEnd w:id="438"/>
      <w:r>
        <w:rPr>
          <w:rFonts w:ascii="IRNazanin" w:hAnsi="IRNazanin" w:eastAsia="IRNazanin"/>
          <w:color w:val="111111"/>
          <w:sz w:val="28"/>
          <w:sz w:val="28"/>
          <w:szCs w:val="28"/>
          <w:rtl w:val="true"/>
          <w:lang w:bidi="fa-IR"/>
        </w:rPr>
        <w:t>النذر لا بدّ و أن یقصد الأمر العبادیّ الاستحبابیّ؛ لأنّ ذلک مورد الأمر الإیجابیّ التوصّلی، فلا یصیر عاجزا عن إتیان الصلاة النفلیّة استحبابا؛ لأنّ ما هو مورد الأمر التوصّلی إتیانها استحبابا، أی بداعی الأمر المتعلّق بالعبادة و لو نسی الأمر النذریّ و أتی بها لأجل أمرها صحّت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مقتضی ما أفاده بطلانها؛ لأنّها لیست إلاّ مورد الأمر الوجوبیّ، فلیلاحظ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تخیّله من أنّ التضادّ و التنافر یقع بین الأمر الوجوبیّ التوصّلی النذریّ، و بین الأمر القربیّ الندبیّ المتعلّق بذات العبادة، و یقع التصالح بینهما بالتناکح، و یتولّد من بینهما بعد الکسر و الانکسار أمر واحد وجوبیّ قربیّ </w:t>
      </w:r>
      <w:r>
        <w:rPr>
          <w:rStyle w:val="FootnoteAnchor"/>
          <w:rtl w:val="true"/>
        </w:rPr>
        <w:footnoteReference w:id="565"/>
      </w:r>
      <w:r>
        <w:rPr>
          <w:rFonts w:ascii="IRNazanin" w:hAnsi="IRNazanin" w:eastAsia="IRNazanin"/>
          <w:color w:val="111111"/>
          <w:sz w:val="28"/>
          <w:sz w:val="28"/>
          <w:szCs w:val="28"/>
          <w:rtl w:val="true"/>
          <w:lang w:bidi="fa-IR"/>
        </w:rPr>
        <w:t>، أشبه بالامتحانیّات من 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هذا التفصیل؛ هی إمکان اجتماع الحکمین فی المطلق و المقیّد، و إذا صحّ ذلک هنا فیصحّ فی العامّین من وجه اللذین هما مورد النزاع بطریق أولی فی الحرمة و الوجوب؛ لعدم الفرق بین الأحکام فی المنافرة و المضادّة و عدم إمکان الاجتماع ذاتا أو بالغیر</w:t>
      </w:r>
      <w:r>
        <w:rPr>
          <w:rFonts w:eastAsia="IRNazanin" w:cs="IRNazanin"/>
          <w:color w:val="111111"/>
          <w:sz w:val="28"/>
          <w:szCs w:val="28"/>
          <w:rtl w:val="true"/>
          <w:lang w:bidi="fa-IR"/>
        </w:rPr>
        <w:t>.</w:t>
      </w:r>
    </w:p>
    <w:p>
      <w:pPr>
        <w:pStyle w:val="Heading6"/>
        <w:numPr>
          <w:ilvl w:val="5"/>
          <w:numId w:val="1"/>
        </w:numPr>
        <w:rPr/>
      </w:pPr>
      <w:bookmarkStart w:id="439" w:name="__RefHeading___Toc533895_3244359995"/>
      <w:bookmarkStart w:id="440" w:name="_Toc165"/>
      <w:bookmarkEnd w:id="439"/>
      <w:r>
        <w:rPr>
          <w:rtl w:val="true"/>
        </w:rPr>
        <w:t>تنبیه</w:t>
      </w:r>
      <w:bookmarkEnd w:id="44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الأصحاب و إن لم یستدلّوا بهذه الأمثلة لجواز الاجتماع، إلاّ أنّهم وقعوا فی هذه البحوث لمناسبات اخر، و إنّی رأیت أنّ هذه المناسبة أقوی و أحسن، فافهم و اغتنم</w:t>
      </w:r>
      <w:r>
        <w:rPr>
          <w:rFonts w:eastAsia="IRNazanin" w:cs="IRNazanin"/>
          <w:color w:val="111111"/>
          <w:sz w:val="28"/>
          <w:szCs w:val="28"/>
          <w:rtl w:val="true"/>
          <w:lang w:bidi="fa-IR"/>
        </w:rPr>
        <w:t>.</w:t>
      </w:r>
      <w:bookmarkStart w:id="441" w:name="pg13163_143131"/>
    </w:p>
    <w:p>
      <w:pPr>
        <w:pStyle w:val="Heading6"/>
        <w:numPr>
          <w:ilvl w:val="5"/>
          <w:numId w:val="1"/>
        </w:numPr>
        <w:rPr/>
      </w:pPr>
      <w:bookmarkStart w:id="442" w:name="__RefHeading___Toc533897_3244359995"/>
      <w:bookmarkStart w:id="443" w:name="_Toc166"/>
      <w:bookmarkEnd w:id="441"/>
      <w:bookmarkEnd w:id="442"/>
      <w:r>
        <w:rPr>
          <w:rtl w:val="true"/>
        </w:rPr>
        <w:t>تمحیص الاستدلالات السابقة</w:t>
      </w:r>
      <w:bookmarkEnd w:id="4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هو المحرّر منّا فی محلّه؛ أنّ معروض الوجوب الغیریّ لیس العنوان الذاتیّ، بل معروضه هو العنوان العرضیّ؛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لأنّ وجوب المقدّمة الّذی هو مورد الکلام؛ هو الوجوب العقلیّ المستکشف به الوجوب الشرعیّ، و الأحکام العقلیّة لا تتعلّق إلاّ بالعناوین و الحیثیّات التعلیلیّة، دون الشی‌ء الآخر حتّی تکون تلک الحیثیّات عللا لعروضها، بل الحیثیّات التعلیلیّة فی الأحکام العقلیّة عناوین موضوعاتها، فلا تکون صلاة الظهر مورد الوجوب الغیریّ، فالتمسّک المزبور بالمثال المذکور، فی غیر محلّه حسب الحقّ الّذی لا مزید علیه هذا فی 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فلا یتمّ إلاّ علی تمامیّة الوجوب الغیریّ الشرعیّ، و الامتناعیّ إمّا ینکر ذلک، أو یؤوّل کما یؤوّل فی الموارد الاخر التی تکون النسبة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تجویز اجتماع المثلین من سنخ واحد من الأحکام کما فی المثال المزبور، یلازم تجویز اجتماع الضدّین أیضا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المثال الأوّل و الثانی، فقد أفاد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ما هو الواجب فی الإجارة و فی النذر هو عنوان آخر؛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بالعقد و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العبادة مورد الأمر التوصّلی الإیجابیّ رأسا، فلا یلزم کون الشی‌ء الواحد مورد الأمرین و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الإیجابیّ، و الندبیّ، و لا الشیئین اللّذین بینهما العموم و الخصوص المطلق، بل النسبة تکون من العموم من وجه، و حیث</w:t>
      </w:r>
    </w:p>
    <w:p>
      <w:pPr>
        <w:pStyle w:val="BookText"/>
        <w:rPr/>
      </w:pPr>
      <w:r>
        <w:rPr>
          <w:rFonts w:ascii="IRNazanin" w:hAnsi="IRNazanin" w:eastAsia="IRNazanin"/>
          <w:color w:val="111111"/>
          <w:sz w:val="28"/>
          <w:sz w:val="28"/>
          <w:szCs w:val="28"/>
          <w:rtl w:val="true"/>
          <w:lang w:bidi="fa-IR"/>
        </w:rPr>
        <w:t>یجوز الاجتماع فالأمر واضح</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الاستدلال المزبور یصحّ بناء علی هذا أیضا</w:t>
      </w:r>
      <w:r>
        <w:rPr>
          <w:rStyle w:val="FootnoteAnchor"/>
          <w:rtl w:val="true"/>
        </w:rPr>
        <w:footnoteReference w:id="568"/>
      </w:r>
      <w:r>
        <w:rPr>
          <w:rFonts w:ascii="IRNazanin" w:hAnsi="IRNazanin" w:eastAsia="IRNazanin"/>
          <w:color w:val="111111"/>
          <w:sz w:val="28"/>
          <w:sz w:val="28"/>
          <w:szCs w:val="28"/>
          <w:rtl w:val="true"/>
          <w:lang w:bidi="fa-IR"/>
        </w:rPr>
        <w:t>لأنّ مع کون النسبة عموما من وجه إذا جاز اجتماع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الإیجابیّ و الندبیّ، فیجوز اجتماع التحریمیّ و الإیجابیّ، و القائل بالامتناع یقع فی کلفة التأویل، و هو یستلزم المفاسد الاخر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الإجاریّ و النذریّ الباعث نحو الحجّ الندبیّ و الصلاة المأمور بها بالأمر الاستحبابیّ، یکون هو المحرّک، و قد تقرّر منّا أنّ تحریک المکلّف نحو التحرّک من المحرّک الآخر غیر معقول </w:t>
      </w:r>
      <w:r>
        <w:rPr>
          <w:rStyle w:val="FootnoteAnchor"/>
          <w:rtl w:val="true"/>
        </w:rPr>
        <w:footnoteReference w:id="569"/>
      </w:r>
      <w:r>
        <w:rPr>
          <w:rFonts w:ascii="IRNazanin" w:hAnsi="IRNazanin" w:eastAsia="IRNazanin"/>
          <w:color w:val="111111"/>
          <w:sz w:val="28"/>
          <w:sz w:val="28"/>
          <w:szCs w:val="28"/>
          <w:rtl w:val="true"/>
          <w:lang w:bidi="fa-IR"/>
        </w:rPr>
        <w:t xml:space="preserve">لأنّه لا یمکن أن یتحرّک بالحرکتین و بالشخصین من الحرکة الواحدة فی الزمان الواحد، فعلی هذا لا یبقی الأمر الندبیّ باقیا علی باعثیّته نحو الطبیعة؛ و إن کان متعلّق الأمر الإجاریّ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الأمر النذریّ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الوفاء هو الواجب و لا سیّما فی باب العقود، غیر تامّ إثباتا؛ لأنّ قضیّة ذلک عدم کفایة استیلاء المتبایعین بعد البیع علی ملکهما صدفة فی جواز تصرّفهما فی المبیع و الثمن، مع أنّه جائز بالضرورة عند العقلاء و حسب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کتابه بشی‌ء، ثمّ من باب الاتفاق انتقل الکتاب إلی المشتری، و انتقل الثمن إلی البائع، فإنّه لا یحقّ للبائع أن یمنع من تصرّف المشتری؛ لأنّ ما فی یده ملکه، و لم یبق له حقّ الحبس؛ لأنّ الثمن انتقل إلیه و هو تحت اختیاره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 یعلم أنّ الواجب لیس أمرا قصدیا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w:t>
      </w:r>
    </w:p>
    <w:p>
      <w:pPr>
        <w:pStyle w:val="BookText"/>
        <w:rPr/>
      </w:pPr>
      <w:r>
        <w:rPr>
          <w:rFonts w:ascii="IRNazanin" w:hAnsi="IRNazanin" w:eastAsia="IRNazanin"/>
          <w:color w:val="111111"/>
          <w:sz w:val="28"/>
          <w:sz w:val="28"/>
          <w:szCs w:val="28"/>
          <w:rtl w:val="true"/>
          <w:lang w:bidi="fa-IR"/>
        </w:rPr>
        <w:t xml:space="preserve">معنی خارجیّ، و هکذا فی ناحیة النذر، فإنّ الأدلّة و لو اقتضت بحسب الظاهر أنّ الوفاء واجب، إلاّ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مغفول عنه، فیکون المنذور متعلّق الأمر الإیجابیّ، و هکذا فی مثل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یشکل الأمر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الالتزام بکون الواجب هو العنوان الآخر العرضیّ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بأنّ الواجب و معروض الأمر الإیجابیّ هو ذات العبادة، غیر ممکن أیضا إلاّ بالتداخل، و نتیجة التداخل أن لا یحنث فی النذر بترک الصلاة الواجبة المنذورة؛ لأنّ الأمر النذریّ المندکّ لا أثر لمخالفته و هی الکفّارة، فإنّها فی الشرع علی الحنث فی النذر، و الحنث فی النذر، متقوّم بکون المنذور واجبا علیه بالوجوب الباقی علی حدّه، مع أنّه فی مثل المثال المزبور لا حدّ للوجوب الآتی من قبل الأمر النذریّ،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 المذهبین لا یخلوان من المناقشات؛ لا القول بأنّ متعلّق الأمر الإیجابیّ نفس المنذور، و لا القول بأنّ المتعلّق عنوان آخر؛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ستجی‌ء بعض الإشکالات الاخر المتوجّهة إلی مقالة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التفصیل بین الحجّ المستأجر علیه، و بین الصلاة المنذورة؛ بأنّ الأمر الإجاریّ لا یتعلّق بعین ما تعلّق به الأمر الاستحبابیّ، بخلاف الأمر النذریّ، فإنّه یتعلّق بعین ما تعلّق به الأمر الاستحبابیّ، فإنّ الأمر الاستحبابیّ تعلّق بذات العبادة، و الأمر الإجاریّ تعلّق بالعبادة عن الغیر المأمور بها، و الأمر النذریّ تعلّق أیضا بذات العبادة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أفحش فسادا؛ ضرورة أنّ الأمر الاستحبابیّ لا یتعلّق بذات العبادة، بل</w:t>
      </w:r>
    </w:p>
    <w:p>
      <w:pPr>
        <w:pStyle w:val="BookText"/>
        <w:rPr/>
      </w:pPr>
      <w:r>
        <w:rPr>
          <w:rFonts w:ascii="IRNazanin" w:hAnsi="IRNazanin" w:eastAsia="IRNazanin"/>
          <w:color w:val="111111"/>
          <w:sz w:val="28"/>
          <w:sz w:val="28"/>
          <w:szCs w:val="28"/>
          <w:rtl w:val="true"/>
          <w:lang w:bidi="fa-IR"/>
        </w:rPr>
        <w:t xml:space="preserve">متعلّقه الطبیعة المقیّدة بإتیانها بعنوان أمرها مثلاً؛ و ذلک لما تحرّر فی محلّه </w:t>
      </w:r>
      <w:r>
        <w:rPr>
          <w:rStyle w:val="FootnoteAnchor"/>
          <w:rtl w:val="true"/>
        </w:rPr>
        <w:footnoteReference w:id="571"/>
      </w:r>
      <w:r>
        <w:rPr>
          <w:rFonts w:ascii="IRNazanin" w:hAnsi="IRNazanin" w:eastAsia="IRNazanin"/>
          <w:color w:val="111111"/>
          <w:sz w:val="28"/>
          <w:sz w:val="28"/>
          <w:szCs w:val="28"/>
          <w:rtl w:val="true"/>
          <w:lang w:bidi="fa-IR"/>
        </w:rPr>
        <w:t xml:space="preserve">و مضی الإیماء إلیه </w:t>
      </w:r>
      <w:r>
        <w:rPr>
          <w:rStyle w:val="FootnoteAnchor"/>
          <w:rtl w:val="true"/>
        </w:rPr>
        <w:footnoteReference w:id="572"/>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النذریّ أیضا تعلّق بالصلاة المأمور بها، فلا یتم التفصیل المتراءی من کلمات العلامة النائینی قدس سره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 فی المسألة بعد اللتیّا 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المحرّر عندنا فی محله بطلان الإجارة فی العبادات، و ما یثبت فیها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النیابة عن الغیر و عقد الاستنابة، و قضیّة العقد الاستنابیّ لزوم قصدها فی الحجّ؛ بناءً علی صحّة الاستنابة فیه، علی إشکال تفصیله فی کتاب الحجّ إن شاء اللَّه تعالی فما أوجبه الشرع هو قصد الاستنابة، و إذا قصد الاستنابة فلا یکون هناک عندئذِ أمر استحبابیّ إلاّ أمر المنوب عنه و الحجّ المنوب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مثل الحجّ و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الصلاة المنذورة، فالذی اخترناه بعد التفصیل الکثیر فی 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الشرع لا یأمر أمراً إیجابیّاً بشی‌ء، بل المنذورة بعد النذر باقیة علی حالها و لونها؛ وجوبیّاً کان أو ندبیّاً، عبادیّاً کان أو توصّلیاً، و لکن العقل و العقلاء یقبّحون التخلّف عن المعاهدة التی أوقعها بینه و بین ربّه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التخلّف عن هذه المعاهدة یوجب الحنث المورث للکفّارة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المتخلّف یستحقّ التقبیح العقلائیّ، و العقاب الشرعیّ؛ لأجل ذلک التقبیح، لأنّ الشرع أیضا ساعدهم علی ذلک، بخلاف سائر المقبّحات</w:t>
      </w:r>
    </w:p>
    <w:p>
      <w:pPr>
        <w:pStyle w:val="BookText"/>
        <w:rPr/>
      </w:pPr>
      <w:r>
        <w:rPr>
          <w:rFonts w:ascii="IRNazanin" w:hAnsi="IRNazanin" w:eastAsia="IRNazanin"/>
          <w:color w:val="111111"/>
          <w:sz w:val="28"/>
          <w:sz w:val="28"/>
          <w:szCs w:val="28"/>
          <w:rtl w:val="true"/>
          <w:lang w:bidi="fa-IR"/>
        </w:rPr>
        <w:t>العقلائیّة، و إذا کان الأمر کذلک فیجب بحکم العقل التحرّز من ذلک، کما فی موارد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عبادیّة العبادة إن کانت منحصرة بإتیانها بقصد الأمر المتعلّق بها، فلا یمکن حلّ المشکلة؛ لا علی مذهبه المشهور فی باب النذر</w:t>
      </w:r>
      <w:r>
        <w:rPr>
          <w:rStyle w:val="FootnoteAnchor"/>
          <w:rtl w:val="true"/>
        </w:rPr>
        <w:footnoteReference w:id="575"/>
      </w:r>
      <w:r>
        <w:rPr>
          <w:rFonts w:ascii="Amiri" w:hAnsi="Amiri" w:eastAsia="Amiri" w:cs="Amiri"/>
          <w:color w:val="111111"/>
          <w:sz w:val="28"/>
          <w:sz w:val="28"/>
          <w:szCs w:val="28"/>
          <w:rtl w:val="true"/>
          <w:lang w:bidi="ar-SA"/>
        </w:rPr>
        <w:t>، و لا علی مذهب السیّد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لأنّ علی الأوّل یکون متعلّق النذر الصلاة اللیلیّة المأمور بها بالأمر الندبیّ، و لا یعقل الانبعاث عن هذا الأمر الندبیّ إلاّ بالانبعاث عن الأمر الإیجابیّ النذریّ، فإذا انبعث عنه فلا یکون الانبعاث نحو الصلاة بأمرها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متعلّق الأمر النذریّ هو الوفاء، و الانبعاث عن هذا الأمر أیضا لا یجتمع مع الانبعاث عن الأمر الندبیّ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عبادیّة العبادة غیر منحصرة بذلک، و یکون الأمر کاشفاً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القید المأخوذ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صحّة التعبّد بالمأمور به، فیصحّ کلّ من المذهبین و الرأیین ثبوتاً، و تکون النتیجة حسب مقام الإثبات، هی الرّأی الثانی و مبنی الوالد؛ لأنّه الأوفق بالظواهر فی المقام، و اللَّه ولی الأمر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المشهور أیضا لا یخلو من بعض المناقشات السابقة، و منها عدم تصوّر الحنث؛ لأنّ الأمر الآتی من قبل النذر، یکون مؤکّداً للأمر السابق المتعلّق بالمنذور من غیر أن یستتبع شیئاً؛ حتّی یحنث فی النذر، و یحتاج إلی الکفّارة، بخلاف مسلکه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تصحیح العبادة المنذورة، لا یمکن بأمرها بعد النذر إذا کان</w:t>
      </w:r>
      <w:bookmarkStart w:id="444" w:name="pg13163_143136"/>
    </w:p>
    <w:p>
      <w:pPr>
        <w:pStyle w:val="BookText"/>
        <w:rPr/>
      </w:pPr>
      <w:bookmarkEnd w:id="444"/>
      <w:r>
        <w:rPr>
          <w:rFonts w:ascii="IRNazanin" w:hAnsi="IRNazanin" w:eastAsia="IRNazanin"/>
          <w:color w:val="111111"/>
          <w:sz w:val="28"/>
          <w:sz w:val="28"/>
          <w:szCs w:val="28"/>
          <w:rtl w:val="true"/>
          <w:lang w:bidi="fa-IR"/>
        </w:rPr>
        <w:t>الأمر النذریّ باعثاً، و تصحیحها علی الوجه المشار إلیه، منوط بأن یکون القید المأخوذ فی متعلّق أمرها عنواناً کلیّاً، مثل أن یأمر المولی بأن تؤتی الصلاة عبادة، کما یأمر بأن یؤتی بها مع الستر و الطهور، فإنّه عندئذٍ تکون ما به عبادیّة العبادة تحت اختیار العبد؛ من قصد أمرها، أو غیر ذلک، أو یکون القید 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عواناً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لإلغاء الخصوصیّة عرفاً؛ حتّی یتمکّن العبد الناذر من إتیان المنذور عبادة، من غیر أن تتوقّف العبادیّة علی قصد أمرها، فلیتدبّر جیّداً</w:t>
      </w:r>
      <w:r>
        <w:rPr>
          <w:rFonts w:eastAsia="IRNazanin" w:cs="IRNazanin"/>
          <w:color w:val="111111"/>
          <w:sz w:val="28"/>
          <w:szCs w:val="28"/>
          <w:rtl w:val="true"/>
          <w:lang w:bidi="fa-IR"/>
        </w:rPr>
        <w:t>.</w:t>
      </w:r>
    </w:p>
    <w:p>
      <w:pPr>
        <w:pStyle w:val="Heading5"/>
        <w:numPr>
          <w:ilvl w:val="4"/>
          <w:numId w:val="1"/>
        </w:numPr>
        <w:rPr/>
      </w:pPr>
      <w:bookmarkStart w:id="445" w:name="__RefHeading___Toc533899_3244359995"/>
      <w:bookmarkStart w:id="446" w:name="_Toc167"/>
      <w:bookmarkEnd w:id="445"/>
      <w:r>
        <w:rPr>
          <w:rtl w:val="true"/>
        </w:rPr>
        <w:t>التنبیه السادس فی حکم المضطرّ إلی المحرّم و حکم المتوسّط فی الأرض المغصوبة</w:t>
      </w:r>
      <w:bookmarkEnd w:id="446"/>
    </w:p>
    <w:p>
      <w:pPr>
        <w:pStyle w:val="Heading6"/>
        <w:numPr>
          <w:ilvl w:val="5"/>
          <w:numId w:val="1"/>
        </w:numPr>
        <w:rPr/>
      </w:pPr>
      <w:bookmarkStart w:id="447" w:name="__RefHeading___Toc533901_3244359995"/>
      <w:bookmarkStart w:id="448" w:name="_Toc168"/>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و قبل الخوض فی أصل البحث لا بدّ من التنبیه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وجه البحث عن هذه المسألة فی ذیل هذا البحث الکلّی؛ و مسألة الاجتماع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المحرّر فی البحوث السابقة، اتفاق الکلّ علی عدم جواز اجتماع الأمر و النهی مع کون متعلّقهما واحداً</w:t>
      </w:r>
      <w:r>
        <w:rPr>
          <w:rStyle w:val="FootnoteAnchor"/>
          <w:rtl w:val="true"/>
        </w:rPr>
        <w:footnoteReference w:id="577"/>
      </w:r>
      <w:r>
        <w:rPr>
          <w:rFonts w:ascii="IRNazanin" w:hAnsi="IRNazanin" w:eastAsia="IRNazanin"/>
          <w:color w:val="111111"/>
          <w:sz w:val="28"/>
          <w:sz w:val="28"/>
          <w:szCs w:val="28"/>
          <w:rtl w:val="true"/>
          <w:lang w:bidi="fa-IR"/>
        </w:rPr>
        <w:t>، مع أنّه یلزم اجتماع الأمر و النهی فی المتوسّط فی الأرض المغصوبة؛ إذا کان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اضطرّ إلی أکل المحرّم، و کان سبب الاضطرار سوء الاختیار، فلأجل هذه العویصة عنونوا هذه المسألة حتّی یتّضح حکمها، و تتبیّن حقیقة الأمر فیها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الاستلزام واضح؛ ضرورة أنّ من دخل فی أرض الغیر بلا إذنه، یکون</w:t>
      </w:r>
    </w:p>
    <w:p>
      <w:pPr>
        <w:pStyle w:val="BookText"/>
        <w:rPr/>
      </w:pPr>
      <w:r>
        <w:rPr>
          <w:rFonts w:ascii="IRNazanin" w:hAnsi="IRNazanin" w:eastAsia="IRNazanin"/>
          <w:color w:val="111111"/>
          <w:sz w:val="28"/>
          <w:sz w:val="28"/>
          <w:szCs w:val="28"/>
          <w:rtl w:val="true"/>
          <w:lang w:bidi="fa-IR"/>
        </w:rPr>
        <w:t>دخوله من التصرّف المحرّم، و إذا أراد الخروج و اشتغل به، یکون خروجه من التصرّف فی مال الغیر، فیکون حراماً، و یکون هو أیضا واجباً إمّا بالوجوب الغیریّ المقدّمی؛ لأنّه مقدّمة لردّ مال الغیر و للتخلّص من التصرّف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بالوجوب النفسیّ؛ لأنّ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الغصب کلّه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Style w:val="FootnoteAnchor"/>
          <w:rtl w:val="true"/>
        </w:rPr>
        <w:footnoteReference w:id="578"/>
      </w:r>
      <w:r>
        <w:rPr>
          <w:rFonts w:ascii="IRNazanin" w:hAnsi="IRNazanin" w:eastAsia="IRNazanin"/>
          <w:color w:val="111111"/>
          <w:sz w:val="28"/>
          <w:sz w:val="28"/>
          <w:szCs w:val="28"/>
          <w:rtl w:val="true"/>
          <w:lang w:bidi="fa-IR"/>
        </w:rPr>
        <w:t>، فعلی هذا یکون التصرّف الخروجیّ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 و واجباً، و هذا ممّا لا یکاد أن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إنکار الوجوب المقدّمی </w:t>
      </w:r>
      <w:r>
        <w:rPr>
          <w:rStyle w:val="FootnoteAnchor"/>
          <w:rtl w:val="true"/>
        </w:rPr>
        <w:footnoteReference w:id="579"/>
      </w:r>
      <w:r>
        <w:rPr>
          <w:rFonts w:ascii="Amiri" w:hAnsi="Amiri" w:eastAsia="Amiri" w:cs="Amiri"/>
          <w:color w:val="111111"/>
          <w:sz w:val="28"/>
          <w:sz w:val="28"/>
          <w:szCs w:val="28"/>
          <w:rtl w:val="true"/>
          <w:lang w:bidi="ar-SA"/>
        </w:rPr>
        <w:t xml:space="preserve">، فی محلّه، إلاّ أنّ إنکار الوجوب النفسیّ </w:t>
      </w:r>
      <w:r>
        <w:rPr>
          <w:rStyle w:val="FootnoteAnchor"/>
          <w:rtl w:val="true"/>
        </w:rPr>
        <w:footnoteReference w:id="580"/>
      </w:r>
      <w:r>
        <w:rPr>
          <w:rFonts w:ascii="IRNazanin" w:hAnsi="IRNazanin" w:eastAsia="IRNazanin"/>
          <w:color w:val="111111"/>
          <w:sz w:val="28"/>
          <w:sz w:val="28"/>
          <w:szCs w:val="28"/>
          <w:rtl w:val="true"/>
          <w:lang w:bidi="fa-IR"/>
        </w:rPr>
        <w:t xml:space="preserve">غیر صحیح ظاهراً؛ لأنّ المراد من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الفراغ من الغصب المحرّم، و إلاّ یلزم أن یکون الغاصب فارغ البال إذا غصب المغصوب غاصب آخر، مع أنّه یجب علیه ردّ مال الغیر إلی صاحبه، و مع أنّه خلاف ظاهر الروایة، و لعلّه مورد 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بخلاف سائر العناوین،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لا یقوم علی وجوبه الدلیل الشرعیّ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البحث عن هذه المسألة أمر آخر؛ و هو أنّ من المحرّر فی محلّه اعتبار المندوحة فی صحّة النزاع المزبور</w:t>
      </w:r>
      <w:r>
        <w:rPr>
          <w:rStyle w:val="FootnoteAnchor"/>
          <w:rtl w:val="true"/>
        </w:rPr>
        <w:footnoteReference w:id="581"/>
      </w:r>
      <w:r>
        <w:rPr>
          <w:rFonts w:ascii="IRNazanin" w:hAnsi="IRNazanin" w:eastAsia="IRNazanin"/>
          <w:color w:val="111111"/>
          <w:sz w:val="28"/>
          <w:sz w:val="28"/>
          <w:szCs w:val="28"/>
          <w:rtl w:val="true"/>
          <w:lang w:bidi="fa-IR"/>
        </w:rPr>
        <w:t>، و أنّ الصلاة مع المندوحة تصحّ علی الاجتماع، و بقی الکلام حول ما إذا انتفت المندوحة؛ و أنّه هل تصحّ أم لا</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w:t>
      </w:r>
      <w:bookmarkStart w:id="449" w:name="pg13163_143138"/>
    </w:p>
    <w:p>
      <w:pPr>
        <w:pStyle w:val="BookText"/>
        <w:rPr/>
      </w:pPr>
      <w:bookmarkEnd w:id="44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من حدیث المندوحة هذا</w:t>
      </w:r>
      <w:r>
        <w:rPr>
          <w:rStyle w:val="FootnoteAnchor"/>
          <w:rtl w:val="true"/>
        </w:rPr>
        <w:footnoteReference w:id="583"/>
      </w:r>
      <w:r>
        <w:rPr>
          <w:rFonts w:ascii="IRNazanin" w:hAnsi="IRNazanin" w:eastAsia="IRNazanin"/>
          <w:color w:val="111111"/>
          <w:sz w:val="28"/>
          <w:sz w:val="28"/>
          <w:szCs w:val="28"/>
          <w:rtl w:val="true"/>
          <w:lang w:bidi="fa-IR"/>
        </w:rPr>
        <w:t>، و أنّ بحث الأعلام هنا حول الحکم التکلیفیّ أوّلاً و بالذات، ثمّ أدرج بعضهم حدیث الحکم الوضعیّ، فلا یکون وجه المناسبة إلاّ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سقوط البحث هنا من صورة الدخول فی المغصوبة لا بسوء الاختیار، فإنّه خارج عن محطّ کلام الأصحاب، و أدلّتهم </w:t>
      </w:r>
      <w:r>
        <w:rPr>
          <w:rStyle w:val="FootnoteAnchor"/>
          <w:rtl w:val="true"/>
        </w:rPr>
        <w:footnoteReference w:id="584"/>
      </w:r>
      <w:r>
        <w:rPr>
          <w:rFonts w:ascii="IRNazanin" w:hAnsi="IRNazanin" w:eastAsia="IRNazanin"/>
          <w:color w:val="111111"/>
          <w:sz w:val="28"/>
          <w:sz w:val="28"/>
          <w:szCs w:val="28"/>
          <w:rtl w:val="true"/>
          <w:lang w:bidi="fa-IR"/>
        </w:rPr>
        <w:t>تشهد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فالکلام فی المقام 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صحّة الصلاة و فسادها حال الخروج عن تلک الأرض المغصوبة</w:t>
      </w:r>
      <w:r>
        <w:rPr>
          <w:rFonts w:eastAsia="IRNazanin" w:cs="IRNazanin"/>
          <w:color w:val="111111"/>
          <w:sz w:val="28"/>
          <w:szCs w:val="28"/>
          <w:rtl w:val="true"/>
          <w:lang w:bidi="fa-IR"/>
        </w:rPr>
        <w:t>.</w:t>
      </w:r>
    </w:p>
    <w:p>
      <w:pPr>
        <w:pStyle w:val="Heading6"/>
        <w:numPr>
          <w:ilvl w:val="5"/>
          <w:numId w:val="1"/>
        </w:numPr>
        <w:rPr/>
      </w:pPr>
      <w:bookmarkStart w:id="450" w:name="__RefHeading___Toc533903_3244359995"/>
      <w:bookmarkStart w:id="451" w:name="_Toc169"/>
      <w:bookmarkEnd w:id="450"/>
      <w:r>
        <w:rPr>
          <w:rtl w:val="true"/>
        </w:rPr>
        <w:t>بیان الحکم التکلیفی للمتوسّط</w:t>
      </w:r>
      <w:bookmarkEnd w:id="451"/>
    </w:p>
    <w:p>
      <w:pPr>
        <w:pStyle w:val="Heading6"/>
        <w:numPr>
          <w:ilvl w:val="5"/>
          <w:numId w:val="1"/>
        </w:numPr>
        <w:rPr/>
      </w:pPr>
      <w:bookmarkStart w:id="452" w:name="__RefHeading___Toc533905_3244359995"/>
      <w:bookmarkStart w:id="453" w:name="_Toc170"/>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 xml:space="preserve">أمّا الجهة الأُولی فلا کلام هنا فی ناحیة الوجوب؛ و إمکان 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شرعاً نفسیّاً أو غیریّاً إلاّ علی القول بامتناع الوجوب الغیریّ؛ علی الوجه المحرّر فی محلّه </w:t>
      </w:r>
      <w:r>
        <w:rPr>
          <w:rStyle w:val="FootnoteAnchor"/>
          <w:rtl w:val="true"/>
        </w:rPr>
        <w:footnoteReference w:id="585"/>
      </w:r>
      <w:r>
        <w:rPr>
          <w:rFonts w:ascii="IRNazanin" w:hAnsi="IRNazanin" w:eastAsia="IRNazanin"/>
          <w:color w:val="111111"/>
          <w:sz w:val="28"/>
          <w:sz w:val="28"/>
          <w:szCs w:val="28"/>
          <w:rtl w:val="true"/>
          <w:lang w:bidi="fa-IR"/>
        </w:rPr>
        <w:t>، و أمّا هنا فلا یختص بوجه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مثل الشیخ الأنصاریّ، علی ما نسب إلیه فی تقریرات جدّی العلاّمة قدس سرهما و تبعهما العلاّمة النائینیّ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الخروج واجب شرعاً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فهو بلا وجه؛ لقصور الأدلّة الشرعیّة عن إثبات وجوب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الأقوال الآتیة إذا کانت ترجع إلی إنکار الوجوب علی الإطلاق، أو إثبات وجوب بعض العناوین المشار إلیها، فهی أیضا غیر ما مرّ و مخدوشة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ناحیة الحرمة؛ و أنّه هل یمکن الالتزام بحرمة التصرّف الخروجیّ، و حرمة أکل المیتة؛ إذا کان یضطرّ إلیه و لو کان بسوء الاختیار، أم لا؟</w:t>
      </w:r>
    </w:p>
    <w:p>
      <w:pPr>
        <w:pStyle w:val="BookText"/>
        <w:rPr/>
      </w:pPr>
      <w:r>
        <w:rPr>
          <w:rFonts w:ascii="IRNazanin" w:hAnsi="IRNazanin" w:eastAsia="IRNazanin"/>
          <w:color w:val="111111"/>
          <w:sz w:val="28"/>
          <w:sz w:val="28"/>
          <w:szCs w:val="28"/>
          <w:rtl w:val="true"/>
          <w:lang w:bidi="fa-IR"/>
        </w:rPr>
        <w:t>و الّذی هو أساس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التحریم یتوقّف علی القدرة علی الامتثال، و إذا کانت هی منتفیة و لو بالاختیار فلا یعقل التحریم و الزجر، کما فی ناحیة الأمر و البعث، فإذا کان مضطرّاً عقلاً إلی الخروج، فکیف یعقل الزجر عن التصرّف الخروجیّ؛ و المنع عن التصرّف، مع أنّ الفراغ و التخلیة بین المغصوب و مالکه، بالخروج و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یتمکّن المولی الملتفت إلی هذه النکتة من ترشیح الإرادة الجدّیة الزاجرة المتوجّهة إلی العبد المبتلی بذلک و لو کان بسوء الاختیار، کما هو مفروض الکلام، و محلّ النزاع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اختلفوا فی هذه الناحیة اختلافاً شدیداً یبلغ أقوالهم إلی الخمسة، أو الستّة؛ فمن قائل یدّعی الحرمة و الوجوب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قائل یدّعی الحرمة دون الوجوب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ثالث یعکس الأمر</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رابع یختار عدم الوجوب و الحرمة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خامس ینکر الوجوب و الحرمة، و یقول بصحّة العقوبة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سادس یفصّل بین ما إذا کان قصده حال الخروج إفراغ مال الغیر و ردّه فیکون حسناً، و لا یستحقّ العقوبة، و ما إذا لم یکن قصده ذلک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کلّ واحد ذهب عین من أعیان الطائفة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 إمکان الالتزام بالحرمة و الوجوب؛ حسب القواعد الأوّلیة، و الأدلّة الواقعیّة الأوّلیة، و إمکان رفع الحرمة؛ حسب الأدلّة الواقعیّة الثانویّة، فیبقی الوجوب علی عنوانه ثابتاً، دون الحرمة، و سیظهر بتفصیل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غیر فرق بین کون الدخول و الابتلاء بالمحرّم بسوء الاختیار، أم کان لا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إذا لم یکن بسوء الاختیار، لا یخرج عن موضوع الأدلّة حسب الواقع؛ فإنّها تمنع عن التصرّف فی مال الغیر؛ عالماً کان أو جاهلاً، و توجب ردّ مال الغیر؛ عالماً کان أو غافلاً، فلو ابتلی بأکل المیتة، أو بالخروج من الأرض المغصوبة لا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فأدلّة حرمة 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إطلاقها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تمنعه عنه، و هکذا أدلّة حرمة التصرّف فی مال الغیر، و أدلّة وجوب حفظ النّفس و ردّ مال الغیر تبعثه إلیهما؛ لاشتراک الکلّ فی الأحکام الإلهیّة القانونیّة الکلّیة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لم یکن بسوء الاختیار، و کان هناک إیجاب شرعیّ لارتکاب ما یؤدّی إلیه، فهو کلام آخر مرّ فی بحوث مقدّمة الواجب </w:t>
      </w:r>
      <w:r>
        <w:rPr>
          <w:rStyle w:val="FootnoteAnchor"/>
          <w:rtl w:val="true"/>
        </w:rPr>
        <w:footnoteReference w:id="592"/>
      </w:r>
      <w:r>
        <w:rPr>
          <w:rFonts w:ascii="IRNazanin" w:hAnsi="IRNazanin" w:eastAsia="IRNazanin"/>
          <w:color w:val="111111"/>
          <w:sz w:val="28"/>
          <w:sz w:val="28"/>
          <w:szCs w:val="28"/>
          <w:rtl w:val="true"/>
          <w:lang w:bidi="fa-IR"/>
        </w:rPr>
        <w:t>و فی مسألة الضدّ</w:t>
      </w:r>
      <w:r>
        <w:rPr>
          <w:rStyle w:val="FootnoteAnchor"/>
          <w:rtl w:val="true"/>
        </w:rPr>
        <w:footnoteReference w:id="593"/>
      </w:r>
      <w:r>
        <w:rPr>
          <w:rFonts w:ascii="IRNazanin" w:hAnsi="IRNazanin" w:eastAsia="IRNazanin"/>
          <w:color w:val="111111"/>
          <w:sz w:val="28"/>
          <w:sz w:val="28"/>
          <w:szCs w:val="28"/>
          <w:rtl w:val="true"/>
          <w:lang w:bidi="fa-IR"/>
        </w:rPr>
        <w:t xml:space="preserve">، و یصیر داخلاً فی بحث التزاحم حسب التحقیق الّذی عرفت منّا فی محلّه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454" w:name="pg13163_143141"/>
    </w:p>
    <w:p>
      <w:pPr>
        <w:pStyle w:val="BookText"/>
        <w:rPr/>
      </w:pPr>
      <w:bookmarkEnd w:id="454"/>
      <w:r>
        <w:rPr>
          <w:rFonts w:ascii="IRNazanin" w:hAnsi="IRNazanin" w:eastAsia="IRNazanin"/>
          <w:color w:val="111111"/>
          <w:sz w:val="28"/>
          <w:sz w:val="28"/>
          <w:szCs w:val="28"/>
          <w:rtl w:val="true"/>
          <w:lang w:bidi="fa-IR"/>
        </w:rPr>
        <w:t>و قد أطال الأصحاب بعضهم فی المقام بذکر صور المسألة و بعض فروعها؛ ممّا لا دخل له فی جوهر البحث و أساس الإشکال و الشبهة، فلا تغفل، و لا تغترّ</w:t>
      </w:r>
      <w:r>
        <w:rPr>
          <w:rFonts w:eastAsia="IRNazanin" w:cs="IRNazanin"/>
          <w:color w:val="111111"/>
          <w:sz w:val="28"/>
          <w:szCs w:val="28"/>
          <w:rtl w:val="true"/>
          <w:lang w:bidi="fa-IR"/>
        </w:rPr>
        <w:t>.</w:t>
      </w:r>
    </w:p>
    <w:p>
      <w:pPr>
        <w:pStyle w:val="Heading6"/>
        <w:numPr>
          <w:ilvl w:val="5"/>
          <w:numId w:val="1"/>
        </w:numPr>
        <w:rPr/>
      </w:pPr>
      <w:bookmarkStart w:id="455" w:name="__RefHeading___Toc533907_3244359995"/>
      <w:bookmarkStart w:id="456" w:name="_Toc171"/>
      <w:bookmarkEnd w:id="455"/>
      <w:r>
        <w:rPr>
          <w:rtl w:val="true"/>
        </w:rPr>
        <w:t>الدعاوی الثلاث التی یتوقّف علیها بیان الحکم التکلیفی</w:t>
      </w:r>
      <w:bookmarkEnd w:id="456"/>
    </w:p>
    <w:p>
      <w:pPr>
        <w:pStyle w:val="Heading6"/>
        <w:numPr>
          <w:ilvl w:val="5"/>
          <w:numId w:val="1"/>
        </w:numPr>
        <w:rPr/>
      </w:pPr>
      <w:bookmarkStart w:id="457" w:name="__RefHeading___Toc533909_3244359995"/>
      <w:bookmarkStart w:id="458" w:name="_Toc172"/>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إذا تبیّن ذلک فلنعد إلی بیان ما هو التحقیق فی المسألة، فهنا دعاو ثلاث</w:t>
      </w:r>
      <w:r>
        <w:rPr>
          <w:rFonts w:eastAsia="IRNazanin" w:cs="IRNazanin"/>
          <w:color w:val="111111"/>
          <w:sz w:val="28"/>
          <w:szCs w:val="28"/>
          <w:rtl w:val="true"/>
          <w:lang w:bidi="fa-IR"/>
        </w:rPr>
        <w:t>:</w:t>
      </w:r>
    </w:p>
    <w:p>
      <w:pPr>
        <w:pStyle w:val="Heading6"/>
        <w:numPr>
          <w:ilvl w:val="5"/>
          <w:numId w:val="1"/>
        </w:numPr>
        <w:rPr/>
      </w:pPr>
      <w:bookmarkStart w:id="459" w:name="__RefHeading___Toc533911_3244359995"/>
      <w:bookmarkStart w:id="460" w:name="_Toc173"/>
      <w:bookmarkEnd w:id="459"/>
      <w:r>
        <w:rPr>
          <w:rtl w:val="true"/>
        </w:rPr>
        <w:t>الدعوی الأُولی</w:t>
      </w:r>
      <w:r>
        <w:rPr>
          <w:rtl w:val="true"/>
        </w:rPr>
        <w:t>:</w:t>
      </w:r>
      <w:bookmarkEnd w:id="460"/>
    </w:p>
    <w:p>
      <w:pPr>
        <w:pStyle w:val="Heading6"/>
        <w:numPr>
          <w:ilvl w:val="5"/>
          <w:numId w:val="1"/>
        </w:numPr>
        <w:rPr/>
      </w:pPr>
      <w:bookmarkStart w:id="461" w:name="__RefHeading___Toc533913_3244359995"/>
      <w:bookmarkStart w:id="462" w:name="_Toc174"/>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 xml:space="preserve">أنّ هنا حکماً إیجابیّاً، و هو المستفاد من دلیل وجوب ردّ مال الغیر، و متعلّقه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سبیل إلی إیجاب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و ترک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الإیماء إلی ذلک، و تبیّن سقوط کلام السیّد الأُستاذ 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إنکارهما وجوب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Style w:val="FootnoteAnchor"/>
          <w:rtl w:val="true"/>
        </w:rPr>
        <w:footnoteReference w:id="595"/>
      </w:r>
      <w:r>
        <w:rPr>
          <w:rFonts w:ascii="Amiri" w:hAnsi="Amiri" w:eastAsia="Amiri" w:cs="Amiri"/>
          <w:color w:val="111111"/>
          <w:sz w:val="28"/>
          <w:sz w:val="28"/>
          <w:szCs w:val="28"/>
          <w:rtl w:val="true"/>
          <w:lang w:bidi="ar-SA"/>
        </w:rPr>
        <w:t xml:space="preserve">و تبیّن أنّ ما هو الواجب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التصرّف؛ فإنّه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الردّ بالخروج و التصرّف</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الردّ بدونه، کما إذا کان المال المغصوب عند غاصب آخر أو شخص آخر، فألزمه الغاصب الأوّل بردّه إلی مالکه </w:t>
      </w:r>
      <w:r>
        <w:rPr>
          <w:rStyle w:val="FootnoteAnchor"/>
          <w:rtl w:val="true"/>
        </w:rPr>
        <w:footnoteReference w:id="596"/>
      </w:r>
      <w:r>
        <w:rPr>
          <w:rFonts w:ascii="IRNazanin" w:hAnsi="IRNazanin" w:eastAsia="IRNazanin"/>
          <w:color w:val="111111"/>
          <w:sz w:val="28"/>
          <w:sz w:val="28"/>
          <w:szCs w:val="28"/>
          <w:rtl w:val="true"/>
          <w:lang w:bidi="fa-IR"/>
        </w:rPr>
        <w:t xml:space="preserve">، فما هو معروض الوجوب 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 حتّی یصحّ النزاع المشاهد بین العلمین الأنصاریّ </w:t>
      </w:r>
      <w:r>
        <w:rPr>
          <w:rStyle w:val="FootnoteAnchor"/>
          <w:rtl w:val="true"/>
        </w:rPr>
        <w:footnoteReference w:id="597"/>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bookmarkStart w:id="463" w:name="pg13163_143142"/>
    </w:p>
    <w:p>
      <w:pPr>
        <w:pStyle w:val="Heading6"/>
        <w:numPr>
          <w:ilvl w:val="5"/>
          <w:numId w:val="1"/>
        </w:numPr>
        <w:rPr/>
      </w:pPr>
      <w:bookmarkStart w:id="464" w:name="__RefHeading___Toc533915_3244359995"/>
      <w:bookmarkStart w:id="465" w:name="_Toc175"/>
      <w:bookmarkEnd w:id="463"/>
      <w:bookmarkEnd w:id="464"/>
      <w:r>
        <w:rPr>
          <w:rtl w:val="true"/>
        </w:rPr>
        <w:t>بقی شی‌ء</w:t>
      </w:r>
      <w:r>
        <w:rPr>
          <w:rtl w:val="true"/>
        </w:rPr>
        <w:t xml:space="preserve">: </w:t>
      </w:r>
      <w:r>
        <w:rPr>
          <w:rtl w:val="true"/>
        </w:rPr>
        <w:t>فی بیان حکم المتوسّط الغاصب و غیر الغاصب</w:t>
      </w:r>
      <w:bookmarkEnd w:id="465"/>
    </w:p>
    <w:p>
      <w:pPr>
        <w:pStyle w:val="BookText"/>
        <w:rPr/>
      </w:pPr>
      <w:r>
        <w:rPr>
          <w:rFonts w:ascii="IRNazanin" w:hAnsi="IRNazanin" w:eastAsia="IRNazanin"/>
          <w:color w:val="111111"/>
          <w:sz w:val="28"/>
          <w:sz w:val="28"/>
          <w:szCs w:val="28"/>
          <w:rtl w:val="true"/>
          <w:lang w:bidi="fa-IR"/>
        </w:rPr>
        <w:t>إنّ الردّ یجب علی المتوسّط فی المغصوبة، فإذا کان هو الغاصب یکون نفس خروجه من الردّ عرفاً، و إذا اشتغل بالخروج فقد اشتغل بامتثال أمر الردّ، و لا إثم علیه من هذه الناحیة، بخلاف ما إذا بقی فیها، فإنّه آثم من هذه الناحیة أیضا؛ لترکه الواجب، و یکون الوجوب فی أمثال المقام من الفور فالفور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المتوسّط فیها غیر غاصب، و کان مثلاً دخوله فیها علی وجه الاختفاء؛ بحیث لا یکون من الغصب الشرعیّ و هو الاستیلاء علی مال الغیر عدواناً، فلا وجوب بالنسبة إلیه، و لا یجب علیه بشی‌ء، و لا یلزم اجتماع الواجب و الحرام رأساً حتّی یقع النزاع فی أنّ ما هو معروض الوجوب هو عین ما هو معروض الحرام أم لا، و یسقط النزاع، و ترتفع الغائلة من هذه الناحیة،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مطلق التصرّف من الغصب کما یظهر من جمع </w:t>
      </w:r>
      <w:r>
        <w:rPr>
          <w:rStyle w:val="FootnoteAnchor"/>
          <w:rtl w:val="true"/>
        </w:rPr>
        <w:footnoteReference w:id="599"/>
      </w:r>
      <w:r>
        <w:rPr>
          <w:rFonts w:ascii="Amiri" w:hAnsi="Amiri" w:eastAsia="Amiri" w:cs="Amiri"/>
          <w:color w:val="111111"/>
          <w:sz w:val="28"/>
          <w:sz w:val="28"/>
          <w:szCs w:val="28"/>
          <w:rtl w:val="true"/>
          <w:lang w:bidi="ar-SA"/>
        </w:rPr>
        <w:t>، فهو من الغلط المحرّر فی محلّه، و المدلل فیما مرّ منّا سالفاً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6" w:name="__RefHeading___Toc533917_3244359995"/>
      <w:bookmarkStart w:id="467" w:name="_Toc176"/>
      <w:bookmarkEnd w:id="466"/>
      <w:r>
        <w:rPr>
          <w:rtl w:val="true"/>
        </w:rPr>
        <w:t>ذنابة</w:t>
      </w:r>
      <w:r>
        <w:rPr>
          <w:rtl w:val="true"/>
        </w:rPr>
        <w:t xml:space="preserve">: </w:t>
      </w:r>
      <w:r>
        <w:rPr>
          <w:rtl w:val="true"/>
        </w:rPr>
        <w:t>فی توهّم عدم الوجوب النفسیّ للردّ و دفعه</w:t>
      </w:r>
      <w:bookmarkEnd w:id="46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مثل الاضطرار إلی أکل المیتة و شرب الخمر، یمکن الالتزام بوجوبهما؛ لأنّ الوجوب ینشأ من الملاک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حفظ النّفس، أو حرمة الانتحار و قتل النّفس، علی خلاف فیه، بخلاف ردّ مال الغیر فإنّه لا ملاک له بخصوصه، بل ملاکه هو ملاک حرمة الغصب و التصرّف فی مال الغیر، فلا یکون</w:t>
      </w:r>
      <w:bookmarkStart w:id="468" w:name="pg13163_143143"/>
    </w:p>
    <w:p>
      <w:pPr>
        <w:pStyle w:val="BookText"/>
        <w:rPr/>
      </w:pPr>
      <w:bookmarkEnd w:id="468"/>
      <w:r>
        <w:rPr>
          <w:rFonts w:ascii="IRNazanin" w:hAnsi="IRNazanin" w:eastAsia="IRNazanin"/>
          <w:color w:val="111111"/>
          <w:sz w:val="28"/>
          <w:sz w:val="28"/>
          <w:szCs w:val="28"/>
          <w:rtl w:val="true"/>
          <w:lang w:bidi="fa-IR"/>
        </w:rPr>
        <w:t>إیجاب شرعیّ فی المقام زائداً علی تحریم الغصب 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الغاصب بأشقّ الحال، ملاک إیجاب الردّ، و ملاک تضمین خسارة الردّ؛ علی ما تحرّر فی محلّه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الأحکام النفسیّة الشرعیّة لا یلازم تعدّد الملاکات و المصالح؛ فإنّ للمولی إیجابات متعدّدة متعلّقة بعناوین مختلفة و إن کان ذلک ناشئاً من الملاک الواحد؛ فإنّ اهتمامه بشأن ذلک الملاک ربّما یوقعه فی تصدّیه لإنشاء الأحکام الکثیرة، فإنّ الصلاة واجبة مستقلّة، و ترکها من المحرّمات الشرعیّة حسب الظواهر مع أنّ فی ترکها لا مصلحة، أو لا یعقل أن تکون مصلحة فیه، فلا تخلط</w:t>
      </w:r>
      <w:r>
        <w:rPr>
          <w:rFonts w:eastAsia="IRNazanin" w:cs="IRNazanin"/>
          <w:color w:val="111111"/>
          <w:sz w:val="28"/>
          <w:szCs w:val="28"/>
          <w:rtl w:val="true"/>
          <w:lang w:bidi="fa-IR"/>
        </w:rPr>
        <w:t>.</w:t>
      </w:r>
    </w:p>
    <w:p>
      <w:pPr>
        <w:pStyle w:val="Heading6"/>
        <w:numPr>
          <w:ilvl w:val="5"/>
          <w:numId w:val="1"/>
        </w:numPr>
        <w:rPr/>
      </w:pPr>
      <w:bookmarkStart w:id="469" w:name="__RefHeading___Toc533919_3244359995"/>
      <w:bookmarkStart w:id="470" w:name="_Toc177"/>
      <w:bookmarkEnd w:id="469"/>
      <w:r>
        <w:rPr>
          <w:rtl w:val="true"/>
        </w:rPr>
        <w:t>تنبیه</w:t>
      </w:r>
      <w:r>
        <w:rPr>
          <w:rtl w:val="true"/>
        </w:rPr>
        <w:t xml:space="preserve">: </w:t>
      </w:r>
      <w:r>
        <w:rPr>
          <w:rtl w:val="true"/>
        </w:rPr>
        <w:t>فی توهّم عدم وجوب الردّ إن کان بجهالة و لا بسوء الاختیار</w:t>
      </w:r>
      <w:bookmarkEnd w:id="470"/>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الغصب إذا کان لا بسوء الاختیار، و کان عن جهالة، لا یجب الردّ علی المتوسّط فی الأرض المغصوبة، فلا وجوب إلاّ فی صورة الغصب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وجوب الردّ لا یقصر عن شموله بعد التوجّه إلی أنّه فی الأرض المغصوبة، و یکون الغصب محرّماً، فإنّه بالنسبة إلی حرمة الغصب فی عذر الجهالة و أمّا بالنسبة إلی وجوب الردّ لا یکون فی عذر، و لا انصراف فی دلیله، فیکون هناک وجوب الردّ قطعاً، کما إذا غصب مال الغیر، و أعطاه من آخر، ثمّ تبیّن له أنّ الغصب حرام، و الردّ واجب، فإنّه یجب علیه الردّ و إن کان معذوراً فی ارتکابه الغصب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فإنکار وجوب الردّ فی الضعف، کإثبات وجوب التخلّص، و وجوب ترک الغصب،</w:t>
      </w:r>
      <w:bookmarkStart w:id="471" w:name="pg13163_143144"/>
    </w:p>
    <w:p>
      <w:pPr>
        <w:pStyle w:val="BookText"/>
        <w:rPr/>
      </w:pPr>
      <w:bookmarkEnd w:id="471"/>
      <w:r>
        <w:rPr>
          <w:rFonts w:ascii="IRNazanin" w:hAnsi="IRNazanin" w:eastAsia="IRNazanin"/>
          <w:color w:val="111111"/>
          <w:sz w:val="28"/>
          <w:sz w:val="28"/>
          <w:szCs w:val="28"/>
          <w:rtl w:val="true"/>
          <w:lang w:bidi="fa-IR"/>
        </w:rPr>
        <w:t>و وجوب الخروج، و غیر ذلک من العناوین الدائرة فی کلمات القوم فی المقام</w:t>
      </w:r>
      <w:r>
        <w:rPr>
          <w:rFonts w:eastAsia="IRNazanin" w:cs="IRNazanin"/>
          <w:color w:val="111111"/>
          <w:sz w:val="28"/>
          <w:szCs w:val="28"/>
          <w:rtl w:val="true"/>
          <w:lang w:bidi="fa-IR"/>
        </w:rPr>
        <w:t>.</w:t>
      </w:r>
    </w:p>
    <w:p>
      <w:pPr>
        <w:pStyle w:val="Heading6"/>
        <w:numPr>
          <w:ilvl w:val="5"/>
          <w:numId w:val="1"/>
        </w:numPr>
        <w:rPr/>
      </w:pPr>
      <w:bookmarkStart w:id="472" w:name="__RefHeading___Toc533921_3244359995"/>
      <w:bookmarkStart w:id="473" w:name="_Toc178"/>
      <w:bookmarkEnd w:id="472"/>
      <w:r>
        <w:rPr>
          <w:rtl w:val="true"/>
        </w:rPr>
        <w:t>إفادة</w:t>
      </w:r>
      <w:r>
        <w:rPr>
          <w:rtl w:val="true"/>
        </w:rPr>
        <w:t xml:space="preserve">: </w:t>
      </w:r>
      <w:r>
        <w:rPr>
          <w:rtl w:val="true"/>
        </w:rPr>
        <w:t xml:space="preserve">حول تصویر وجوب عنوان </w:t>
      </w:r>
      <w:r>
        <w:rPr>
          <w:rtl w:val="true"/>
        </w:rPr>
        <w:t>«</w:t>
      </w:r>
      <w:r>
        <w:rPr>
          <w:rtl w:val="true"/>
        </w:rPr>
        <w:t>الخروج</w:t>
      </w:r>
      <w:r>
        <w:rPr>
          <w:rtl w:val="true"/>
        </w:rPr>
        <w:t>»</w:t>
      </w:r>
      <w:bookmarkEnd w:id="473"/>
    </w:p>
    <w:p>
      <w:pPr>
        <w:pStyle w:val="BookText"/>
        <w:rPr/>
      </w:pPr>
      <w:r>
        <w:rPr>
          <w:rFonts w:ascii="IRNazanin" w:hAnsi="IRNazanin" w:eastAsia="IRNazanin"/>
          <w:color w:val="111111"/>
          <w:sz w:val="28"/>
          <w:sz w:val="28"/>
          <w:szCs w:val="28"/>
          <w:rtl w:val="true"/>
          <w:lang w:bidi="fa-IR"/>
        </w:rPr>
        <w:t>بناءً علی ما تقرّر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مورد النزاع وجوباً و إن کان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یلزم من إنکار وجوبه إنکار أصل الوجوب الشرعیّ فی البین، بل الواجب عنوان آخر؛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مال الغیر إلی صاحبه؛ و إلی المغصوب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الأقوال فی هذه الدعوی کانت باطلة، من غیر فرق بین قول من یقول بالوجوب </w:t>
      </w:r>
      <w:r>
        <w:rPr>
          <w:rStyle w:val="FootnoteAnchor"/>
          <w:rtl w:val="true"/>
        </w:rPr>
        <w:footnoteReference w:id="602"/>
      </w:r>
      <w:r>
        <w:rPr>
          <w:rFonts w:ascii="IRNazanin" w:hAnsi="IRNazanin" w:eastAsia="IRNazanin"/>
          <w:color w:val="111111"/>
          <w:sz w:val="28"/>
          <w:sz w:val="28"/>
          <w:szCs w:val="28"/>
          <w:rtl w:val="true"/>
          <w:lang w:bidi="fa-IR"/>
        </w:rPr>
        <w:t xml:space="preserve">، و بین قول من ینکر الوجوب </w:t>
      </w:r>
      <w:r>
        <w:rPr>
          <w:rStyle w:val="FootnoteAnchor"/>
          <w:rtl w:val="true"/>
        </w:rPr>
        <w:footnoteReference w:id="603"/>
      </w:r>
      <w:r>
        <w:rPr>
          <w:rFonts w:ascii="IRNazanin" w:hAnsi="IRNazanin" w:eastAsia="IRNazanin"/>
          <w:color w:val="111111"/>
          <w:sz w:val="28"/>
          <w:sz w:val="28"/>
          <w:szCs w:val="28"/>
          <w:rtl w:val="true"/>
          <w:lang w:bidi="fa-IR"/>
        </w:rPr>
        <w:t xml:space="preserve">لأنّ هناک وجوباً، و لکن لیس معروضه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معروضه عنوان آخر، فلیتدبّر و لیتأمّل فی الأقوال؛ فإنّها تصیر أکثر ممّا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ردّ مال الغیر واجب شرعاً، و لکن حسب القواعد لا بدّ من الالتزام بأنّ الخروج واجب؛ و ذلک لأجل أنّ ما هو تحت الاختیار هو الخروج، و به یحصل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یحصل بفراغه عنها و خروجه منها، و إذا کان السبب من الأسباب التولیدیّة، یکون معروض الحکم النفسیّ عنوان السبب، دون المسبّب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فرغنا فی محلّه من فساد هذا التوهّم، و ذکرنا هناک أنّ مع کون المسبّب مورد الاقتدار لأجل الاقتدار علی السبب، لا وجه لصرف الأدلّة عن ظاهرها، و لا یستحقّ العبد إلاّ العقوبة علی المسبّب؛ لأنّه هو ذو الملاک، دون السبب، و یعاقب علی ترک المأمور به؛ لأجل إخلاله بالمصلحة القائمة به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الردّ أمراً دفعیّاً وجوده، و لکنّه واجب، و الاقتدار علی الخروج یکفی لذلک،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واجب بالوجوب المقدّمی، و هذا ممّا یمکن تصدیقه؛ لأنّ معروض الوجوب النفسیّ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معروض الوجوب النفسیّ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فیشکل؛ لأنّ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تضادّ و تناقض، و لا یمکن أن یکون أحد الضدّین و النقیضین مقدّمة للضدّ أو النقیض الآخر، فتدبّر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ذلک لکونه واجباً؛ لما مرّ فی محلّه من إنکارنا الوجوب الغیریّ علی القواعد</w:t>
      </w:r>
      <w:r>
        <w:rPr>
          <w:rStyle w:val="FootnoteAnchor"/>
          <w:rtl w:val="true"/>
        </w:rPr>
        <w:footnoteReference w:id="607"/>
      </w:r>
      <w:r>
        <w:rPr>
          <w:rFonts w:ascii="IRNazanin" w:hAnsi="IRNazanin" w:eastAsia="IRNazanin"/>
          <w:color w:val="111111"/>
          <w:sz w:val="28"/>
          <w:sz w:val="28"/>
          <w:szCs w:val="28"/>
          <w:rtl w:val="true"/>
          <w:lang w:bidi="fa-IR"/>
        </w:rPr>
        <w:t>، و مرّت دعوانا بإمکانه إذا اقتضاه الدلیل الشرعیّ الخاصّ، کما فی مثل الوضوء</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عروض الوجوب علی الخروج إذا کان بسوء الاختیار؛ و ذلک لأنّ ما یستحقّ العبد علیه العقاب یأبی عن قبول الإیجاب، و هذا فی الجملة ممّا لیس فیه الارتیاب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و أنت خبیر بما فیه؛ ضرورة أنّ إیجاب الشرع کما یمکن أن یکون لأجل مصلحة محبوبة مطلوبة مشتاق إلیها، کذلک یمکن لأجل کونه أقلّ المحذورین و أخفّ المبغوضین، و لا دلیل علی لزوم کون متعلّق الإیجاب مشتاقاً إلیه بالذات، بل الأحکام حسب مذهب العدلیّة لا بدّ</w:t>
      </w:r>
    </w:p>
    <w:p>
      <w:pPr>
        <w:pStyle w:val="BookText"/>
        <w:rPr/>
      </w:pPr>
      <w:r>
        <w:rPr>
          <w:rFonts w:ascii="IRNazanin" w:hAnsi="IRNazanin" w:eastAsia="IRNazanin"/>
          <w:color w:val="111111"/>
          <w:sz w:val="28"/>
          <w:sz w:val="28"/>
          <w:szCs w:val="28"/>
          <w:rtl w:val="true"/>
          <w:lang w:bidi="fa-IR"/>
        </w:rPr>
        <w:t>و أن لا تکون علی نعت الجزاف، و هذا الواجب ممّا لا یترتّب علیه الثواب، بل یترتّب علیه أخفّ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کلام سیّدنا الأُستاذ البروجردی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یمکن الالتزام بکون الداخل فی ملک الغیر للتسلّی مثلاً، و الخارج منه بعد قضاء الحاجة من دون ندامة علی فعله، ممتثلاً لأمر المولی مطیعاً له حین الخروج؛ بحیث تکون حرکاته الخروجیّة الواقعة عن تسلّ أیضا محبوبة للمولی و امتثالا لأمره، مع کونها تصرّفاً فی ملک الغیر بغیر إذنه؟</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غیر فرق بین کون دخوله بسوء الاختیار، أو لا بسوئه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بسوء الاختیار فیستحقّ الثواب لامتثال الأمر، فتدبّر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فی هذه المرحلة من البحث بین من ینکر الوجوب إثباتاً، کالسیّدین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البروجردیّ،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 xml:space="preserve">، و من ینکر إمکان الوجوب ثبوتاً، کالعلاّمة الخراسانیّ رحمه اللَّه و البروجردیّ أیضا رحمه اللَّه </w:t>
      </w:r>
      <w:r>
        <w:rPr>
          <w:rStyle w:val="FootnoteAnchor"/>
          <w:rtl w:val="true"/>
        </w:rPr>
        <w:footnoteReference w:id="612"/>
      </w:r>
      <w:r>
        <w:rPr>
          <w:rFonts w:ascii="Amiri" w:hAnsi="Amiri" w:eastAsia="Amiri" w:cs="Amiri"/>
          <w:color w:val="111111"/>
          <w:sz w:val="28"/>
          <w:sz w:val="28"/>
          <w:szCs w:val="28"/>
          <w:rtl w:val="true"/>
          <w:lang w:bidi="ar-SA"/>
        </w:rPr>
        <w:t>و من یدّعی وجوب الخروج لزوماً عقلیّاً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عرفت فساد الکلّ، و تبیّن أنّ هناک وجوباً نفسیّاً متعلّقاً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 فعلی هذا لا تلزم غائلة علی القول بحرمة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أو عنوان آخر، و لا یلزم إشکال عقلیّ حتّی یحتاج إلی الدفع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یلزم اجتماع الأمر و النهی علی الوجه المحرّر فی مسألة الاجتماع، من دون کون العنوان الواحد مصبّ الأمر و النهی؛ حتّی یقع البحث فی کیفیّة الفرار</w:t>
      </w:r>
      <w:bookmarkStart w:id="474" w:name="pg13163_143147"/>
    </w:p>
    <w:p>
      <w:pPr>
        <w:pStyle w:val="BookText"/>
        <w:rPr/>
      </w:pPr>
      <w:bookmarkEnd w:id="474"/>
      <w:r>
        <w:rPr>
          <w:rFonts w:ascii="IRNazanin" w:hAnsi="IRNazanin" w:eastAsia="IRNazanin"/>
          <w:color w:val="111111"/>
          <w:sz w:val="28"/>
          <w:sz w:val="28"/>
          <w:szCs w:val="28"/>
          <w:rtl w:val="true"/>
          <w:lang w:bidi="fa-IR"/>
        </w:rPr>
        <w:t>منه، فلا تخلط، و لا تغفل</w:t>
      </w:r>
      <w:r>
        <w:rPr>
          <w:rFonts w:eastAsia="IRNazanin" w:cs="IRNazanin"/>
          <w:color w:val="111111"/>
          <w:sz w:val="28"/>
          <w:szCs w:val="28"/>
          <w:rtl w:val="true"/>
          <w:lang w:bidi="fa-IR"/>
        </w:rPr>
        <w:t>.</w:t>
      </w:r>
    </w:p>
    <w:p>
      <w:pPr>
        <w:pStyle w:val="Heading6"/>
        <w:numPr>
          <w:ilvl w:val="5"/>
          <w:numId w:val="1"/>
        </w:numPr>
        <w:rPr/>
      </w:pPr>
      <w:bookmarkStart w:id="475" w:name="__RefHeading___Toc533923_3244359995"/>
      <w:bookmarkStart w:id="476" w:name="_Toc179"/>
      <w:bookmarkEnd w:id="475"/>
      <w:r>
        <w:rPr>
          <w:rtl w:val="true"/>
        </w:rPr>
        <w:t>الدعوی الثانیة</w:t>
      </w:r>
      <w:r>
        <w:rPr>
          <w:rtl w:val="true"/>
        </w:rPr>
        <w:t>:</w:t>
      </w:r>
      <w:bookmarkEnd w:id="476"/>
    </w:p>
    <w:p>
      <w:pPr>
        <w:pStyle w:val="Heading6"/>
        <w:numPr>
          <w:ilvl w:val="5"/>
          <w:numId w:val="1"/>
        </w:numPr>
        <w:rPr/>
      </w:pPr>
      <w:bookmarkStart w:id="477" w:name="__RefHeading___Toc533925_3244359995"/>
      <w:bookmarkStart w:id="478" w:name="_Toc180"/>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هی حرمة التصرّف فی مال الغیر، و حرمة الغصب حتّی حین الخروج حرمة فعلیّة منجّزة إذا کان الدخول بسوء الاختیار، و غیر منجّزة إذا کان لا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مرّ من الشبهة العقلیّة فی تحریم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من التکلیف بما لا یطاق؛ ضرورة أنّ المکلّف حین الخروج، لا یتمکّن من ترک الغصب و التصرّف فی مال الغیر، و مجرّد کونه بسوء الاختیار لا یصحّح إمکان ترشّح الإرادة التشریعیّة الزاجرة؛ ضرورة أنّ الزجر لا یعقل إلاّ فی مورد اقتدار العبد علی الانزجار، و المفروض عجزه عن ذلک و إن کان بتعجیز نفسه </w:t>
      </w:r>
      <w:r>
        <w:rPr>
          <w:rStyle w:val="FootnoteAnchor"/>
          <w:rtl w:val="true"/>
        </w:rPr>
        <w:footnoteReference w:id="615"/>
      </w:r>
      <w:r>
        <w:rPr>
          <w:rFonts w:ascii="IRNazanin" w:hAnsi="IRNazanin" w:eastAsia="IRNazanin"/>
          <w:color w:val="111111"/>
          <w:sz w:val="28"/>
          <w:sz w:val="28"/>
          <w:szCs w:val="28"/>
          <w:rtl w:val="true"/>
          <w:lang w:bidi="fa-IR"/>
        </w:rPr>
        <w:t>، و هذا من غیر فرق بین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القدرة شرط عقلیّ لصحّة التکلیف </w:t>
      </w:r>
      <w:r>
        <w:rPr>
          <w:rStyle w:val="FootnoteAnchor"/>
          <w:rtl w:val="true"/>
        </w:rPr>
        <w:footnoteReference w:id="616"/>
      </w:r>
      <w:r>
        <w:rPr>
          <w:rFonts w:ascii="IRNazanin" w:hAnsi="IRNazanin" w:eastAsia="IRNazanin"/>
          <w:color w:val="111111"/>
          <w:sz w:val="28"/>
          <w:sz w:val="28"/>
          <w:szCs w:val="28"/>
          <w:rtl w:val="true"/>
          <w:lang w:bidi="fa-IR"/>
        </w:rPr>
        <w:t>، أو هی لازم ماهیّة التکلیف عقلاً و عرفاً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قابلة للدفع بما تحصّل فی مباحث الترتّب و الضدّ</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أمثال هذه الشبهات ناشئة عن القول بانحلال الخطابات القانونیّة الکلّیة إلی الخطابات الشخصیّة الجزئیّة، أو إلی الخطابات الکلّیة حسب العنوانین الخاصّة؛ و هی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و الذاکر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عدم رعایة هذه المسألة وقع القوم فی مشکلات کثیرة، و منها هذه المسألة، فإن کان النهی عن الغصب عامّاً کلیّاً، و النهی عن التصرّف فی مال الغیر</w:t>
      </w:r>
      <w:bookmarkStart w:id="479" w:name="pg13163_143148"/>
    </w:p>
    <w:p>
      <w:pPr>
        <w:pStyle w:val="BookText"/>
        <w:rPr/>
      </w:pPr>
      <w:bookmarkEnd w:id="479"/>
      <w:r>
        <w:rPr>
          <w:rFonts w:ascii="IRNazanin" w:hAnsi="IRNazanin" w:eastAsia="IRNazanin"/>
          <w:color w:val="111111"/>
          <w:sz w:val="28"/>
          <w:sz w:val="28"/>
          <w:szCs w:val="28"/>
          <w:rtl w:val="true"/>
          <w:lang w:bidi="fa-IR"/>
        </w:rPr>
        <w:t xml:space="preserve">شاملاً و متوجّهاً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الحکم بالنسبة إلی مصادیق هذه العناوین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لترشّح هذه الإرادة القانونیّة، کون المجتمع مشتملاً علی من یمتثل القانون، و ینتهی بنواهیه، و یأتمر بأوامره، فإذا ترشّحت تلک الإرادة فیکون الکلّ مورد التکلیف الإلهیّ، فإن کان حسب الشرائط العقلیّة عالماً قادراً یتنجّز التکلیف، و لا یکون معذوراً فی ترکه، و إلاّ فیعدّ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فالمتوسّط فی الأرض المغصوبة، و الّذی اضطرّ إلی أکل مال الغیر و المیتة و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کان اضطراره من أنحاء الأسباب المورثة للاضطرار ممّا هو المسطور فی أساطیر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هو مورد التکلیف، و علیه الاعتذار، فإن کان عذره عقلائیّاً فلا یعاقب، و إلاّ فیعاقب، و لا شبهة فی أنّه إذا کان بسوء الاختیار یعاقب و لا یقبل اعتذاره و اضطراره، و إلاّ فیعذر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 بین أبناء التحصیل من إنکار الحرمة الفعلیّة بعد الاضطرار مطلقاً، کما هو خیرة الأکثر</w:t>
      </w:r>
      <w:r>
        <w:rPr>
          <w:rStyle w:val="FootnoteAnchor"/>
          <w:rtl w:val="true"/>
        </w:rPr>
        <w:footnoteReference w:id="619"/>
      </w:r>
      <w:r>
        <w:rPr>
          <w:rFonts w:ascii="IRNazanin" w:hAnsi="IRNazanin" w:eastAsia="IRNazanin"/>
          <w:color w:val="111111"/>
          <w:sz w:val="28"/>
          <w:sz w:val="28"/>
          <w:szCs w:val="28"/>
          <w:rtl w:val="true"/>
          <w:lang w:bidi="fa-IR"/>
        </w:rPr>
        <w:t>، أو إنکار الحرمة فی صورة الاضطرار لا بسوء الاختیار، کما هو مختار الفاضل القمّی قدس سره ناسباً ذلک إلی الشهرة المتأخّرة</w:t>
      </w:r>
      <w:r>
        <w:rPr>
          <w:rStyle w:val="FootnoteAnchor"/>
          <w:rtl w:val="true"/>
        </w:rPr>
        <w:footnoteReference w:id="620"/>
      </w:r>
      <w:r>
        <w:rPr>
          <w:rFonts w:ascii="Amiri" w:hAnsi="Amiri" w:eastAsia="Amiri" w:cs="Amiri"/>
          <w:color w:val="111111"/>
          <w:sz w:val="28"/>
          <w:sz w:val="28"/>
          <w:szCs w:val="28"/>
          <w:rtl w:val="true"/>
          <w:lang w:bidi="ar-SA"/>
        </w:rPr>
        <w:t>، 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یستندوا فی ذلک إلی الأدلّة الثانویّة الشرعیّة، و لکنّه خلاف ما نسب إلیهم من التمسّک بالعقل؛ و بأنّ التکلیف مشروط بالقدرة</w:t>
      </w:r>
      <w:r>
        <w:rPr>
          <w:rFonts w:eastAsia="IRNazanin" w:cs="IRNazanin"/>
          <w:color w:val="111111"/>
          <w:sz w:val="28"/>
          <w:szCs w:val="28"/>
          <w:rtl w:val="true"/>
          <w:lang w:bidi="fa-IR"/>
        </w:rPr>
        <w:t>.</w:t>
      </w:r>
    </w:p>
    <w:p>
      <w:pPr>
        <w:pStyle w:val="Heading6"/>
        <w:numPr>
          <w:ilvl w:val="5"/>
          <w:numId w:val="1"/>
        </w:numPr>
        <w:rPr/>
      </w:pPr>
      <w:bookmarkStart w:id="480" w:name="__RefHeading___Toc533927_3244359995"/>
      <w:bookmarkStart w:id="481" w:name="_Toc181"/>
      <w:bookmarkEnd w:id="480"/>
      <w:r>
        <w:rPr>
          <w:rtl w:val="true"/>
        </w:rPr>
        <w:t>تنبیه</w:t>
      </w:r>
      <w:r>
        <w:rPr>
          <w:rtl w:val="true"/>
        </w:rPr>
        <w:t xml:space="preserve">: </w:t>
      </w:r>
      <w:r>
        <w:rPr>
          <w:rtl w:val="true"/>
        </w:rPr>
        <w:t>حول نفی التحریم مع إثبات استحقاق العقاب</w:t>
      </w:r>
      <w:bookmarkEnd w:id="48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التحریمیّ غیر معقول؛ للعجز و لو کان بالتعجیز، و لکن</w:t>
      </w:r>
    </w:p>
    <w:p>
      <w:pPr>
        <w:pStyle w:val="BookText"/>
        <w:rPr/>
      </w:pPr>
      <w:r>
        <w:rPr>
          <w:rFonts w:ascii="IRNazanin" w:hAnsi="IRNazanin" w:eastAsia="IRNazanin"/>
          <w:color w:val="111111"/>
          <w:sz w:val="28"/>
          <w:sz w:val="28"/>
          <w:szCs w:val="28"/>
          <w:rtl w:val="true"/>
          <w:lang w:bidi="fa-IR"/>
        </w:rPr>
        <w:t>تصحّ العقوبة علی التصرّفات الخروجیّة و البقائیّة إذا کان بسوء الاختیار، و ذلک هو حکم العقلاء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هو مختار العلاّمة الخراسانیّ رحمه اللّه </w:t>
      </w:r>
      <w:r>
        <w:rPr>
          <w:rStyle w:val="FootnoteAnchor"/>
          <w:rtl w:val="true"/>
        </w:rPr>
        <w:footnoteReference w:id="621"/>
      </w:r>
      <w:r>
        <w:rPr>
          <w:rFonts w:ascii="Amiri" w:hAnsi="Amiri" w:eastAsia="Amiri" w:cs="Amiri"/>
          <w:color w:val="111111"/>
          <w:sz w:val="28"/>
          <w:sz w:val="28"/>
          <w:szCs w:val="28"/>
          <w:rtl w:val="true"/>
          <w:lang w:bidi="ar-SA"/>
        </w:rPr>
        <w:t xml:space="preserve">و جماعة من الأفاضل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مطلق الخروج لا یلازم صحّة العقوبة، کما إذا کان لأجل التخلّص من الغصب بعد الندامة عن ارتکاب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العقوبة منوط بالتکلیف، و إذا عجز المولی عن إرادة التحریم فلا حجّة له علی العبد، بل الأمر بالعکس، فیحتجّ العبد علی تصحیح ارتکابه بأنّه لا یرید منه ذلک، فإطلاق أدلّة التحریم إذا کان قاصراً عنه فی هذه الصورة، فلا کاشف عن المبغوضیّة للمولی، کما مرّ تفصیله فی الأوامر إذا سقط الأمر لأجل المزاحمة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لأحد دعوی العلم الوجدانیّ بمبغوضیّة المادّة، و لکنّه لیس إلاّ من باب العلم الأیقونی فتأمّل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صدّقه الأُستاذ البروجردیّ؛ من استحسان العقاب إذا کان الخروج کالدخول غیر مقترن بالندامة</w:t>
      </w:r>
      <w:r>
        <w:rPr>
          <w:rStyle w:val="FootnoteAnchor"/>
          <w:rtl w:val="true"/>
        </w:rPr>
        <w:footnoteReference w:id="624"/>
      </w:r>
      <w:r>
        <w:rPr>
          <w:rFonts w:ascii="IRNazanin" w:hAnsi="IRNazanin" w:eastAsia="IRNazanin"/>
          <w:color w:val="111111"/>
          <w:sz w:val="28"/>
          <w:sz w:val="28"/>
          <w:szCs w:val="28"/>
          <w:rtl w:val="true"/>
          <w:lang w:bidi="fa-IR"/>
        </w:rPr>
        <w:t>، فی غیر محلّه؛ ضرورة أنّ سقوط التکلیف یلازم الشکّ فی جواز العقاب، فیقطع بعدمه، و من العجب تصدیق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الجماعة</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العقوبة کانت منجّزة بالتحریم السابق، و یشکّ فی صحّتها، فیبقی علی حال تنجّزه بحکم العقلاء، کما فی بعض موارد العلم الإجمالیّ فتدبّر</w:t>
      </w:r>
      <w:r>
        <w:rPr>
          <w:rFonts w:eastAsia="IRNazanin" w:cs="IRNazanin"/>
          <w:color w:val="111111"/>
          <w:sz w:val="28"/>
          <w:szCs w:val="28"/>
          <w:rtl w:val="true"/>
          <w:lang w:bidi="fa-IR"/>
        </w:rPr>
        <w:t>.</w:t>
      </w:r>
      <w:bookmarkStart w:id="482" w:name="pg13163_143150"/>
    </w:p>
    <w:p>
      <w:pPr>
        <w:pStyle w:val="Heading6"/>
        <w:numPr>
          <w:ilvl w:val="5"/>
          <w:numId w:val="1"/>
        </w:numPr>
        <w:rPr/>
      </w:pPr>
      <w:bookmarkStart w:id="483" w:name="__RefHeading___Toc533929_3244359995"/>
      <w:bookmarkStart w:id="484" w:name="_Toc182"/>
      <w:bookmarkEnd w:id="482"/>
      <w:bookmarkEnd w:id="483"/>
      <w:r>
        <w:rPr>
          <w:rtl w:val="true"/>
        </w:rPr>
        <w:t>تذنیب</w:t>
      </w:r>
      <w:r>
        <w:rPr>
          <w:rtl w:val="true"/>
        </w:rPr>
        <w:t xml:space="preserve">: </w:t>
      </w:r>
      <w:r>
        <w:rPr>
          <w:rtl w:val="true"/>
        </w:rPr>
        <w:t>حول إثبات استحقاق العقاب باعتبار النهی الساقط</w:t>
      </w:r>
      <w:bookmarkEnd w:id="484"/>
    </w:p>
    <w:p>
      <w:pPr>
        <w:pStyle w:val="BookText"/>
        <w:rPr/>
      </w:pPr>
      <w:r>
        <w:rPr>
          <w:rFonts w:ascii="IRNazanin" w:hAnsi="IRNazanin" w:eastAsia="IRNazanin"/>
          <w:color w:val="111111"/>
          <w:sz w:val="28"/>
          <w:sz w:val="28"/>
          <w:szCs w:val="28"/>
          <w:rtl w:val="true"/>
          <w:lang w:bidi="fa-IR"/>
        </w:rPr>
        <w:t xml:space="preserve">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أنّ العقوبة جائزة باعتبار النهی السابق الساقط</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نظره إلی أنّ السقوط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یستند إلی قصور المقتضی،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سوء اختیار العبد، فإن کان من الأوّل فلا وجه للاستحقاق، و أمّا علی الثانی فیستحقّ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حدّ نفسه صحیح، کما فصّلناه فی مباحث الضدّ</w:t>
      </w:r>
      <w:r>
        <w:rPr>
          <w:rStyle w:val="FootnoteAnchor"/>
          <w:rtl w:val="true"/>
        </w:rPr>
        <w:footnoteReference w:id="627"/>
      </w:r>
      <w:r>
        <w:rPr>
          <w:rFonts w:ascii="IRNazanin" w:hAnsi="IRNazanin" w:eastAsia="IRNazanin"/>
          <w:color w:val="111111"/>
          <w:sz w:val="28"/>
          <w:sz w:val="28"/>
          <w:szCs w:val="28"/>
          <w:rtl w:val="true"/>
          <w:lang w:bidi="fa-IR"/>
        </w:rPr>
        <w:t>، إلاّ أنّ إثبات أنّ النهی فی هذه المسألة ساقط لأجل سوء اختیار العبد، فهو غیر معلوم؛ لاحتمال قصور المقتضی مقارناً لسوء اختیار العبد، فلا تتمّ حجّة المولی بالنسبة إلی العبد بعد سقوط النهی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ساعدنا القوم علی سقوط الأمر، فلا یمکن مساعدتهم علی عدم إجراء حکم المعصیة؛ بشهادة الوجدان و العقل</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عرفت وجه المناقشة لعدم المساعدة</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533931_3244359995"/>
      <w:bookmarkStart w:id="486" w:name="_Toc183"/>
      <w:bookmarkEnd w:id="485"/>
      <w:r>
        <w:rPr>
          <w:rtl w:val="true"/>
        </w:rPr>
        <w:t>إشارة</w:t>
      </w:r>
      <w:r>
        <w:rPr>
          <w:rtl w:val="true"/>
        </w:rPr>
        <w:t xml:space="preserve">: </w:t>
      </w:r>
      <w:r>
        <w:rPr>
          <w:rtl w:val="true"/>
        </w:rPr>
        <w:t>حول نفی حرمة التصرّف الخروجیّ مطلقاً</w:t>
      </w:r>
      <w:bookmarkEnd w:id="48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فی تقریرات جدّی العلاّمة إلی الشیخ الأعظم الأنصاریّ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التصرّف فی أرض الغیر بالدخول و البقاء، حرام بلا إشکال، و أمّا التصرّف الخروجیّ</w:t>
      </w:r>
    </w:p>
    <w:p>
      <w:pPr>
        <w:pStyle w:val="BookText"/>
        <w:rPr/>
      </w:pPr>
      <w:r>
        <w:rPr>
          <w:rFonts w:ascii="IRNazanin" w:hAnsi="IRNazanin" w:eastAsia="IRNazanin"/>
          <w:color w:val="111111"/>
          <w:sz w:val="28"/>
          <w:sz w:val="28"/>
          <w:szCs w:val="28"/>
          <w:rtl w:val="true"/>
          <w:lang w:bidi="fa-IR"/>
        </w:rPr>
        <w:t>فلیس بحرام؛ لا قبل الدخول، 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قبله؛ فلعدم التمکّن منه، بل هو منتفٍ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بعده، فلکونه مصداقاً للتخلّص، أو سبباً له، فیکون مأموراً به، و لا حرمة فی البین؛ لکونه مضطرّاً إلیه، فحال الخروج فیما نحن فیه حال شرب الخمر المتوقّف علیه النجاة من الهلکة</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بأنّ المقدور بالواسطة مقدور، فترک البقاء و الخروج کلاهما مقدوران؛ من جهة القدرة علی ترک الدخول، و هذان العنوانان و إن کانا منتفیین قبل الدخول بانتفاء ما هو کالموضوع لهما، و لکن لا یضرّ هذا بصحّة التکلیف المشروط عقلاً بالتسلّط علی المأمور به و المنهیّ عنه فعلاً و ترکاً و إن کان بالواسطة</w:t>
      </w:r>
      <w:r>
        <w:rPr>
          <w:rStyle w:val="FootnoteAnchor"/>
          <w:rtl w:val="true"/>
        </w:rPr>
        <w:footnoteReference w:id="630"/>
      </w:r>
      <w:r>
        <w:rPr>
          <w:rFonts w:ascii="IRNazanin" w:hAnsi="IRNazanin" w:eastAsia="IRNazanin"/>
          <w:color w:val="111111"/>
          <w:sz w:val="28"/>
          <w:sz w:val="28"/>
          <w:szCs w:val="28"/>
          <w:rtl w:val="true"/>
          <w:lang w:bidi="fa-IR"/>
        </w:rPr>
        <w:t>، انتهی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خفیّ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محرّمیة البقاء غیر معقولة أیضا؛ لأنّ العبد عاجز عن ترک التصرّف البقائیّ، کما یکون عاجزاً عن ترک التصرّف الخروجیّ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ظنّ إمکان التحریم بالنسبة إلی التصرّف البقائیّ، و جعله مثالاً لذلک کالدخول، فلیس هذا شیئاً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مع القدرة المتوسّطة، صحیح إذا کان العبد مقتدراً علی المسبّب التولیدیّ بالقدرة علی السبب، و أمّا فیما نحن فیه فلا معنی لذلک؛ ضرورة أنّ العبد قبل الدخول فی الأرض، لا یکون مکلّفاً بالتکلیف الفعلیّ المنجّز؛ لعدم الموضوع 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کان مکلّفاً فتکلیفه من المعلّق أو المشروط، و فی ظرف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bookmarkStart w:id="487" w:name="pg13163_143152"/>
    </w:p>
    <w:p>
      <w:pPr>
        <w:pStyle w:val="BookText"/>
        <w:rPr/>
      </w:pPr>
      <w:bookmarkEnd w:id="487"/>
      <w:r>
        <w:rPr>
          <w:rFonts w:ascii="IRNazanin" w:hAnsi="IRNazanin" w:eastAsia="IRNazanin"/>
          <w:color w:val="111111"/>
          <w:sz w:val="28"/>
          <w:sz w:val="28"/>
          <w:szCs w:val="28"/>
          <w:rtl w:val="true"/>
          <w:lang w:bidi="fa-IR"/>
        </w:rPr>
        <w:t>کونه فی حال التوسّط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الامتثال، بل یکون ظرف الامتثال ظرف سقوط التکلیف المعلّق، أو ظرف عدم فعلیّة المشروط بانتفاء شرطه الآخر؛ و هو القدرة، و إذا کان العبد حاله فی ظرف الامتثال کذلک، فلا یعقل جعل التکلیف و توجیه التکلیف بالنسبة إلیه مطلقاً؛ لا التکلیف المشروط، و لا المعلّق، و لا المنجّز، و یکون من اللغو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التحریمیّ منجّز؛ لمقدوریّة الخروج مع الواسطة، إلاّ أنّه لا یعقل ترشّح الإرادة من المولی الملتفت؛ لعدم الأثر لمثل هذا التحریم المنجّز، إلاّ إذا کان أثره منعه عن الدخول حتّی لا یبتلی به،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بالنسبة إلی الأقدام الخروجیّة قبل الدخول، لیس من التحریم المعلّق، بل هو منجّز؛ لأنّه تارک بالفعل للمحرّم بترک موضوعه، و ینزجر عن مثله بعدم الدخول و باستمرار هذا العدم، و سقوطُ التکلیف بالعصیان الاستمراریّ، لا یمنع من اتصاف الفعل بالحرمة،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یتوجّه إلیه قدس سره من اعتقاده أنّ الخطابات الکلیّة الشرعیّة تنحلّ إلی الخطابات الجزئیّة</w:t>
      </w:r>
      <w:r>
        <w:rPr>
          <w:rStyle w:val="FootnoteAnchor"/>
          <w:rtl w:val="true"/>
        </w:rPr>
        <w:footnoteReference w:id="631"/>
      </w:r>
      <w:r>
        <w:rPr>
          <w:rFonts w:ascii="IRNazanin" w:hAnsi="IRNazanin" w:eastAsia="IRNazanin"/>
          <w:color w:val="111111"/>
          <w:sz w:val="28"/>
          <w:sz w:val="28"/>
          <w:szCs w:val="28"/>
          <w:rtl w:val="true"/>
          <w:lang w:bidi="fa-IR"/>
        </w:rPr>
        <w:t xml:space="preserve">، لا یتوجّه إلیه ما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و غیره علیه </w:t>
      </w:r>
      <w:r>
        <w:rPr>
          <w:rStyle w:val="FootnoteAnchor"/>
          <w:rtl w:val="true"/>
        </w:rPr>
        <w:footnoteReference w:id="633"/>
      </w:r>
      <w:r>
        <w:rPr>
          <w:rFonts w:ascii="IRNazanin" w:hAnsi="IRNazanin" w:eastAsia="IRNazanin"/>
          <w:color w:val="111111"/>
          <w:sz w:val="28"/>
          <w:sz w:val="28"/>
          <w:szCs w:val="28"/>
          <w:rtl w:val="true"/>
          <w:lang w:bidi="fa-IR"/>
        </w:rPr>
        <w:t>،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Heading6"/>
        <w:numPr>
          <w:ilvl w:val="5"/>
          <w:numId w:val="1"/>
        </w:numPr>
        <w:rPr/>
      </w:pPr>
      <w:bookmarkStart w:id="488" w:name="__RefHeading___Toc533933_3244359995"/>
      <w:bookmarkStart w:id="489" w:name="_Toc184"/>
      <w:bookmarkEnd w:id="488"/>
      <w:r>
        <w:rPr>
          <w:rtl w:val="true"/>
        </w:rPr>
        <w:t>توضیح و إفادة</w:t>
      </w:r>
      <w:bookmarkEnd w:id="48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الحرمة فیما نحن فیه منتفیة خطاباً و ملاکاً و عقاباً؛ و ذلک لأنّ المسألة إن کانت من صغریات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عقاباً لا</w:t>
      </w:r>
    </w:p>
    <w:p>
      <w:pPr>
        <w:pStyle w:val="BookText"/>
        <w:rPr/>
      </w:pPr>
      <w:r>
        <w:rPr>
          <w:rFonts w:ascii="IRNazanin" w:hAnsi="IRNazanin" w:eastAsia="IRNazanin"/>
          <w:color w:val="111111"/>
          <w:sz w:val="28"/>
          <w:sz w:val="28"/>
          <w:szCs w:val="28"/>
          <w:rtl w:val="true"/>
          <w:lang w:bidi="fa-IR"/>
        </w:rPr>
        <w:t>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مع الامتناع لا یعقل الخطاب و لو کان الامتناع بسوء الاختیار، فلا بدّ من إجراء حکم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المسألة من صغریات تلک القاعدة، فلا بدّ من المراجعة إلی الحکم الأوّلی؛ و هو التنافی عقاباً و خطاباً، و أنّ العاجز إذا لم یکن یتوجّه إلیه التکلیف فلا یجری علیه حکم المعصیة أیضا؛ لأنّ بانتفاء التکلیف ینتفی العقاب، فالکلام حول اندراجها فی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عدمه؛ و ذلک لأنّ مصبّ القاعدة هو ما إذا کان مورد التکلیف الّذی لا یکون مشروطاً وجوباً بالمقدّمات، کما فی مثل الحجّ ممّا امتنع علی العبد بالاختیار، فإنّه إذا امتنع علیه امتناعا بالغیر و بالاختیار و بسوء الفعال بترک تلک المقدّمات، لا ینافی جواز العقاب المنوط بالاختیار؛ لأنّه من تفویت الواجب بالاختیار عقلاً، و ما نحن فیه یکون حرمة الخروج منوطةً و مشروطة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العلاّمة النائینی رحمه اللّه </w:t>
      </w:r>
      <w:r>
        <w:rPr>
          <w:rStyle w:val="FootnoteAnchor"/>
          <w:rtl w:val="true"/>
        </w:rPr>
        <w:footnoteReference w:id="634"/>
      </w:r>
      <w:r>
        <w:rPr>
          <w:rFonts w:ascii="IRNazanin" w:hAnsi="IRNazanin" w:eastAsia="IRNazanin"/>
          <w:color w:val="111111"/>
          <w:sz w:val="28"/>
          <w:sz w:val="28"/>
          <w:szCs w:val="28"/>
          <w:rtl w:val="true"/>
          <w:lang w:bidi="fa-IR"/>
        </w:rPr>
        <w:t>ظنّاً أنّه مقالة الشیخ رحمه اللّه مع أنّ ما یستظهر منه رحمه اللّه لیس نفی العقاب، بل هو ینفی الحرمة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الخروج مأمور به </w:t>
      </w:r>
      <w:r>
        <w:rPr>
          <w:rStyle w:val="FootnoteAnchor"/>
          <w:rtl w:val="true"/>
        </w:rPr>
        <w:footnoteReference w:id="635"/>
      </w:r>
      <w:r>
        <w:rPr>
          <w:rFonts w:ascii="IRNazanin" w:hAnsi="IRNazanin" w:eastAsia="IRNazanin"/>
          <w:color w:val="111111"/>
          <w:sz w:val="28"/>
          <w:sz w:val="28"/>
          <w:szCs w:val="28"/>
          <w:rtl w:val="true"/>
          <w:lang w:bidi="fa-IR"/>
        </w:rPr>
        <w:t>، و هذا لا ینافی التزامه بإجراء حکم المعصیة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سلّمنا ما اعتقده من القاعدة، فلا یصحّ ما أفاده فی صغراها؛ ضرورة أنّ المحرّم هو التصرّف فی مال الغیر؛ سواء کان ملوّناً بلون الدخول، أو البقاء، أو الخروج، فلا یکون حرمة متعلّقة بالخروج حتّی تکون مشروطة بالدخول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معنی لتحریم التصرّف الخروجیّ علی الوجه المحرّر فیما سلف؛ من أنّه قبل الدخول لا یکون التحریم منجّزاً، و بعد الدخول لا یکون التحریم فعلیّاً؛</w:t>
      </w:r>
    </w:p>
    <w:p>
      <w:pPr>
        <w:pStyle w:val="BookText"/>
        <w:rPr/>
      </w:pPr>
      <w:r>
        <w:rPr>
          <w:rFonts w:ascii="IRNazanin" w:hAnsi="IRNazanin" w:eastAsia="IRNazanin"/>
          <w:color w:val="111111"/>
          <w:sz w:val="28"/>
          <w:sz w:val="28"/>
          <w:szCs w:val="28"/>
          <w:rtl w:val="true"/>
          <w:lang w:bidi="fa-IR"/>
        </w:rPr>
        <w:t>لعروض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بعض ما أفاده فی هذه المسألة من المناقشة فی کون الخروج ممتنعاً؛ لإمکان ترکه،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امتنع علیه هو مقدار من الکون فی المغصوب الّذی یحصل بالخروج تارة، و بترکه أُخری، و لکنّ ذلک لا یقتضی امتناع الخروج؛ لأنّ الاضطرار إلی الجامع لا یلازم الاضطرار إلی ما یحصل به</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المحرّم بعد الدخول أیضا هو التصرّف، و هو بالنسبة إلیه مضطرّ؛ سواء کان بالبقاء، أو بالخروج، فما هو مورد التکلیف هو مورد الاضطرار لا الجامع، و سیمرّ علیک توضیحه فی بیان الدّعوی الثالثة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منّا فیما سلف إیصاء أهل الفضل و علماء الفنون بأن لا یدخلوا البیوت إلاّ من بابها، و لا یترخص الدخول فی کلّ فنّ إلاّ لمن کان أهلاً له، و مجرّد أن قرع سمع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التمسّک به حتّی یلزم ما لزم فی کلمات المستدلّین بها فی الأُصول، و تفصیله علی الوجه الصحیح قد سبق فی مباحث الطلب و الإرادة</w:t>
      </w:r>
      <w:r>
        <w:rPr>
          <w:rStyle w:val="FootnoteAnchor"/>
          <w:rtl w:val="true"/>
        </w:rPr>
        <w:footnoteReference w:id="637"/>
      </w:r>
      <w:r>
        <w:rPr>
          <w:rFonts w:ascii="IRNazanin" w:hAnsi="IRNazanin" w:eastAsia="IRNazanin"/>
          <w:color w:val="111111"/>
          <w:sz w:val="28"/>
          <w:sz w:val="28"/>
          <w:szCs w:val="28"/>
          <w:rtl w:val="true"/>
          <w:lang w:bidi="fa-IR"/>
        </w:rPr>
        <w:t>، و لا حاجة إلی إعادته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لنعم ما قاله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استظهار خلطهم بین هذه القاعدة و قاعدة عقلائیّة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الاضطرار إلی المحرّم أو ترک الواجب إذا کان بسوء الاختیار، لا ینافی صحّة العقوبة عرفاً، و إن کان ینافی التحریم الفعلیّ الشرعیّ مثلاً</w:t>
      </w:r>
      <w:r>
        <w:rPr>
          <w:rFonts w:eastAsia="IRNazanin" w:cs="IRNazanin"/>
          <w:color w:val="111111"/>
          <w:sz w:val="28"/>
          <w:szCs w:val="28"/>
          <w:rtl w:val="true"/>
          <w:lang w:bidi="fa-IR"/>
        </w:rPr>
        <w:t>»</w:t>
      </w:r>
      <w:r>
        <w:rPr>
          <w:rStyle w:val="FootnoteAnchor"/>
          <w:rtl w:val="true"/>
        </w:rPr>
        <w:footnoteReference w:id="638"/>
      </w:r>
      <w:r>
        <w:rPr>
          <w:rFonts w:ascii="Amiri" w:hAnsi="Amiri" w:eastAsia="Amiri" w:cs="Amiri"/>
          <w:color w:val="111111"/>
          <w:sz w:val="28"/>
          <w:sz w:val="28"/>
          <w:szCs w:val="28"/>
          <w:rtl w:val="true"/>
          <w:lang w:bidi="ar-SA"/>
        </w:rPr>
        <w:t>فلاحظ و تدبّر جیّداً</w:t>
      </w:r>
      <w:r>
        <w:rPr>
          <w:rFonts w:eastAsia="Amiri" w:cs="Amiri" w:ascii="Amiri" w:hAnsi="Amiri"/>
          <w:color w:val="111111"/>
          <w:sz w:val="28"/>
          <w:szCs w:val="28"/>
          <w:rtl w:val="true"/>
          <w:lang w:bidi="ar-SA"/>
        </w:rPr>
        <w:t>.</w:t>
      </w:r>
      <w:bookmarkStart w:id="490" w:name="pg13163_143155"/>
    </w:p>
    <w:p>
      <w:pPr>
        <w:pStyle w:val="Heading6"/>
        <w:numPr>
          <w:ilvl w:val="5"/>
          <w:numId w:val="1"/>
        </w:numPr>
        <w:rPr/>
      </w:pPr>
      <w:bookmarkStart w:id="491" w:name="__RefHeading___Toc533935_3244359995"/>
      <w:bookmarkStart w:id="492" w:name="_Toc185"/>
      <w:bookmarkEnd w:id="490"/>
      <w:bookmarkEnd w:id="491"/>
      <w:r>
        <w:rPr>
          <w:rtl w:val="true"/>
        </w:rPr>
        <w:t>ذنابة</w:t>
      </w:r>
      <w:r>
        <w:rPr>
          <w:rtl w:val="true"/>
        </w:rPr>
        <w:t xml:space="preserve">: </w:t>
      </w:r>
      <w:r>
        <w:rPr>
          <w:rtl w:val="true"/>
        </w:rPr>
        <w:t>فی حرمة الغصب حدوثاً لا بقاءً</w:t>
      </w:r>
      <w:bookmarkEnd w:id="492"/>
    </w:p>
    <w:p>
      <w:pPr>
        <w:pStyle w:val="BookText"/>
        <w:rPr/>
      </w:pPr>
      <w:r>
        <w:rPr>
          <w:rFonts w:ascii="IRNazanin" w:hAnsi="IRNazanin" w:eastAsia="IRNazanin"/>
          <w:color w:val="111111"/>
          <w:sz w:val="28"/>
          <w:sz w:val="28"/>
          <w:szCs w:val="28"/>
          <w:rtl w:val="true"/>
          <w:lang w:bidi="fa-IR"/>
        </w:rPr>
        <w:t xml:space="preserve">المتوسّط فی المغصوبة یحرم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غاصباً بلا إشکال، و أمّا حرمة الغصب فهی بعد ما تحقّق الغصب محلّ المناقشة؛ ضرورة أنّ الغصب لیس إلاّ الاستیلاء عدواناً، و هو حاصل، و لا یعتبر تعدّد الغصب ببقاء المغصوب تحت الید، بل الغصب آنیّ التحقّق حسبما یتوهّم، بخلاف التصرّف، فإنّ کلّ آنٍ یعدّ من التصرّف الممنوع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المحرّم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الإنسان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یحرم حدوثاً و بقاءً،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حرام، و الردّ واجب؛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المغصوب کلّه مردود</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فتدبّر تفهم</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533937_3244359995"/>
      <w:bookmarkStart w:id="494" w:name="_Toc186"/>
      <w:bookmarkEnd w:id="493"/>
      <w:r>
        <w:rPr>
          <w:rtl w:val="true"/>
        </w:rPr>
        <w:t>تتمیم</w:t>
      </w:r>
      <w:r>
        <w:rPr>
          <w:rtl w:val="true"/>
        </w:rPr>
        <w:t xml:space="preserve">: </w:t>
      </w:r>
      <w:r>
        <w:rPr>
          <w:rtl w:val="true"/>
        </w:rPr>
        <w:t>حول عدم اجتماع الوجوب و الحرمة بالنسبة للمتوسّط</w:t>
      </w:r>
      <w:bookmarkEnd w:id="494"/>
    </w:p>
    <w:p>
      <w:pPr>
        <w:pStyle w:val="BookText"/>
        <w:rPr/>
      </w:pPr>
      <w:r>
        <w:rPr>
          <w:rFonts w:ascii="IRNazanin" w:hAnsi="IRNazanin" w:eastAsia="IRNazanin"/>
          <w:color w:val="111111"/>
          <w:sz w:val="28"/>
          <w:sz w:val="28"/>
          <w:szCs w:val="28"/>
          <w:rtl w:val="true"/>
          <w:lang w:bidi="fa-IR"/>
        </w:rPr>
        <w:t xml:space="preserve">بناءً علی ما سلف إلی هنا، لا یلزم کون العنوان الواحد مورد التحریم و الإیجاب؛ لأنّ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القول بوجوب المقدّمة؛ لأنّ الواجب علی القول به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العناوین الذاتیّة، کما برهنّا علیه فی محلّه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یلزم کون الشی‌ء الواحد مورد التحریم و الإیجاب بالعنوانین؛ لأنّ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ینطبقان علی الواحد؛ ضرورة أنّ الردّ یتحقّق بالکون خارج الأرض، و بعد الفراغ عن التصرّف</w:t>
      </w:r>
      <w:r>
        <w:rPr>
          <w:rFonts w:eastAsia="IRNazanin" w:cs="IRNazanin"/>
          <w:color w:val="111111"/>
          <w:sz w:val="28"/>
          <w:szCs w:val="28"/>
          <w:rtl w:val="true"/>
          <w:lang w:bidi="fa-IR"/>
        </w:rPr>
        <w:t>.</w:t>
      </w:r>
      <w:bookmarkStart w:id="495" w:name="pg13163_143156"/>
    </w:p>
    <w:p>
      <w:pPr>
        <w:pStyle w:val="BookText"/>
        <w:rPr/>
      </w:pPr>
      <w:bookmarkEnd w:id="495"/>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 کلّ قطعة من الأرض بالفراغ منها، یلزم کون الحرکة الخارجیّة مورد التحریم و الإیجاب بالعنوانین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التحریم یتعدّد بتعدّد الأقدام، و هکذا الردّ، فیکون التصرّف قبل الفراغ حراماً، و بعد الفراغ عن القدم الأوّل یکون ردّ مال المغصوب إلی صاحبه، فلا یلزم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الوجدان حاکم بأنّ الردّ هنا واحد؛ و هو بالفراغ، و التصرّف الخروجیّ مقدّمة له و سبب لذلک، فلیتدبّر</w:t>
      </w:r>
      <w:r>
        <w:rPr>
          <w:rFonts w:eastAsia="IRNazanin" w:cs="IRNazanin"/>
          <w:color w:val="111111"/>
          <w:sz w:val="28"/>
          <w:szCs w:val="28"/>
          <w:rtl w:val="true"/>
          <w:lang w:bidi="fa-IR"/>
        </w:rPr>
        <w:t>.</w:t>
      </w:r>
    </w:p>
    <w:p>
      <w:pPr>
        <w:pStyle w:val="Heading6"/>
        <w:numPr>
          <w:ilvl w:val="5"/>
          <w:numId w:val="1"/>
        </w:numPr>
        <w:rPr/>
      </w:pPr>
      <w:bookmarkStart w:id="496" w:name="__RefHeading___Toc533939_3244359995"/>
      <w:bookmarkStart w:id="497" w:name="_Toc187"/>
      <w:bookmarkEnd w:id="496"/>
      <w:r>
        <w:rPr>
          <w:rtl w:val="true"/>
        </w:rPr>
        <w:t>الدعوی الثالثة</w:t>
      </w:r>
      <w:r>
        <w:rPr>
          <w:rtl w:val="true"/>
        </w:rPr>
        <w:t>:</w:t>
      </w:r>
      <w:bookmarkEnd w:id="497"/>
    </w:p>
    <w:p>
      <w:pPr>
        <w:pStyle w:val="BookText"/>
        <w:rPr/>
      </w:pPr>
      <w:r>
        <w:rPr>
          <w:rFonts w:ascii="IRNazanin" w:hAnsi="IRNazanin" w:eastAsia="IRNazanin"/>
          <w:color w:val="111111"/>
          <w:sz w:val="28"/>
          <w:sz w:val="28"/>
          <w:szCs w:val="28"/>
          <w:rtl w:val="true"/>
          <w:lang w:bidi="fa-IR"/>
        </w:rPr>
        <w:t xml:space="preserve">أنّ الحرمة المزبورة الثابتة حسب الأدلّة الأوّلیة، مرفوعة بحدیث الرفع و ما شابهه؛ لأنّها مورد الاضطرار، 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کلّ شی‌ء اضطرّ إلیه ابن آدم</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المناقشة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الرفع لا یقتضی ارتفاع التحریم الأوّلی إلاّ بلحاظ الآثار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مضافاً إلی أنّه خلاف الظاهر بالقیاس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أنّه 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یضطرّ إلیه ابن آدم فقد أحلّه اللَّه له</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أنّ الرفع برفع الآثار ینافی اعتبار التحریم، و یکون هو من اللغو، و لا أثر له،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المتوسّط فی الأرض المغصوبة مضطرّ إلی الجامع، و ما هو المرفوع هو حکم الخروج أو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المحرّم هنا هو الجامع و هو التصرّف، و المتوسّط یحرم علیه البقاء و الخروج؛ لأجل أنّ کلّ واحد منهما تصرّف، فیکون فی الواقع التصرّف حرام، و هو مورد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الاضطرار إذا کان بالغاً إلی حدّ العجز لا یکون معنی للرفع؛ لأنّ الحکم مرتفع بالعجز، و استناده إلیه أولی من استناده إلی الحدیث،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القدرة لیست من شرائط التکلیف عقلاً، و لا من مقتضیات التکلیف عرفاً</w:t>
      </w:r>
      <w:r>
        <w:rPr>
          <w:rStyle w:val="FootnoteAnchor"/>
          <w:rtl w:val="true"/>
        </w:rPr>
        <w:footnoteReference w:id="644"/>
      </w:r>
      <w:r>
        <w:rPr>
          <w:rFonts w:ascii="IRNazanin" w:hAnsi="IRNazanin" w:eastAsia="IRNazanin"/>
          <w:color w:val="111111"/>
          <w:sz w:val="28"/>
          <w:sz w:val="28"/>
          <w:szCs w:val="28"/>
          <w:rtl w:val="true"/>
          <w:lang w:bidi="fa-IR"/>
        </w:rPr>
        <w:t>، و الأولویّة المزبورة ممنوعة؛ لأنّ الرفع بلحاظ الإنشاء العامّ، فحدیث الرفع و حکم العقل علی السواء،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الاضطرار إذا کان بسوء الاختیار، خارج عن منصرف هذه الأدلّة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انصراف بلا وجه؛ لاحتمال وجود الملاک الأقوی الغالب و إن کان فیه تفویت أیضا، کما لا یخفی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یمکن استظهار اختصاص هذه الأدلّة بصورة الاضطرار لا بسوء الاختیار؛ لما ورد من التقیید فی الکتاب الإلهیّ فی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فِی مَخْمَصَةٍ غَیْرَ مُتَجانِفٍ لِإِثْمٍ </w:t>
      </w:r>
      <w:r>
        <w:rPr>
          <w:rStyle w:val="FootnoteAnchor"/>
          <w:rtl w:val="true"/>
        </w:rPr>
        <w:footnoteReference w:id="645"/>
      </w:r>
      <w:r>
        <w:rPr>
          <w:rFonts w:ascii="Amiri" w:hAnsi="Amiri" w:eastAsia="Amiri" w:cs="Amiri"/>
          <w:color w:val="111111"/>
          <w:sz w:val="28"/>
          <w:sz w:val="28"/>
          <w:szCs w:val="28"/>
          <w:rtl w:val="true"/>
          <w:lang w:bidi="ar-SA"/>
        </w:rPr>
        <w:t>و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فَلا إِثْمَ عَلَیْهِ </w:t>
      </w:r>
      <w:r>
        <w:rPr>
          <w:rStyle w:val="FootnoteAnchor"/>
          <w:rtl w:val="true"/>
        </w:rPr>
        <w:footnoteReference w:id="646"/>
      </w:r>
      <w:r>
        <w:rPr>
          <w:rFonts w:ascii="IRNazanin" w:hAnsi="IRNazanin" w:eastAsia="IRNazanin"/>
          <w:color w:val="111111"/>
          <w:sz w:val="28"/>
          <w:sz w:val="28"/>
          <w:szCs w:val="28"/>
          <w:rtl w:val="true"/>
          <w:lang w:bidi="fa-IR"/>
        </w:rPr>
        <w:t>بناءً علی شمول الآیة لما نحن فیه، و تمام الکلام فی مباحث البراءة</w:t>
      </w:r>
      <w:r>
        <w:rPr>
          <w:rStyle w:val="FootnoteAnchor"/>
          <w:rtl w:val="true"/>
        </w:rPr>
        <w:footnoteReference w:id="647"/>
      </w:r>
      <w:r>
        <w:rPr>
          <w:rFonts w:ascii="IRNazanin" w:hAnsi="IRNazanin" w:eastAsia="IRNazanin"/>
          <w:color w:val="111111"/>
          <w:sz w:val="28"/>
          <w:sz w:val="28"/>
          <w:szCs w:val="28"/>
          <w:rtl w:val="true"/>
          <w:lang w:bidi="fa-IR"/>
        </w:rPr>
        <w:t>و الفقه إن شاء اللَّه تعالی</w:t>
      </w:r>
      <w:r>
        <w:rPr>
          <w:rFonts w:eastAsia="IRNazanin" w:cs="IRNazanin"/>
          <w:color w:val="111111"/>
          <w:sz w:val="28"/>
          <w:szCs w:val="28"/>
          <w:rtl w:val="true"/>
          <w:lang w:bidi="fa-IR"/>
        </w:rPr>
        <w:t>.</w:t>
      </w:r>
      <w:bookmarkStart w:id="498" w:name="pg13163_143158"/>
    </w:p>
    <w:p>
      <w:pPr>
        <w:pStyle w:val="Heading6"/>
        <w:numPr>
          <w:ilvl w:val="5"/>
          <w:numId w:val="1"/>
        </w:numPr>
        <w:rPr/>
      </w:pPr>
      <w:bookmarkStart w:id="499" w:name="__RefHeading___Toc533941_3244359995"/>
      <w:bookmarkStart w:id="500" w:name="_Toc188"/>
      <w:bookmarkEnd w:id="498"/>
      <w:bookmarkEnd w:id="499"/>
      <w:r>
        <w:rPr>
          <w:rtl w:val="true"/>
        </w:rPr>
        <w:t>الجهة الثانیة</w:t>
      </w:r>
      <w:r>
        <w:rPr>
          <w:rtl w:val="true"/>
        </w:rPr>
        <w:t xml:space="preserve">: </w:t>
      </w:r>
      <w:r>
        <w:rPr>
          <w:rtl w:val="true"/>
        </w:rPr>
        <w:t>فی بیان الحکم الوضعیّ و صحّة الصلاة حال الخروج</w:t>
      </w:r>
      <w:bookmarkEnd w:id="500"/>
    </w:p>
    <w:p>
      <w:pPr>
        <w:pStyle w:val="Heading6"/>
        <w:numPr>
          <w:ilvl w:val="5"/>
          <w:numId w:val="1"/>
        </w:numPr>
        <w:rPr/>
      </w:pPr>
      <w:bookmarkStart w:id="501" w:name="__RefHeading___Toc533943_3244359995"/>
      <w:bookmarkStart w:id="502" w:name="_Toc189"/>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أی فی مسألة الصلاة حال التصرّف الاضطراریّ، و منها یتبیّن حال سائر الشرعیّات العبادیّة من الوضوء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الوجوه و الاحتمالات بل و الأقوال فی هذه المسألة أیضا کثیرة، و حیث إنّ جلاًّ من البحث قد مضی تفصیله عند ذکر ثمرة بحث الاجتماع و الامتناع </w:t>
      </w:r>
      <w:r>
        <w:rPr>
          <w:rStyle w:val="FootnoteAnchor"/>
          <w:rtl w:val="true"/>
        </w:rPr>
        <w:footnoteReference w:id="648"/>
      </w:r>
      <w:r>
        <w:rPr>
          <w:rFonts w:ascii="IRNazanin" w:hAnsi="IRNazanin" w:eastAsia="IRNazanin"/>
          <w:color w:val="111111"/>
          <w:sz w:val="28"/>
          <w:sz w:val="28"/>
          <w:szCs w:val="28"/>
          <w:rtl w:val="true"/>
          <w:lang w:bidi="fa-IR"/>
        </w:rPr>
        <w:t>، فلا یهمّنا الغور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نشیر إلی طائفة من الکلام حولها، و هی تتبیّن من ذکر ما هو الحقّ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التحقیق صحّة الصلاة حال التصرّف الاضطراریّ، سواء قلنا بحرمة التصرّف الاضطراریّ، أو قلنا بمبغوضیّته و إجراء حکم المعصیة علیه، أو لم نقل بکلّ واحد من الوجهین، و سواء کان الاضطرار بسوء الاختیار، أم لم یکن کذلک، و سواء کان الوقت موسّعاً أو مضیّقاً، و سواء کان الضیق إلی حدّ یمنع عن صلاة المختار بعد رفع الاضطرار، أو لا یکون إلی ذلک الحدّ، و لا یتمکّن إلاّ من الصلاة مومئاً للرکوع و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الصور و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 القول بالبطلان فی جمیع الحالات، و القول بالتفصیل، و هو کثیر؛ لاختلاف صور المسألة التی یمکن أن یختار شخص إحداها، کما هو الواضح الظاهر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قبل الخوض فی جوهر المسألة، لا بدّ من الإیماء إلی محطّ البحث فی هذه المرحلة من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المفروض من البحث، صورة کون الصلاة حال التصرّف الاضطراریّ، فلو خرج عن ذلک حتّی یکون من التصرّف غیر الاضطراریّ</w:t>
      </w:r>
    </w:p>
    <w:p>
      <w:pPr>
        <w:pStyle w:val="BookText"/>
        <w:rPr/>
      </w:pPr>
      <w:r>
        <w:rPr>
          <w:rFonts w:ascii="IRNazanin" w:hAnsi="IRNazanin" w:eastAsia="IRNazanin"/>
          <w:color w:val="111111"/>
          <w:sz w:val="28"/>
          <w:sz w:val="28"/>
          <w:szCs w:val="28"/>
          <w:rtl w:val="true"/>
          <w:lang w:bidi="fa-IR"/>
        </w:rPr>
        <w:t>فهو بحث لا یهمّنا؛ لما مرّ الکلام حول صحّة الصلاة فی المغصوبة مع المندوحة</w:t>
      </w:r>
      <w:r>
        <w:rPr>
          <w:rStyle w:val="FootnoteAnchor"/>
          <w:rtl w:val="true"/>
        </w:rPr>
        <w:footnoteReference w:id="649"/>
      </w:r>
      <w:r>
        <w:rPr>
          <w:rFonts w:ascii="IRNazanin" w:hAnsi="IRNazanin" w:eastAsia="IRNazanin"/>
          <w:color w:val="111111"/>
          <w:sz w:val="28"/>
          <w:sz w:val="28"/>
          <w:szCs w:val="28"/>
          <w:rtl w:val="true"/>
          <w:lang w:bidi="fa-IR"/>
        </w:rPr>
        <w:t>، فلو کانت الصلاة موجبة؛ لتأخّره فی الخروج عن المغصوبة، فهو خارج عن الجهة التی هی مورد کلامنا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التصرّفات الرکوعیّة و السجودیّة، توجب طبعاً التأخیر عن الفراغ عن المغصوب، فلا بدّ و أن تکون بنحو الإیماء، و یکون من کان تکلیفه جواز الإیماء مورد البحث هنا، و إلاّ فمع کون المأمور به هی صلاة المختار، و کان الوقت واسعاً للإتیان بها بعد الفراغ عن المغصوب، فهو أیضا خارج عن الجهة المبحوث عنها هنا، فلا ینبغی الخلط فیما هو محلّ الکلام فی المقام، و ما کان مورد البحث عند ذکر ثمرة مسألة الاجتماع و الامتناع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الممکن دعوی إمکان تصوّر الإتیان بصلاة المختار، من غیر لزوم الزیادة علی التصرّف الاضطراریّ، و هو فیما إذا کانت السفینة فی المیاه المغصوبة، فإنّ الصلاة الاختیاریّة علی السفینة لا تزید علی التصرّف الاضطراریّ بشی‌ء کما هو الواضح، لأنّه فی حال الرکوع و السجود مشغول بالفراغ، و لا یمکث فی المغصوب بالاختیار، هذا إذا کانت السفینة غیر 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مغصوبةً، فهل الهیئات الرکوعیّة و السجودیّة و القعودیّة تعدّ من التصرّف الزائد علی الهیئة القیامیّة، و هکذا الهیئة القیامیّة تزید علی القعودیّة، أم لا؟</w:t>
      </w:r>
    </w:p>
    <w:p>
      <w:pPr>
        <w:pStyle w:val="BookText"/>
        <w:rPr/>
      </w:pPr>
      <w:r>
        <w:rPr>
          <w:rFonts w:ascii="IRNazanin" w:hAnsi="IRNazanin" w:eastAsia="IRNazanin"/>
          <w:color w:val="111111"/>
          <w:sz w:val="28"/>
          <w:sz w:val="28"/>
          <w:szCs w:val="28"/>
          <w:rtl w:val="true"/>
          <w:lang w:bidi="fa-IR"/>
        </w:rPr>
        <w:t>و جهان أو وجوه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العرف و العقل، کما عن بعض الأعلام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503" w:name="pg13163_143160"/>
    </w:p>
    <w:p>
      <w:pPr>
        <w:pStyle w:val="BookText"/>
        <w:rPr/>
      </w:pPr>
      <w:bookmarkEnd w:id="503"/>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یزید عرفاً و لا عقلاً</w:t>
      </w:r>
      <w:r>
        <w:rPr>
          <w:rStyle w:val="FootnoteAnchor"/>
          <w:rtl w:val="true"/>
        </w:rPr>
        <w:footnoteReference w:id="652"/>
      </w:r>
      <w:r>
        <w:rPr>
          <w:rFonts w:ascii="IRNazanin" w:hAnsi="IRNazanin" w:eastAsia="IRNazanin"/>
          <w:color w:val="111111"/>
          <w:sz w:val="28"/>
          <w:sz w:val="28"/>
          <w:szCs w:val="28"/>
          <w:rtl w:val="true"/>
          <w:lang w:bidi="fa-IR"/>
        </w:rPr>
        <w:t>، و تمام الکلام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حسب نظر العقل لیست کما أفتی بها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أتباعه </w:t>
      </w:r>
      <w:r>
        <w:rPr>
          <w:rStyle w:val="FootnoteAnchor"/>
          <w:rtl w:val="true"/>
        </w:rPr>
        <w:footnoteReference w:id="653"/>
      </w:r>
      <w:r>
        <w:rPr>
          <w:rFonts w:ascii="IRNazanin" w:hAnsi="IRNazanin" w:eastAsia="IRNazanin"/>
          <w:color w:val="111111"/>
          <w:sz w:val="28"/>
          <w:sz w:val="28"/>
          <w:szCs w:val="28"/>
          <w:rtl w:val="true"/>
          <w:lang w:bidi="fa-IR"/>
        </w:rPr>
        <w:t>لاختلاف الأجسام سعةً و ضیقاً حسب الحجم و اشتغال الخلإ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للعرف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التصرّفات الفضائیّة لیست من التصرّف، أو تکون مورد انصراف أدلّة التحریم، و ما هو المحرّم من التصرّف هو التصرّف الحاصل من المماسّة، فیکون حال القیام التصرّف أقلّ من حال الجلوس، و هو من حال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یهمّنا فی المقام، بل النّظر هنا إلی أنّ من الممکن أن یکون المکلّف، قادراً علی الصلاة الاختیاریّة حال التصرّف الاضطراریّ، من غیر زیادة علی التصرّف الاضطراریّ، و هذا کما یتصوّر فی المثال الأوّل یتصوّر فی المثال الثانی، علی خلاف فیه بین الأعلام فی مسألة المحبوس فی الأرض المغصوبة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4" w:name="__RefHeading___Toc533945_3244359995"/>
      <w:bookmarkStart w:id="505" w:name="_Toc190"/>
      <w:bookmarkEnd w:id="504"/>
      <w:r>
        <w:rPr>
          <w:rtl w:val="true"/>
        </w:rPr>
        <w:t>تنبیه</w:t>
      </w:r>
      <w:r>
        <w:rPr>
          <w:rtl w:val="true"/>
        </w:rPr>
        <w:t xml:space="preserve">: </w:t>
      </w:r>
      <w:r>
        <w:rPr>
          <w:rtl w:val="true"/>
        </w:rPr>
        <w:t>فی لزوم اتخاذ أقصر الطرق فی المغصوب و أسرع الحرکة</w:t>
      </w:r>
      <w:bookmarkEnd w:id="505"/>
    </w:p>
    <w:p>
      <w:pPr>
        <w:pStyle w:val="BookText"/>
        <w:rPr/>
      </w:pPr>
      <w:r>
        <w:rPr>
          <w:rFonts w:ascii="IRNazanin" w:hAnsi="IRNazanin" w:eastAsia="IRNazanin"/>
          <w:color w:val="111111"/>
          <w:sz w:val="28"/>
          <w:sz w:val="28"/>
          <w:szCs w:val="28"/>
          <w:rtl w:val="true"/>
          <w:lang w:bidi="fa-IR"/>
        </w:rPr>
        <w:t>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اضطرّ إلی التصرّف المحرّم، لا بدّ و أن یلاحظ حسب العقل أقصر الطرق بأسرع حرکة، حتّی یفرغ من المغصوب فی أوّل الأزمنة الممکنة؛ ضرورة أنّ ما زاد علی هذا المقدار من الزمان لیس من التصرّف الاضطراریّ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یتمکّن من الفراغ عن المغصوب فی ساعة، لا بدّ من أن یخرج منها فی تلک الساعة، فلو بقی فیها بالمکث کان، أو بالبطء، أو بانحراف المسیر،</w:t>
      </w:r>
      <w:bookmarkStart w:id="506" w:name="pg13163_143161"/>
    </w:p>
    <w:p>
      <w:pPr>
        <w:pStyle w:val="BookText"/>
        <w:rPr/>
      </w:pPr>
      <w:bookmarkEnd w:id="506"/>
      <w:r>
        <w:rPr>
          <w:rFonts w:ascii="IRNazanin" w:hAnsi="IRNazanin" w:eastAsia="IRNazanin"/>
          <w:color w:val="111111"/>
          <w:sz w:val="28"/>
          <w:sz w:val="28"/>
          <w:szCs w:val="28"/>
          <w:rtl w:val="true"/>
          <w:lang w:bidi="fa-IR"/>
        </w:rPr>
        <w:t>فهو لیس من التصرّف الاضطراریّ حسب العقل و المحاسبة العلمیّة، فیکون الزائد غیر مرفوع بحدیث نفی الاضطرار و تحلیل ما اضطرّ إلیه ابن آدم، فلو صلّی فی هذه الحالة صلاة فهی محلّ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الصلاة الممکنة فی هذه الحالة، یمکن أن تکون من المندوبات، فتکون اختیاریّة مندوبة، و یمکن أن تکون من الواجبات بالنذر، کما إذا نذر الصلاة بأیّ نحو شاء أن یأتی بها، و کانت مشروعة، و یمکن أن تکون من الواجبات الاختیاریّة، کما فی المثالین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مثال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من کان فی الحساب المذکور مضطرّاً إلی التصرّف فی ساعة؛ إذا صرف تلک الساعة فی التصرّف الصلاتیّ التامّ و فی صلاة المختار، یکون الکون الصلاتیّ من الکون الاضطراریّ، و یکون التصرّف الزائد علی الساعة من التصرّف غیر الاضطراریّ، أو الاضطراریّ بسوء الاختیار، فلا یکون معذوراً بالنسبة إلی ما زاد علی الساعة المصروفة فی الإتیان بصلاة المختار، فلیتأمّل جیّداً</w:t>
      </w:r>
      <w:r>
        <w:rPr>
          <w:rFonts w:eastAsia="IRNazanin" w:cs="IRNazanin"/>
          <w:color w:val="111111"/>
          <w:sz w:val="28"/>
          <w:szCs w:val="28"/>
          <w:rtl w:val="true"/>
          <w:lang w:bidi="fa-IR"/>
        </w:rPr>
        <w:t>.</w:t>
      </w:r>
    </w:p>
    <w:p>
      <w:pPr>
        <w:pStyle w:val="Heading6"/>
        <w:numPr>
          <w:ilvl w:val="5"/>
          <w:numId w:val="1"/>
        </w:numPr>
        <w:rPr/>
      </w:pPr>
      <w:bookmarkStart w:id="507" w:name="__RefHeading___Toc533947_3244359995"/>
      <w:bookmarkStart w:id="508" w:name="_Toc191"/>
      <w:bookmarkEnd w:id="507"/>
      <w:r>
        <w:rPr>
          <w:rtl w:val="true"/>
        </w:rPr>
        <w:t>صحّة العبادة حال الاضطرار و لو کان بسوء الاختیار</w:t>
      </w:r>
      <w:bookmarkEnd w:id="508"/>
    </w:p>
    <w:p>
      <w:pPr>
        <w:pStyle w:val="BookText"/>
        <w:rPr/>
      </w:pPr>
      <w:r>
        <w:rPr>
          <w:rFonts w:ascii="IRNazanin" w:hAnsi="IRNazanin" w:eastAsia="IRNazanin"/>
          <w:color w:val="111111"/>
          <w:sz w:val="28"/>
          <w:sz w:val="28"/>
          <w:szCs w:val="28"/>
          <w:rtl w:val="true"/>
          <w:lang w:bidi="fa-IR"/>
        </w:rPr>
        <w:t>إذا عرفت مصبّ الکلام، و محلّ النقض و الإبرام، و محطّ النفی و الإثبات من الأعلام، فلیعلم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العبادة سواء کانت من قبیل الصلاة، أو کانت کالوضوء حال الخروج فی السفینة و القطار المارّ علی الأرض المغصوبة، کما هو الکثیر الابتلاء فی هذه الأدوار، صحیحة مقبولة عندنا إن شاء اللَّه تعالی؛ و ذلک لأنّ فی جمیع صور المسألة إمّا لا یکون نهی و لا مبغوض، أو یکون النهی، أو لا یکون النهی، و لکن یوجد بغض المولی بالنسبة إلی التصرّف، و علی کلّ حال لا یکون متعلّق النهی و البغض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اجتماع الأمر و النهی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یتوهّم وجه لتخیّل بطلانها إلاّ علی القول بالامتناع مع وجود النهی، أو</w:t>
      </w:r>
    </w:p>
    <w:p>
      <w:pPr>
        <w:pStyle w:val="BookText"/>
        <w:rPr/>
      </w:pPr>
      <w:r>
        <w:rPr>
          <w:rFonts w:ascii="IRNazanin" w:hAnsi="IRNazanin" w:eastAsia="IRNazanin"/>
          <w:color w:val="111111"/>
          <w:sz w:val="28"/>
          <w:sz w:val="28"/>
          <w:szCs w:val="28"/>
          <w:rtl w:val="true"/>
          <w:lang w:bidi="fa-IR"/>
        </w:rPr>
        <w:t>القول بامتناع اجتماع المأمور به مع المبغوض و لو کان غیر المنهی عنه بالنهی الفعلیّ، أو القول بامتناع التقرّب بما فیه المفسدة و إن لم یکن مورد البغض، و الکلّ باطل عاطل، و قد فرغنا عن فساده، و لا سیّما الأخیر</w:t>
      </w:r>
      <w:r>
        <w:rPr>
          <w:rStyle w:val="FootnoteAnchor"/>
          <w:rtl w:val="true"/>
        </w:rPr>
        <w:footnoteReference w:id="655"/>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یتمّ من غیر فرق بین کون المکلّف، متمکّناً من الإتیان بالصلاة التامّة بعد الفراغ من التصرّف فی الأرض المغصوبة، أو کان غیر متمکّن إلاّ من صلاة الإیماء و الإشارة، فإنّ وجود المندوحة لا یضرّ بصحّة الصلاة المقرونة بالنهی و المفسدة؛ حسب جواز اجتماع الأمر و النهی، و جواز اجتماع الحبّ و البغض، و المقرّب و المبعّد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التصرّف الاضطراریّ إمّا محرّم فعلاً بالخطابات الأوّلیة، کما هو المختار، و یکون غیر مرفوع بحدیث الرفع، فیلزم اجتماع الأمر و النهی، أو یکون مرفوعاً، أو لا یکون محرّماً و لا مبغوضاً، فلا وجه لبطلان الصلاة إلاّ توهّم اشتمالها علی المفسدة</w:t>
      </w:r>
      <w:r>
        <w:rPr>
          <w:rStyle w:val="FootnoteAnchor"/>
          <w:rtl w:val="true"/>
        </w:rPr>
        <w:footnoteReference w:id="656"/>
      </w:r>
      <w:r>
        <w:rPr>
          <w:rFonts w:ascii="IRNazanin" w:hAnsi="IRNazanin" w:eastAsia="IRNazanin"/>
          <w:color w:val="111111"/>
          <w:sz w:val="28"/>
          <w:sz w:val="28"/>
          <w:szCs w:val="28"/>
          <w:rtl w:val="true"/>
          <w:lang w:bidi="fa-IR"/>
        </w:rPr>
        <w:t>، و لو کان الأمر کما توهّم یلزم بطلان الصلاة فی کثیر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مبغوضاً و معصیةً حکماً أو واقعاً، فیلزم اجتماع المبغوض و المحبوب المأمور به علی العنوانین، أو یکون التصرّف محرّماً للمتوسط بسوء الاختیار، فالأمر کما تحرّر، و غیر محرّم من المتوسّط لا بسوء الاختیار، فالأمر کذلک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تصیر النتیجة علی هذا کلّه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صحّة العبادة المأتیّ بها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مواضع الاشتباه، و یظهر أنّ تکثیر الصور لیس من الأمر اللازم فی البحث، و اللَّه هو الموفّق المؤیّد</w:t>
      </w:r>
      <w:r>
        <w:rPr>
          <w:rFonts w:eastAsia="IRNazanin" w:cs="IRNazanin"/>
          <w:color w:val="111111"/>
          <w:sz w:val="28"/>
          <w:szCs w:val="28"/>
          <w:rtl w:val="true"/>
          <w:lang w:bidi="fa-IR"/>
        </w:rPr>
        <w:t>.</w:t>
      </w:r>
      <w:bookmarkStart w:id="509" w:name="pg13163_143163"/>
    </w:p>
    <w:p>
      <w:pPr>
        <w:pStyle w:val="Heading6"/>
        <w:numPr>
          <w:ilvl w:val="5"/>
          <w:numId w:val="1"/>
        </w:numPr>
        <w:rPr/>
      </w:pPr>
      <w:bookmarkStart w:id="510" w:name="__RefHeading___Toc533949_3244359995"/>
      <w:bookmarkStart w:id="511" w:name="_Toc192"/>
      <w:bookmarkEnd w:id="509"/>
      <w:bookmarkEnd w:id="510"/>
      <w:r>
        <w:rPr>
          <w:rtl w:val="true"/>
        </w:rPr>
        <w:t>تنبیه</w:t>
      </w:r>
      <w:r>
        <w:rPr>
          <w:rtl w:val="true"/>
        </w:rPr>
        <w:t xml:space="preserve">: </w:t>
      </w:r>
      <w:r>
        <w:rPr>
          <w:rtl w:val="true"/>
        </w:rPr>
        <w:t>عدم صحّة العبادة مع المندوحة أو العجز العقلی</w:t>
      </w:r>
      <w:bookmarkEnd w:id="511"/>
    </w:p>
    <w:p>
      <w:pPr>
        <w:pStyle w:val="BookText"/>
        <w:rPr/>
      </w:pPr>
      <w:r>
        <w:rPr>
          <w:rFonts w:ascii="IRNazanin" w:hAnsi="IRNazanin" w:eastAsia="IRNazanin"/>
          <w:color w:val="111111"/>
          <w:sz w:val="28"/>
          <w:sz w:val="28"/>
          <w:szCs w:val="28"/>
          <w:rtl w:val="true"/>
          <w:lang w:bidi="fa-IR"/>
        </w:rPr>
        <w:t>إذا کان الوقت واسعاً للفراغ من التصرّف و الإتیان بالواجب الاختیاریّ،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التصرّف إمّا لیس بحرام، أو تکون حرمته مرفوعة و لو کان بسوء الاختیار، و لا یکون مبغوضاً، فلا منع من صحّة العبادة حال التصرّف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 بحرمته حسب الأدلّة الأوّلیة، و عدم ارتفاعها بالأدلّة الثانویّة؛ لانصرافها عن التصرّف بسوء الاختیار، أو عن الاضطرار العقلیّ، و هکذا علی القول بجریان حکم المعصیة علیه، تشکل الصحّة؛ لأنّ مع وجود المندوحة یکون الإجزاء مشکلاً؛ لما تقرّر منّا فی تنبیهات التعبّدی و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الاجتزاء بالمصداق المحرّم غیر جائز</w:t>
      </w:r>
      <w:r>
        <w:rPr>
          <w:rStyle w:val="FootnoteAnchor"/>
          <w:rtl w:val="true"/>
        </w:rPr>
        <w:footnoteReference w:id="657"/>
      </w:r>
      <w:r>
        <w:rPr>
          <w:rFonts w:ascii="Amiri" w:hAnsi="Amiri" w:eastAsia="Amiri" w:cs="Amiri"/>
          <w:color w:val="111111"/>
          <w:sz w:val="28"/>
          <w:sz w:val="28"/>
          <w:szCs w:val="28"/>
          <w:rtl w:val="true"/>
          <w:lang w:bidi="ar-SA"/>
        </w:rPr>
        <w:t>، خلافاً لما یظهر من السیّد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صحّة الصلاة مشکلة فی صورة کون الاضطرار لا بسوء الاختیار، و کان التحریم فعلیّاً و غیر مرفوع بالأدلّة الثانویّة؛ لانصرافها عن العجز العقلیّ، و ذلک لأنّ مجرّد کونه معذوراً فی التصرّف الاضطراریّ، لا یکفی للحکم بجواز الاکتفاء بالمصداق المحرّم؛ لأنّه لا یخرج بالمعذوریّة عن الحرمة الفعلیّة،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المبغوضیّة و إجراء حکم المعصیة، لا یورث کون المصداق مصداق المحرّم حتّی لا یجزئ، فی غیر محلّه؛ لعدم الخصوصیّة لوصف الحرمة، بل الحاکم هو العرف، فلو کان العبد قادراً علی تسلیم المصداق المباح غیر المقرون بالمبغوض یتعیّن علیه؛ لانصراف الأدلّة الآمرة إلی المصادیق المباحة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صورة العجز عن تسلیم المصداق المباح، یقع التزاحم بین الحرام</w:t>
      </w:r>
    </w:p>
    <w:p>
      <w:pPr>
        <w:pStyle w:val="BookText"/>
        <w:rPr/>
      </w:pPr>
      <w:r>
        <w:rPr>
          <w:rFonts w:ascii="IRNazanin" w:hAnsi="IRNazanin" w:eastAsia="IRNazanin"/>
          <w:color w:val="111111"/>
          <w:sz w:val="28"/>
          <w:sz w:val="28"/>
          <w:szCs w:val="28"/>
          <w:rtl w:val="true"/>
          <w:lang w:bidi="fa-IR"/>
        </w:rPr>
        <w:t>و الواجب، أو بین المبغوض و الواجب، و لا بدّ حینئذٍ من علاج المسألة بما یعالج به المتزاحمات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 إذا کان یشتغل بالخروج و التخلّص، لا یتمکّن من الصلاة و لو برکعة إیمائیّة، فإنّه لا یبعد تعیّن التصرّف؛ لأنّ الصلاة أهمّ من ترک التصرّف بالمقدار الزائد، فضلاً عمّا إذا لم یکن یستلزم زیادة التصرّف، و أمّا فی غیر هذه الصورة فلا وضوح 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حول هذه الجهة خارج عمّا هو المقصود بالبحث؛ و هی صحّة الصلاة و لا صحّتها حال التصرّف الاضطراریّ، و لا ینبغی الخلط و إطالة الکلام فیما لا یعنی، و اللَّه العالم بحقائق الأُمور</w:t>
      </w:r>
      <w:r>
        <w:rPr>
          <w:rFonts w:eastAsia="IRNazanin" w:cs="IRNazanin"/>
          <w:color w:val="111111"/>
          <w:sz w:val="28"/>
          <w:szCs w:val="28"/>
          <w:rtl w:val="true"/>
          <w:lang w:bidi="fa-IR"/>
        </w:rPr>
        <w:t>.</w:t>
      </w:r>
      <w:bookmarkStart w:id="512" w:name="pg13163_143166"/>
    </w:p>
    <w:p>
      <w:pPr>
        <w:pStyle w:val="Heading3"/>
        <w:numPr>
          <w:ilvl w:val="2"/>
          <w:numId w:val="1"/>
        </w:numPr>
        <w:rPr/>
      </w:pPr>
      <w:bookmarkStart w:id="513" w:name="__RefHeading___Toc533951_3244359995"/>
      <w:bookmarkStart w:id="514" w:name="_Toc193"/>
      <w:bookmarkEnd w:id="512"/>
      <w:bookmarkEnd w:id="513"/>
      <w:r>
        <w:rPr>
          <w:rtl w:val="true"/>
        </w:rPr>
        <w:t>المبحث الثالث دلالة النهی علی الفساد</w:t>
      </w:r>
      <w:bookmarkEnd w:id="51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5" w:name="__RefHeading___Toc533953_3244359995"/>
      <w:bookmarkStart w:id="516" w:name="_Toc194"/>
      <w:bookmarkEnd w:id="515"/>
      <w:r>
        <w:rPr>
          <w:rtl w:val="true"/>
        </w:rPr>
        <w:t>اشارة</w:t>
      </w:r>
      <w:bookmarkStart w:id="517" w:name="pg13163_143168"/>
      <w:bookmarkEnd w:id="516"/>
    </w:p>
    <w:p>
      <w:pPr>
        <w:pStyle w:val="BookText"/>
        <w:rPr/>
      </w:pPr>
      <w:bookmarkEnd w:id="517"/>
      <w:r>
        <w:rPr>
          <w:rFonts w:ascii="IRNazanin" w:hAnsi="IRNazanin" w:eastAsia="IRNazanin"/>
          <w:color w:val="111111"/>
          <w:sz w:val="28"/>
          <w:sz w:val="28"/>
          <w:szCs w:val="28"/>
          <w:rtl w:val="true"/>
          <w:lang w:bidi="fa-IR"/>
        </w:rPr>
        <w:t>و قبل الخوض فی المسألة لا بدّ من الإشارة إلی أُمور</w:t>
      </w:r>
      <w:r>
        <w:rPr>
          <w:rFonts w:eastAsia="IRNazanin" w:cs="IRNazanin"/>
          <w:color w:val="111111"/>
          <w:sz w:val="28"/>
          <w:szCs w:val="28"/>
          <w:rtl w:val="true"/>
          <w:lang w:bidi="fa-IR"/>
        </w:rPr>
        <w:t>:</w:t>
      </w:r>
    </w:p>
    <w:p>
      <w:pPr>
        <w:pStyle w:val="Heading4"/>
        <w:numPr>
          <w:ilvl w:val="3"/>
          <w:numId w:val="1"/>
        </w:numPr>
        <w:rPr/>
      </w:pPr>
      <w:bookmarkStart w:id="518" w:name="__RefHeading___Toc533955_3244359995"/>
      <w:bookmarkStart w:id="519" w:name="_Toc195"/>
      <w:bookmarkEnd w:id="518"/>
      <w:r>
        <w:rPr>
          <w:rtl w:val="true"/>
        </w:rPr>
        <w:t>الأمر الأوّل</w:t>
      </w:r>
      <w:r>
        <w:rPr>
          <w:rtl w:val="true"/>
        </w:rPr>
        <w:t xml:space="preserve">: </w:t>
      </w:r>
      <w:r>
        <w:rPr>
          <w:rtl w:val="true"/>
        </w:rPr>
        <w:t>حول عنوان المسألة</w:t>
      </w:r>
      <w:bookmarkEnd w:id="519"/>
    </w:p>
    <w:p>
      <w:pPr>
        <w:pStyle w:val="Heading5"/>
        <w:numPr>
          <w:ilvl w:val="4"/>
          <w:numId w:val="1"/>
        </w:numPr>
        <w:rPr/>
      </w:pPr>
      <w:bookmarkStart w:id="520" w:name="__RefHeading___Toc533957_3244359995"/>
      <w:bookmarkStart w:id="521" w:name="_Toc196"/>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 xml:space="preserve">قد اشتهر فی عنوان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عن الشی‌ء هل یقتضی الفساد، أم لا؟</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تعبیر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النهی عن الشی‌ء هل یدلّ علی فساده، أم لا؟</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النهی إذا تعلّق بالعبادة أم المعاملة، هل یقتضی الفساد، أم لا؟</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الکلّ جهات من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یتوجّه إلی العنوانین الأوّلین بأنّ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محطّ الکلام بلا وجه؛ لأنّ النزاع لیس یعقل بهذا النطاق الواسع، ضرورة أنّ النواهی التحریمیّة المتعلّقة بالأکل و الشرب بالنسبة إلی أُمور معلومة فی الشرع، لیس مورد الکلام فی المقام، فأخذ العنوان المبهم الأعمّ فی محطّ النزاع غیر جائز</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العنوان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محطّ البحث أعمّ من العبادة و المعاملة و لو أُرید منها المعاملات بالمعنی الأعمّ؛ لأنّ البحث فی المقام راجع إلی أنّ النهی إذا تعلّق</w:t>
      </w:r>
    </w:p>
    <w:p>
      <w:pPr>
        <w:pStyle w:val="BookText"/>
        <w:rPr/>
      </w:pPr>
      <w:r>
        <w:rPr>
          <w:rFonts w:ascii="IRNazanin" w:hAnsi="IRNazanin" w:eastAsia="IRNazanin"/>
          <w:color w:val="111111"/>
          <w:sz w:val="28"/>
          <w:sz w:val="28"/>
          <w:szCs w:val="28"/>
          <w:rtl w:val="true"/>
          <w:lang w:bidi="fa-IR"/>
        </w:rPr>
        <w:t>بشی‌ء، هل یدلّ علی الفساد أو عدم الإجزاء؟ کما إذا تعلّق النهی فی مسألة الحدود و إجرائها بأن لا یجری الحدّ فی الخفاء، أو لا یجری الحدّ مثلاً تحت السقف، فإنّه و إن لم یدل علی الفساد، و لکنّه یمکن أن یدلّ علی عدم الإجزاء، و یدلّ علی أنّه یلزم تکراره عند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مورد البحث أمر أعمّ من العبادة و المعاملة،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عدّ مثل التذکیة من المعاملة بالمعنی الأعمّ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یتوجّه سؤال عن إمکان جعل العنوان الواحد الجامع المانع محطّ التشاحّ و مصبّ النزاع و عدمه، و سیأتی إن شاء اللَّه ما هو اللائق بذلک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الاقتضاء و الدلالة مورد المناقشة؛ لأنّ الظاهر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النهی بما هو لفظ موضوع لمعنی یقتضی ذلک، مع أنّه لا معنی لذلک إلاّ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دلالة الألفاظ ذاتیّة طبعیّة علی المدلول المطابقی، أو لا أقلّ من المدلول الالتزامیّ، و کلاهما منفیّان بما تحرّر فی محلّه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الدلالة الوضعیّة اللفظیّة، و فی المقام من یدّعی الدلالة یرید بها مطلق الملازمات العقلیّة و لو کانت خفیّة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هذا و ذلک قال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فالأولی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یعمّ الدلالات اللفظیّة، و الملازمات العقلیّة، و الخطب سهل</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بأنّ الاقتضاء الحاصل من الدلالة الالتزامیّة الحاصلة من کثرة الاستعمال، یکون من قبیل دلالة الألفاظ دلالة طبعیّة ذاتیّة؛ لأنّها خارجة</w:t>
      </w:r>
    </w:p>
    <w:p>
      <w:pPr>
        <w:pStyle w:val="BookText"/>
        <w:rPr/>
      </w:pPr>
      <w:r>
        <w:rPr>
          <w:rFonts w:ascii="IRNazanin" w:hAnsi="IRNazanin" w:eastAsia="IRNazanin"/>
          <w:color w:val="111111"/>
          <w:sz w:val="28"/>
          <w:sz w:val="28"/>
          <w:szCs w:val="28"/>
          <w:rtl w:val="true"/>
          <w:lang w:bidi="fa-IR"/>
        </w:rPr>
        <w:t>عن حدّ الواضع و وضعه، فالکلام یکون حول هذا الاقتضاء؛ و أنّ النهی هل یکون له ذلک، أم لا؟ بعد مفروغیّة عدم کونه موضوعاً للدلالة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القائل بأنّه لا یدلّ، یکون منکراً للدلالة الوضعیّة، و هذا لا ینافی إثبات الفساد من ناحیة البیّن بالمعنی الأعمّ، أو من جهات أُخر عقلیّة، فلا یلزم أن یکون مدّعی الفساد مستنداً إلی دلالة النهی، حتّی یتصرّف فی العنوان من هذه الجهة، بل لأحد أن ینکر دلالة النهی علی الفساد، دون الأُمور الأُخر الخارجة عن محیط النهی وضعاً،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یتمّ جعل عنوان الکشف محطّ البحث؛ لما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المنکرین للکشف فی الأوامر و النواهی،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إلاّ أعذاراً عرفیّة و قاطعة الحجّة فی مقام الاحتجاجات العقلائیّة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النزاع فی معنی أعمّ من الفساد و عدم الإجزاء، فإنّ کلّ شی‌ء اتصف بأنّه فاسد فهو غیر مجزٍ عن المأمور به بأمره، بخلاف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أعمّ منه؛ لما عرفت أنّ إجراء الحدّ بل إعطاء الخمس و الزکاة و سائر الکفّارات علی غیر الوجه المقرّر الشرعیّ، لا یکون مجزیاً، و ربّما لا یوصف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التذکیة أیضا لا توصف به، مع أنّ حدّ البحث أعمّ قطعاً یجی‌ء فی النهی عن الذبح بالعود، أو إلی غیر القبلة، فعلی هذا لا بدّ من مراعاة هذه الجهات فیما هو عنوان البحث</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النزاع و إن کانت أعمّ أیضا من ناحیة النهی أو ما یقوم مقامه کالجمل الإخباریّة أو من قبیل الإجماع الکاشف عن الرّأی من غیر وجود النهی اللفظیّ، إلاّ أنّ مراعاة ذلک غیر لازمة؛ لإمکان جعل موضوع البحث أخصّ، فتأمّل</w:t>
      </w:r>
      <w:r>
        <w:rPr>
          <w:rFonts w:eastAsia="IRNazanin" w:cs="IRNazanin"/>
          <w:color w:val="111111"/>
          <w:sz w:val="28"/>
          <w:szCs w:val="28"/>
          <w:rtl w:val="true"/>
          <w:lang w:bidi="fa-IR"/>
        </w:rPr>
        <w:t>.</w:t>
      </w:r>
      <w:bookmarkStart w:id="522" w:name="pg13163_143171"/>
    </w:p>
    <w:p>
      <w:pPr>
        <w:pStyle w:val="BookText"/>
        <w:rPr/>
      </w:pPr>
      <w:bookmarkEnd w:id="522"/>
      <w:r>
        <w:rPr>
          <w:rFonts w:ascii="IRNazanin" w:hAnsi="IRNazanin" w:eastAsia="IRNazanin"/>
          <w:color w:val="111111"/>
          <w:sz w:val="28"/>
          <w:sz w:val="28"/>
          <w:szCs w:val="28"/>
          <w:rtl w:val="true"/>
          <w:lang w:bidi="fa-IR"/>
        </w:rPr>
        <w:t>و إن شئت جعلت الأخیر أیضا من الشبهات الواردة علی عنوان القوم</w:t>
      </w:r>
      <w:r>
        <w:rPr>
          <w:rFonts w:eastAsia="IRNazanin" w:cs="IRNazanin"/>
          <w:color w:val="111111"/>
          <w:sz w:val="28"/>
          <w:szCs w:val="28"/>
          <w:rtl w:val="true"/>
          <w:lang w:bidi="fa-IR"/>
        </w:rPr>
        <w:t>.</w:t>
      </w:r>
    </w:p>
    <w:p>
      <w:pPr>
        <w:pStyle w:val="Heading5"/>
        <w:numPr>
          <w:ilvl w:val="4"/>
          <w:numId w:val="1"/>
        </w:numPr>
        <w:rPr/>
      </w:pPr>
      <w:bookmarkStart w:id="523" w:name="__RefHeading___Toc533959_3244359995"/>
      <w:bookmarkStart w:id="524" w:name="_Toc197"/>
      <w:bookmarkEnd w:id="523"/>
      <w:r>
        <w:rPr>
          <w:rtl w:val="true"/>
        </w:rPr>
        <w:t>حلّ الشبهات الثلاثة السابقة</w:t>
      </w:r>
      <w:bookmarkEnd w:id="524"/>
    </w:p>
    <w:p>
      <w:pPr>
        <w:pStyle w:val="BookText"/>
        <w:rPr/>
      </w:pPr>
      <w:r>
        <w:rPr>
          <w:rFonts w:ascii="IRNazanin" w:hAnsi="IRNazanin" w:eastAsia="IRNazanin"/>
          <w:color w:val="111111"/>
          <w:sz w:val="28"/>
          <w:sz w:val="28"/>
          <w:szCs w:val="28"/>
          <w:rtl w:val="true"/>
          <w:lang w:bidi="fa-IR"/>
        </w:rPr>
        <w:t>إذا تبیّن ذلک و مواقف المناقشة، فیمکن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فی العبادات و المعاملات، و فی خصوص النهی، و فی خصوص الصحّة و الفساد، یغنی عن سائر الموضوعات الأُخر التی یمکن أن یکون للنهی هناک استتباع الوضع و عدم الإجزاء، و یلتحق بالجهة المبحوث عنها غیرها ممّا یسانخها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أنّ النهی حسب الأصل المحرّر الأوّلی، لیس إلاّ للزجر عن الطبیعة الملازم عرفاً للتحریم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یکون هناک أصل آخر علی أنّ النهی یستتبع أمراً وضعیّاً و جهة وضعیّة؛ و هی الفساد و عدم الإجزاء، أم لا؟</w:t>
      </w:r>
    </w:p>
    <w:p>
      <w:pPr>
        <w:pStyle w:val="BookText"/>
        <w:rPr/>
      </w:pPr>
      <w:r>
        <w:rPr>
          <w:rFonts w:ascii="IRNazanin" w:hAnsi="IRNazanin" w:eastAsia="IRNazanin"/>
          <w:color w:val="111111"/>
          <w:sz w:val="28"/>
          <w:sz w:val="28"/>
          <w:szCs w:val="28"/>
          <w:rtl w:val="true"/>
          <w:lang w:bidi="fa-IR"/>
        </w:rPr>
        <w:t>أو أنّ النهی یقتضی أو یدلّ علی أنّ المنهیّ عنه غیر کاف، أم لا؟</w:t>
      </w:r>
    </w:p>
    <w:p>
      <w:pPr>
        <w:pStyle w:val="BookText"/>
        <w:rPr/>
      </w:pPr>
      <w:r>
        <w:rPr>
          <w:rFonts w:ascii="IRNazanin" w:hAnsi="IRNazanin" w:eastAsia="IRNazanin"/>
          <w:color w:val="111111"/>
          <w:sz w:val="28"/>
          <w:sz w:val="28"/>
          <w:szCs w:val="28"/>
          <w:rtl w:val="true"/>
          <w:lang w:bidi="fa-IR"/>
        </w:rPr>
        <w:t>أو هل یستکشف به عدم صحّة الاکتفاء و الاجتزاء بالمنهیّ عنه عن الموضوع الّذی لم یتعلّق به النهی عبادةً کانت أو معاملة أو غیر هما ممّا یمکن أن یستتبع النهی هناک جهة وضعیّة کما فی الأمثلة المزبورة، أم لا؟</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ما هو المقصود بالذات فی البحث عن دلالة النهی علی الفساد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الأولی جعل عنوان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هل یستتبع الحکم الوضعیّ کالفساد و عدم الإجزاء،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إفادة أنّ النّظر یکون إلی ذات النهی، و لا خصوصیّة لأمر آخر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تعلّقه بموضوع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مستتبعاً للحکم الوضعیّ، فهو لیس من دلالة النهی، و لا من اقتضائه الذاتیّ بالوضع؛ ضرورة أنّه لا وضع للمرکّبات، بل هو أمر</w:t>
      </w:r>
      <w:bookmarkStart w:id="525" w:name="pg13163_143172"/>
    </w:p>
    <w:p>
      <w:pPr>
        <w:pStyle w:val="BookText"/>
        <w:rPr/>
      </w:pPr>
      <w:bookmarkEnd w:id="525"/>
      <w:r>
        <w:rPr>
          <w:rFonts w:ascii="IRNazanin" w:hAnsi="IRNazanin" w:eastAsia="IRNazanin"/>
          <w:color w:val="111111"/>
          <w:sz w:val="28"/>
          <w:sz w:val="28"/>
          <w:szCs w:val="28"/>
          <w:rtl w:val="true"/>
          <w:lang w:bidi="fa-IR"/>
        </w:rPr>
        <w:t>یستند إلیه لأجل جهة خارجیّة؛ من کثرة الاستعمال و نحوها فی الهیئات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لا خلاف فی عدم دلالة النهی بما هو علی الفساد، و لا یستتبع الحکم الوضعیّ؛ ضرورة أنّ النواهی المتعلّقة بالأکل و الشرب لا تدلّ إلاّ علی جهة تکلیفیّة مثلاً، فعلیه لا بدّ و أن یکون العنوان من هذه الجهة أخصّ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النهی إذا تعلّق بالعبادة أو المعاملة أو ما یکون مثلها، هل یستتبع الحکم الوضعیّ کالفساد و عدم الإجزاء،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مثل الأخماس و الزکوات أو الکفّارات المالیّة، لا تعدّ عبادة حسب النّظر البدویّ؛ و إن کانت 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الأعمّ من ذلک کلّه فی بعض الأخبار</w:t>
      </w:r>
      <w:r>
        <w:rPr>
          <w:rStyle w:val="FootnoteAnchor"/>
          <w:rtl w:val="true"/>
        </w:rPr>
        <w:footnoteReference w:id="667"/>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تعالی بشی‌ء مثل البداء</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526" w:name="__RefHeading___Toc533961_3244359995"/>
      <w:bookmarkStart w:id="527" w:name="_Toc198"/>
      <w:bookmarkEnd w:id="526"/>
      <w:r>
        <w:rPr>
          <w:rtl w:val="true"/>
        </w:rPr>
        <w:t>الأمر الثانی</w:t>
      </w:r>
      <w:r>
        <w:rPr>
          <w:rtl w:val="true"/>
        </w:rPr>
        <w:t xml:space="preserve">: </w:t>
      </w:r>
      <w:r>
        <w:rPr>
          <w:rtl w:val="true"/>
        </w:rPr>
        <w:t>فی أُصولیّة المسألة و فرقها عن مسألة الاجتماع</w:t>
      </w:r>
      <w:bookmarkEnd w:id="527"/>
    </w:p>
    <w:p>
      <w:pPr>
        <w:pStyle w:val="BookText"/>
        <w:rPr/>
      </w:pPr>
      <w:r>
        <w:rPr>
          <w:rFonts w:ascii="IRNazanin" w:hAnsi="IRNazanin" w:eastAsia="IRNazanin"/>
          <w:color w:val="111111"/>
          <w:sz w:val="28"/>
          <w:sz w:val="28"/>
          <w:szCs w:val="28"/>
          <w:rtl w:val="true"/>
          <w:lang w:bidi="fa-IR"/>
        </w:rPr>
        <w:t xml:space="preserve">قد مرّ فی مقدّمات بحث الاجتماع، کلام وافر منّا حول وجه اشتباه هذه المسألة بالمسألة السابقة، و بیان الفرق بینهما بما لا مزید علیه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الفروق أنّ النهی فی هذه المسألة إذا دلّ علی الفساد فلا سبیل إلی تصحیح العبادة، بخلاف النهی فی تلک المسألة، فإنّه إذا لم یمکن جمعه مع الأمر یمکن تصحیح العبادة، کما لا یخفی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میزان کون المسألة أُصولیّة، و هذه المسألة منها علی ما فسّرناها؛ و ذکرنا أنّ المسائل الأُصولیّة حجج عقلائیّة أو شرعیّة علی الآراء الفقهیّة،</w:t>
      </w:r>
      <w:bookmarkStart w:id="528" w:name="pg13163_143173"/>
    </w:p>
    <w:p>
      <w:pPr>
        <w:pStyle w:val="BookText"/>
        <w:rPr/>
      </w:pPr>
      <w:bookmarkEnd w:id="528"/>
      <w:r>
        <w:rPr>
          <w:rFonts w:ascii="IRNazanin" w:hAnsi="IRNazanin" w:eastAsia="IRNazanin"/>
          <w:color w:val="111111"/>
          <w:sz w:val="28"/>
          <w:sz w:val="28"/>
          <w:szCs w:val="28"/>
          <w:rtl w:val="true"/>
          <w:lang w:bidi="fa-IR"/>
        </w:rPr>
        <w:t xml:space="preserve">أو الآراء الأُخر فی سائر القوانین غیر الشرعیّة المتعارفة فی سائر الملل و النحل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تبیّن فیما سبق میزان کون المسألة عقلیّة أو لفظیّة؛ و أنّ المناط لیس الدلیل و الاستدلال </w:t>
      </w:r>
      <w:r>
        <w:rPr>
          <w:rStyle w:val="FootnoteAnchor"/>
          <w:rtl w:val="true"/>
        </w:rPr>
        <w:footnoteReference w:id="671"/>
      </w:r>
      <w:r>
        <w:rPr>
          <w:rFonts w:ascii="IRNazanin" w:hAnsi="IRNazanin" w:eastAsia="IRNazanin"/>
          <w:color w:val="111111"/>
          <w:sz w:val="28"/>
          <w:sz w:val="28"/>
          <w:szCs w:val="28"/>
          <w:rtl w:val="true"/>
          <w:lang w:bidi="fa-IR"/>
        </w:rPr>
        <w:t>لإمکان التمسّک ببعض الأدلّة اللفظیّة علی المسائل العقلیّة و بالعکس، بل المناط عنوان البحث و موضوع الخلاف، فإن کان الکلام حول مقتضیات الألفاظ بما لها من المعانی، تکون المسألة لفظیّة، و إن کان البحث حول مقتضیات العقل و الإدراکات العقلائیّة، تکون المسألة عقلیّة، کمقدّمة الواجب، و لأجل هذا تکون المسائل دائرة مدار العقلیّة و اللفظیّة، و لا شی‌ء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قد یتراءی عن بعضهم من إمکان کون المسألة عقلیّة و لفظیّة</w:t>
      </w:r>
      <w:r>
        <w:rPr>
          <w:rStyle w:val="FootnoteAnchor"/>
          <w:rtl w:val="true"/>
        </w:rPr>
        <w:footnoteReference w:id="672"/>
      </w:r>
      <w:r>
        <w:rPr>
          <w:rFonts w:ascii="IRNazanin" w:hAnsi="IRNazanin" w:eastAsia="IRNazanin"/>
          <w:color w:val="111111"/>
          <w:sz w:val="28"/>
          <w:sz w:val="28"/>
          <w:szCs w:val="28"/>
          <w:rtl w:val="true"/>
          <w:lang w:bidi="fa-IR"/>
        </w:rPr>
        <w:t>، فی غیر محلّه و إن کنّا فی سالف الزمان نؤیّد</w:t>
      </w:r>
      <w:r>
        <w:rPr>
          <w:rStyle w:val="FootnoteAnchor"/>
          <w:rtl w:val="true"/>
        </w:rPr>
        <w:footnoteReference w:id="673"/>
      </w:r>
      <w:r>
        <w:rPr>
          <w:rFonts w:ascii="Amiri" w:hAnsi="Amiri" w:eastAsia="Amiri" w:cs="Amiri"/>
          <w:color w:val="111111"/>
          <w:sz w:val="28"/>
          <w:sz w:val="28"/>
          <w:szCs w:val="28"/>
          <w:rtl w:val="true"/>
          <w:lang w:bidi="ar-SA"/>
        </w:rPr>
        <w:t xml:space="preserve">ذلک فتأمّل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533963_3244359995"/>
      <w:bookmarkStart w:id="530" w:name="_Toc199"/>
      <w:bookmarkEnd w:id="529"/>
      <w:r>
        <w:rPr>
          <w:rtl w:val="true"/>
        </w:rPr>
        <w:t>الأمر الثالث</w:t>
      </w:r>
      <w:r>
        <w:rPr>
          <w:rtl w:val="true"/>
        </w:rPr>
        <w:t xml:space="preserve">: </w:t>
      </w:r>
      <w:r>
        <w:rPr>
          <w:rtl w:val="true"/>
        </w:rPr>
        <w:t>فی قلّة ثمرة هذه المسألة</w:t>
      </w:r>
      <w:bookmarkEnd w:id="530"/>
    </w:p>
    <w:p>
      <w:pPr>
        <w:pStyle w:val="Heading5"/>
        <w:numPr>
          <w:ilvl w:val="4"/>
          <w:numId w:val="1"/>
        </w:numPr>
        <w:rPr/>
      </w:pPr>
      <w:bookmarkStart w:id="531" w:name="__RefHeading___Toc533965_3244359995"/>
      <w:bookmarkStart w:id="532" w:name="_Toc200"/>
      <w:bookmarkEnd w:id="531"/>
      <w:r>
        <w:rPr>
          <w:rtl w:val="true"/>
        </w:rPr>
        <w:t>اشارة</w:t>
      </w:r>
      <w:bookmarkEnd w:id="53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النزاع ممّا لا ینتفع به فی الفقه؛ و ذلک لأنّ بناء الأعلام قدیماً و جدیداً علی حمل النواهی المتعلّقة بالعبادات و المعاملات علی الإرشاد إلی الشرطیّة و الجزئیّة؛ بناءً علی إمکان کون عدم المنهیّ شرطاً أو جزءً تحلیلیّاً، کما هو التحقیق، أو إلی المانعیّة</w:t>
      </w:r>
      <w:r>
        <w:rPr>
          <w:rStyle w:val="FootnoteAnchor"/>
          <w:rtl w:val="true"/>
        </w:rPr>
        <w:footnoteReference w:id="675"/>
      </w:r>
      <w:r>
        <w:rPr>
          <w:rFonts w:ascii="IRNazanin" w:hAnsi="IRNazanin" w:eastAsia="IRNazanin"/>
          <w:color w:val="111111"/>
          <w:sz w:val="28"/>
          <w:sz w:val="28"/>
          <w:szCs w:val="28"/>
          <w:rtl w:val="true"/>
          <w:lang w:bidi="fa-IR"/>
        </w:rPr>
        <w:t>، و تلک النواهی الإرشادیّة خارجة عن محطّ النزاع؛ لأنّه لا معنی</w:t>
      </w:r>
    </w:p>
    <w:p>
      <w:pPr>
        <w:pStyle w:val="BookText"/>
        <w:rPr/>
      </w:pPr>
      <w:r>
        <w:rPr>
          <w:rFonts w:ascii="IRNazanin" w:hAnsi="IRNazanin" w:eastAsia="IRNazanin"/>
          <w:color w:val="111111"/>
          <w:sz w:val="28"/>
          <w:sz w:val="28"/>
          <w:szCs w:val="28"/>
          <w:rtl w:val="true"/>
          <w:lang w:bidi="fa-IR"/>
        </w:rPr>
        <w:t xml:space="preserve">للنزاع فی استتباعها الحکم الوضعیّ و فی اقتضائها الفساد، بعد البناء إثباتاً علی أنّها ترشد إلی فساد المنهیّ؛ لأجل اشتماله علی المانع، أو لأجل فقدانه الشرط أو الجزء، کما أقرّوا بذلک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النواهی المتعلّقة بخصوصیّات العبادة و المعاملة، دون نفس طبائعهما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یوجد فی الفقه نهی متعلّق بطبیعة معاملة کلّیة، بل النواهی کلّها أو نوعها متعلّقة بخصوصیّات العبادة و المعاملة؛ ضرورة أنّ طبائع العبادات و المعاملات نافذة فی الشرع و مأمور بها، فیکون النهی الوارد راجعاً إلی خصوصیّاتهما زماناً أو مکاناً، أو حالاً و کیفیةً، أو کمّیةً و وصفاً، و ما ضاهاها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القمار یکون هو مورد النهی بطبیعته،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المنهیّ هو الأکل بالباطل، فیکون المنهیّ التجارة القماریّة،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هذه العویصة لا بدّ 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فرضیّ و هو ما إذا فرضنا أنّ النهی فی مورد یکون تکلیفیّاً، فهل یستتبع فی ذلک المورد حکماً وضعیّاً، أم لا؟</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النواهی التنزیهیّة مندرجة فی محطّ البحث، و هی تکلیفیّة، و هذا یکفی لئلا یکون البحث فرضیّاً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اندراجها فی محیط النزاع مورد الخلاف بینهم؛ معلّلاً بأنّ تلک النواهی محمولة علی الکراهة؛ بمعنی الأقلّ ثواباً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التنزیهیّ الملازم للترخیص، لا ینافی الرخصة الوضعیّة</w:t>
      </w:r>
      <w:bookmarkStart w:id="533" w:name="pg13163_143175"/>
    </w:p>
    <w:p>
      <w:pPr>
        <w:pStyle w:val="BookText"/>
        <w:rPr/>
      </w:pPr>
      <w:bookmarkEnd w:id="533"/>
      <w:r>
        <w:rPr>
          <w:rFonts w:ascii="IRNazanin" w:hAnsi="IRNazanin" w:eastAsia="IRNazanin"/>
          <w:color w:val="111111"/>
          <w:sz w:val="28"/>
          <w:sz w:val="28"/>
          <w:szCs w:val="28"/>
          <w:rtl w:val="true"/>
          <w:lang w:bidi="fa-IR"/>
        </w:rPr>
        <w:t xml:space="preserve">المستفادة من تعلّق الأمر بالطبیعة الراجعة إلی جواز الإتیان بأیّ فرد کان من الطبیعة، و سیأتی زیادة توضیح حوله فی الأمر الآتی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ما تحرّر منّا فی المسألة السابقة؛ أنّ تلک النواهی ترشد إلی الحزازة</w:t>
      </w:r>
      <w:r>
        <w:rPr>
          <w:rStyle w:val="FootnoteAnchor"/>
          <w:rtl w:val="true"/>
        </w:rPr>
        <w:footnoteReference w:id="679"/>
      </w:r>
      <w:r>
        <w:rPr>
          <w:rFonts w:ascii="IRNazanin" w:hAnsi="IRNazanin" w:eastAsia="IRNazanin"/>
          <w:color w:val="111111"/>
          <w:sz w:val="28"/>
          <w:sz w:val="28"/>
          <w:szCs w:val="28"/>
          <w:rtl w:val="true"/>
          <w:lang w:bidi="fa-IR"/>
        </w:rPr>
        <w:t>، و هذا غیر حملها علی الأقلّ ثواباً و إن کان یرجع إلیه بالنتیجة،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فی هذا الأمر أنّ النزاع و لو کان جائزاً، إلاّ أنّه نزاع قلیل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الأولی أن یتکفّلوا للبحث حول أنّ النواهی المتعلّقة بالعبادات، أو المعاملات و سائر المرکّبات الشرعیّة و العرفیّة، هل هی النواهی الإرشادیّة، أم هی النواهی النفسیّة حسب الأصل الأوّلی؟ ثمّ بعد الفراغ منه و اختیار کونها النفسیّة، یتنازعون فی دلالة تلک النفسیّات علی الفساد و عدمها، و لا یجوز حسب الصناعة إدراج النزاع الأوّل فی مقامات النزاع الثانی، نعم لا بأس بجعله من مقدّماته و إن کان هو النزاع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فیه؛ أنّ هذه المسألة وفاقیّة بین أرباب الفضل و أصحاب الفنّ، و لأجله انحصر البحث فی المنازعة الأُولی،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Heading5"/>
        <w:numPr>
          <w:ilvl w:val="4"/>
          <w:numId w:val="1"/>
        </w:numPr>
        <w:rPr/>
      </w:pPr>
      <w:bookmarkStart w:id="534" w:name="__RefHeading___Toc533967_3244359995"/>
      <w:bookmarkStart w:id="535" w:name="_Toc201"/>
      <w:bookmarkEnd w:id="534"/>
      <w:r>
        <w:rPr>
          <w:rtl w:val="true"/>
        </w:rPr>
        <w:t>وهم و دفع</w:t>
      </w:r>
      <w:bookmarkEnd w:id="53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الإرشادیّ لا یلازم القول بفساد المشتمل علی المنهیّ، و فساد المنهیّ أیضا؛ لأنّ من الممکن کون النهی إرشاداً إلی قبح المنهیّ، و فی</w:t>
      </w:r>
      <w:bookmarkStart w:id="536" w:name="pg13163_143176"/>
    </w:p>
    <w:p>
      <w:pPr>
        <w:pStyle w:val="BookText"/>
        <w:rPr/>
      </w:pPr>
      <w:bookmarkEnd w:id="536"/>
      <w:r>
        <w:rPr>
          <w:rFonts w:ascii="Amiri" w:hAnsi="Amiri" w:eastAsia="Amiri" w:cs="Amiri"/>
          <w:color w:val="111111"/>
          <w:sz w:val="28"/>
          <w:sz w:val="28"/>
          <w:szCs w:val="28"/>
          <w:rtl w:val="true"/>
          <w:lang w:bidi="ar-SA"/>
        </w:rPr>
        <w:t>استلزام قبحه للفساد مناقشة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ضرورة أنّ القبح لا بدّ و أن یکون لأمر و لجهة تقییدیّة، و هی إن کانت من قبیل الموانع یلزم کون الفساد ناشئاً منها، و إن کانت من قبیل فقدان الشرط و الجزء فهکذا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النواهی التحریمیّة النفسیّة الذاتیّة ترشد إلی فساد متعلّقاتها، و هذا النحو من الإرشاد لا یستلزم الاندراج فی محیط النزاع، أو الخروج منه کما لا یخفی</w:t>
      </w:r>
      <w:r>
        <w:rPr>
          <w:rFonts w:eastAsia="IRNazanin" w:cs="IRNazanin"/>
          <w:color w:val="111111"/>
          <w:sz w:val="28"/>
          <w:szCs w:val="28"/>
          <w:rtl w:val="true"/>
          <w:lang w:bidi="fa-IR"/>
        </w:rPr>
        <w:t>.</w:t>
      </w:r>
    </w:p>
    <w:p>
      <w:pPr>
        <w:pStyle w:val="Heading5"/>
        <w:numPr>
          <w:ilvl w:val="4"/>
          <w:numId w:val="1"/>
        </w:numPr>
        <w:rPr/>
      </w:pPr>
      <w:bookmarkStart w:id="537" w:name="__RefHeading___Toc533969_3244359995"/>
      <w:bookmarkStart w:id="538" w:name="_Toc202"/>
      <w:bookmarkEnd w:id="537"/>
      <w:r>
        <w:rPr>
          <w:rtl w:val="true"/>
        </w:rPr>
        <w:t>تذنیب</w:t>
      </w:r>
      <w:r>
        <w:rPr>
          <w:rtl w:val="true"/>
        </w:rPr>
        <w:t xml:space="preserve">: </w:t>
      </w:r>
      <w:r>
        <w:rPr>
          <w:rtl w:val="true"/>
        </w:rPr>
        <w:t>حول حصر النزاع بوجود دلیل شرعیّ علی الصحّة لو لا النهی</w:t>
      </w:r>
      <w:bookmarkEnd w:id="538"/>
    </w:p>
    <w:p>
      <w:pPr>
        <w:pStyle w:val="BookText"/>
        <w:rPr/>
      </w:pPr>
      <w:r>
        <w:rPr>
          <w:rFonts w:ascii="IRNazanin" w:hAnsi="IRNazanin" w:eastAsia="IRNazanin"/>
          <w:color w:val="111111"/>
          <w:sz w:val="28"/>
          <w:sz w:val="28"/>
          <w:szCs w:val="28"/>
          <w:rtl w:val="true"/>
          <w:lang w:bidi="fa-IR"/>
        </w:rPr>
        <w:t>الفاضل القمّی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النزاع لا یفید و لا یثمر إلاّ فی صورة وجود الدلیل الشرعیّ من إطلاق أو عموم یقتضی الصحّة لو لا النهی، و إلاّ فلا حاجة لفساد المنهیّ إلی دلالة النهی علیه، بل یکفی عدمُ الأمر، و عدمُ المشروعیّة، و مجرّدُ الشکّ فیه الملازم لجریان الأُصول العدمیّة</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التمسّک للفساد بالأصل فی طول التمسّک له بالدلیل</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من أنّه لا یخرج البحث عن اللغویّة و قلّة الإفادة فی مقام العمل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اللغویّة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أصل البحث،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إطلاق البحث</w:t>
      </w:r>
      <w:r>
        <w:rPr>
          <w:rFonts w:eastAsia="IRNazanin" w:cs="IRNazanin"/>
          <w:color w:val="111111"/>
          <w:sz w:val="28"/>
          <w:szCs w:val="28"/>
          <w:rtl w:val="true"/>
          <w:lang w:bidi="fa-IR"/>
        </w:rPr>
        <w:t>:</w:t>
      </w:r>
      <w:bookmarkStart w:id="539" w:name="pg13163_143177"/>
    </w:p>
    <w:p>
      <w:pPr>
        <w:pStyle w:val="BookText"/>
        <w:rPr/>
      </w:pPr>
      <w:bookmarkEnd w:id="539"/>
      <w:r>
        <w:rPr>
          <w:rFonts w:ascii="IRNazanin" w:hAnsi="IRNazanin" w:eastAsia="IRNazanin"/>
          <w:color w:val="111111"/>
          <w:sz w:val="28"/>
          <w:sz w:val="28"/>
          <w:szCs w:val="28"/>
          <w:rtl w:val="true"/>
          <w:lang w:bidi="fa-IR"/>
        </w:rPr>
        <w:t>أمّا اللغویّة فی أصل البحث فتحرز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اللغویّة فی إطلاق البحث، فلا وجه للاحتراز عنها، کما فی القوانین و الأحکام أیضا، و 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لغویّة الإطلاق موجبة لکون البحث لغواً للزم کون جلّ أو کلّ البحوث الأُصولیّة لغواً، مثلاً البحث عن دلالة الأمر علی الوجوب و النهی علی التحریم لغو؛ لأنّ المسائل الشرعیّة صارت واضحة، و تکون الأدلّة مقرونة بالقرائن الخاصّة الدالّة علی الوجوب و الحرمة، فیکون البحث المزبور مخصوصاً بغیر هذه الصورة، مع أنّها قلیلة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إشکاله علی غیر هذه المسألة أورد منه علی هذه المسألة، و الحلّ ما عرفت، و البحث حوله من اللغو المنهیّ عنه</w:t>
      </w:r>
      <w:r>
        <w:rPr>
          <w:rFonts w:eastAsia="IRNazanin" w:cs="IRNazanin"/>
          <w:color w:val="111111"/>
          <w:sz w:val="28"/>
          <w:szCs w:val="28"/>
          <w:rtl w:val="true"/>
          <w:lang w:bidi="fa-IR"/>
        </w:rPr>
        <w:t>.</w:t>
      </w:r>
    </w:p>
    <w:p>
      <w:pPr>
        <w:pStyle w:val="Heading4"/>
        <w:numPr>
          <w:ilvl w:val="3"/>
          <w:numId w:val="1"/>
        </w:numPr>
        <w:rPr/>
      </w:pPr>
      <w:bookmarkStart w:id="540" w:name="__RefHeading___Toc533971_3244359995"/>
      <w:bookmarkStart w:id="541" w:name="_Toc203"/>
      <w:bookmarkEnd w:id="540"/>
      <w:r>
        <w:rPr>
          <w:rtl w:val="true"/>
        </w:rPr>
        <w:t>الأمر الرابع</w:t>
      </w:r>
      <w:r>
        <w:rPr>
          <w:rtl w:val="true"/>
        </w:rPr>
        <w:t xml:space="preserve">: </w:t>
      </w:r>
      <w:r>
        <w:rPr>
          <w:rtl w:val="true"/>
        </w:rPr>
        <w:t>فی بیان أقسام الوجوب و التحریم التی یشملها النزاع</w:t>
      </w:r>
      <w:bookmarkEnd w:id="541"/>
    </w:p>
    <w:p>
      <w:pPr>
        <w:pStyle w:val="Heading5"/>
        <w:numPr>
          <w:ilvl w:val="4"/>
          <w:numId w:val="1"/>
        </w:numPr>
        <w:rPr/>
      </w:pPr>
      <w:bookmarkStart w:id="542" w:name="__RefHeading___Toc533973_3244359995"/>
      <w:bookmarkStart w:id="543" w:name="_Toc204"/>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 xml:space="preserve">لا شبهة فی خروج النواهی الإرشادیّة عن محطّ النزاع،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النواهی المستقلّة الناظرة إلی الجهة الوضعیّة؛ و هی الفساد، أو عدم الإجزاء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فی شمول النزاع للنواهی الذاتیّة التحریمیّة؛ أصلیة کانت أو تبعیّة، بناءً علی کون الأصلیّ و التبعیّ من الانقسامات اللاحقة بحسب مقام الإنشاء و الجعل، و لا فی شموله لأقسام التحریمیّات العینیّة و الکفائیّة، و التعیینیّة و التخییریّة، و الفعلیّة و التعلیقیّة، و المشروطة بعد تحقّق شرطها، و قد مرّ تفصیل هذه البحوث فی المبحث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خروج التخییریّة هنا کما سبق، مرّ فساده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bookmarkStart w:id="544" w:name="pg13163_143178"/>
    </w:p>
    <w:p>
      <w:pPr>
        <w:pStyle w:val="BookText"/>
        <w:rPr/>
      </w:pPr>
      <w:bookmarkEnd w:id="544"/>
      <w:r>
        <w:rPr>
          <w:rFonts w:ascii="IRNazanin" w:hAnsi="IRNazanin" w:eastAsia="IRNazanin"/>
          <w:color w:val="111111"/>
          <w:sz w:val="28"/>
          <w:sz w:val="28"/>
          <w:szCs w:val="28"/>
          <w:rtl w:val="true"/>
          <w:lang w:bidi="fa-IR"/>
        </w:rPr>
        <w:t>نعم، تصویر التحریم المعلّق لا یخلو من المناقشة؛ ضرورة أنّ الوجوب الفعلیّ و الواجب الاستقبالیّ صحیح؛ لأنّ المکلّف لا یتمکّن من امتثال الواجب قبل وصول ظرف الامتثال، بخلاف التحریم التعلیقیّ، فإنّه لا معنی لتحریم الغیبة یوم الجمعة مثلاً؛ لأنّ المکلّف قبل یوم الجمعة أیضا تارک لها، فلا حالة انتظاریّة بین ظرف التحریم و ظرف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الامتثال قبل مجی‌ء ظرفه، و بین الامتثال بعد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الأوّل امتثال بانتفاء موضوعه،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بحث المتوسّط فی الأرض المغصوبة بعض الکلام فی التحریم التعلیقیّ و التنجیزیّ عند ذکر مقالة الشیخ الأعظم قدس سره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الإشکال فی الطائفتین من النواهی</w:t>
      </w:r>
      <w:r>
        <w:rPr>
          <w:rFonts w:eastAsia="IRNazanin" w:cs="IRNazanin"/>
          <w:color w:val="111111"/>
          <w:sz w:val="28"/>
          <w:szCs w:val="28"/>
          <w:rtl w:val="true"/>
          <w:lang w:bidi="fa-IR"/>
        </w:rPr>
        <w:t>.</w:t>
      </w:r>
    </w:p>
    <w:p>
      <w:pPr>
        <w:pStyle w:val="Heading5"/>
        <w:numPr>
          <w:ilvl w:val="4"/>
          <w:numId w:val="1"/>
        </w:numPr>
        <w:rPr/>
      </w:pPr>
      <w:bookmarkStart w:id="545" w:name="__RefHeading___Toc533975_3244359995"/>
      <w:bookmarkStart w:id="546" w:name="_Toc205"/>
      <w:bookmarkEnd w:id="545"/>
      <w:r>
        <w:rPr>
          <w:rtl w:val="true"/>
        </w:rPr>
        <w:t>الطائفة الأُولی</w:t>
      </w:r>
      <w:r>
        <w:rPr>
          <w:rtl w:val="true"/>
        </w:rPr>
        <w:t xml:space="preserve">: </w:t>
      </w:r>
      <w:r>
        <w:rPr>
          <w:rtl w:val="true"/>
        </w:rPr>
        <w:t>النواهی التنزیهیّة</w:t>
      </w:r>
      <w:bookmarkEnd w:id="546"/>
    </w:p>
    <w:p>
      <w:pPr>
        <w:pStyle w:val="BookText"/>
        <w:rPr/>
      </w:pPr>
      <w:r>
        <w:rPr>
          <w:rFonts w:ascii="IRNazanin" w:hAnsi="IRNazanin" w:eastAsia="IRNazanin"/>
          <w:color w:val="111111"/>
          <w:sz w:val="28"/>
          <w:sz w:val="28"/>
          <w:szCs w:val="28"/>
          <w:rtl w:val="true"/>
          <w:lang w:bidi="fa-IR"/>
        </w:rPr>
        <w:t>و الحقّ کما عرفت فی بحوث الاجتماع و الامتناع، اندراجها فی مصبّ الخلاف؛ ضرورة أنّ النواهی التنزیهیّة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أنّها تلازم المبغوضیّة الدانیة و اللارضا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مع المأمور به و المطلوبیّة، أو المحبوبیّة و الرضا القلبیّ اللاّزم فی العبادات؛ حتّی یصحّ التقرّب بها، و فی المعاملات حتّی تکون ممضاة فی الشریعة، فیمکن بناءً علی هذا کونها فی محطّ الکلام فی المقام، کما حرّرناه بتفصیل فی البحث السابق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النواهی التنزیهیة تلازم الترخیص فی الفعل، فلا منع من</w:t>
      </w:r>
      <w:bookmarkStart w:id="547" w:name="pg13163_143179"/>
    </w:p>
    <w:p>
      <w:pPr>
        <w:pStyle w:val="BookText"/>
        <w:rPr/>
      </w:pPr>
      <w:bookmarkEnd w:id="547"/>
      <w:r>
        <w:rPr>
          <w:rFonts w:ascii="IRNazanin" w:hAnsi="IRNazanin" w:eastAsia="IRNazanin"/>
          <w:color w:val="111111"/>
          <w:sz w:val="28"/>
          <w:sz w:val="28"/>
          <w:szCs w:val="28"/>
          <w:rtl w:val="true"/>
          <w:lang w:bidi="fa-IR"/>
        </w:rPr>
        <w:t xml:space="preserve">المحافظة علی إطلاق دلیل المأمور به، بخلاف النهی التحریمیّ </w:t>
      </w:r>
      <w:r>
        <w:rPr>
          <w:rStyle w:val="FootnoteAnchor"/>
          <w:rtl w:val="true"/>
        </w:rPr>
        <w:footnoteReference w:id="686"/>
      </w:r>
      <w:r>
        <w:rPr>
          <w:rFonts w:ascii="IRNazanin" w:hAnsi="IRNazanin" w:eastAsia="IRNazanin"/>
          <w:color w:val="111111"/>
          <w:sz w:val="28"/>
          <w:sz w:val="28"/>
          <w:szCs w:val="28"/>
          <w:rtl w:val="true"/>
          <w:lang w:bidi="fa-IR"/>
        </w:rPr>
        <w:t xml:space="preserve">، فهو فی غیر محلّه؛ لأنّ النهی التنزیهیّ یلازم مرجوحیّة متعلّقه طبعاً، و لا وجه لحمل النهی علی مرجوحیّة الخصوصیّة؛ لأنّه یرجع إلی أنّ المنهیّ هو العنوان الآخر، 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تقریرات العلاّمة الکاظمیّ رحمه اللّه لا یخلو من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ذکرناه یظهر إمکان دعوی دلالة النهی التنزیهیّ علی الفساد فی المعاملات أیضا، فلا مورد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اختصاص عموم ملاکه بالعبادات، لا یوجب التخصیص به کما لا یخفی</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548" w:name="__RefHeading___Toc533977_3244359995"/>
      <w:bookmarkStart w:id="549" w:name="_Toc206"/>
      <w:bookmarkEnd w:id="548"/>
      <w:r>
        <w:rPr>
          <w:rtl w:val="true"/>
        </w:rPr>
        <w:t>الطائفة الثانیة</w:t>
      </w:r>
      <w:r>
        <w:rPr>
          <w:rtl w:val="true"/>
        </w:rPr>
        <w:t xml:space="preserve">: </w:t>
      </w:r>
      <w:r>
        <w:rPr>
          <w:rtl w:val="true"/>
        </w:rPr>
        <w:t>النواهی الغیریّة</w:t>
      </w:r>
      <w:bookmarkEnd w:id="549"/>
    </w:p>
    <w:p>
      <w:pPr>
        <w:pStyle w:val="BookText"/>
        <w:rPr/>
      </w:pPr>
      <w:r>
        <w:rPr>
          <w:rFonts w:ascii="IRNazanin" w:hAnsi="IRNazanin" w:eastAsia="IRNazanin"/>
          <w:color w:val="111111"/>
          <w:sz w:val="28"/>
          <w:sz w:val="28"/>
          <w:szCs w:val="28"/>
          <w:rtl w:val="true"/>
          <w:lang w:bidi="fa-IR"/>
        </w:rPr>
        <w:t>و هی النواهی المترشّحة عن الأمر بالشی‌ء المتوجّهة إلی أضداده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یقال بخروجها عن حریم النزاع؛ لما لا ملاک لها</w:t>
      </w:r>
      <w:r>
        <w:rPr>
          <w:rStyle w:val="FootnoteAnchor"/>
          <w:rtl w:val="true"/>
        </w:rPr>
        <w:footnoteReference w:id="688"/>
      </w:r>
      <w:r>
        <w:rPr>
          <w:rFonts w:ascii="IRNazanin" w:hAnsi="IRNazanin" w:eastAsia="IRNazanin"/>
          <w:color w:val="111111"/>
          <w:sz w:val="28"/>
          <w:sz w:val="28"/>
          <w:szCs w:val="28"/>
          <w:rtl w:val="true"/>
          <w:lang w:bidi="fa-IR"/>
        </w:rPr>
        <w:t xml:space="preserve">، و قد فرغنا عن هذه الشبهة بما لا مزید علیه فی البحث السابق </w:t>
      </w:r>
      <w:r>
        <w:rPr>
          <w:rStyle w:val="FootnoteAnchor"/>
          <w:rtl w:val="true"/>
        </w:rPr>
        <w:footnoteReference w:id="689"/>
      </w:r>
      <w:r>
        <w:rPr>
          <w:rFonts w:ascii="IRNazanin" w:hAnsi="IRNazanin" w:eastAsia="IRNazanin"/>
          <w:color w:val="111111"/>
          <w:sz w:val="28"/>
          <w:sz w:val="28"/>
          <w:szCs w:val="28"/>
          <w:rtl w:val="true"/>
          <w:lang w:bidi="fa-IR"/>
        </w:rPr>
        <w:t>، و ذکرنا أنّ الأوامر الغیریّة و النواهی الغیریّة، یمکن أن تکون مولویّة بملاک الاهتمام بالمأمور به النفسیّ، و المنهیّ عنه بالنهی الأصلیّ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علی خلاف التحقیق عند أحد، لا یورث الخروج عن حریم النزاع، کما أنّه إذا کان خارجاً عن حریم النزاع عند الکلّ إلاّ واحد، لا یوجب الاندراج، فلا تخلط</w:t>
      </w:r>
      <w:r>
        <w:rPr>
          <w:rFonts w:eastAsia="IRNazanin" w:cs="IRNazanin"/>
          <w:color w:val="111111"/>
          <w:sz w:val="28"/>
          <w:szCs w:val="28"/>
          <w:rtl w:val="true"/>
          <w:lang w:bidi="fa-IR"/>
        </w:rPr>
        <w:t>.</w:t>
      </w:r>
      <w:bookmarkStart w:id="550" w:name="pg13163_143180"/>
    </w:p>
    <w:p>
      <w:pPr>
        <w:pStyle w:val="Heading5"/>
        <w:numPr>
          <w:ilvl w:val="4"/>
          <w:numId w:val="1"/>
        </w:numPr>
        <w:rPr/>
      </w:pPr>
      <w:bookmarkStart w:id="551" w:name="__RefHeading___Toc533979_3244359995"/>
      <w:bookmarkStart w:id="552" w:name="_Toc207"/>
      <w:bookmarkEnd w:id="550"/>
      <w:bookmarkEnd w:id="551"/>
      <w:r>
        <w:rPr>
          <w:rtl w:val="true"/>
        </w:rPr>
        <w:t>و هنا طائفة ثالثة</w:t>
      </w:r>
      <w:r>
        <w:rPr>
          <w:rtl w:val="true"/>
        </w:rPr>
        <w:t>:</w:t>
      </w:r>
      <w:bookmarkEnd w:id="552"/>
    </w:p>
    <w:p>
      <w:pPr>
        <w:pStyle w:val="BookText"/>
        <w:rPr/>
      </w:pPr>
      <w:r>
        <w:rPr>
          <w:rFonts w:ascii="IRNazanin" w:hAnsi="IRNazanin" w:eastAsia="IRNazanin"/>
          <w:color w:val="111111"/>
          <w:sz w:val="28"/>
          <w:sz w:val="28"/>
          <w:szCs w:val="28"/>
          <w:rtl w:val="true"/>
          <w:lang w:bidi="fa-IR"/>
        </w:rPr>
        <w:t>و هی النواهی التبعیّة علی حسبما فسّرناها؛ من أنّ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قالب لفظیّ و لو کان بالدلالة الالتزامیّة، و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فی قالب لفظیّ و لو کان واجباً نفسیّاً</w:t>
      </w:r>
      <w:r>
        <w:rPr>
          <w:rStyle w:val="FootnoteAnchor"/>
          <w:rtl w:val="true"/>
        </w:rPr>
        <w:footnoteReference w:id="690"/>
      </w:r>
      <w:r>
        <w:rPr>
          <w:rFonts w:ascii="IRNazanin" w:hAnsi="IRNazanin" w:eastAsia="IRNazanin"/>
          <w:color w:val="111111"/>
          <w:sz w:val="28"/>
          <w:sz w:val="28"/>
          <w:szCs w:val="28"/>
          <w:rtl w:val="true"/>
          <w:lang w:bidi="fa-IR"/>
        </w:rPr>
        <w:t>، فإنّها مندرجة فی محطّ البحث ملاکاً؛ لأنّ الجهة المبحوث عنها هنا حول استتباع النهی للحکم الوضعیّ، و الإرادة التی لا تکون فی قالب لفظیّ لیست مبدأ اعتبار النهی، بل الإرادة التشریعیّة لا تصیر موجودة فی أُفق النّفس إلاّ عند تعلّقها بالقوالب الکتبیّة، أو اللفظیّة، أو الإشاریّة، و ما هی فی النّفس هی المبادئ المنتهیة إلی تلک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وجه الفساد أمر عقلیّ مثل کون العبادة أو المعاملة مبغوضة، یلزم الفساد فی هذه الصورة أیضا، و تکون المسألة کما عرفت عقلیّة لا لفظیّة</w:t>
      </w:r>
      <w:r>
        <w:rPr>
          <w:rStyle w:val="FootnoteAnchor"/>
          <w:rtl w:val="true"/>
        </w:rPr>
        <w:footnoteReference w:id="691"/>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Heading4"/>
        <w:numPr>
          <w:ilvl w:val="3"/>
          <w:numId w:val="1"/>
        </w:numPr>
        <w:rPr/>
      </w:pPr>
      <w:bookmarkStart w:id="553" w:name="__RefHeading___Toc533981_3244359995"/>
      <w:bookmarkStart w:id="554" w:name="_Toc208"/>
      <w:bookmarkEnd w:id="553"/>
      <w:r>
        <w:rPr>
          <w:rtl w:val="true"/>
        </w:rPr>
        <w:t>الأمر الخامس</w:t>
      </w:r>
      <w:r>
        <w:rPr>
          <w:rtl w:val="true"/>
        </w:rPr>
        <w:t xml:space="preserve">: </w:t>
      </w:r>
      <w:r>
        <w:rPr>
          <w:rtl w:val="true"/>
        </w:rPr>
        <w:t>الأصل فی النهی عن العبادة و المعاملة هو الإرشاد</w:t>
      </w:r>
      <w:bookmarkEnd w:id="554"/>
    </w:p>
    <w:p>
      <w:pPr>
        <w:pStyle w:val="Heading5"/>
        <w:numPr>
          <w:ilvl w:val="4"/>
          <w:numId w:val="1"/>
        </w:numPr>
        <w:rPr/>
      </w:pPr>
      <w:bookmarkStart w:id="555" w:name="__RefHeading___Toc533983_3244359995"/>
      <w:bookmarkStart w:id="556" w:name="_Toc209"/>
      <w:bookmarkEnd w:id="555"/>
      <w:r>
        <w:rPr>
          <w:rtl w:val="true"/>
        </w:rPr>
        <w:t>اشارة</w:t>
      </w:r>
      <w:bookmarkEnd w:id="55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حول استتباع النهی لحکم وضعیّ و عدمه، و بعد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لکون النهی الإرشادیّ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فرض أنّه إرشاد إلی جهة 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 التشاحّ و النفی و الإثبات </w:t>
      </w:r>
      <w:r>
        <w:rPr>
          <w:rStyle w:val="FootnoteAnchor"/>
          <w:rtl w:val="true"/>
        </w:rPr>
        <w:footnoteReference w:id="692"/>
      </w:r>
      <w:r>
        <w:rPr>
          <w:rFonts w:ascii="IRNazanin" w:hAnsi="IRNazanin" w:eastAsia="IRNazanin"/>
          <w:color w:val="111111"/>
          <w:sz w:val="28"/>
          <w:sz w:val="28"/>
          <w:szCs w:val="28"/>
          <w:rtl w:val="true"/>
          <w:lang w:bidi="fa-IR"/>
        </w:rPr>
        <w:t>، یظهر لزوم البحث هنا حول أنّ الأصل فی النواهی المتعلّقة بالعبادات و المعاملات، هل هو الإرشادیّة، أو التحریمیّة؟ بعد الفراغ عن الأصل المحرّر فی بدو بحوث صیغة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الأصل هناک هو التحریم</w:t>
      </w:r>
    </w:p>
    <w:p>
      <w:pPr>
        <w:pStyle w:val="BookText"/>
        <w:rPr/>
      </w:pPr>
      <w:r>
        <w:rPr>
          <w:rFonts w:ascii="Amiri" w:hAnsi="Amiri" w:eastAsia="Amiri" w:cs="Amiri"/>
          <w:color w:val="111111"/>
          <w:sz w:val="28"/>
          <w:sz w:val="28"/>
          <w:szCs w:val="28"/>
          <w:rtl w:val="true"/>
          <w:lang w:bidi="ar-SA"/>
        </w:rPr>
        <w:t>التکلیفیّ و تمامیّة الحجّة الشرعیّة و العرفیّة</w:t>
      </w:r>
      <w:r>
        <w:rPr>
          <w:rStyle w:val="FootnoteAnchor"/>
          <w:rtl w:val="true"/>
        </w:rPr>
        <w:footnoteReference w:id="693"/>
      </w:r>
      <w:r>
        <w:rPr>
          <w:rFonts w:ascii="IRNazanin" w:hAnsi="IRNazanin" w:eastAsia="IRNazanin"/>
          <w:color w:val="111111"/>
          <w:sz w:val="28"/>
          <w:sz w:val="28"/>
          <w:szCs w:val="28"/>
          <w:rtl w:val="true"/>
          <w:lang w:bidi="fa-IR"/>
        </w:rPr>
        <w:t>، و هذا ممّا لا بدّ منه حتّی لا یکون البحث فرضیّاً، و لا یجوز إدخاله فی جوهر البحث فی هذا النزاع، خلافاً لما صنعه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الغریب ما أفاده الأُستاذ العلاّمة البروجردیّ قدس سره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محطّ النزاع فی البحث اللفظیّ هی النواهی الإرشادیّة؛ لاستدلال القوم لإثبات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تدلّ علیه إذا تعلّق بالعبادات و المعاملات، و أمّا فی النواهی التحریمیّة فیکون البحث عقلیّاً؛ لرجوع المسألة إلی الاستدلال بالفساد لأجل توسّط الحرمة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بالغ فی ذلک حسبما یظهر من التقریرات، و کرّر الأمر حولها</w:t>
      </w:r>
      <w:r>
        <w:rPr>
          <w:rStyle w:val="FootnoteAnchor"/>
          <w:rtl w:val="true"/>
        </w:rPr>
        <w:footnoteReference w:id="695"/>
      </w:r>
      <w:r>
        <w:rPr>
          <w:rFonts w:ascii="IRNazanin" w:hAnsi="IRNazanin" w:eastAsia="IRNazanin"/>
          <w:color w:val="111111"/>
          <w:sz w:val="28"/>
          <w:sz w:val="28"/>
          <w:szCs w:val="28"/>
          <w:rtl w:val="true"/>
          <w:lang w:bidi="fa-IR"/>
        </w:rPr>
        <w:t>، و کأنّه أمر جدیر بالتدبّر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النزاع الصحیح هو النزاع فی النواهی التحریمیّة؛ لإمکان کونها مورد الخلاف، بخلاف الإرشادیّة التی هی مورد الاتفاق </w:t>
      </w:r>
      <w:r>
        <w:rPr>
          <w:rStyle w:val="FootnoteAnchor"/>
          <w:rtl w:val="true"/>
        </w:rPr>
        <w:footnoteReference w:id="696"/>
      </w:r>
      <w:r>
        <w:rPr>
          <w:rFonts w:ascii="IRNazanin" w:hAnsi="IRNazanin" w:eastAsia="IRNazanin"/>
          <w:color w:val="111111"/>
          <w:sz w:val="28"/>
          <w:sz w:val="28"/>
          <w:szCs w:val="28"/>
          <w:rtl w:val="true"/>
          <w:lang w:bidi="fa-IR"/>
        </w:rPr>
        <w:t>، و یکون الغرض إرشادها إلی الجهة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استدلّوا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النواهی الإرشادیّة علی دلالة النهی علی الفساد</w:t>
      </w:r>
      <w:r>
        <w:rPr>
          <w:rStyle w:val="FootnoteAnchor"/>
          <w:rtl w:val="true"/>
        </w:rPr>
        <w:footnoteReference w:id="697"/>
      </w:r>
      <w:r>
        <w:rPr>
          <w:rFonts w:ascii="IRNazanin" w:hAnsi="IRNazanin" w:eastAsia="IRNazanin"/>
          <w:color w:val="111111"/>
          <w:sz w:val="28"/>
          <w:sz w:val="28"/>
          <w:szCs w:val="28"/>
          <w:rtl w:val="true"/>
          <w:lang w:bidi="fa-IR"/>
        </w:rPr>
        <w:t xml:space="preserve">،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النهی التحریمیّ</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أنّ مناط لفظیّة البحث و المسألة، کون عنوان المسألة</w:t>
      </w:r>
    </w:p>
    <w:p>
      <w:pPr>
        <w:pStyle w:val="BookText"/>
        <w:rPr/>
      </w:pPr>
      <w:r>
        <w:rPr>
          <w:rFonts w:ascii="IRNazanin" w:hAnsi="IRNazanin" w:eastAsia="IRNazanin"/>
          <w:color w:val="111111"/>
          <w:sz w:val="28"/>
          <w:sz w:val="28"/>
          <w:szCs w:val="28"/>
          <w:rtl w:val="true"/>
          <w:lang w:bidi="fa-IR"/>
        </w:rPr>
        <w:t xml:space="preserve">موضوعاً لفظیّاً، و راجعاً إلی حدود الأوضاع و الدلالات </w:t>
      </w:r>
      <w:r>
        <w:rPr>
          <w:rStyle w:val="FootnoteAnchor"/>
          <w:rtl w:val="true"/>
        </w:rPr>
        <w:footnoteReference w:id="699"/>
      </w:r>
      <w:r>
        <w:rPr>
          <w:rFonts w:ascii="IRNazanin" w:hAnsi="IRNazanin" w:eastAsia="IRNazanin"/>
          <w:color w:val="111111"/>
          <w:sz w:val="28"/>
          <w:sz w:val="28"/>
          <w:szCs w:val="28"/>
          <w:rtl w:val="true"/>
          <w:lang w:bidi="fa-IR"/>
        </w:rPr>
        <w:t>، و لو کان من الوضع التعیینیّ الحاصل من کثرة الاستعمالات، أو من الوضع الثانویّ الحاصل للمرکبات و الجمل؛ لکثرة اشتهار إطلاقها و إرادة المعنی الوضعیّ وراء المعنی التکلیفیّ مثلاً، فکن علی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الحرمة لا یضرّ بلفظیّة البحث؛ لأنّه یرجع إلی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استشکل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لیست لفظیّة، یلزم عدم کون المفروض فی کلامه لفظیّاً من المسألة اللفظیّة أیضا؛ ضرورة أنّ النهی لو کان یدلّ علی الفساد، فهو بالالتزام لا المطابقة،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کما هو التحریم فی صیغة النهی، و مقتضی الأمر کما هو الوجوب فی صیغته، کذلک قضیّة النهی و الأمر المتعلّقین بالمرکّبات العرفیّة و الشرعیّة، و المخترعات الإسلامیّة و غیر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تعلّق النهی بالمرکّبات، و تعلّقه بالأجزاء و الخصوصیّات بخلاف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التحریم و الوجوب الوضعیّین؛ و الإرشاد إلی الجهة الوضعیّة من الجزئیّة، أو الشرطیّة، أو المانعیّة و القاطعیّة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الأصل المفروغ عنه فی العبادات، و لا سیّما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منشأ هذا الأصل الثانویّ،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الأصل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البالغ إلی حدّ یمکن دعوی الظهور الوضعیّ لتلک الهیئات من الجمل المستعملة فی العبادات و المعاملات و ما 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العناوین المتعلّقة للنهی مختلفة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من العناوین الواضحة لغة و عرفاً،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 الشرب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غیر واضح، و محتاجاً إلی التوضیح من قبل الأشخاص</w:t>
      </w:r>
    </w:p>
    <w:p>
      <w:pPr>
        <w:pStyle w:val="BookText"/>
        <w:rPr/>
      </w:pPr>
      <w:r>
        <w:rPr>
          <w:rFonts w:ascii="IRNazanin" w:hAnsi="IRNazanin" w:eastAsia="IRNazanin"/>
          <w:color w:val="111111"/>
          <w:sz w:val="28"/>
          <w:sz w:val="28"/>
          <w:szCs w:val="28"/>
          <w:rtl w:val="true"/>
          <w:lang w:bidi="fa-IR"/>
        </w:rPr>
        <w:t>المعیّنین لما یترتّب علیها من الآثار المقصودة بالذات؛ و المطلوبة حقیقة و غرضاً و غایةً، و من ذلک عنوان المعاجین الطبیّة، فإنّها ممّا لا یطلع علی خصوصیّاتها إلاّ أهلها، فإذا تصدّی أرباب الطبّ و أصحاب الدساتیر للأمر بشی‌ء حول ذلک، و النهی عنه فی زمان خاصّ، و عن شی‌ء خاصّ، و عن کیفیّة خاصّة، فلا تکون تلک الأوامر و النواهی نفسیّة؛ لما لا معنی لها، بل المعنیّ بها و 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القرائن الکلّیة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ما هو الموضوع للأثر المرغوب، و إذا کان الآمر و الناهی فی هذا الموقف، فلا معنی لحمل أمره و نهیه علی النفسیّة، بل کلّ ذلک أوامر و نواه جزئیّة مترشّحة من المأمور به النفسیّ فی باب الواجبات و من عدم صلاحیة المنهیّ عنه للتوسّل به إلی السبب المقصود فی باب المعاملات، أو أنّ المنهیّ عنه فاقد للشرط أو الجزء اللاّزم فی ترتّب الأثر المترقّب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إلاّ من قبیل الأوامر و النواهی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 الأوامر و النواهی حول المرکّبات یکون قرینة علی هذا المعنی، و صار ذلک إلی حدّ یمکن دعوی الوضع التعیّنی للجمل المرکّبة کما لا یخفی،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معلومیّة الأصل المفروغ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إذا تعلّق بذات معاملة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کالقمار الّذی یترتّب علیه الأثر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أیضا إرشاداً، بخلاف الأمر المتعلّق بذات الصلاة و الحجّ، فإنّه محمول علی الإیجاب النفسیّ؛ لأنّ الأثر المرغوب فیه و المترقّب منه لیس مورد نظر الآمر حتّی یکون إرشاداً إلی السبب المحصّل و إن کان ذلک الأثر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7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کلّ تقیّ</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مقصوداً أعلی و غرضاً أصلیّا، و لکن</w:t>
      </w:r>
      <w:bookmarkStart w:id="557" w:name="pg13163_143184"/>
    </w:p>
    <w:p>
      <w:pPr>
        <w:pStyle w:val="BookText"/>
        <w:rPr/>
      </w:pPr>
      <w:bookmarkEnd w:id="557"/>
      <w:r>
        <w:rPr>
          <w:rFonts w:ascii="IRNazanin" w:hAnsi="IRNazanin" w:eastAsia="IRNazanin"/>
          <w:color w:val="111111"/>
          <w:sz w:val="28"/>
          <w:sz w:val="28"/>
          <w:szCs w:val="28"/>
          <w:rtl w:val="true"/>
          <w:lang w:bidi="fa-IR"/>
        </w:rPr>
        <w:t>لا ینبغی الخلط بین الأسباب و المسبّبات، و بین الموضوعات و الآثار الحاصلة منها</w:t>
      </w:r>
      <w:r>
        <w:rPr>
          <w:rFonts w:eastAsia="IRNazanin" w:cs="IRNazanin"/>
          <w:color w:val="111111"/>
          <w:sz w:val="28"/>
          <w:szCs w:val="28"/>
          <w:rtl w:val="true"/>
          <w:lang w:bidi="fa-IR"/>
        </w:rPr>
        <w:t>.</w:t>
      </w:r>
    </w:p>
    <w:p>
      <w:pPr>
        <w:pStyle w:val="Heading5"/>
        <w:numPr>
          <w:ilvl w:val="4"/>
          <w:numId w:val="1"/>
        </w:numPr>
        <w:rPr/>
      </w:pPr>
      <w:bookmarkStart w:id="558" w:name="__RefHeading___Toc533985_3244359995"/>
      <w:bookmarkStart w:id="559" w:name="_Toc210"/>
      <w:bookmarkEnd w:id="558"/>
      <w:r>
        <w:rPr>
          <w:rtl w:val="true"/>
        </w:rPr>
        <w:t>تذنیب</w:t>
      </w:r>
      <w:r>
        <w:rPr>
          <w:rtl w:val="true"/>
        </w:rPr>
        <w:t xml:space="preserve">: </w:t>
      </w:r>
      <w:r>
        <w:rPr>
          <w:rtl w:val="true"/>
        </w:rPr>
        <w:t>حول عدم الفرق بین أنحاء تعلّق النهی</w:t>
      </w:r>
      <w:bookmarkEnd w:id="559"/>
    </w:p>
    <w:p>
      <w:pPr>
        <w:pStyle w:val="BookText"/>
        <w:rPr/>
      </w:pPr>
      <w:r>
        <w:rPr>
          <w:rFonts w:ascii="IRNazanin" w:hAnsi="IRNazanin" w:eastAsia="IRNazanin"/>
          <w:color w:val="111111"/>
          <w:sz w:val="28"/>
          <w:sz w:val="28"/>
          <w:szCs w:val="28"/>
          <w:rtl w:val="true"/>
          <w:lang w:bidi="fa-IR"/>
        </w:rPr>
        <w:t>لا فرق بین أن یتعلّق النهی بالسبب بما هو السبب فی المعاملات، أو بجزء السبب، أو یتعلّق النهی بالمسبّب؛ بأن یحرّم المسبّب، کتحریم الثمن، و کتحریم التصرّف فیما اشتراه حال الإحرام مثلاً، و فیما عقد علیه حال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النهی بالمسبّب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السبب و هو المعنی الحاصل من الإنشاء؛ و هو النقل و الانتقال، أو حکم العقلاء به، فهو أمر خارج عن حیطة الاختیار الشخصیّ، و لا یکون قابلاً لتعلّق النهی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بجوازه؛ لأجل الاقتدار علیه بالاقتدار علی سببه 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یتعلّق بالتسبّب، کتحریم الزیادة فی البیع الربویّ، فإنّ المنهیّ مثلاً هو التوصّل لتحلیل الزیادة بالبیع الربویّ، دون الأمر الآخر من الصلح و غیره مثلاً، فإنّ النهی فی الکلّ حسب النّظر العرفیّ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بین کون النهی بصیغة النهی، أو بمادّة النهی، أو بمادّة التحریم، 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w:t>
      </w:r>
      <w:r>
        <w:rPr>
          <w:rStyle w:val="FootnoteAnchor"/>
          <w:rtl w:val="true"/>
        </w:rPr>
        <w:footnoteReference w:id="703"/>
      </w: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کتاب التجارة، أبواب ما یکتسب به، الباب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تفید إلاّ قصور الأسباب عن إفادة الملکیّة، فتدبّر و تأمّل</w:t>
      </w:r>
      <w:r>
        <w:rPr>
          <w:rFonts w:eastAsia="IRNazanin" w:cs="IRNazanin"/>
          <w:color w:val="111111"/>
          <w:sz w:val="28"/>
          <w:szCs w:val="28"/>
          <w:rtl w:val="true"/>
          <w:lang w:bidi="fa-IR"/>
        </w:rPr>
        <w:t>.</w:t>
      </w:r>
    </w:p>
    <w:p>
      <w:pPr>
        <w:pStyle w:val="Heading5"/>
        <w:numPr>
          <w:ilvl w:val="4"/>
          <w:numId w:val="1"/>
        </w:numPr>
        <w:rPr/>
      </w:pPr>
      <w:bookmarkStart w:id="560" w:name="__RefHeading___Toc533987_3244359995"/>
      <w:bookmarkStart w:id="561" w:name="_Toc211"/>
      <w:bookmarkEnd w:id="560"/>
      <w:r>
        <w:rPr>
          <w:rtl w:val="true"/>
        </w:rPr>
        <w:t>تنبیه</w:t>
      </w:r>
      <w:r>
        <w:rPr>
          <w:rtl w:val="true"/>
        </w:rPr>
        <w:t xml:space="preserve">: </w:t>
      </w:r>
      <w:r>
        <w:rPr>
          <w:rtl w:val="true"/>
        </w:rPr>
        <w:t>حول عدم صغرویّة النزاع</w:t>
      </w:r>
      <w:bookmarkEnd w:id="56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هذه المسألة صغرویّ؛ و ذلک لأجل أنّ النهی</w:t>
      </w:r>
      <w:bookmarkStart w:id="562" w:name="pg13163_143185"/>
    </w:p>
    <w:p>
      <w:pPr>
        <w:pStyle w:val="BookText"/>
        <w:rPr/>
      </w:pPr>
      <w:bookmarkEnd w:id="562"/>
      <w:r>
        <w:rPr>
          <w:rFonts w:ascii="IRNazanin" w:hAnsi="IRNazanin" w:eastAsia="IRNazanin"/>
          <w:color w:val="111111"/>
          <w:sz w:val="28"/>
          <w:sz w:val="28"/>
          <w:szCs w:val="28"/>
          <w:rtl w:val="true"/>
          <w:lang w:bidi="fa-IR"/>
        </w:rPr>
        <w:t>إن کان إرشادیّاً فهو یستتبع الوضع، و إن کان تحریمیّاً فهو لا یستلزم الحکم الوضعیّ، فیرجع البحث إلی أنّ النواهی المتعلّقة بالعبادات و المعاملات إرشادیّة، أم غیر 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من النزاع الصغرویّ، بل هو تفصیل فی البحث المزبور بین الطائفتین من النواهی کما ربّما فصّلوا، و بین بابی العبادة و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استتباع النهی التحریمیّ عند أحد للحکم الوضعیّ، لا یورث جعل النزاع صغرویّاً، و لا سیّما فی العبادات، فإنّ الأکثر علی الاستتباع </w:t>
      </w:r>
      <w:r>
        <w:rPr>
          <w:rStyle w:val="FootnoteAnchor"/>
          <w:rtl w:val="true"/>
        </w:rPr>
        <w:footnoteReference w:id="705"/>
      </w:r>
      <w:r>
        <w:rPr>
          <w:rFonts w:ascii="IRNazanin" w:hAnsi="IRNazanin" w:eastAsia="IRNazanin"/>
          <w:color w:val="111111"/>
          <w:sz w:val="28"/>
          <w:sz w:val="28"/>
          <w:szCs w:val="28"/>
          <w:rtl w:val="true"/>
          <w:lang w:bidi="fa-IR"/>
        </w:rPr>
        <w:t xml:space="preserve">، کما سیظهر وجهه إن شاء اللَّه تعالی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533989_3244359995"/>
      <w:bookmarkStart w:id="564" w:name="_Toc212"/>
      <w:bookmarkEnd w:id="563"/>
      <w:r>
        <w:rPr>
          <w:rtl w:val="true"/>
        </w:rPr>
        <w:t>تذنیب</w:t>
      </w:r>
      <w:r>
        <w:rPr>
          <w:rtl w:val="true"/>
        </w:rPr>
        <w:t xml:space="preserve">: </w:t>
      </w:r>
      <w:r>
        <w:rPr>
          <w:rtl w:val="true"/>
        </w:rPr>
        <w:t>حول إرشادیّة النواهی فی المرکّبات</w:t>
      </w:r>
      <w:bookmarkEnd w:id="564"/>
    </w:p>
    <w:p>
      <w:pPr>
        <w:pStyle w:val="BookText"/>
        <w:rPr/>
      </w:pPr>
      <w:r>
        <w:rPr>
          <w:rFonts w:ascii="IRNazanin" w:hAnsi="IRNazanin" w:eastAsia="IRNazanin"/>
          <w:color w:val="111111"/>
          <w:sz w:val="28"/>
          <w:sz w:val="28"/>
          <w:szCs w:val="28"/>
          <w:rtl w:val="true"/>
          <w:lang w:bidi="fa-IR"/>
        </w:rPr>
        <w:t>قد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النهی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بذات العبادة، کصوم العیدین، و صلاة الحائض،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بالأجزاء و الشرائط، کالنهی عن الصلاة فی و بر ما لا یؤکل لحمه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إرشادیّ فی الصورة الثانیة دون الأُولی؛ لأنّ القرینة القائمة علی الإرشادیّة مخصوصة بتلک الصورة، دون الصورة الأُولی </w:t>
      </w:r>
      <w:r>
        <w:rPr>
          <w:rStyle w:val="FootnoteAnchor"/>
          <w:rtl w:val="true"/>
        </w:rPr>
        <w:footnoteReference w:id="708"/>
      </w:r>
      <w:r>
        <w:rPr>
          <w:rFonts w:ascii="IRNazanin" w:hAnsi="IRNazanin" w:eastAsia="IRNazanin"/>
          <w:color w:val="111111"/>
          <w:sz w:val="28"/>
          <w:sz w:val="28"/>
          <w:szCs w:val="28"/>
          <w:rtl w:val="true"/>
          <w:lang w:bidi="fa-IR"/>
        </w:rPr>
        <w:t>، و قد مضی بیان تلک القرینة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الوضع الثانویّ التعیّنی لتلک الهیئات من الجمل الناهیة، غیر مسموعة، فلا یصحّ أن یتوهّم الاشتراک بین الصورتین فی الحکم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ذات العبادة، معناه مثل الأمر المتعلّق بذات العبادة، فکما أنّه فی باب الأمر المتعلّق بذات الصلاة و الصوم، لیس تقیید حین تعلّقه بهما، فلا بدّ و أن یکون النهی مطلقاً حین تعلّقه بذات العبادة، و المثالان المزبوران یرجعان إلی الصورة الثانیة؛ لأنّه من النهی المتعلّق بالخصوصیّة؛ و هو أنّ المنهیّ إتیان الصلاة حال الحیض، و إتیان الصوم فی زمان کذا، کالنهی عن إتیان الصلاة حال السفر، و إتیان الصوم فی حال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النهی عن ذات العبادة إلاّ إذا تعلّق بطبیعة منهیّة بجمیع أفرادها، کما ذکرناه فی النهی عن ذات المعاملة</w:t>
      </w:r>
      <w:r>
        <w:rPr>
          <w:rStyle w:val="FootnoteAnchor"/>
          <w:rtl w:val="true"/>
        </w:rPr>
        <w:footnoteReference w:id="709"/>
      </w:r>
      <w:r>
        <w:rPr>
          <w:rFonts w:ascii="IRNazanin" w:hAnsi="IRNazanin" w:eastAsia="IRNazanin"/>
          <w:color w:val="111111"/>
          <w:sz w:val="28"/>
          <w:sz w:val="28"/>
          <w:szCs w:val="28"/>
          <w:rtl w:val="true"/>
          <w:lang w:bidi="fa-IR"/>
        </w:rPr>
        <w:t xml:space="preserve">، و ذکرنا أنّ النواهی فی المعاملات کلّها راجعة إلی الخصوصیّات </w:t>
      </w:r>
      <w:r>
        <w:rPr>
          <w:rStyle w:val="FootnoteAnchor"/>
          <w:rtl w:val="true"/>
        </w:rPr>
        <w:footnoteReference w:id="710"/>
      </w:r>
      <w:r>
        <w:rPr>
          <w:rFonts w:ascii="IRNazanin" w:hAnsi="IRNazanin" w:eastAsia="IRNazanin"/>
          <w:color w:val="111111"/>
          <w:sz w:val="28"/>
          <w:sz w:val="28"/>
          <w:szCs w:val="28"/>
          <w:rtl w:val="true"/>
          <w:lang w:bidi="fa-IR"/>
        </w:rPr>
        <w:t>، و إرجاعها إلی نفس الخصوصیّة خروج عن محطّ النزاع؛ لأنّه یرجع إلی النهی عن العنوان الخارج، و یندرج فی البحث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ذلک، و بنیت علی أنّ النهی المتعلّق بالصلاة حال الحیض من النهی عن الذات؛ لأنّ صوم العیدین لیس مورد الأمر، و هکذا صلاة الحائض، بخلاف صلاة الحائض، و الصوم ممّن یصحّ منه الصوم؛ إذا تعلّق بجهة من جهاته بعد کونه مورد الأمر، فإنّ النهی فی تلک الحال من النهی عن الجزء و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الحائض لیست مورد الأمر، بخلاف صلاة الطاهرة فإنّها مورد الأمر، و قد نهی عن إتیانها فی وبر ما لا یؤکل لحمه، فتلک الصلاة مورد النهی بذاتها، و هذه مورد النهی بخصوصیّاتها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هنا أیضا واضحة إرشادیّته؛ ضرورة أنّ هذه النواهی تکون فی موقف توهّم المشروعیّة الوجوبیّة أو الندبیّة حسب المطلقات، و لا تکون تلک النواهی إلاّ فی موقف رفع هذا التوهّم، نظیر النواهی الواردة بعنوان المخصّص</w:t>
      </w:r>
      <w:bookmarkStart w:id="565" w:name="pg13163_143187"/>
    </w:p>
    <w:p>
      <w:pPr>
        <w:pStyle w:val="BookText"/>
        <w:rPr/>
      </w:pPr>
      <w:bookmarkEnd w:id="565"/>
      <w:r>
        <w:rPr>
          <w:rFonts w:ascii="IRNazanin" w:hAnsi="IRNazanin" w:eastAsia="IRNazanin"/>
          <w:color w:val="111111"/>
          <w:sz w:val="28"/>
          <w:sz w:val="28"/>
          <w:szCs w:val="28"/>
          <w:rtl w:val="true"/>
          <w:lang w:bidi="fa-IR"/>
        </w:rPr>
        <w:t xml:space="preserve">و المقیّد، فإنّه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النهی إلاّ دافعاً أو رافعاً للوجوب أو الندب، من غیر إفادة الحرمة التکلیفیّة إلاّ مع قیام القرینة، و قد فرغنا عن ذلک فی بحث الأوامر عند مسألة الأمر عقیب الحظر، و ذکرنا هناک بحثاً کلّیاً متعلّقاً بجمیع الهیئات المقرونة بالقرائن الموجودة و المتوهّمة التی لها المنشأ العقلائیّ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الحرمة الذاتیّة من النواهی فی هذه المواقف، غیر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الأنظار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القرینة، فالأصل الثانویّ فی تلک النواهی هو الإرشادیّة الملازمة للحکم الوضعیّ؛ من الفساد، و عدم الإجزاء، و الحرمة التشریعیّة، و الخروج عن هذا الأصل منوط بالقرائن الموجودة أحیاناً فی الکتاب و السنّة غیر ممکن ضبطها تحت قانون کلّی</w:t>
      </w:r>
      <w:r>
        <w:rPr>
          <w:rFonts w:eastAsia="IRNazanin" w:cs="IRNazanin"/>
          <w:color w:val="111111"/>
          <w:sz w:val="28"/>
          <w:szCs w:val="28"/>
          <w:rtl w:val="true"/>
          <w:lang w:bidi="fa-IR"/>
        </w:rPr>
        <w:t>.</w:t>
      </w:r>
    </w:p>
    <w:p>
      <w:pPr>
        <w:pStyle w:val="Heading5"/>
        <w:numPr>
          <w:ilvl w:val="4"/>
          <w:numId w:val="1"/>
        </w:numPr>
        <w:rPr/>
      </w:pPr>
      <w:bookmarkStart w:id="566" w:name="__RefHeading___Toc533991_3244359995"/>
      <w:bookmarkStart w:id="567" w:name="_Toc213"/>
      <w:bookmarkEnd w:id="566"/>
      <w:r>
        <w:rPr>
          <w:rtl w:val="true"/>
        </w:rPr>
        <w:t>فذلکة الکلام فی المقام</w:t>
      </w:r>
      <w:bookmarkEnd w:id="56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النواهی المتعلّقة بذوات المعاملات و أجزائها و شرائطها و النواهی المتعلّقة بذوات العبادات و أجزائها و شرائطها کلّها محمولة علی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توهّمه القوم من تعلّق النهی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العبادة، 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بخصوصیاتها،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مثلها فی أنّها إرشاد إلی الجزئیّة و الشرطیّة، سواء تعلّق بذوات المعاملة، أو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تعلّق بذوات العبادات کالصلاة و نحوها یکون نفسیّاً مولویّاً غیر إرشادیّ و أمّا بالنسبة إلی الخصوصیّات فهی أیضا إرشادیّة حسب البناءات العقلائیّة و بناء الفقهاء قدیماً و حدیثاً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ذلک لیس احتمال الوضع الآخر لصیغة النهی تعییناً أو تعیّناً،</w:t>
      </w:r>
    </w:p>
    <w:p>
      <w:pPr>
        <w:pStyle w:val="BookText"/>
        <w:rPr/>
      </w:pPr>
      <w:r>
        <w:rPr>
          <w:rFonts w:ascii="IRNazanin" w:hAnsi="IRNazanin" w:eastAsia="IRNazanin"/>
          <w:color w:val="111111"/>
          <w:sz w:val="28"/>
          <w:sz w:val="28"/>
          <w:szCs w:val="28"/>
          <w:rtl w:val="true"/>
          <w:lang w:bidi="fa-IR"/>
        </w:rPr>
        <w:t xml:space="preserve">و لا احتمال کون الجملة و المرکّب ذات وضع علی حدة تعییناً أو تعیّناً، و لا احتمال کون الشرع مخصوصاً بذلک دون العرف؛ فیکون فی الشرع قرینة خاصّة به، بل هذا الحمل عامّ و مشترک فیه الشرع و العرف، و المنشأ أمر واحد أُشیر إلیه </w:t>
      </w:r>
      <w:r>
        <w:rPr>
          <w:rStyle w:val="FootnoteAnchor"/>
          <w:rtl w:val="true"/>
        </w:rPr>
        <w:footnoteReference w:id="712"/>
      </w:r>
      <w:r>
        <w:rPr>
          <w:rFonts w:ascii="IRNazanin" w:hAnsi="IRNazanin" w:eastAsia="IRNazanin"/>
          <w:color w:val="111111"/>
          <w:sz w:val="28"/>
          <w:sz w:val="28"/>
          <w:szCs w:val="28"/>
          <w:rtl w:val="true"/>
          <w:lang w:bidi="fa-IR"/>
        </w:rPr>
        <w:t>، مع اختصاص المعاملات بجهة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مبنی المعاملات علی السبب و المسبّب، و ما کان أمره ذلک یکون علّة لصرف الهیئات إلی إسقاط سببیّة السبب عن التأثیر، أو عن الموضوعیّة لحکم العقلاء بالنقل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یتعلّق النهی بالسبب بما هو سبب، أو المسبّب العقلائیّ؛ و هو الحکم بالنقل و الانتقال، أو مسبّب المسبّب الّذی هو حکم العقلاء و الشرع بجواز التصرّف فیما ملکه بالسبب المزبور، أو التسبّب، کالتوصّل إلی الظهار لإحداث الفراق، أو التسبّب بالسبب العقلائیّ لأجل حلّیة التصرّف فیما یملکه حسب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بالنهی بالعقد الربویّ بما أنّه سبب النقل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بالحکم المتأخّر عنه، و هو الحکم بحصول النقل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تعلّقه به یحتاج إلی مئونة،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بالتصرّف فیما انتقال إلیه بالربا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یتعلّق بالتوصّل إلی الرّبا لحلّیة الزیادة و تملّکها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بالتوصّل إلی حکم العقلاء بالنقل و الانتقال بإیجاد سببه؛ و هو البیع الإنشائیّ، أو موضوع الحکم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فی الکلّ بما أنّه یرجع إلی المعاملة بجهة من الجهات، یکون ظاهراً فی الإرشاد إلی قطع السببیّة شرعاً؛ و إن کان سبباً فی محیط العقلاء و العرف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نهی یتعلّق بذات السبب؛ و هو التلفّظ بألفاظ الإیجاب و القبول، فإنّه لا</w:t>
      </w:r>
    </w:p>
    <w:p>
      <w:pPr>
        <w:pStyle w:val="BookText"/>
        <w:rPr/>
      </w:pPr>
      <w:r>
        <w:rPr>
          <w:rFonts w:ascii="IRNazanin" w:hAnsi="IRNazanin" w:eastAsia="IRNazanin"/>
          <w:color w:val="111111"/>
          <w:sz w:val="28"/>
          <w:sz w:val="28"/>
          <w:szCs w:val="28"/>
          <w:rtl w:val="true"/>
          <w:lang w:bidi="fa-IR"/>
        </w:rPr>
        <w:t>منع من حمله علی التکلیفیّ و التحریمیّ المولویّ؛ لأنّه فی الحقیقة خارج عن حدود المعاملة، و یکون مثل النهی المتعلّق بالکذب و 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آخر یتعلّق بالتصرّف فیما انتقل إلیه من غیر النّظر إلی المعاملة مثلاً، کما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قومر علیه مورد النهی من غیر النّظر إلی المعاملة، بل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ما فی الخارج، و یکون فی موقف تحریمه کتحریم الخمر، فإنّه أیضا غیر محمول علی الإرشاد، و غیر متعلّق بالمعاملة، فلا یکون تخصیصاً فی الأصل الثانویّ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تبیّن أنّ التقسیم الثنائیّ المحکیّ عن الشیخ </w:t>
      </w:r>
      <w:r>
        <w:rPr>
          <w:rStyle w:val="FootnoteAnchor"/>
          <w:rtl w:val="true"/>
        </w:rPr>
        <w:footnoteReference w:id="713"/>
      </w:r>
      <w:r>
        <w:rPr>
          <w:rFonts w:ascii="IRNazanin" w:hAnsi="IRNazanin" w:eastAsia="IRNazanin"/>
          <w:color w:val="111111"/>
          <w:sz w:val="28"/>
          <w:sz w:val="28"/>
          <w:szCs w:val="28"/>
          <w:rtl w:val="true"/>
          <w:lang w:bidi="fa-IR"/>
        </w:rPr>
        <w:t xml:space="preserve">، و الثلاثیَّ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غیر محصور، بل ازدادت الأقسام و التصوّرات إلی الخمسة فی اعتبار، و إلی السبعة فی اعتبار آخر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أنّ المنع المبرز من ناحیة الشرع فی هذه المواقف، محمول علی المنع الوضعیّ، من غیر فرق بین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غرریّاً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أنهاکم عن البیع الغرریّ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أُحرّم علیکم البیع الغرریّ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بصیغة الماضی و غیرها؛ فإنّ وجه حمل الصیغة علی الإرشاد، لیس إلاّ لأجل اقتضاء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لا فرق بین الأنحاء المذکورة و إن کان فی بعض الصور بعض المناقشات، کما إذا تعلّق النهی بشکل تحریم التصرّف فیما انتقل إلیه، کما إذا 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أُجرة الزانیة سحت</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bookmarkStart w:id="568" w:name="pg13163_143190"/>
    </w:p>
    <w:p>
      <w:pPr>
        <w:pStyle w:val="BookText"/>
        <w:rPr/>
      </w:pPr>
      <w:bookmarkEnd w:id="568"/>
      <w:r>
        <w:rPr>
          <w:rFonts w:ascii="Amiri" w:hAnsi="Amiri" w:eastAsia="Amiri" w:cs="Amiri"/>
          <w:color w:val="111111"/>
          <w:sz w:val="28"/>
          <w:sz w:val="28"/>
          <w:szCs w:val="28"/>
          <w:rtl w:val="true"/>
          <w:lang w:bidi="ar-SA"/>
        </w:rPr>
        <w:t>العذرة</w:t>
      </w:r>
      <w:r>
        <w:rPr>
          <w:rStyle w:val="FootnoteAnchor"/>
          <w:rtl w:val="true"/>
        </w:rPr>
        <w:footnoteReference w:id="717"/>
      </w:r>
      <w:r>
        <w:rPr>
          <w:rFonts w:ascii="IRNazanin" w:hAnsi="IRNazanin" w:eastAsia="IRNazanin"/>
          <w:color w:val="111111"/>
          <w:sz w:val="28"/>
          <w:sz w:val="28"/>
          <w:szCs w:val="28"/>
          <w:rtl w:val="true"/>
          <w:lang w:bidi="fa-IR"/>
        </w:rPr>
        <w:t>و الکلب سحت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فإنّ الظاهر منه هو التحریم الزائد علی تحریم التصرّف فی مال الغیر، فیکون هناک تحریم نفسیّ، و لا یکون إرشاداً إلی فساد البیع و الإجارة</w:t>
      </w:r>
      <w:r>
        <w:rPr>
          <w:rFonts w:eastAsia="IRNazanin" w:cs="IRNazanin"/>
          <w:color w:val="111111"/>
          <w:sz w:val="28"/>
          <w:szCs w:val="28"/>
          <w:rtl w:val="true"/>
          <w:lang w:bidi="fa-IR"/>
        </w:rPr>
        <w:t>.</w:t>
      </w:r>
    </w:p>
    <w:p>
      <w:pPr>
        <w:pStyle w:val="Heading4"/>
        <w:numPr>
          <w:ilvl w:val="3"/>
          <w:numId w:val="1"/>
        </w:numPr>
        <w:rPr/>
      </w:pPr>
      <w:bookmarkStart w:id="569" w:name="__RefHeading___Toc533993_3244359995"/>
      <w:bookmarkStart w:id="570" w:name="_Toc214"/>
      <w:bookmarkEnd w:id="569"/>
      <w:r>
        <w:rPr>
          <w:rtl w:val="true"/>
        </w:rPr>
        <w:t>الأمر السادس</w:t>
      </w:r>
      <w:r>
        <w:rPr>
          <w:rtl w:val="true"/>
        </w:rPr>
        <w:t xml:space="preserve">: </w:t>
      </w:r>
      <w:r>
        <w:rPr>
          <w:rtl w:val="true"/>
        </w:rPr>
        <w:t xml:space="preserve">حول المراد من </w:t>
      </w:r>
      <w:r>
        <w:rPr>
          <w:rtl w:val="true"/>
        </w:rPr>
        <w:t>«</w:t>
      </w:r>
      <w:r>
        <w:rPr>
          <w:rtl w:val="true"/>
        </w:rPr>
        <w:t>العبادة و المعاملة</w:t>
      </w:r>
      <w:r>
        <w:rPr>
          <w:rtl w:val="true"/>
        </w:rPr>
        <w:t>»</w:t>
      </w:r>
      <w:bookmarkEnd w:id="570"/>
    </w:p>
    <w:p>
      <w:pPr>
        <w:pStyle w:val="Heading5"/>
        <w:numPr>
          <w:ilvl w:val="4"/>
          <w:numId w:val="1"/>
        </w:numPr>
        <w:rPr/>
      </w:pPr>
      <w:bookmarkStart w:id="571" w:name="__RefHeading___Toc533995_3244359995"/>
      <w:bookmarkStart w:id="572" w:name="_Toc215"/>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هذه المسألة، یرجع إلی أنّ النهی التحریمیّ المتعلّق بالعبادات و المعاملات، و ما کان یشبههما ممّا مرّ</w:t>
      </w:r>
      <w:r>
        <w:rPr>
          <w:rStyle w:val="FootnoteAnchor"/>
          <w:rtl w:val="true"/>
        </w:rPr>
        <w:footnoteReference w:id="719"/>
      </w:r>
      <w:r>
        <w:rPr>
          <w:rFonts w:ascii="IRNazanin" w:hAnsi="IRNazanin" w:eastAsia="IRNazanin"/>
          <w:color w:val="111111"/>
          <w:sz w:val="28"/>
          <w:sz w:val="28"/>
          <w:szCs w:val="28"/>
          <w:rtl w:val="true"/>
          <w:lang w:bidi="fa-IR"/>
        </w:rPr>
        <w:t xml:space="preserve">راجع إلی جامع؛ و هو ما یمکن أن یعتبر فیه زائداً علی التحریم التکلیفیّ؛ تحریمٌ وضعیّ و حکم وضعیّ، سواء کان ذلک هو الفساد، أو کان هو عدم الإجزاء و عدم صحّة الاکتفاء، أو کان جهة أُخری، فکلّ شی‌ء إذا کان یمکن فیه الاعتبار المذکور یکون هو داخلاً فی عنوان البحث، و لا ینبغی الاختصار علی ما کان یصحّ توصیفه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یوصف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 و 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الجهة المبحوث عنها أعمّ من ذلک کلّه، و ترجع إلی ما أبدعناه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فی کلّ مورد کان یمکن أن یکون النهی مستتبعاً لجهة وضعیّة ثبوتاً، یحمل علی أنّه إرشاد إلی تلک الجهة إثباتاً، کذلک البحث هنا أیضا عامّ؛ و هو أنّه فی کلّ مورد أمکن أن یستتبع النهی ثبوتاً معنی وضعیّاً زائداً علی المعنی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تحریمیّاً کان أو ندبیّاً، نفسیّاً کان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النهی مورد النزاع إثباتاً؛ و أنّه هل یستتبع ذلک المعنی الوضعیّ حسب الاقتضاء، أو الدلالة اللفظیّة، أو العقلیّة، أم لا؟ من غیر فرق بین کون ذلک المعنی الوضعیّ هو الفساد، أم</w:t>
      </w:r>
      <w:bookmarkStart w:id="573" w:name="pg13163_143191"/>
    </w:p>
    <w:p>
      <w:pPr>
        <w:pStyle w:val="BookText"/>
        <w:rPr/>
      </w:pPr>
      <w:bookmarkEnd w:id="573"/>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من البطلان، و النقصان، و سقوط الصلاحیة عن التقرّب به، أو التسبّب به، أو غیر ذلک ممّا سیظهر</w:t>
      </w:r>
      <w:r>
        <w:rPr>
          <w:rStyle w:val="FootnoteAnchor"/>
          <w:rtl w:val="true"/>
        </w:rPr>
        <w:footnoteReference w:id="720"/>
      </w:r>
      <w:r>
        <w:rPr>
          <w:rFonts w:ascii="IRNazanin" w:hAnsi="IRNazanin" w:eastAsia="IRNazanin"/>
          <w:color w:val="111111"/>
          <w:sz w:val="28"/>
          <w:sz w:val="28"/>
          <w:szCs w:val="28"/>
          <w:rtl w:val="true"/>
          <w:lang w:bidi="fa-IR"/>
        </w:rPr>
        <w:t xml:space="preserve">، و قد أشرنا فیما سلف إلی أمثلته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لا وجه لإطالة الکلام حول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فیها من الاختلافات الکثیرة المشاهدة فی الکتب المفصّلة</w:t>
      </w:r>
      <w:r>
        <w:rPr>
          <w:rStyle w:val="FootnoteAnchor"/>
          <w:rtl w:val="true"/>
        </w:rPr>
        <w:footnoteReference w:id="722"/>
      </w:r>
      <w:r>
        <w:rPr>
          <w:rFonts w:ascii="IRNazanin" w:hAnsi="IRNazanin" w:eastAsia="IRNazanin"/>
          <w:color w:val="111111"/>
          <w:sz w:val="28"/>
          <w:sz w:val="28"/>
          <w:szCs w:val="28"/>
          <w:rtl w:val="true"/>
          <w:lang w:bidi="fa-IR"/>
        </w:rPr>
        <w:t>، و لا معنی للغور فی تعاریفها و أحکامها، و نقضها و طردها؛ لعدم اشتمال عنوان البحث علی شی‌ء منها، بل المأخوذ فی العنوان أمر أعمّ فی کلتا الناحیتین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تنزّلنا عن ذلک، و أخذنا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فیهما، و هکذا ذکرنا فی تفسیر الحکم الوضعیّ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و 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تنزّل فی غیر محلّه، و من تأمّل فیما اخترناه تظهر له حقیقة الحال فیما هو محطّ الکلام فی الفقه من بدوه إلی 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أنّ التبعیّة للکمّلین من الأعلام فیه الخیر الکثیر، لا بأس بعد ذلک کلّه بأن نشیر إلی جهات فی هذا الأمر؛ حتّی یتبیّن أیضا مواضع الإشکال و المناقشة فی کلمات القوم فی هذه المراحل أیضا</w:t>
      </w:r>
      <w:r>
        <w:rPr>
          <w:rFonts w:eastAsia="IRNazanin" w:cs="IRNazanin"/>
          <w:color w:val="111111"/>
          <w:sz w:val="28"/>
          <w:szCs w:val="28"/>
          <w:rtl w:val="true"/>
          <w:lang w:bidi="fa-IR"/>
        </w:rPr>
        <w:t>.</w:t>
      </w:r>
    </w:p>
    <w:p>
      <w:pPr>
        <w:pStyle w:val="Heading5"/>
        <w:numPr>
          <w:ilvl w:val="4"/>
          <w:numId w:val="1"/>
        </w:numPr>
        <w:rPr/>
      </w:pPr>
      <w:bookmarkStart w:id="574" w:name="__RefHeading___Toc533997_3244359995"/>
      <w:bookmarkStart w:id="575" w:name="_Toc216"/>
      <w:bookmarkEnd w:id="574"/>
      <w:r>
        <w:rPr>
          <w:rtl w:val="true"/>
        </w:rPr>
        <w:t>الجهة الأُولی</w:t>
      </w:r>
      <w:r>
        <w:rPr>
          <w:rtl w:val="true"/>
        </w:rPr>
        <w:t xml:space="preserve">: </w:t>
      </w:r>
      <w:r>
        <w:rPr>
          <w:rtl w:val="true"/>
        </w:rPr>
        <w:t>حول العبادة</w:t>
      </w:r>
      <w:bookmarkEnd w:id="57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اشتهر أخذ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محطّ الکلام </w:t>
      </w:r>
      <w:r>
        <w:rPr>
          <w:rStyle w:val="FootnoteAnchor"/>
          <w:rtl w:val="true"/>
        </w:rPr>
        <w:footnoteReference w:id="723"/>
      </w:r>
      <w:r>
        <w:rPr>
          <w:rFonts w:ascii="IRNazanin" w:hAnsi="IRNazanin" w:eastAsia="IRNazanin"/>
          <w:color w:val="111111"/>
          <w:sz w:val="28"/>
          <w:sz w:val="28"/>
          <w:szCs w:val="28"/>
          <w:rtl w:val="true"/>
          <w:lang w:bidi="fa-IR"/>
        </w:rPr>
        <w:t>، و حیث إنّها أخصّ من القربیّات الشرعیّة؛ لما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العبادة تساوق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الفارسیّة</w:t>
      </w:r>
      <w:r>
        <w:rPr>
          <w:rFonts w:eastAsia="IRNazanin" w:cs="IRNazanin"/>
          <w:color w:val="111111"/>
          <w:sz w:val="28"/>
          <w:szCs w:val="28"/>
          <w:rtl w:val="true"/>
          <w:lang w:bidi="fa-IR"/>
        </w:rPr>
        <w:t>»</w:t>
      </w:r>
      <w:r>
        <w:rPr>
          <w:rStyle w:val="FootnoteAnchor"/>
          <w:rtl w:val="true"/>
        </w:rPr>
        <w:footnoteReference w:id="724"/>
      </w:r>
      <w:bookmarkStart w:id="576" w:name="pg13163_143192"/>
    </w:p>
    <w:p>
      <w:pPr>
        <w:pStyle w:val="BookText"/>
        <w:rPr/>
      </w:pPr>
      <w:bookmarkEnd w:id="576"/>
      <w:r>
        <w:rPr>
          <w:rFonts w:ascii="IRNazanin" w:hAnsi="IRNazanin" w:eastAsia="IRNazanin"/>
          <w:color w:val="111111"/>
          <w:sz w:val="28"/>
          <w:sz w:val="28"/>
          <w:szCs w:val="28"/>
          <w:rtl w:val="true"/>
          <w:lang w:bidi="fa-IR"/>
        </w:rPr>
        <w:t>فلا بدّ و أن یراد منها العبادة بالمعنی الأعمّ حتّی تشمل مثل الخمس و الزکاة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عنهم أنّ عبادیّة مثل السجود و الرکوع ذاتیّة، بخلاف عبادیّة الأُمور الأُخر</w:t>
      </w:r>
      <w:r>
        <w:rPr>
          <w:rStyle w:val="FootnoteAnchor"/>
          <w:rtl w:val="true"/>
        </w:rPr>
        <w:footnoteReference w:id="725"/>
      </w:r>
    </w:p>
    <w:p>
      <w:pPr>
        <w:pStyle w:val="BookText"/>
        <w:rPr/>
      </w:pP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إذا رکع مقارناً لقصد الاحترام و الخضوع 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لزوم قصدها، و لأجل ذلک منع بعض الأصحاب عن الهویّ لتقبیل الأعتاب المقدّسة معلّلاً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لیست بذاتیّة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مجرد الهویّ لا ینتزع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ناشئ عن الغفلة عن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العبادة بمعنی الإتیان بعمل توصّلی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کالسلام 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القربة و الخلوص تکون خارجة عندهم عن محطّ الکلام </w:t>
      </w:r>
      <w:r>
        <w:rPr>
          <w:rStyle w:val="FootnoteAnchor"/>
          <w:rtl w:val="true"/>
        </w:rPr>
        <w:footnoteReference w:id="726"/>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إمکان إدراجها فیه؛ لما أنّ النهی ربّما یستتبع سقوط صلاحیة المنهیّ عن إمکان الإتیان به تقرّباً، فلو ورد مثلاً نهی عن قصد القربة فی الاستنجاء فهو قابل لأن یکون مقتضیاً لسقوط الاستنجاء عن إمکان اقترانه بقصد القربة</w:t>
      </w:r>
      <w:r>
        <w:rPr>
          <w:rFonts w:eastAsia="IRNazanin" w:cs="IRNazanin"/>
          <w:color w:val="111111"/>
          <w:sz w:val="28"/>
          <w:szCs w:val="28"/>
          <w:rtl w:val="true"/>
          <w:lang w:bidi="fa-IR"/>
        </w:rPr>
        <w:t>.</w:t>
      </w:r>
    </w:p>
    <w:p>
      <w:pPr>
        <w:pStyle w:val="Heading5"/>
        <w:numPr>
          <w:ilvl w:val="4"/>
          <w:numId w:val="1"/>
        </w:numPr>
        <w:rPr/>
      </w:pPr>
      <w:bookmarkStart w:id="577" w:name="__RefHeading___Toc533999_3244359995"/>
      <w:bookmarkStart w:id="578" w:name="_Toc217"/>
      <w:bookmarkEnd w:id="577"/>
      <w:r>
        <w:rPr>
          <w:rtl w:val="true"/>
        </w:rPr>
        <w:t>الجهة الثانیة</w:t>
      </w:r>
      <w:r>
        <w:rPr>
          <w:rtl w:val="true"/>
        </w:rPr>
        <w:t xml:space="preserve">: </w:t>
      </w:r>
      <w:r>
        <w:rPr>
          <w:rtl w:val="true"/>
        </w:rPr>
        <w:t>حول المعاملة</w:t>
      </w:r>
      <w:bookmarkEnd w:id="57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اشتهر أخذ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البحث، و أرادوا منها المعنی الأعمّ من المعاوضات و التجارات </w:t>
      </w:r>
      <w:r>
        <w:rPr>
          <w:rStyle w:val="FootnoteAnchor"/>
          <w:rtl w:val="true"/>
        </w:rPr>
        <w:footnoteReference w:id="727"/>
      </w:r>
      <w:r>
        <w:rPr>
          <w:rFonts w:ascii="IRNazanin" w:hAnsi="IRNazanin" w:eastAsia="IRNazanin"/>
          <w:color w:val="111111"/>
          <w:sz w:val="28"/>
          <w:sz w:val="28"/>
          <w:szCs w:val="28"/>
          <w:rtl w:val="true"/>
          <w:lang w:bidi="fa-IR"/>
        </w:rPr>
        <w:t>، فیندرج فیها الطلاق بأقسامه، و النکاح بصنوفه</w:t>
      </w:r>
      <w:r>
        <w:rPr>
          <w:rFonts w:eastAsia="IRNazanin" w:cs="IRNazanin"/>
          <w:color w:val="111111"/>
          <w:sz w:val="28"/>
          <w:szCs w:val="28"/>
          <w:rtl w:val="true"/>
          <w:lang w:bidi="fa-IR"/>
        </w:rPr>
        <w:t>.</w:t>
      </w:r>
      <w:bookmarkStart w:id="579" w:name="pg13163_143193"/>
    </w:p>
    <w:p>
      <w:pPr>
        <w:pStyle w:val="BookText"/>
        <w:rPr/>
      </w:pPr>
      <w:bookmarkEnd w:id="579"/>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أعمّ من ذلک أیضا؛ حتّی تشمل الصید و الذباحة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الإطلاقات المجازیّة غیر جائزة فی هذه المواقف، و لا سیّما إذا کانت بعیدة أو غلطاً، فکان الأولی العدول عمّا جعلوه عنواناً إلی ما ذکرناه </w:t>
      </w:r>
      <w:r>
        <w:rPr>
          <w:rStyle w:val="FootnoteAnchor"/>
          <w:rtl w:val="true"/>
        </w:rPr>
        <w:footnoteReference w:id="729"/>
      </w:r>
      <w:r>
        <w:rPr>
          <w:rFonts w:ascii="IRNazanin" w:hAnsi="IRNazanin" w:eastAsia="IRNazanin"/>
          <w:color w:val="111111"/>
          <w:sz w:val="28"/>
          <w:sz w:val="28"/>
          <w:szCs w:val="28"/>
          <w:rtl w:val="true"/>
          <w:lang w:bidi="fa-IR"/>
        </w:rPr>
        <w:t>، أو إلی العنوان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کلّما أمکن أن یستتبع النهی التکلیفیّ حکماً وضعیّاً بحسب التصوّر و الثبوت، فهل هو کذلک إثباتاً،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شبهة فی إمکان استتباعه فی مطلق العبادات و المعاملات، و ما یشبههما من الصید و الذباحة، و إجراء الحدود، و غیر ذلک، بل قد عرفت منّا إمکانه حتّی فی مثل النهی عن قصد القربة بالاستنجاء مثلاً؛ لأنّه إذا استتبع سقوط قابلیّته عن التقرّب به، لا یجوز التمسّک لجواز اجتماع الحرمة مع القربة بما تمسّکوا به فی مسألة اجتماع الأمر و النهی، کما یأتی و یظهر إن شاء اللَّه تعالی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534001_3244359995"/>
      <w:bookmarkStart w:id="581" w:name="_Toc218"/>
      <w:bookmarkEnd w:id="580"/>
      <w:r>
        <w:rPr>
          <w:rtl w:val="true"/>
        </w:rPr>
        <w:t>الجهة الثالثة</w:t>
      </w:r>
      <w:r>
        <w:rPr>
          <w:rtl w:val="true"/>
        </w:rPr>
        <w:t xml:space="preserve">: </w:t>
      </w:r>
      <w:r>
        <w:rPr>
          <w:rtl w:val="true"/>
        </w:rPr>
        <w:t xml:space="preserve">فیما یتعلّق بعنوان </w:t>
      </w:r>
      <w:r>
        <w:rPr>
          <w:rtl w:val="true"/>
        </w:rPr>
        <w:t>«</w:t>
      </w:r>
      <w:r>
        <w:rPr>
          <w:rtl w:val="true"/>
        </w:rPr>
        <w:t>الفساد</w:t>
      </w:r>
      <w:r>
        <w:rPr>
          <w:rtl w:val="true"/>
        </w:rPr>
        <w:t xml:space="preserve">» </w:t>
      </w:r>
      <w:r>
        <w:rPr>
          <w:rtl w:val="true"/>
        </w:rPr>
        <w:t xml:space="preserve">أوّلاً و بالذات و ب </w:t>
      </w:r>
      <w:r>
        <w:rPr>
          <w:rtl w:val="true"/>
        </w:rPr>
        <w:t>«</w:t>
      </w:r>
      <w:r>
        <w:rPr>
          <w:rtl w:val="true"/>
        </w:rPr>
        <w:t>الصحّة</w:t>
      </w:r>
      <w:r>
        <w:rPr>
          <w:rtl w:val="true"/>
        </w:rPr>
        <w:t xml:space="preserve">» </w:t>
      </w:r>
      <w:r>
        <w:rPr>
          <w:rtl w:val="true"/>
        </w:rPr>
        <w:t>تبعاً له</w:t>
      </w:r>
      <w:bookmarkEnd w:id="581"/>
    </w:p>
    <w:p>
      <w:pPr>
        <w:pStyle w:val="Heading6"/>
        <w:numPr>
          <w:ilvl w:val="5"/>
          <w:numId w:val="1"/>
        </w:numPr>
        <w:rPr/>
      </w:pPr>
      <w:bookmarkStart w:id="582" w:name="__RefHeading___Toc534003_3244359995"/>
      <w:bookmarkStart w:id="583" w:name="_Toc219"/>
      <w:bookmarkEnd w:id="582"/>
      <w:r>
        <w:rPr>
          <w:rtl w:val="true"/>
        </w:rPr>
        <w:t>اشارة</w:t>
      </w:r>
      <w:bookmarkEnd w:id="58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الخوض فی أُمور مرتبطة فیهما، و راجعة إلی حدودهما و خصوصیّاتهما، لا بدّ من الإشارة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البحث عن المفاهیم اللغویّة جائز إذا کانت واردة فی الکتاب و السنة، و أمّا الخوض فیما لا یکون فیهما فهو من اللغو، و لا شبهة فی أنّ البحث هنا عن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غیر صحیح؛ لأنّه لیس له ثمر عملیّ، و الجهة</w:t>
      </w:r>
    </w:p>
    <w:p>
      <w:pPr>
        <w:pStyle w:val="BookText"/>
        <w:rPr/>
      </w:pPr>
      <w:r>
        <w:rPr>
          <w:rFonts w:ascii="IRNazanin" w:hAnsi="IRNazanin" w:eastAsia="IRNazanin"/>
          <w:color w:val="111111"/>
          <w:sz w:val="28"/>
          <w:sz w:val="28"/>
          <w:szCs w:val="28"/>
          <w:rtl w:val="true"/>
          <w:lang w:bidi="fa-IR"/>
        </w:rPr>
        <w:t xml:space="preserve">المبحوث عنها هاهنا أعمّ من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و البطلان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هذا الانحراف وقعوا فیما لا ینبغی،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یوصف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داخل فی محطّ النزاع، و إلاّ فلا</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و اختلفوا فیما یوصف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یری أنّ المعاملات لا توصف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خارجة، و هکذا من یری أنّ اتصاف العبادات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المجاز، کما هو رأی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یلزم خروجه؛ لأنّ الموصوف بهما بالتوصیف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النزاع، و إلاّ یلزم دخول کلّ شی‌ء أمکن اتصافه و لو مجازاً فیه، و هو غیر مقصود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تختلف الآراء فی حدود النزاع؛ لأجل اختلافها فی حدود الصحّة و الفساد معنیً و مفهوماً، إلی أن لا یوجد موضوع یوصف بهما حقیقة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جعل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محطّ البحث معناه أنّ النهی المتعلّق بهما وارد فی محطّ النزاع سواء وصفتا بهما، أو لم توصفا بهما، فلاحظ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قدس سره لم یردوا الشریعة من بابها،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اطلعت علیه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لا فریة فیه و لا مریة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المقدّمة، فالبحث عنهما یقع فی ضمن أُمور</w:t>
      </w:r>
      <w:r>
        <w:rPr>
          <w:rFonts w:eastAsia="IRNazanin" w:cs="IRNazanin"/>
          <w:color w:val="111111"/>
          <w:sz w:val="28"/>
          <w:szCs w:val="28"/>
          <w:rtl w:val="true"/>
          <w:lang w:bidi="fa-IR"/>
        </w:rPr>
        <w:t>:</w:t>
      </w:r>
      <w:bookmarkStart w:id="584" w:name="pg13163_143195"/>
    </w:p>
    <w:p>
      <w:pPr>
        <w:pStyle w:val="Heading6"/>
        <w:numPr>
          <w:ilvl w:val="5"/>
          <w:numId w:val="1"/>
        </w:numPr>
        <w:rPr/>
      </w:pPr>
      <w:bookmarkStart w:id="585" w:name="__RefHeading___Toc534005_3244359995"/>
      <w:bookmarkStart w:id="586" w:name="_Toc220"/>
      <w:bookmarkEnd w:id="584"/>
      <w:bookmarkEnd w:id="585"/>
      <w:r>
        <w:rPr>
          <w:rtl w:val="true"/>
        </w:rPr>
        <w:t>أوّلها</w:t>
      </w:r>
      <w:r>
        <w:rPr>
          <w:rtl w:val="true"/>
        </w:rPr>
        <w:t xml:space="preserve">: </w:t>
      </w:r>
      <w:r>
        <w:rPr>
          <w:rtl w:val="true"/>
        </w:rPr>
        <w:t>فی مفهومهما اللغویّ</w:t>
      </w:r>
      <w:bookmarkEnd w:id="586"/>
    </w:p>
    <w:p>
      <w:pPr>
        <w:pStyle w:val="BookText"/>
        <w:rPr/>
      </w:pPr>
      <w:r>
        <w:rPr>
          <w:rFonts w:ascii="IRNazanin" w:hAnsi="IRNazanin" w:eastAsia="IRNazanin"/>
          <w:color w:val="111111"/>
          <w:sz w:val="28"/>
          <w:sz w:val="28"/>
          <w:szCs w:val="28"/>
          <w:rtl w:val="true"/>
          <w:lang w:bidi="fa-IR"/>
        </w:rPr>
        <w:t>فقد نسب إلی الشهرة</w:t>
      </w:r>
      <w:r>
        <w:rPr>
          <w:rStyle w:val="FootnoteAnchor"/>
          <w:rtl w:val="true"/>
        </w:rPr>
        <w:footnoteReference w:id="734"/>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التمامیّة،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المتفاهم العرفیّ من الإطلاقات خلافه؛ لصحّة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ناقصة، و بیت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صحّة توصیفهما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التمامیّة تستعمل بالنسبة إلی الاختلال فی الشی‌ء من ناحیة کمّیته و المقدار،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علیه عند الاختلال فی الکیفیّة و المزاج،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البطیخ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ما ابتلی بالمخترعات الشرعیّة؛ و أنّ الصلاة الناقصة برکعة توصف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الاختلال بحسب الکمیّة، احتمل الوضع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رأی أنّ الاحتمال المزبور بعید غایته التزم بالمجازیّة؛ و أنّ من کثرة الاستعمال بلغ إلی حدّ الحقیقة مثلاً فی الاستعمالات الشرعیّة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البیت إذا کان مختلفاً من ناحیة العوارض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الید إذا کانت عوجاء توصف بالنقصان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بالمجازیّة یورث الخروج عن محطّ النزاع حسبما تصوّروه فی میزان الاندراج فی محطّ البحث</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الصحّة فی جمیع الموارد واحد؛ سواء کان مقابلها مفهوم المعیب، أو کان مقابلها مفهوم البطلان، أو الفساد، و هکذا مفهوم الفاسد واحد؛ سواء کان مقابله السالم، أو کان مقابله الصحیح، و إنّما الاختلاف فی المصادیق؛ و أنّها ذات عرض 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سواء کان من الأُمور الطبیعیّة، أو کان من الأُمور الاختراعیّة و الاعتباریّة، ذو 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تقدیر و تدبیر، و نشأة التکوین و التشخّص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لوحظ الشی‌ء فی النشأة الأُولی، فیقدّر له الأجزاء و الشرائط و الأفعال و الآثار و الخواصّ و الحدود و الکیفیّات، و تکون تلک الخصوصیّات داخلة فی طبیعته النوعیّة، لا بما أنّها أجزاء ذاتیّة، بل بما أنّها حدودها اللاّزمة فی الطبیعة الکاملة النوعیّة، فإنّ جمیع المقولات و الضمائم ممّا تقدّر فی تلک النشأة و هی النشأة العلمیّة، کما یقدّر المهندس فی النشأة الذهنیّة جمیع خصوصیّات البیت و تبعاته من الأُمور الدخیلة فی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التقدیر المزبور حسب الطبیعة النوعیّة، یشرع فی أن تصیر هذه الطبیعة موجودة بالوجود الخارجیّ، و تصیر خارجیّة و فی الأعیان، فإذا کان ما فی الخارج من الأعیان، عین ما فی العلم و الذهن من التقادیر، یکون الخارج کاملاً و جامعاً و تامّاً و صحیحاً و سالماً، و إلاّ فیتوجّه إلیه تارة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مفهوم غیر مفهوم الآخر، و هکذا فی مقابلاتها، إلاّ أنّ مناشئ هذه التوصیفات المختلفة ربّما تکون متفاوتة و غیر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عقل زید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باعتبار الأثر المرغوب منه و المقدّر له فی الطبیعة النوعیّة و فی النشأة العلمیّة، و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البدن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بلحاظ الکمیّة و الکیفیّة، و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بلحاظ النقصان أو الزیادة علی المقدّر النوعیّ فی تلک النشأة، و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بلحاظ الأخلاق و الاعتقاد و المقدّر له علی الحساب المزبور، و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باطل 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بلحاظ الأثر المرغوب منه من العمل المفید و الفعّالیّة الاجتماعیّة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کامل العیار، و إنساناً کاملاً من جمیع الجهات المقدّرة له فی</w:t>
      </w:r>
    </w:p>
    <w:p>
      <w:pPr>
        <w:pStyle w:val="BookText"/>
        <w:rPr/>
      </w:pPr>
      <w:r>
        <w:rPr>
          <w:rFonts w:ascii="IRNazanin" w:hAnsi="IRNazanin" w:eastAsia="IRNazanin"/>
          <w:color w:val="111111"/>
          <w:sz w:val="28"/>
          <w:sz w:val="28"/>
          <w:szCs w:val="28"/>
          <w:rtl w:val="true"/>
          <w:lang w:bidi="fa-IR"/>
        </w:rPr>
        <w:t>جمیع مراحل وجوده حسب طبیعته النوعیّة، فیسلب عنه جمیع هذه العناوین، و یوصف بمقابلاتها من الصحّة؛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صحیح المزاج و الخلقة، و سالم العقل، و صحیح العمل و القول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المخترعات الشرعیّة و الاعتباریّات العقلائیّة، کالمرکّبات الحقیقیّة فی هذه الجهة، فإذا کانت الصلاة کاملة الأجزاء و الشرائط و الآثار و الخواصّ، فتوصف بتلک الأوصاف، و إذا اختلّت من ناحیة من النواحی المقدّرة لها فی نشأة الذهن و العلم، توصف بوصف من الأوصاف المزبورة، فإن کانت بلا رکوع و سجود، و بلا کیفیّة و هیئة معتبرة فیها، و بلا أثر و خاصیّة مرغوبة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توصف بالأوصاف الأُخر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اتصافها بتلک الأوصاف تختلف مناشئه،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صلاة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لأجل الإخلال بها من ناحیة الآثار المرغوبة منها، 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لأجل الإخلال بکیفیّتها أو کمّیتها المتقدّرة لها بحسب الطبیعة، 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باطلة و عاطلة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کونها بلحاظ مطلق الأثر المرغوب منها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تفسیر الصحّة و الفساد، و جعل منشأ الاتصاف بهما عدم وجوب القضاء و الإعادة و وجوبهما، کما نسب إلی الفقیه، و هکذا تفسیرهما بحصول الامتثال و عدمه، کما عن المتکلّم </w:t>
      </w:r>
      <w:r>
        <w:rPr>
          <w:rStyle w:val="FootnoteAnchor"/>
          <w:rtl w:val="true"/>
        </w:rPr>
        <w:footnoteReference w:id="737"/>
      </w:r>
      <w:r>
        <w:rPr>
          <w:rFonts w:ascii="IRNazanin" w:hAnsi="IRNazanin" w:eastAsia="IRNazanin"/>
          <w:color w:val="111111"/>
          <w:sz w:val="28"/>
          <w:sz w:val="28"/>
          <w:szCs w:val="28"/>
          <w:rtl w:val="true"/>
          <w:lang w:bidi="fa-IR"/>
        </w:rPr>
        <w:t>، فهو غیر صحیح؛ لأنّهما من الأُمور المنتزعة عن تطابق المأتیّ به و المأمور به، و عدم التطابق، من غیر دخالة سقوط الأمر و عدمه فی ذلک؛ و إن کان یسقط فی صورة الصحّة، و لا یسقط فی صورة الفساد، إلاّ أنّهما کالحجر جنب الإنسان، أو هما لیسا من الانتزاعیّین من التطابق و عدمه، بل الهیئة المتقدّرة المفروضة المذکور تفصیلها إذا وجدت بجمیع ما قدّر لها فی النشأة العلمیّة توصف</w:t>
      </w:r>
      <w:bookmarkStart w:id="587" w:name="pg13163_143198"/>
    </w:p>
    <w:p>
      <w:pPr>
        <w:pStyle w:val="BookText"/>
        <w:rPr/>
      </w:pPr>
      <w:bookmarkEnd w:id="587"/>
      <w:r>
        <w:rPr>
          <w:rFonts w:ascii="IRNazanin" w:hAnsi="IRNazanin" w:eastAsia="IRNazanin"/>
          <w:color w:val="111111"/>
          <w:sz w:val="28"/>
          <w:sz w:val="28"/>
          <w:szCs w:val="28"/>
          <w:rtl w:val="true"/>
          <w:lang w:bidi="fa-IR"/>
        </w:rPr>
        <w:t>بالصحّة، و إذا لم تکن کذلک توصف بالفساد، من غیر لحاظ التطابق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المعاملات لا یکون أمر حتّی یطابق،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المأمور بها هی طبیعیّ الصلاة، و الطبیعة توجد بتبعها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إلی اعتبار التطابق فی الاتصاف المزبور، بل الطبیعة الکذائیّة إذا صارت خارجیّة ینتزع منها الصحّة، و إذا کانت خارجیّة، و لکنّها کانت مختلّة من ناحیة من النواحی المزبورة تکون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سیظهر فی طیّ الأُمور الآتیة ما یترتّب علی هذه المقالة من الآثار</w:t>
      </w:r>
      <w:r>
        <w:rPr>
          <w:rStyle w:val="FootnoteAnchor"/>
          <w:rtl w:val="true"/>
        </w:rPr>
        <w:footnoteReference w:id="738"/>
      </w:r>
      <w:r>
        <w:rPr>
          <w:rFonts w:ascii="IRNazanin" w:hAnsi="IRNazanin" w:eastAsia="IRNazanin"/>
          <w:color w:val="111111"/>
          <w:sz w:val="28"/>
          <w:sz w:val="28"/>
          <w:szCs w:val="28"/>
          <w:rtl w:val="true"/>
          <w:lang w:bidi="fa-IR"/>
        </w:rPr>
        <w:t>بعد ما عرفت سقوط تعریف الفقهاء و المتکلّمین أیضا، و الأمر سهل</w:t>
      </w:r>
      <w:r>
        <w:rPr>
          <w:rFonts w:eastAsia="IRNazanin" w:cs="IRNazanin"/>
          <w:color w:val="111111"/>
          <w:sz w:val="28"/>
          <w:szCs w:val="28"/>
          <w:rtl w:val="true"/>
          <w:lang w:bidi="fa-IR"/>
        </w:rPr>
        <w:t>.</w:t>
      </w:r>
    </w:p>
    <w:p>
      <w:pPr>
        <w:pStyle w:val="Heading6"/>
        <w:numPr>
          <w:ilvl w:val="5"/>
          <w:numId w:val="1"/>
        </w:numPr>
        <w:rPr/>
      </w:pPr>
      <w:bookmarkStart w:id="588" w:name="__RefHeading___Toc534007_3244359995"/>
      <w:bookmarkStart w:id="589" w:name="_Toc221"/>
      <w:bookmarkEnd w:id="588"/>
      <w:r>
        <w:rPr>
          <w:rtl w:val="true"/>
        </w:rPr>
        <w:t>ثانیها</w:t>
      </w:r>
      <w:r>
        <w:rPr>
          <w:rtl w:val="true"/>
        </w:rPr>
        <w:t xml:space="preserve">: </w:t>
      </w:r>
      <w:r>
        <w:rPr>
          <w:rtl w:val="true"/>
        </w:rPr>
        <w:t>فی اتصاف العناوین فی عالم العنوانیّة بالصحّة و الفساد</w:t>
      </w:r>
      <w:bookmarkEnd w:id="589"/>
    </w:p>
    <w:p>
      <w:pPr>
        <w:pStyle w:val="BookText"/>
        <w:rPr/>
      </w:pPr>
      <w:r>
        <w:rPr>
          <w:rFonts w:ascii="IRNazanin" w:hAnsi="IRNazanin" w:eastAsia="IRNazanin"/>
          <w:color w:val="111111"/>
          <w:sz w:val="28"/>
          <w:sz w:val="28"/>
          <w:szCs w:val="28"/>
          <w:rtl w:val="true"/>
          <w:lang w:bidi="fa-IR"/>
        </w:rPr>
        <w:t>قد مرّ فی بحوث الصحیح 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و الفساد لیسا من الأُمور الداخلة فی الذاتیّات و فی الطبائع بالحمل الأوّلی </w:t>
      </w:r>
      <w:r>
        <w:rPr>
          <w:rStyle w:val="FootnoteAnchor"/>
          <w:rtl w:val="true"/>
        </w:rPr>
        <w:footnoteReference w:id="739"/>
      </w:r>
      <w:r>
        <w:rPr>
          <w:rFonts w:ascii="IRNazanin" w:hAnsi="IRNazanin" w:eastAsia="IRNazanin"/>
          <w:color w:val="111111"/>
          <w:sz w:val="28"/>
          <w:sz w:val="28"/>
          <w:szCs w:val="28"/>
          <w:rtl w:val="true"/>
          <w:lang w:bidi="fa-IR"/>
        </w:rPr>
        <w:t>، و هذا ممّا لا غبار علیه کما عرفت فی البحث السابق؛ ممّا تبیّن أنّ الصحّة لیست من الأُمور الملحوظة عند تقدیر الطبائع؛ تکوینیّة کانت، أو تألیفیّة هندسیّة، أو اختراعیّة اعتباریّة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الخلاف الظاهر بین الأعلام حول أنّ الصحّة و الفساد من تبعات الطبیعة فی ظرف الوجود الخارجیّ، فلا توصف العناوین فی عالم العنوانیّة بهما، أم الأمر لیس کما قال به السیّد الأُستاذ البروجردیّ </w:t>
      </w:r>
      <w:r>
        <w:rPr>
          <w:rStyle w:val="FootnoteAnchor"/>
          <w:rtl w:val="true"/>
        </w:rPr>
        <w:footnoteReference w:id="740"/>
      </w:r>
      <w:r>
        <w:rPr>
          <w:rFonts w:ascii="IRNazanin" w:hAnsi="IRNazanin" w:eastAsia="IRNazanin"/>
          <w:color w:val="111111"/>
          <w:sz w:val="28"/>
          <w:sz w:val="28"/>
          <w:szCs w:val="28"/>
          <w:rtl w:val="true"/>
          <w:lang w:bidi="fa-IR"/>
        </w:rPr>
        <w:t>و الوالد</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توصیف العنوان، فالتحقیق هو الثانی؛ ضرورة أنّ توصیف الصلاة فی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فاسدة</w:t>
      </w:r>
      <w:r>
        <w:rPr>
          <w:rFonts w:eastAsia="IRNazanin" w:cs="IRNazanin"/>
          <w:color w:val="111111"/>
          <w:sz w:val="28"/>
          <w:szCs w:val="28"/>
          <w:rtl w:val="true"/>
          <w:lang w:bidi="fa-IR"/>
        </w:rPr>
        <w:t>»</w:t>
      </w:r>
      <w:bookmarkStart w:id="590" w:name="pg13163_143199"/>
    </w:p>
    <w:p>
      <w:pPr>
        <w:pStyle w:val="BookText"/>
        <w:rPr/>
      </w:pPr>
      <w:bookmarkEnd w:id="590"/>
      <w:r>
        <w:rPr>
          <w:rFonts w:ascii="IRNazanin" w:hAnsi="IRNazanin" w:eastAsia="IRNazanin"/>
          <w:color w:val="111111"/>
          <w:sz w:val="28"/>
          <w:sz w:val="28"/>
          <w:szCs w:val="28"/>
          <w:rtl w:val="true"/>
          <w:lang w:bidi="fa-IR"/>
        </w:rPr>
        <w:t>من غیر النّظر إلی تحقّقها و عدم تحقّقها، جائز و واقع فی جمیع الرسائل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نظرهما و لا سیّما نظر السیّد الوالد المحقّق إلی الإشکال فی کون الصحّة من تبعات الطبیعة فی الحمل الأوّلی، و أمّا توصیف العناوین بما هی عناوین بالفساد فهو جائز لا غبار علیه، و هکذا توصیفها بالصحّة و أنّ الصلاة فی الظاهر صحیحة ممّا لا شبهة تعتریها، من غیر رجوع القضیّة البتّیة إلی القضیّة الشرطیّة بالضرورة، فلا تخلط</w:t>
      </w:r>
      <w:r>
        <w:rPr>
          <w:rFonts w:eastAsia="IRNazanin" w:cs="IRNazanin"/>
          <w:color w:val="111111"/>
          <w:sz w:val="28"/>
          <w:szCs w:val="28"/>
          <w:rtl w:val="true"/>
          <w:lang w:bidi="fa-IR"/>
        </w:rPr>
        <w:t>.</w:t>
      </w:r>
    </w:p>
    <w:p>
      <w:pPr>
        <w:pStyle w:val="Heading6"/>
        <w:numPr>
          <w:ilvl w:val="5"/>
          <w:numId w:val="1"/>
        </w:numPr>
        <w:rPr/>
      </w:pPr>
      <w:bookmarkStart w:id="591" w:name="__RefHeading___Toc534009_3244359995"/>
      <w:bookmarkStart w:id="592" w:name="_Toc222"/>
      <w:bookmarkEnd w:id="591"/>
      <w:r>
        <w:rPr>
          <w:rtl w:val="true"/>
        </w:rPr>
        <w:t>ثالثها</w:t>
      </w:r>
      <w:r>
        <w:rPr>
          <w:rtl w:val="true"/>
        </w:rPr>
        <w:t xml:space="preserve">: </w:t>
      </w:r>
      <w:r>
        <w:rPr>
          <w:rtl w:val="true"/>
        </w:rPr>
        <w:t>فی أنّ الصحّة و الفساد من الأُمور الواقعیّة لا الإضافیّة</w:t>
      </w:r>
      <w:bookmarkEnd w:id="592"/>
    </w:p>
    <w:p>
      <w:pPr>
        <w:pStyle w:val="BookText"/>
        <w:rPr/>
      </w:pPr>
      <w:r>
        <w:rPr>
          <w:rFonts w:ascii="IRNazanin" w:hAnsi="IRNazanin" w:eastAsia="IRNazanin"/>
          <w:color w:val="111111"/>
          <w:sz w:val="28"/>
          <w:sz w:val="28"/>
          <w:szCs w:val="28"/>
          <w:rtl w:val="true"/>
          <w:lang w:bidi="fa-IR"/>
        </w:rPr>
        <w:t>قد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الصحّة و الفساد من الأوصاف الإضافیّة</w:t>
      </w:r>
      <w:r>
        <w:rPr>
          <w:rStyle w:val="FootnoteAnchor"/>
          <w:rtl w:val="true"/>
        </w:rPr>
        <w:footnoteReference w:id="742"/>
      </w:r>
      <w:r>
        <w:rPr>
          <w:rFonts w:ascii="IRNazanin" w:hAnsi="IRNazanin" w:eastAsia="IRNazanin"/>
          <w:color w:val="111111"/>
          <w:sz w:val="28"/>
          <w:sz w:val="28"/>
          <w:szCs w:val="28"/>
          <w:rtl w:val="true"/>
          <w:lang w:bidi="fa-IR"/>
        </w:rPr>
        <w:t xml:space="preserve">، و 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من المفاهیم المتضایفة، و لا من مقولة الإضافة، بل المراد أنّهما من الأوصاف النسبیّة و اللحاظیّة فی قبال الأوصاف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التقدّم و التأخّر، فإنّ الواحد یوصف بهما بلحاظ الأمرین الخارجین عنه، فیکون مقدّماً و مؤخّراً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البیاض و السواد، فإنّهما وصفان للجسم علی الإطلاق و الواقعیّة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الصحّة و الفساد من قبیل الأوّل أم الثانی؟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الأکثر</w:t>
      </w:r>
      <w:r>
        <w:rPr>
          <w:rStyle w:val="FootnoteAnchor"/>
          <w:rtl w:val="true"/>
        </w:rPr>
        <w:footnoteReference w:id="743"/>
      </w:r>
      <w:r>
        <w:rPr>
          <w:rFonts w:ascii="IRNazanin" w:hAnsi="IRNazanin" w:eastAsia="IRNazanin"/>
          <w:color w:val="111111"/>
          <w:sz w:val="28"/>
          <w:sz w:val="28"/>
          <w:szCs w:val="28"/>
          <w:rtl w:val="true"/>
          <w:lang w:bidi="fa-IR"/>
        </w:rPr>
        <w:t xml:space="preserve">و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44"/>
      </w:r>
      <w:r>
        <w:rPr>
          <w:rFonts w:ascii="Amiri" w:hAnsi="Amiri" w:eastAsia="Amiri" w:cs="Amiri"/>
          <w:color w:val="111111"/>
          <w:sz w:val="28"/>
          <w:sz w:val="28"/>
          <w:szCs w:val="28"/>
          <w:rtl w:val="true"/>
          <w:lang w:bidi="ar-SA"/>
        </w:rPr>
        <w:t xml:space="preserve">و السیّد الأُستاذ رحمه اللَّه </w:t>
      </w:r>
      <w:r>
        <w:rPr>
          <w:rStyle w:val="FootnoteAnchor"/>
          <w:rtl w:val="true"/>
        </w:rPr>
        <w:footnoteReference w:id="745"/>
      </w:r>
      <w:r>
        <w:rPr>
          <w:rFonts w:ascii="IRNazanin" w:hAnsi="IRNazanin" w:eastAsia="IRNazanin"/>
          <w:color w:val="111111"/>
          <w:sz w:val="28"/>
          <w:sz w:val="28"/>
          <w:szCs w:val="28"/>
          <w:rtl w:val="true"/>
          <w:lang w:bidi="fa-IR"/>
        </w:rPr>
        <w:t>کون الشی‌ء الواحد صحیحاً بلحاظ،</w:t>
      </w:r>
    </w:p>
    <w:p>
      <w:pPr>
        <w:pStyle w:val="BookText"/>
        <w:rPr/>
      </w:pPr>
      <w:r>
        <w:rPr>
          <w:rFonts w:ascii="IRNazanin" w:hAnsi="IRNazanin" w:eastAsia="IRNazanin"/>
          <w:color w:val="111111"/>
          <w:sz w:val="28"/>
          <w:sz w:val="28"/>
          <w:szCs w:val="28"/>
          <w:rtl w:val="true"/>
          <w:lang w:bidi="fa-IR"/>
        </w:rPr>
        <w:t>و فاسد بلحاظ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یتوجّه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الصحّة و الفساد لو کانا إضافیّین، للزم ذلک فی اتصاف الطبائع الخارجیّة، مع أنّ الوجدان حاکم بأنّ البطّیخ لا یوصف باعتبار و لحاظ بالصحّة، و فی اعتبار آخر و لحاظ آخر بالفساد، فإنّ البطّیخ بحسب الواقع إمّا فاسد، أو صحیح، فلا بدّ و أن یکون الأمر کذلک فی مثل الصلاة و غیرها، فإنّ الصلاة إمّا صحیحة، أو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صحیحة من حیث الأجزاء و الشرائط، و فاسدة من حیث اشتمالها علی المانع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التوصیف الواقعیّ للصلاة الخارجیّة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فلیسا هما من قبیل التقدّم و التأخّر، فإنّهما یحملان علی الحقیقة علی الصنف الثانی، و یکون موضوع التقدّم عین موضوع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إرجاع هذا التوصیف إلی الصحّة التأهّلیة التی هی فی الحقیقة لیست إلاّ حکماً مشروطاً من جهة، و صحّةً واقعیّة من جهة أُخری؛ و إن کانت قابلة للزوال لأجل طروّ الفساد، کما فی الرکعة الأُولی بالنسبة إلی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العلاّمة الأُستاذ قدس سره استدلّ لإضافیّتهما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الحرکة الخارجیّة الصلاتیّة الواقعة فی المغصوب، حرکة صحیحة إذا لاحظناها بعنوانها الذاتیّ الطبیعیّ، و تلک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توقّع انطباق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 لأجل کونها صلاة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توصف بالفساد</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الأوصاف الإضافیّة کما فی المثال المزبور، لا بدّ و أن یکون الموضوع واحداً، و یحمل الوصف علیه حملاً حقیقیّاً لا مجازیّا، فکما یصحّ أن یقال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الصنف الثانی متقدّم و متأخّر بالقیاس إلی الصنف الأوّل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بدّ و أن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الحرکة الخارجیّة صحیحة و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الفساد یطرأ</w:t>
      </w:r>
      <w:bookmarkStart w:id="593" w:name="pg13163_143201"/>
    </w:p>
    <w:p>
      <w:pPr>
        <w:pStyle w:val="BookText"/>
        <w:rPr/>
      </w:pPr>
      <w:bookmarkEnd w:id="593"/>
      <w:r>
        <w:rPr>
          <w:rFonts w:ascii="IRNazanin" w:hAnsi="IRNazanin" w:eastAsia="IRNazanin"/>
          <w:color w:val="111111"/>
          <w:sz w:val="28"/>
          <w:sz w:val="28"/>
          <w:szCs w:val="28"/>
          <w:rtl w:val="true"/>
          <w:lang w:bidi="fa-IR"/>
        </w:rPr>
        <w:t>علیها لأجل اعتبار آخر؛ و هو تلوّنها بالصلاة، و لمکان ذلک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الفاسد فی الحقیقة هی الصلاة المتّحدة مع تلک الحرکة، فلا ینبغی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أنّهما من الأوصاف الإضافیّة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بل هما من الأوصاف المطلقة الواقعیّة الثابتة کالبیاض و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یمکن أن یوصف الواحد لأجل اشتماله علی الجهات الکثیرة بالصحّة و الفساد، علی أن یکون موضوع الصحّة فی الحقیقة غیر موضوع الفساد، مثلاً یوصف الإنسان بالصحّة؛ لأجل صحّة المزاج، و یوصف بالفساد؛ لأجل فساد الأخلاق، إلاّ أنّ الموضوع متعدّد کما تری،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و الفساد بالنسبة إلی حالات المکلّفین لیسا من الصحّة و الفساد الإضافیّین </w:t>
      </w:r>
      <w:r>
        <w:rPr>
          <w:rStyle w:val="FootnoteAnchor"/>
          <w:rtl w:val="true"/>
        </w:rPr>
        <w:footnoteReference w:id="747"/>
      </w:r>
      <w:r>
        <w:rPr>
          <w:rFonts w:ascii="IRNazanin" w:hAnsi="IRNazanin" w:eastAsia="IRNazanin"/>
          <w:color w:val="111111"/>
          <w:sz w:val="28"/>
          <w:sz w:val="28"/>
          <w:szCs w:val="28"/>
          <w:rtl w:val="true"/>
          <w:lang w:bidi="fa-IR"/>
        </w:rPr>
        <w:t>و ذلک لأنّ الطبیعة المتقدّرة مختلفة الأجزاء و الشرائط؛ حسب اختلاف تلک الحالات، و هذا لا یوجب کونهما و صفین إضافیّین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من ثمرات البحث الّذی حرّرناه أوّلاً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4" w:name="__RefHeading___Toc534011_3244359995"/>
      <w:bookmarkStart w:id="595" w:name="_Toc223"/>
      <w:bookmarkEnd w:id="594"/>
      <w:r>
        <w:rPr>
          <w:rtl w:val="true"/>
        </w:rPr>
        <w:t>رابعها</w:t>
      </w:r>
      <w:r>
        <w:rPr>
          <w:rtl w:val="true"/>
        </w:rPr>
        <w:t xml:space="preserve">: </w:t>
      </w:r>
      <w:r>
        <w:rPr>
          <w:rtl w:val="true"/>
        </w:rPr>
        <w:t>فی بطلان الصحّة التأهّلیة</w:t>
      </w:r>
      <w:bookmarkEnd w:id="595"/>
    </w:p>
    <w:p>
      <w:pPr>
        <w:pStyle w:val="BookText"/>
        <w:rPr/>
      </w:pPr>
      <w:r>
        <w:rPr>
          <w:rFonts w:ascii="IRNazanin" w:hAnsi="IRNazanin" w:eastAsia="IRNazanin"/>
          <w:color w:val="111111"/>
          <w:sz w:val="28"/>
          <w:sz w:val="28"/>
          <w:szCs w:val="28"/>
          <w:rtl w:val="true"/>
          <w:lang w:bidi="fa-IR"/>
        </w:rPr>
        <w:t>قد اشتهر تقسیم الصحّة إلی الصحّة التأهّلیة، و الصحّة الفعلیّة</w:t>
      </w:r>
      <w:r>
        <w:rPr>
          <w:rStyle w:val="FootnoteAnchor"/>
          <w:rtl w:val="true"/>
        </w:rPr>
        <w:footnoteReference w:id="749"/>
      </w:r>
      <w:r>
        <w:rPr>
          <w:rFonts w:ascii="IRNazanin" w:hAnsi="IRNazanin" w:eastAsia="IRNazanin"/>
          <w:color w:val="111111"/>
          <w:sz w:val="28"/>
          <w:sz w:val="28"/>
          <w:szCs w:val="28"/>
          <w:rtl w:val="true"/>
          <w:lang w:bidi="fa-IR"/>
        </w:rPr>
        <w:t>، فإنّ الصلاة بعد الفراغ منها صحیحة بالفعل، و الصلاة حین الاشتغال بها صحیحة تأهّلاً؛ لما أنّ الرکعة الأُولی أهل لأن تلتحق بها الثانیة، و تصیر صحیحة بالفعل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فسدت الصلاة بعد ذلک فلیس الفساد ناشئاً من الرکعة</w:t>
      </w:r>
      <w:bookmarkStart w:id="596" w:name="pg13163_143202"/>
    </w:p>
    <w:p>
      <w:pPr>
        <w:pStyle w:val="BookText"/>
        <w:rPr/>
      </w:pPr>
      <w:bookmarkEnd w:id="596"/>
      <w:r>
        <w:rPr>
          <w:rFonts w:ascii="IRNazanin" w:hAnsi="IRNazanin" w:eastAsia="IRNazanin"/>
          <w:color w:val="111111"/>
          <w:sz w:val="28"/>
          <w:sz w:val="28"/>
          <w:szCs w:val="28"/>
          <w:rtl w:val="true"/>
          <w:lang w:bidi="fa-IR"/>
        </w:rPr>
        <w:t>الأُولی، بل هو یأتی من الجهات الأُخر و الرکعات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یلزم صحّة تقسیم الفساد إلی القسمین المزبورین، فإنّ الرکعة الأُولی فاسدة تأهّلاً؛ ضرورة أنّ بطروّ الفساد الآتی علی الرکعة الثانیة تصیر الرکعة الأُولی أیضا فاسدة بالفعل، و یلزم بناء علیه إمکان اجتماع الصحّة التأهّلیة و الفساد الفعلیّ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فی المخترعات الاعتباریّة أثر من الصحّة التأهّلیة، لکان ذلک أیضا فی الطبائع الخارجیّة، و إذا لاحظنا تلک الخارجیّات من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 کانت، أم تألیفیة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توصف بالصحّة التأهّلیة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بناء الدار و هیئتها علی أن تکون ذات غرف خمس، فإذا بنیت إحدی الغرف لا توصف هی بالصحّة التأهّلیة، بل الغرفة الواحدة فی اللحاظ الاستقلالیّ صحیحة بالفعل، و لکنّها تکون بحیث إذا لحقتها الغرف الأُخر یصیر الکلّ داراً، و الکلّ یوصف بالصحّة الفعلیّة، و هی الصحّة الأُخری، و لا تکون هذه الصحّة تلک الصحّة التأهّلیة البالغة إلی حدّ الفعلیّة، مع أنّ الصحّة التأهّلیة لا بدّ و أن تصیر فعلیّة عند تمامیّة الأجزاء، مع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علی شی‌ء بالصحّة تأهّلیاً کان أو فعلیّاً، من القضایا الموجبة المحتاجة إلی وجود الموضوع، و الصلاة و رکعتها معدومة حین الحکم، فتدبّر</w:t>
      </w:r>
      <w:r>
        <w:rPr>
          <w:rFonts w:eastAsia="IRNazanin" w:cs="IRNazanin"/>
          <w:color w:val="111111"/>
          <w:sz w:val="28"/>
          <w:szCs w:val="28"/>
          <w:rtl w:val="true"/>
          <w:lang w:bidi="fa-IR"/>
        </w:rPr>
        <w:t>.</w:t>
      </w:r>
    </w:p>
    <w:p>
      <w:pPr>
        <w:pStyle w:val="Heading6"/>
        <w:numPr>
          <w:ilvl w:val="5"/>
          <w:numId w:val="1"/>
        </w:numPr>
        <w:rPr/>
      </w:pPr>
      <w:bookmarkStart w:id="597" w:name="__RefHeading___Toc534013_3244359995"/>
      <w:bookmarkStart w:id="598" w:name="_Toc224"/>
      <w:bookmarkEnd w:id="597"/>
      <w:r>
        <w:rPr>
          <w:rtl w:val="true"/>
        </w:rPr>
        <w:t>خامسها</w:t>
      </w:r>
      <w:r>
        <w:rPr>
          <w:rtl w:val="true"/>
        </w:rPr>
        <w:t xml:space="preserve">: </w:t>
      </w:r>
      <w:r>
        <w:rPr>
          <w:rtl w:val="true"/>
        </w:rPr>
        <w:t>فی تقابل الصحّة و الفساد</w:t>
      </w:r>
      <w:bookmarkEnd w:id="59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أنّ الصحّة و الفساد من المتضادّین، أو هما من قبیل الملکة و العدم، أم یفصّل بین الصحّة و الفساد فی الطبائع التکوینیّة، و الصحّة و الفساد فی المرکّبات الشرعیّة؟</w:t>
      </w:r>
    </w:p>
    <w:p>
      <w:pPr>
        <w:pStyle w:val="BookText"/>
        <w:rPr/>
      </w:pPr>
      <w:r>
        <w:rPr>
          <w:rFonts w:ascii="IRNazanin" w:hAnsi="IRNazanin" w:eastAsia="IRNazanin"/>
          <w:color w:val="111111"/>
          <w:sz w:val="28"/>
          <w:sz w:val="28"/>
          <w:szCs w:val="28"/>
          <w:rtl w:val="true"/>
          <w:lang w:bidi="fa-IR"/>
        </w:rPr>
        <w:t xml:space="preserve">فذهب الأکثر إلی الثانی </w:t>
      </w:r>
      <w:r>
        <w:rPr>
          <w:rStyle w:val="FootnoteAnchor"/>
          <w:rtl w:val="true"/>
        </w:rPr>
        <w:footnoteReference w:id="750"/>
      </w:r>
      <w:r>
        <w:rPr>
          <w:rFonts w:ascii="IRNazanin" w:hAnsi="IRNazanin" w:eastAsia="IRNazanin"/>
          <w:color w:val="111111"/>
          <w:sz w:val="28"/>
          <w:sz w:val="28"/>
          <w:szCs w:val="28"/>
          <w:rtl w:val="true"/>
          <w:lang w:bidi="fa-IR"/>
        </w:rPr>
        <w:t>، 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الثالث </w:t>
      </w:r>
      <w:r>
        <w:rPr>
          <w:rStyle w:val="FootnoteAnchor"/>
          <w:rtl w:val="true"/>
        </w:rPr>
        <w:footnoteReference w:id="751"/>
      </w:r>
      <w:r>
        <w:rPr>
          <w:rFonts w:ascii="Amiri" w:hAnsi="Amiri" w:eastAsia="Amiri" w:cs="Amiri"/>
          <w:color w:val="111111"/>
          <w:sz w:val="28"/>
          <w:sz w:val="28"/>
          <w:szCs w:val="28"/>
          <w:rtl w:val="true"/>
          <w:lang w:bidi="ar-SA"/>
        </w:rPr>
        <w:t xml:space="preserve">، و ظاهر الکلّ أنّ الفساد أمر عدمیّ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 حسبما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انتزاع من الطبیعة المتقدّرة فی ظرف الوجود الخارجیّ </w:t>
      </w:r>
      <w:r>
        <w:rPr>
          <w:rStyle w:val="FootnoteAnchor"/>
          <w:rtl w:val="true"/>
        </w:rPr>
        <w:footnoteReference w:id="753"/>
      </w:r>
      <w:r>
        <w:rPr>
          <w:rFonts w:ascii="IRNazanin" w:hAnsi="IRNazanin" w:eastAsia="IRNazanin"/>
          <w:color w:val="111111"/>
          <w:sz w:val="28"/>
          <w:sz w:val="28"/>
          <w:szCs w:val="28"/>
          <w:rtl w:val="true"/>
          <w:lang w:bidi="fa-IR"/>
        </w:rPr>
        <w:t>، فإذا قدّر البطّیخ فی النشأة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الطبیعة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کذا و کذا، فإن کانت فی وجودها الخارجیّ عین ما فی الخارج، و تصیر خارجیّة، فهو البطیخ الصحیح و السالم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تصر خارجیّة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تصیر فی الخارج علی الإطلاق، فلا شی‌ء فی الخارج حتّی ینتزع منه شی‌ء، و أمّا إذا صارت خارجیّة ببعض الخصوصیّات المتقدرة لها، و کانت ناقصة فی الوجود، فهی أیضا لا ینتزع منها الفساد، بل یکون الفساد منتزعاً من جریان الاختلال فی المزاج الموجب لعفونته و مرارته و غیر ذلک، فیکون منشأ انتزاع الفساد أمراً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الاعتباریّات فالأمر أیضا کما حرّر، فإنّ من قطع صلاته عمداً فی أثنائها لا تکون صلاته فاسدة، بل الصلاة تصیر باطلة، و الفساد ینتزع من اشتمالها علی و بر ما لا یؤکل لحمه، کاشتمال البطّیخ علی الدیدان،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مفهوم ثان للفساد فی الاعتباریّات، و لا یکون من العدمیّات فی الطبیعیّات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معنی لکونهما من العدم و الملکة؛ لأنّ العدم المقابل للملکة ما کان فیه قوّة الملکة، مع أنّ الفاسد لیست فیه قوّة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الناقص فیه قوّة الملکة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من العدم و الملکة المشهوریّین </w:t>
      </w:r>
      <w:r>
        <w:rPr>
          <w:rStyle w:val="FootnoteAnchor"/>
          <w:rtl w:val="true"/>
        </w:rPr>
        <w:footnoteReference w:id="75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bookmarkStart w:id="599" w:name="pg13163_143204"/>
    </w:p>
    <w:p>
      <w:pPr>
        <w:pStyle w:val="BookText"/>
        <w:rPr/>
      </w:pPr>
      <w:bookmarkEnd w:id="599"/>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الصحّة و الفساد من الأضداد الحقیقیّة؛ لأنّهما لیسا من المحمولات بالضمیمة، أو أنّ الفساد أمر خارجیّ، بخلاف الصحّة، فإنّها من قبیل الشیئیّة و الإمکان، یکون الخارج طرف اتصافهما، و الذهن ظرف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الفساد فی الطبائع الخارجیّة، و أمّا فی الاعتباریّات فهو اعتبار طبعاً، فلاحظ جیّداً</w:t>
      </w:r>
      <w:r>
        <w:rPr>
          <w:rFonts w:eastAsia="IRNazanin" w:cs="IRNazanin"/>
          <w:color w:val="111111"/>
          <w:sz w:val="28"/>
          <w:szCs w:val="28"/>
          <w:rtl w:val="true"/>
          <w:lang w:bidi="fa-IR"/>
        </w:rPr>
        <w:t>.</w:t>
      </w:r>
    </w:p>
    <w:p>
      <w:pPr>
        <w:pStyle w:val="Heading6"/>
        <w:numPr>
          <w:ilvl w:val="5"/>
          <w:numId w:val="1"/>
        </w:numPr>
        <w:rPr/>
      </w:pPr>
      <w:bookmarkStart w:id="600" w:name="__RefHeading___Toc534015_3244359995"/>
      <w:bookmarkStart w:id="601" w:name="_Toc225"/>
      <w:bookmarkEnd w:id="600"/>
      <w:r>
        <w:rPr>
          <w:rtl w:val="true"/>
        </w:rPr>
        <w:t>سادسها</w:t>
      </w:r>
      <w:r>
        <w:rPr>
          <w:rtl w:val="true"/>
        </w:rPr>
        <w:t xml:space="preserve">: </w:t>
      </w:r>
      <w:r>
        <w:rPr>
          <w:rtl w:val="true"/>
        </w:rPr>
        <w:t>حول توهّم إضافیّة الصحّة و الفساد و دفعه</w:t>
      </w:r>
      <w:bookmarkEnd w:id="601"/>
    </w:p>
    <w:p>
      <w:pPr>
        <w:pStyle w:val="BookText"/>
        <w:rPr/>
      </w:pPr>
      <w:r>
        <w:rPr>
          <w:rFonts w:ascii="IRNazanin" w:hAnsi="IRNazanin" w:eastAsia="IRNazanin"/>
          <w:color w:val="111111"/>
          <w:sz w:val="28"/>
          <w:sz w:val="28"/>
          <w:szCs w:val="28"/>
          <w:rtl w:val="true"/>
          <w:lang w:bidi="fa-IR"/>
        </w:rPr>
        <w:t xml:space="preserve">ربّما تنقسم الصحّة و الفساد إلی الشرعیّین و العرفیّین </w:t>
      </w:r>
      <w:r>
        <w:rPr>
          <w:rStyle w:val="FootnoteAnchor"/>
          <w:rtl w:val="true"/>
        </w:rPr>
        <w:footnoteReference w:id="755"/>
      </w:r>
      <w:r>
        <w:rPr>
          <w:rFonts w:ascii="IRNazanin" w:hAnsi="IRNazanin" w:eastAsia="IRNazanin"/>
          <w:color w:val="111111"/>
          <w:sz w:val="28"/>
          <w:sz w:val="28"/>
          <w:szCs w:val="28"/>
          <w:rtl w:val="true"/>
          <w:lang w:bidi="fa-IR"/>
        </w:rPr>
        <w:t xml:space="preserve">، و فی هذه القسمة یصیران إضافیّین، فیکون الشی‌ء الواحد صحیحاً عرفیّاً، و فاسداً شرعیّا، و یلزم بناء علیه الخلل فیما مضی؛ من أنّهما لیس إضافیّین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الشبهة فی صحّة التقسیم المزبور واضح المنع؛ ضرورة أنّ القمار و البیع الربویّ صحیحان عرفاً، و موضوعان للأثر عند العقلاء، و باطلان شرعاً، و لا یترتّب علیهما الأثر المرغوب منهما فی نظر الشرع</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نقول بأنّ مقتضی ما تبیّن منّا فی تقدیر الأشیاء؛ و سبق الوجود العلمیّ علی العینیّ، و سبق نشأة الماهیّة المتقدّرة بالأجزاء و الشرائط علی نشأة وجود تلک الماهیّة</w:t>
      </w:r>
      <w:r>
        <w:rPr>
          <w:rStyle w:val="FootnoteAnchor"/>
          <w:rtl w:val="true"/>
        </w:rPr>
        <w:footnoteReference w:id="757"/>
      </w:r>
      <w:r>
        <w:rPr>
          <w:rFonts w:ascii="IRNazanin" w:hAnsi="IRNazanin" w:eastAsia="IRNazanin"/>
          <w:color w:val="111111"/>
          <w:sz w:val="28"/>
          <w:sz w:val="28"/>
          <w:szCs w:val="28"/>
          <w:rtl w:val="true"/>
          <w:lang w:bidi="fa-IR"/>
        </w:rPr>
        <w:t>هو أنّ ماهیّة المعاملات و الموضوعات العرفیّة المتسبّب بها إلی المسبّبات الخاصّة إذا صارت خارجیّة، ینتزع منها الصحّة، و تلک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حکم الشرع بعدم جواز ترتیب الآثار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ینتزع منها</w:t>
      </w:r>
      <w:bookmarkStart w:id="602" w:name="pg13163_143205"/>
    </w:p>
    <w:p>
      <w:pPr>
        <w:pStyle w:val="BookText"/>
        <w:rPr/>
      </w:pPr>
      <w:bookmarkEnd w:id="602"/>
      <w:r>
        <w:rPr>
          <w:rFonts w:ascii="IRNazanin" w:hAnsi="IRNazanin" w:eastAsia="IRNazanin"/>
          <w:color w:val="111111"/>
          <w:sz w:val="28"/>
          <w:sz w:val="28"/>
          <w:szCs w:val="28"/>
          <w:rtl w:val="true"/>
          <w:lang w:bidi="fa-IR"/>
        </w:rPr>
        <w:t>الصحّة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توصیفها بالفساد، أو دخالة الشرع فی مقدّرات المعاملات، فهو غیر واضح و غیر لازم و إن کان ذلک ممکناً خلافاً لما یستظهر أحیاناً فی بعض المواضع عن جمع </w:t>
      </w:r>
      <w:r>
        <w:rPr>
          <w:rStyle w:val="FootnoteAnchor"/>
          <w:rtl w:val="true"/>
        </w:rPr>
        <w:footnoteReference w:id="758"/>
      </w:r>
      <w:r>
        <w:rPr>
          <w:rFonts w:ascii="IRNazanin" w:hAnsi="IRNazanin" w:eastAsia="IRNazanin"/>
          <w:color w:val="111111"/>
          <w:sz w:val="28"/>
          <w:sz w:val="28"/>
          <w:szCs w:val="28"/>
          <w:rtl w:val="true"/>
          <w:lang w:bidi="fa-IR"/>
        </w:rPr>
        <w:t>ضرورة أنّ عائلة البشر إذا کانت تابعة للشرع، تصیر الاعتبارات الأوّلیة العقلائیّة منسیّة، و تبقی القیود و الشرائط الشرعیّة فی المحاورات العرفیّة و المعاملات العقلائیّة، کما یکون من المحتمل هذا الوجود من الاعتبار العقلائیّ، معتبراً شرعیّا من الشرائع السالفة، فلاحظ و اغتنم؛ فإنّه ینفعک فی کثیر من المراحل</w:t>
      </w:r>
      <w:r>
        <w:rPr>
          <w:rFonts w:eastAsia="IRNazanin" w:cs="IRNazanin"/>
          <w:color w:val="111111"/>
          <w:sz w:val="28"/>
          <w:szCs w:val="28"/>
          <w:rtl w:val="true"/>
          <w:lang w:bidi="fa-IR"/>
        </w:rPr>
        <w:t>.</w:t>
      </w:r>
    </w:p>
    <w:p>
      <w:pPr>
        <w:pStyle w:val="Heading6"/>
        <w:numPr>
          <w:ilvl w:val="5"/>
          <w:numId w:val="1"/>
        </w:numPr>
        <w:rPr/>
      </w:pPr>
      <w:bookmarkStart w:id="603" w:name="__RefHeading___Toc534017_3244359995"/>
      <w:bookmarkStart w:id="604" w:name="_Toc226"/>
      <w:bookmarkEnd w:id="603"/>
      <w:r>
        <w:rPr>
          <w:rtl w:val="true"/>
        </w:rPr>
        <w:t>سابعها</w:t>
      </w:r>
      <w:r>
        <w:rPr>
          <w:rtl w:val="true"/>
        </w:rPr>
        <w:t xml:space="preserve">: </w:t>
      </w:r>
      <w:r>
        <w:rPr>
          <w:rtl w:val="true"/>
        </w:rPr>
        <w:t>حول اندراج المعاملات فی محطّ النزاع</w:t>
      </w:r>
      <w:bookmarkEnd w:id="604"/>
    </w:p>
    <w:p>
      <w:pPr>
        <w:pStyle w:val="BookText"/>
        <w:rPr/>
      </w:pPr>
      <w:r>
        <w:rPr>
          <w:rFonts w:ascii="IRNazanin" w:hAnsi="IRNazanin" w:eastAsia="IRNazanin"/>
          <w:color w:val="111111"/>
          <w:sz w:val="28"/>
          <w:sz w:val="28"/>
          <w:szCs w:val="28"/>
          <w:rtl w:val="true"/>
          <w:lang w:bidi="fa-IR"/>
        </w:rPr>
        <w:t>بناءً علی کون مناط الاندراج فی محطّ النزاع؛ إمکان اتصاف المعنی بالصحّة و الفساد، یشکل الأمر فی المعاملات؛ و ذلک لأنّه فی مثل العبادات التی یتعلّق الأمر بها، یکون المطلوب نفس الطبیعة، و هذه الطبیعة لمکان کونها ذات مراتب اعتباریّة تشکیکیّة، توصف بالصحّة و الفساد، فإذا وجدت الصلاة خارجاً، و کانت هی الصلاة المتقدّرة فی النشأة الذهنیّة، ینتزع منها مفهوم الصحّة، و إلاّ فینتزع منها مفهوم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المعاملات، فهی من قبیل الأسباب و المسبّبات، أو تکون من قبیل الموضوعات لأحکام عقلائیّة التی هی المقصود بالذات و المنظور فیها، و عندئذٍ لا معنی لاتصافها بالصحّة و الفساد؛ ضرورة أنّ أمر المسبّب دائر بین التحقّق و اللاتحقّق، و لیس ذا مراتب تشکیکیّة فی الاعتبار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أسباب الإنشاء فهی مثله؛ لأنّ جمیع القیود العرفیّة و العقلائیّة، من قبیل المقوّمات الدخیلة فی حقیقة التسمیة؛ بحیث لا یصدق علی الناقص القاصر و علی</w:t>
      </w:r>
    </w:p>
    <w:p>
      <w:pPr>
        <w:pStyle w:val="BookText"/>
        <w:rPr/>
      </w:pPr>
      <w:r>
        <w:rPr>
          <w:rFonts w:ascii="IRNazanin" w:hAnsi="IRNazanin" w:eastAsia="IRNazanin"/>
          <w:color w:val="111111"/>
          <w:sz w:val="28"/>
          <w:sz w:val="28"/>
          <w:szCs w:val="28"/>
          <w:rtl w:val="true"/>
          <w:lang w:bidi="fa-IR"/>
        </w:rPr>
        <w:t xml:space="preserve">السبب المختلّ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فی هذه الموضوعات الخاصّة أخصّی، و لا یتصوّر الأعمیّة فیما کان شأنه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اتصافه بالصحّة و الفساد شرعاً، و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أعمّ من الفساد العرفیّ، فقد مرّ ما یتعلّق به، و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الشرع لیس إلاّ المنع عن ترتیب الآثار علی ما هو الموضوع للأثر عرفاً، من غیر دخالة فی ماهیّة المعاملة أو لزوم دخالته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ترتّب الأثر لیس إلاّ لأجل اعتبار قید فی المعاملة ثبوتاً الّذی هو المفقود فی المعاملة العرفیّة فی محلّه، إلاّ أنّه لا یستلزم التصرّف فی مفهوم الصحّة و الفساد،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توهّموه حلاًّ لهذه المعضلة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المناط فی توصیفها بالصحّة و الفساد، ترتّب الأثر علی السبب و عدم ترتّبه، فإنّ السبب إذا کان موجوداً بتمام هویّته ینتزع منه الصحّة، و إلاّ فینتزع منه الفساد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غیر وجیه و خالٍ عن التحصیل؛ ضرورة أنّ الشرائط العرفیّة تکون من الأرکان المقوّمة للعناوین و الماهیّات، و لو أُطلق أحیاناً فی مورد فهو من قبیل المجازات الشائعة و التوسّعات المتعارفة، فلا یکون للسبب وجود تامّ و ناقص، بل السبب أیضا أمره دائر بین الوجود و العدم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المحتمل قویّا استناد الشهرة إلی هذه الشبهة فی ذهابهم إلی أنّ ألفاظ المعاملات موضوعة للأخصّ </w:t>
      </w:r>
      <w:r>
        <w:rPr>
          <w:rStyle w:val="FootnoteAnchor"/>
          <w:rtl w:val="true"/>
        </w:rPr>
        <w:footnoteReference w:id="760"/>
      </w:r>
      <w:r>
        <w:rPr>
          <w:rFonts w:ascii="IRNazanin" w:hAnsi="IRNazanin" w:eastAsia="IRNazanin"/>
          <w:color w:val="111111"/>
          <w:sz w:val="28"/>
          <w:sz w:val="28"/>
          <w:szCs w:val="28"/>
          <w:rtl w:val="true"/>
          <w:lang w:bidi="fa-IR"/>
        </w:rPr>
        <w:t>، و لتلک النکتة و هذا السّر ذهبوا إلی أنّ الإجازة فی</w:t>
      </w:r>
    </w:p>
    <w:p>
      <w:pPr>
        <w:pStyle w:val="BookText"/>
        <w:rPr/>
      </w:pPr>
      <w:r>
        <w:rPr>
          <w:rFonts w:ascii="IRNazanin" w:hAnsi="IRNazanin" w:eastAsia="IRNazanin"/>
          <w:color w:val="111111"/>
          <w:sz w:val="28"/>
          <w:sz w:val="28"/>
          <w:szCs w:val="28"/>
          <w:rtl w:val="true"/>
          <w:lang w:bidi="fa-IR"/>
        </w:rPr>
        <w:t>الفضولیّ کاشفة</w:t>
      </w:r>
      <w:r>
        <w:rPr>
          <w:rStyle w:val="FootnoteAnchor"/>
          <w:rtl w:val="true"/>
        </w:rPr>
        <w:footnoteReference w:id="761"/>
      </w:r>
      <w:r>
        <w:rPr>
          <w:rFonts w:ascii="IRNazanin" w:hAnsi="IRNazanin" w:eastAsia="IRNazanin"/>
          <w:color w:val="111111"/>
          <w:sz w:val="28"/>
          <w:sz w:val="28"/>
          <w:szCs w:val="28"/>
          <w:rtl w:val="true"/>
          <w:lang w:bidi="fa-IR"/>
        </w:rPr>
        <w:t>لأنّ البیع الواقع من الفضولیّ لا یتردّد بین الوجودین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الإنشائیّ، و الفعلیّ،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الإجازة ناقلة، و یصیر بها فعلیّاً، بل البیع إمّا یوجد بالحمل الشائع و یؤثّر، أو لا یکون قابلاً للحوق الإجازة، و حیث إنّ الشرع و العرف علی صحّة الفضولیّ فیعلم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البیع و تمام ماهیّته تحصل بعمل الفضولیّ، و تکون الإجازة 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هذه المعضلة علی مسلکنا فی المسألة؛ و ذلک لما عرفت من أنّ الکلام لیس حول الصحّة و الفساد</w:t>
      </w:r>
      <w:r>
        <w:rPr>
          <w:rStyle w:val="FootnoteAnchor"/>
          <w:rtl w:val="true"/>
        </w:rPr>
        <w:footnoteReference w:id="762"/>
      </w:r>
      <w:r>
        <w:rPr>
          <w:rFonts w:ascii="IRNazanin" w:hAnsi="IRNazanin" w:eastAsia="IRNazanin"/>
          <w:color w:val="111111"/>
          <w:sz w:val="28"/>
          <w:sz w:val="28"/>
          <w:szCs w:val="28"/>
          <w:rtl w:val="true"/>
          <w:lang w:bidi="fa-IR"/>
        </w:rPr>
        <w:t>، و أنّ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مناط الاندراج فی محطّ النزاع إمکان الاتصاف بالصحّة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أصل له، بل المناط إمکان استتباع النهی لجهة وضعیّة زائداً علی جهة تکلیفیّة، فإنّه إذا أمکن ذلک ثبوتاً، کان للبحث عن دلالة النهی علی تلک الجهة أو اقتضائه وجه،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یکون الأمر کذلک؛ ضرورة أنّ النهی المتعلّق بالمعاملة یمکن أن یستتبع جهة وضعیّة؛ و هو أنّ المنهیّ لیس قابلاً لأن یتوصّل به إلی السبب المقصود، و یکون ساقطاً عن تلک القابلیّة، سواء کان ذلک بسقوط صفة القابلیّة، أو بعدم تحقّقه رأساً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تقابل الصحّة و الفساد کما عرفت </w:t>
      </w:r>
      <w:r>
        <w:rPr>
          <w:rStyle w:val="FootnoteAnchor"/>
          <w:rtl w:val="true"/>
        </w:rPr>
        <w:footnoteReference w:id="763"/>
      </w:r>
      <w:r>
        <w:rPr>
          <w:rFonts w:ascii="IRNazanin" w:hAnsi="IRNazanin" w:eastAsia="IRNazanin"/>
          <w:color w:val="111111"/>
          <w:sz w:val="28"/>
          <w:sz w:val="28"/>
          <w:szCs w:val="28"/>
          <w:rtl w:val="true"/>
          <w:lang w:bidi="fa-IR"/>
        </w:rPr>
        <w:t>، لیس من العدم و الملکة الحقیقیّین؛ حتّی یلزم من إمکان الاتصاف بالصحّة إمکان الاتصاف بالفساد، بل یمکن أن یوصف شی‌ء بالصحّة عند الوجود، و لا یوصف بالفساد؛ لانتفاء الموضوع و انعدامه</w:t>
      </w:r>
      <w:r>
        <w:rPr>
          <w:rFonts w:eastAsia="IRNazanin" w:cs="IRNazanin"/>
          <w:color w:val="111111"/>
          <w:sz w:val="28"/>
          <w:szCs w:val="28"/>
          <w:rtl w:val="true"/>
          <w:lang w:bidi="fa-IR"/>
        </w:rPr>
        <w:t>.</w:t>
      </w:r>
      <w:bookmarkStart w:id="605" w:name="pg13163_143208"/>
    </w:p>
    <w:p>
      <w:pPr>
        <w:pStyle w:val="BookText"/>
        <w:rPr/>
      </w:pPr>
      <w:bookmarkEnd w:id="605"/>
      <w:r>
        <w:rPr>
          <w:rFonts w:ascii="IRNazanin" w:hAnsi="IRNazanin" w:eastAsia="IRNazanin"/>
          <w:color w:val="111111"/>
          <w:sz w:val="28"/>
          <w:sz w:val="28"/>
          <w:szCs w:val="28"/>
          <w:rtl w:val="true"/>
          <w:lang w:bidi="fa-IR"/>
        </w:rPr>
        <w:t>إذا تبیّن ذلک، فلتکن علی خبر من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المقصود بالبحث لیس دلالة النهی علی الفساد، أو اقتضاءه ذلک، أو استتباعه لمفهوم الفاسد، بل المقصود بالبحث هو أنّ النهی إذا تعلّق مثلاً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یورث أن لا ینتزع من المنهیّ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فإن اجتمع بین النهی و 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أنّه لا یستلزم جهة وضعیّة، و إلاّ فیعلم منه استتباعه لجهة وضعیّة؛ سواء کان تلک الجهة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أمراً أسوأ حالاً منه؛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 و الانعدام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یعلم إمکان اندراج المعاملات فی مصبّ الخلاف فی المقام؛ فإنّه إذا تعلّق النهی ببیع الرّبا إمّا ینتزع منه الصحّة بعد ما تعلّق، فیکون النهی غیر دالّ علی شی‌ء، و إمّا لا ینتزع منه العنوان المزبور، فیکون مستتبعاً طبعاً لأمر وضعیّ؛ و هو قصور المعاملة عن إمکان التسبّب به، فلیتأمّل جیّداً</w:t>
      </w:r>
      <w:r>
        <w:rPr>
          <w:rFonts w:eastAsia="IRNazanin" w:cs="IRNazanin"/>
          <w:color w:val="111111"/>
          <w:sz w:val="28"/>
          <w:szCs w:val="28"/>
          <w:rtl w:val="true"/>
          <w:lang w:bidi="fa-IR"/>
        </w:rPr>
        <w:t>.</w:t>
      </w:r>
    </w:p>
    <w:p>
      <w:pPr>
        <w:pStyle w:val="Heading6"/>
        <w:numPr>
          <w:ilvl w:val="5"/>
          <w:numId w:val="1"/>
        </w:numPr>
        <w:rPr/>
      </w:pPr>
      <w:bookmarkStart w:id="606" w:name="__RefHeading___Toc534019_3244359995"/>
      <w:bookmarkStart w:id="607" w:name="_Toc227"/>
      <w:bookmarkEnd w:id="606"/>
      <w:r>
        <w:rPr>
          <w:rtl w:val="true"/>
        </w:rPr>
        <w:t>ثامنها</w:t>
      </w:r>
      <w:r>
        <w:rPr>
          <w:rtl w:val="true"/>
        </w:rPr>
        <w:t xml:space="preserve">: </w:t>
      </w:r>
      <w:r>
        <w:rPr>
          <w:rtl w:val="true"/>
        </w:rPr>
        <w:t>حول مجعولیّة الصحّة و الفساد و عدمها</w:t>
      </w:r>
      <w:bookmarkEnd w:id="607"/>
    </w:p>
    <w:p>
      <w:pPr>
        <w:pStyle w:val="Heading6"/>
        <w:numPr>
          <w:ilvl w:val="5"/>
          <w:numId w:val="1"/>
        </w:numPr>
        <w:rPr/>
      </w:pPr>
      <w:bookmarkStart w:id="608" w:name="__RefHeading___Toc534021_3244359995"/>
      <w:bookmarkStart w:id="609" w:name="_Toc228"/>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من البحوث المشهورة حول 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هما مجعولتان و قابلتان للجعل استقلالاً و تبعاً مطلقاً، أم لا مطلقاً</w:t>
      </w:r>
      <w:r>
        <w:rPr>
          <w:rStyle w:val="FootnoteAnchor"/>
          <w:rtl w:val="true"/>
        </w:rPr>
        <w:footnoteReference w:id="764"/>
      </w:r>
      <w:r>
        <w:rPr>
          <w:rFonts w:ascii="IRNazanin" w:hAnsi="IRNazanin" w:eastAsia="IRNazanin"/>
          <w:color w:val="111111"/>
          <w:sz w:val="28"/>
          <w:sz w:val="28"/>
          <w:szCs w:val="28"/>
          <w:rtl w:val="true"/>
          <w:lang w:bidi="fa-IR"/>
        </w:rPr>
        <w:t xml:space="preserve">، أو یفصّل بین الصحّة العرفیّة و الشرعیّة، أو بین العبادات و المعاملات،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أو بین الواقعیّة و الظاهریّة، فلا تکونان مجعولین بالنسبة إلی الأحکام الواقعیّة؟ و أمّا الأحکام الظاهریّة علی القول بالإجزاء فلا بدّ و أن تکونا فیها مجعولین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بل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إطالة الکلام حول المسألة بعد وضوحها؛ ضرورة أنّ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التبعات و العوارض الملحوظة فی نشأة تقدیر الشی‌ء و نشأة الذهن، بل الطبائع فی هذه النشأة تعتبر مع قیود و خواصّ و آثار؛ علی نعت قابلیّتها بالنسبة إلیها، و تلک القیود و التبعات إمّا مندرجة فی المقولات حقیقة، أو تکون اعتباراً من تلک المقولات، کما فی الطبائع الاعتباریّة و الماهیّات العرفیّة و الاختراعیّة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صارت تلک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کانت مقتدرة بالخصوصیّات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خارجیّةً و فی الأعیان، ینتزع منها الصحّة، و إلاّ فربّما ینتزع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ینتزع منها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و العاطل، و الفاسد، 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اندراج هذه العناوین تحت اللحاظ و الاعتبار، فلا تنالها ید الجعل تکویناً، و لا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تکون الطبیعة ذات عرض عریض بالنسبة إلی حالات المکلّفین، فتکون ذات أجزاء و شروط تتراوح بین العشرة إلی العشرین، فیکون ینتزع الصحّة منها فی فرض دون فرض، من غیر إمکان انتزاع الصحّة من الطبیعة الناقصة بعد کونها متقدّرة بالأجزاء البالغة إلی العشرین مثلاً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للشرع صرف النّظر عن أمره و تکلیفه، و أن لا یوجب الإعادة و لا القضاء، و لکنّه لیس جعل الصحّة للمأتیّ به إلاّ ادعاءً؛ بداعی انتقال المکلّف إلی عدم التزامه بتکلیفه، و إلاّ فمع التزامه بالتکلیف التامّ لا یعقل اعتبار الصحّة و الاجتزاء بالناقص، کما هو الواضح، و قد نصّ علیه 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فلیلاحظ جیّداً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ظنّ حسب ما اعتقده فیما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امتناع جعلهما أنّ الصحّة و الفساد من أوصاف الفرد الموجود من الماهیّة المخترعة،</w:t>
      </w:r>
    </w:p>
    <w:p>
      <w:pPr>
        <w:pStyle w:val="BookText"/>
        <w:rPr/>
      </w:pPr>
      <w:r>
        <w:rPr>
          <w:rFonts w:ascii="Amiri" w:hAnsi="Amiri" w:eastAsia="Amiri" w:cs="Amiri"/>
          <w:color w:val="111111"/>
          <w:sz w:val="28"/>
          <w:sz w:val="28"/>
          <w:szCs w:val="28"/>
          <w:rtl w:val="true"/>
          <w:lang w:bidi="ar-SA"/>
        </w:rPr>
        <w:t>المنتزعتان من المطابقة و اللامطابقة</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الصحّة تعرض الماهیّة الکلّیة أیضا، و لا یکون منشأ الانتزاع التطابق و اللاتطابق، بل منشأ الانتزاع تحقّق الطبیعة علی قدرها المتعیّن فی النشأة العلمیّة فی الخارج و فی الأعیان؛ ضرورة أنّ الطبیعیّ بنفسه موجود فی الخارج لا بمنشئه، من غیر فرق بین الطبائع الأصلیّة و الاعتباریّة، فلا معنی لمفهوم المطابقة و اللامطابقة المعروف فی کلماتهم </w:t>
      </w:r>
      <w:r>
        <w:rPr>
          <w:rStyle w:val="FootnoteAnchor"/>
          <w:rtl w:val="true"/>
        </w:rPr>
        <w:footnoteReference w:id="770"/>
      </w:r>
      <w:r>
        <w:rPr>
          <w:rFonts w:ascii="IRNazanin" w:hAnsi="IRNazanin" w:eastAsia="IRNazanin"/>
          <w:color w:val="111111"/>
          <w:sz w:val="28"/>
          <w:sz w:val="28"/>
          <w:szCs w:val="28"/>
          <w:rtl w:val="true"/>
          <w:lang w:bidi="fa-IR"/>
        </w:rPr>
        <w:t xml:space="preserve">صدراً و ذیلاً، کما مرّ بتفصیل لا مزید علیه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بالوجدان أنّ الشرع یعتبر بعض المعاملات صحیحة، و بعضها فاسدة و لو بالإمضاء و الردع، و لا نعنی بجعل الصحّة و الفساد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بالوجدان صحّة قول الشرع فی القوانین الشرعیّة و قول العرف فی القوانین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معاملة کذا باطلة عندی و فاسدة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یصحّ فی الارتکاز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بیع الخمر فاسداً، و جعلت بیع کذا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ذلک من الممتنعات لما کان یستحسن ذلک عند العقل و العرف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هذه الشبهة فی العبادات أیضا، و یصحّ التعبیر المزبور فیها حذواً بحذو،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عبادة الأوثان فاسدة عندی، و عبادة اللَّه تعالی صحیحة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الشبهة لیست إلاّ ناشئة عن المسامحة فی الإطلاقات العرفیّة و الاستعمالات البدویّة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کذا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إخباراً عن واجدیّة البیع لما یعتبر فی نفوذه و سببیّته للمسبّب المترقب منه، أو واجدیّته لما هو المعتبر</w:t>
      </w:r>
      <w:bookmarkStart w:id="610" w:name="pg13163_143211"/>
    </w:p>
    <w:p>
      <w:pPr>
        <w:pStyle w:val="BookText"/>
        <w:rPr/>
      </w:pPr>
      <w:bookmarkEnd w:id="610"/>
      <w:r>
        <w:rPr>
          <w:rFonts w:ascii="IRNazanin" w:hAnsi="IRNazanin" w:eastAsia="IRNazanin"/>
          <w:color w:val="111111"/>
          <w:sz w:val="28"/>
          <w:sz w:val="28"/>
          <w:szCs w:val="28"/>
          <w:rtl w:val="true"/>
          <w:lang w:bidi="fa-IR"/>
        </w:rPr>
        <w:t>فی موضوعیّته لحکم العقلاء بالنقل و الانتقال، من غیر جعل الصحّة له بدون اعتبار منشئها، و مع اعتبار منشأ الصحّة لا معنی لجعلها؛ لأنّه یصیر من قبیل جعل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بیع الخمر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إلاّ بعد لحاظ قید فی المبیع؛ و هو أنّه یعتبر أن لا یکون المبیع خمراً، فإذا کان کذلک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الخمر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إخباراً، و لا یکون إنشاءً، و إذا صحّ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بیع الخمر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قبیل جعل الفساد علی البیع الجامع للشرائط؛ لأنّه من اللغو، بل هو یرجع إلی إفادة اشتراط کون المبیع غیر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البیع أو العبادة الکذائیة فاسداً من المجازفة، إلاّ برجوعه إلی اعتبار قید فی صحّة البیع، و بعد رجوعه إلی ذلک لا معنی للجعل ثانیاً؛ لأنّه یصیر أیضا لغواً و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تکون الجمل الخبریّة فی موقف الإنشاء، کذلک قد تکون الجمل الإنشائیّة فی موقف الإخبار،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صلاة الفاقد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إخبار عن أنّ الصلاة بالنسبة إلی الفاقد ذات تسعة أجزاء، 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البیع الربویّ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إخبار بأنّ من القیود المعتبرة فی نفوذ البیع عندی کونه غیر ربویّ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الخلط بین مدالیل الجمل، کما لا ینبغی الإصغاء إلی الجمل المزبورة فی محیط العرف، بعد عدم مساعدة البرهان علی مفاهیمها المطابقیّة، و قیام الدلیل عقلاً علی امتناع سریان الجعل إلی الصحّة و الفساد؛ بسیطاً کان، أو مرکّباً</w:t>
      </w:r>
      <w:r>
        <w:rPr>
          <w:rFonts w:eastAsia="IRNazanin" w:cs="IRNazanin"/>
          <w:color w:val="111111"/>
          <w:sz w:val="28"/>
          <w:szCs w:val="28"/>
          <w:rtl w:val="true"/>
          <w:lang w:bidi="fa-IR"/>
        </w:rPr>
        <w:t>.</w:t>
      </w:r>
    </w:p>
    <w:p>
      <w:pPr>
        <w:pStyle w:val="Heading6"/>
        <w:numPr>
          <w:ilvl w:val="5"/>
          <w:numId w:val="1"/>
        </w:numPr>
        <w:rPr/>
      </w:pPr>
      <w:bookmarkStart w:id="611" w:name="__RefHeading___Toc534023_3244359995"/>
      <w:bookmarkStart w:id="612" w:name="_Toc229"/>
      <w:bookmarkEnd w:id="611"/>
      <w:r>
        <w:rPr>
          <w:rtl w:val="true"/>
        </w:rPr>
        <w:t>تذنیب</w:t>
      </w:r>
      <w:r>
        <w:rPr>
          <w:rtl w:val="true"/>
        </w:rPr>
        <w:t xml:space="preserve">: </w:t>
      </w:r>
      <w:r>
        <w:rPr>
          <w:rtl w:val="true"/>
        </w:rPr>
        <w:t>حول تحقّق الفساد فی الموضوعات الاعتباریّة</w:t>
      </w:r>
      <w:bookmarkEnd w:id="61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من الفساد هو الفساد المنتزع من عدم تحقّق الطبیعة علی حدودها و خصوصیّاتها المقدّرة لها، مثلاً إذا کانت طبیعة الصلاة متقدّرة بالطهارة،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الصلاة الواجدة لها خارجیّة، فحینئذٍ ینتزع الصحّة،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الصلاة الفاقدة</w:t>
      </w:r>
      <w:bookmarkStart w:id="613" w:name="pg13163_143212"/>
    </w:p>
    <w:p>
      <w:pPr>
        <w:pStyle w:val="BookText"/>
        <w:rPr/>
      </w:pPr>
      <w:bookmarkEnd w:id="613"/>
      <w:r>
        <w:rPr>
          <w:rFonts w:ascii="IRNazanin" w:hAnsi="IRNazanin" w:eastAsia="IRNazanin"/>
          <w:color w:val="111111"/>
          <w:sz w:val="28"/>
          <w:sz w:val="28"/>
          <w:szCs w:val="28"/>
          <w:rtl w:val="true"/>
          <w:lang w:bidi="fa-IR"/>
        </w:rPr>
        <w:t>للطهارة خارجیّة، فینتزع الفساد، فهذا الفساد ممّا لا تناله ید الجعل فی التکوینیّات و التشریعیّات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الفساد ناشئاً من اشتمال الفرد و الطبیعة فی الخارج علی ما یضادّ صحّتها، کالعفونة و الدیدان، فإنّ هذا النحو من الفساد أمر وجودیّ مجعول و مستند إلی علّته الطبیعیّة، هذا فی الفساد الطبیعیّ بالنسبة إلی الأُمور الطبیعیّة؛ و الموضوعات الخارجیّة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هذا النحو من الفساد، فإمکان تحقّقه فی الموضوعات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الاختراعیّة، مورد المناقشة و المنع، و هو یرجع إلی إمکان تصویر المانع و المضادّة الخارجیّة، فإن قلنا بامتناع ذلک کما هو رأینا</w:t>
      </w:r>
      <w:r>
        <w:rPr>
          <w:rStyle w:val="FootnoteAnchor"/>
          <w:rtl w:val="true"/>
        </w:rPr>
        <w:footnoteReference w:id="773"/>
      </w:r>
      <w:r>
        <w:rPr>
          <w:rFonts w:ascii="IRNazanin" w:hAnsi="IRNazanin" w:eastAsia="IRNazanin"/>
          <w:color w:val="111111"/>
          <w:sz w:val="28"/>
          <w:sz w:val="28"/>
          <w:szCs w:val="28"/>
          <w:rtl w:val="true"/>
          <w:lang w:bidi="fa-IR"/>
        </w:rPr>
        <w:t>، فلا یعقل سریان الجعل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قلنا بإمکان ذلک </w:t>
      </w:r>
      <w:r>
        <w:rPr>
          <w:rStyle w:val="FootnoteAnchor"/>
          <w:rtl w:val="true"/>
        </w:rPr>
        <w:footnoteReference w:id="774"/>
      </w:r>
      <w:r>
        <w:rPr>
          <w:rFonts w:ascii="IRNazanin" w:hAnsi="IRNazanin" w:eastAsia="IRNazanin"/>
          <w:color w:val="111111"/>
          <w:sz w:val="28"/>
          <w:sz w:val="28"/>
          <w:szCs w:val="28"/>
          <w:rtl w:val="true"/>
          <w:lang w:bidi="fa-IR"/>
        </w:rPr>
        <w:t>، فیلزم أن یکون الفساد قابلاً للجعل التبعیّ، لا الاستقلالیّ؛ لأنّه ناشئ من جعل مانعیّة النجاسة مثلاً فی الصلاة، و إذا اعتبر مانعیّة النجاسة تکون الصلاة الخارجیّة فاسدة بجعل المانعیّة، و أمّا جعل الفساد مستقلاً فهو من الجزاف، و لا بدّ و أن یرجع إلی جعل مفسدیّة شی‌ء للصلاة؛ حتّی یستتبع جعل المفسدیّة جعل الفساد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خرجنا من حریم البحث، و لا سیّما فی هذا المقام علی ما أبدعناه فی عنوان البحث، فلیعذرنی إخوانی إن شاء اللَّه تعالی</w:t>
      </w:r>
      <w:r>
        <w:rPr>
          <w:rFonts w:eastAsia="IRNazanin" w:cs="IRNazanin"/>
          <w:color w:val="111111"/>
          <w:sz w:val="28"/>
          <w:szCs w:val="28"/>
          <w:rtl w:val="true"/>
          <w:lang w:bidi="fa-IR"/>
        </w:rPr>
        <w:t>.</w:t>
      </w:r>
    </w:p>
    <w:p>
      <w:pPr>
        <w:pStyle w:val="Heading6"/>
        <w:numPr>
          <w:ilvl w:val="5"/>
          <w:numId w:val="1"/>
        </w:numPr>
        <w:rPr/>
      </w:pPr>
      <w:bookmarkStart w:id="614" w:name="__RefHeading___Toc534025_3244359995"/>
      <w:bookmarkStart w:id="615" w:name="_Toc230"/>
      <w:bookmarkEnd w:id="614"/>
      <w:r>
        <w:rPr>
          <w:rtl w:val="true"/>
        </w:rPr>
        <w:t>تاسعها</w:t>
      </w:r>
      <w:r>
        <w:rPr>
          <w:rtl w:val="true"/>
        </w:rPr>
        <w:t xml:space="preserve">: </w:t>
      </w:r>
      <w:r>
        <w:rPr>
          <w:rtl w:val="true"/>
        </w:rPr>
        <w:t>فی مقتضی الأُصول العملیّة عند الشکّ فی استتباع النهی للفساد</w:t>
      </w:r>
      <w:bookmarkEnd w:id="615"/>
    </w:p>
    <w:p>
      <w:pPr>
        <w:pStyle w:val="Heading6"/>
        <w:numPr>
          <w:ilvl w:val="5"/>
          <w:numId w:val="1"/>
        </w:numPr>
        <w:rPr/>
      </w:pPr>
      <w:bookmarkStart w:id="616" w:name="__RefHeading___Toc534027_3244359995"/>
      <w:bookmarkStart w:id="617" w:name="_Toc231"/>
      <w:bookmarkEnd w:id="616"/>
      <w:r>
        <w:rPr>
          <w:rtl w:val="true"/>
        </w:rPr>
        <w:t>اشارة</w:t>
      </w:r>
      <w:bookmarkEnd w:id="61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آخر المقدّمات المذکورة فی هذه المسألة، حول قضیّة الأُصول العملیّة عند الشکّ فی استتباع النهی لجهة وضعیّة، و عدم استتباعه لها، و الکلام یقع فی مقامین</w:t>
      </w:r>
      <w:r>
        <w:rPr>
          <w:rFonts w:eastAsia="IRNazanin" w:cs="IRNazanin"/>
          <w:color w:val="111111"/>
          <w:sz w:val="28"/>
          <w:szCs w:val="28"/>
          <w:rtl w:val="true"/>
          <w:lang w:bidi="fa-IR"/>
        </w:rPr>
        <w:t>:</w:t>
      </w:r>
      <w:bookmarkStart w:id="618" w:name="pg13163_143213"/>
    </w:p>
    <w:p>
      <w:pPr>
        <w:pStyle w:val="Heading6"/>
        <w:numPr>
          <w:ilvl w:val="5"/>
          <w:numId w:val="1"/>
        </w:numPr>
        <w:rPr/>
      </w:pPr>
      <w:bookmarkStart w:id="619" w:name="__RefHeading___Toc534029_3244359995"/>
      <w:bookmarkStart w:id="620" w:name="_Toc232"/>
      <w:bookmarkEnd w:id="618"/>
      <w:bookmarkEnd w:id="619"/>
      <w:r>
        <w:rPr>
          <w:rtl w:val="true"/>
        </w:rPr>
        <w:t>المقام الأوّل</w:t>
      </w:r>
      <w:r>
        <w:rPr>
          <w:rtl w:val="true"/>
        </w:rPr>
        <w:t xml:space="preserve">: </w:t>
      </w:r>
      <w:r>
        <w:rPr>
          <w:rtl w:val="true"/>
        </w:rPr>
        <w:t>فی مقتضی الأُصول فی الشکّ فی المسألة الأُصولیّة</w:t>
      </w:r>
      <w:bookmarkEnd w:id="620"/>
    </w:p>
    <w:p>
      <w:pPr>
        <w:pStyle w:val="BookText"/>
        <w:rPr/>
      </w:pPr>
      <w:r>
        <w:rPr>
          <w:rFonts w:ascii="IRNazanin" w:hAnsi="IRNazanin" w:eastAsia="IRNazanin"/>
          <w:color w:val="111111"/>
          <w:sz w:val="28"/>
          <w:sz w:val="28"/>
          <w:szCs w:val="28"/>
          <w:rtl w:val="true"/>
          <w:lang w:bidi="fa-IR"/>
        </w:rPr>
        <w:t>إنّه إذا تعلّق النهی بشی‌ء یقتضی حرمته التکلیفیّة، فهل یستتبع الحرمة الوضعیّة زائداً علی تلک الحرمة، أم لا؟</w:t>
      </w:r>
    </w:p>
    <w:p>
      <w:pPr>
        <w:pStyle w:val="BookText"/>
        <w:rPr/>
      </w:pPr>
      <w:r>
        <w:rPr>
          <w:rFonts w:ascii="IRNazanin" w:hAnsi="IRNazanin" w:eastAsia="IRNazanin"/>
          <w:color w:val="111111"/>
          <w:sz w:val="28"/>
          <w:sz w:val="28"/>
          <w:szCs w:val="28"/>
          <w:rtl w:val="true"/>
          <w:lang w:bidi="fa-IR"/>
        </w:rPr>
        <w:t>و حیث إنّ الاستتباع مورد الشکّ، فإمّا یجری استصحاب عدم الاستتباع، أو لا یجری؛ لعدم العلم بالحالة السابقة، فإن جری فهو من الأصل المثبت؛ لعدم إمکان إثبات شی‌ء بمجرّد التعبّدیة کما لا یخفی، و إن لم یجرِ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غیر فرق بین کون الشکّ فی دلالة النهی أو فی استتباعه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کنّا فی سالف الزمان نذکر إمکان جریان أصل العدم النعتیّ، معتقداً بأنّ نفس التعبّد بهذا العدم کافٍ فیما إذا شکّ فی الدلالة اللفظیّة؛ لرجوعه إلی لحاظ الواضع، أو اکتساب صیغة النهی بالاستعمال و الوضع التعیّنی،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إجراء العدم المحمولیّ، فإنّ الشکّ یرجع إلی الشکّ فی أنّ صیغة النهی هل تستتبع التحریم الوضعیّ؟ و هی ما کانت تستتبع، و نفس التعبّد بهذه القضیّة الکلّیة کاف، کما لا یخفی</w:t>
      </w:r>
      <w:r>
        <w:rPr>
          <w:rFonts w:eastAsia="IRNazanin" w:cs="IRNazanin"/>
          <w:color w:val="111111"/>
          <w:sz w:val="28"/>
          <w:szCs w:val="28"/>
          <w:rtl w:val="true"/>
          <w:lang w:bidi="fa-IR"/>
        </w:rPr>
        <w:t>.</w:t>
      </w:r>
    </w:p>
    <w:p>
      <w:pPr>
        <w:pStyle w:val="Heading6"/>
        <w:numPr>
          <w:ilvl w:val="5"/>
          <w:numId w:val="1"/>
        </w:numPr>
        <w:rPr/>
      </w:pPr>
      <w:bookmarkStart w:id="621" w:name="__RefHeading___Toc534031_3244359995"/>
      <w:bookmarkStart w:id="622" w:name="_Toc233"/>
      <w:bookmarkEnd w:id="621"/>
      <w:r>
        <w:rPr>
          <w:rtl w:val="true"/>
        </w:rPr>
        <w:t>المقام الثانی</w:t>
      </w:r>
      <w:r>
        <w:rPr>
          <w:rtl w:val="true"/>
        </w:rPr>
        <w:t xml:space="preserve">: </w:t>
      </w:r>
      <w:r>
        <w:rPr>
          <w:rtl w:val="true"/>
        </w:rPr>
        <w:t>فی مقتضی الأُصول العملیّة فی الشکّ فی المسألة الفرعیّة</w:t>
      </w:r>
      <w:bookmarkEnd w:id="622"/>
    </w:p>
    <w:p>
      <w:pPr>
        <w:pStyle w:val="Heading6"/>
        <w:numPr>
          <w:ilvl w:val="5"/>
          <w:numId w:val="1"/>
        </w:numPr>
        <w:rPr/>
      </w:pPr>
      <w:bookmarkStart w:id="623" w:name="__RefHeading___Toc534033_3244359995"/>
      <w:bookmarkStart w:id="624" w:name="_Toc234"/>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إذا لم یکن أصل موضوعیّ فی المسألة الأُصولیّة، تصل النوبة إلی حال الأُصول فی المسألة الفرعیّة، و الکلام هنا یقع فی جهتین</w:t>
      </w:r>
      <w:r>
        <w:rPr>
          <w:rFonts w:eastAsia="IRNazanin" w:cs="IRNazanin"/>
          <w:color w:val="111111"/>
          <w:sz w:val="28"/>
          <w:szCs w:val="28"/>
          <w:rtl w:val="true"/>
          <w:lang w:bidi="fa-IR"/>
        </w:rPr>
        <w:t>:</w:t>
      </w:r>
    </w:p>
    <w:p>
      <w:pPr>
        <w:pStyle w:val="Heading6"/>
        <w:numPr>
          <w:ilvl w:val="5"/>
          <w:numId w:val="1"/>
        </w:numPr>
        <w:rPr/>
      </w:pPr>
      <w:bookmarkStart w:id="625" w:name="__RefHeading___Toc534035_3244359995"/>
      <w:bookmarkStart w:id="626" w:name="_Toc235"/>
      <w:bookmarkEnd w:id="625"/>
      <w:r>
        <w:rPr>
          <w:rtl w:val="true"/>
        </w:rPr>
        <w:t>الجهة الأُولی</w:t>
      </w:r>
      <w:r>
        <w:rPr>
          <w:rtl w:val="true"/>
        </w:rPr>
        <w:t xml:space="preserve">: </w:t>
      </w:r>
      <w:r>
        <w:rPr>
          <w:rtl w:val="true"/>
        </w:rPr>
        <w:t>فی العبادات</w:t>
      </w:r>
      <w:bookmarkEnd w:id="62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البحث حول مقتضی النهی وضعاً؛ بعد مفروغیّة تعلّقه</w:t>
      </w:r>
      <w:bookmarkStart w:id="627" w:name="pg13163_143214"/>
    </w:p>
    <w:p>
      <w:pPr>
        <w:pStyle w:val="BookText"/>
        <w:rPr/>
      </w:pPr>
      <w:bookmarkEnd w:id="627"/>
      <w:r>
        <w:rPr>
          <w:rFonts w:ascii="IRNazanin" w:hAnsi="IRNazanin" w:eastAsia="IRNazanin"/>
          <w:color w:val="111111"/>
          <w:sz w:val="28"/>
          <w:sz w:val="28"/>
          <w:szCs w:val="28"/>
          <w:rtl w:val="true"/>
          <w:lang w:bidi="fa-IR"/>
        </w:rPr>
        <w:t>بها، و دلالته علی التحریم تکلیفاً</w:t>
      </w:r>
      <w:r>
        <w:rPr>
          <w:rStyle w:val="FootnoteAnchor"/>
          <w:rtl w:val="true"/>
        </w:rPr>
        <w:footnoteReference w:id="775"/>
      </w:r>
      <w:r>
        <w:rPr>
          <w:rFonts w:ascii="IRNazanin" w:hAnsi="IRNazanin" w:eastAsia="IRNazanin"/>
          <w:color w:val="111111"/>
          <w:sz w:val="28"/>
          <w:sz w:val="28"/>
          <w:szCs w:val="28"/>
          <w:rtl w:val="true"/>
          <w:lang w:bidi="fa-IR"/>
        </w:rPr>
        <w:t>، فإذا شکّ حینئذٍ یلزم منه الشکّ فی أنّ صفة الحرمة تمنع عن صفة الصحّة، أم لا، و مقتضی الأدلّة عدم مانعیّتها کسائر الموارد التی یشکّ فیها فی مانعیّة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النهی مستتبعاً لحکم وضعیّ و هو الفساد، أو عدم قابلیّة التقرّب بالمنهی، فهو یمنع عن انتزاع صفة الصحّة، و إلاّ فلا، و عند الشکّ یرجع إلی الأدلّة النافیة للمانعیّة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الشکّ فی سقوط أمر العبادة، غیر مسموعة؛ ضرورة أنّ منشأ الشکّ فی سقوط أمر العبادة، الشکّ فی إمکان انتزاع وصف الصحّة، و منشأ ذلک هو الشکّ فی مانعیّة الحرمة أو الکراهة النفسیّتین أو الغیریّتین عن الانتزاع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الخلط بین هذه المسألة و مسألة التضادّ بین صفة العبودیّة و الحرمة</w:t>
      </w:r>
      <w:r>
        <w:rPr>
          <w:rStyle w:val="FootnoteAnchor"/>
          <w:rtl w:val="true"/>
        </w:rPr>
        <w:footnoteReference w:id="776"/>
      </w:r>
      <w:r>
        <w:rPr>
          <w:rFonts w:ascii="IRNazanin" w:hAnsi="IRNazanin" w:eastAsia="IRNazanin"/>
          <w:color w:val="111111"/>
          <w:sz w:val="28"/>
          <w:sz w:val="28"/>
          <w:szCs w:val="28"/>
          <w:rtl w:val="true"/>
          <w:lang w:bidi="fa-IR"/>
        </w:rPr>
        <w:t>، فإنّه بحث راجع إلی أصل المسألة، و ما نحن فیه بحث راجع إلی حدود مقتضی النهی وضعاً، فلا تخلط</w:t>
      </w:r>
      <w:r>
        <w:rPr>
          <w:rFonts w:eastAsia="IRNazanin" w:cs="IRNazanin"/>
          <w:color w:val="111111"/>
          <w:sz w:val="28"/>
          <w:szCs w:val="28"/>
          <w:rtl w:val="true"/>
          <w:lang w:bidi="fa-IR"/>
        </w:rPr>
        <w:t>.</w:t>
      </w:r>
    </w:p>
    <w:p>
      <w:pPr>
        <w:pStyle w:val="Heading6"/>
        <w:numPr>
          <w:ilvl w:val="5"/>
          <w:numId w:val="1"/>
        </w:numPr>
        <w:rPr/>
      </w:pPr>
      <w:bookmarkStart w:id="628" w:name="__RefHeading___Toc534037_3244359995"/>
      <w:bookmarkStart w:id="629" w:name="_Toc236"/>
      <w:bookmarkEnd w:id="628"/>
      <w:r>
        <w:rPr>
          <w:rtl w:val="true"/>
        </w:rPr>
        <w:t>الجهة الثانیة</w:t>
      </w:r>
      <w:r>
        <w:rPr>
          <w:rtl w:val="true"/>
        </w:rPr>
        <w:t xml:space="preserve">: </w:t>
      </w:r>
      <w:r>
        <w:rPr>
          <w:rtl w:val="true"/>
        </w:rPr>
        <w:t>فی المعاملات</w:t>
      </w:r>
      <w:bookmarkEnd w:id="629"/>
    </w:p>
    <w:p>
      <w:pPr>
        <w:pStyle w:val="BookText"/>
        <w:rPr/>
      </w:pPr>
      <w:r>
        <w:rPr>
          <w:rFonts w:ascii="IRNazanin" w:hAnsi="IRNazanin" w:eastAsia="IRNazanin"/>
          <w:color w:val="111111"/>
          <w:sz w:val="28"/>
          <w:sz w:val="28"/>
          <w:szCs w:val="28"/>
          <w:rtl w:val="true"/>
          <w:lang w:bidi="fa-IR"/>
        </w:rPr>
        <w:t>و الأمر فیها کما مرّ فی العبادات، و یکون الکلام فی نفس الشکّ فی أنّ صیغة النهی تستلزم الحکم بالفساد،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استکشاف الفساد من ناحیة عدم الأمر و عدم الإمضاء، فهو أمر خارج عن حدود هذه المسألة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هذا، لا یرجع الشکّ هنا إلی الشکّ فی الصحّة و الفساد، بل انتزاع الصحّة من المعاملة القماریّة مثلاً کان مفروغاً عنه، و إنّما الشبهة فی أنّ صفة الحرمة</w:t>
      </w:r>
    </w:p>
    <w:p>
      <w:pPr>
        <w:pStyle w:val="BookText"/>
        <w:rPr/>
      </w:pPr>
      <w:r>
        <w:rPr>
          <w:rFonts w:ascii="IRNazanin" w:hAnsi="IRNazanin" w:eastAsia="IRNazanin"/>
          <w:color w:val="111111"/>
          <w:sz w:val="28"/>
          <w:sz w:val="28"/>
          <w:szCs w:val="28"/>
          <w:rtl w:val="true"/>
          <w:lang w:bidi="fa-IR"/>
        </w:rPr>
        <w:t>و صفة کونها منهیّاً عنها، تزاحم انتزاع صفة الصحّة،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الشکّ یرجع إلی الشکّ فی المانعیّة و المضادّة، فبرفعها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من الأصل المثبت؛ لأنّ انتزاع صفة الصحّة بعد رفع المانعیّة، یکون من آثارها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لأنّها تنتزع فی محیط العقلاء علی کلّ تقدیر، و إنّما الشکّ فی محیط الشرع، و إذا کان فی نظر الشرع المانعیّة مرفوعة یتمّ المطلوب، و هذا من أظهر مصادیق ضمّ الوجدان إلی الأصل، من غیر کون الموضوع مرکّباً،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تتحاشی من إرجاع المسألة إلی الشکّ فی مزاحمة صفة الحرمة و الکراهة مع صفة الصحّة،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الشکّ یکون فی أنّ المعاملة القماریّة بعد کونها منهیّة، فاسدة أم لا، فإن کان هناک إطلاق أو عموم فهو، و إلاّ فالأصل یقتضی الفساد، و هکذا فی العبادات </w:t>
      </w:r>
      <w:r>
        <w:rPr>
          <w:rStyle w:val="FootnoteAnchor"/>
          <w:rtl w:val="true"/>
        </w:rPr>
        <w:footnoteReference w:id="777"/>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ذلک خروج عن الجهة المبحوث عنها، و یکون من التمسّک بعدم الأمر للفساد، و أمّا نفس هذه المسألة بما هی هی فلا تقتضی الفساد، و لذلک من الأصحاب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الردع کاف فی نفوذ المعاملة، من غیر لزوم کونها بمرأی و منظر من الشرع </w:t>
      </w:r>
      <w:r>
        <w:rPr>
          <w:rStyle w:val="FootnoteAnchor"/>
          <w:rtl w:val="true"/>
        </w:rPr>
        <w:footnoteReference w:id="778"/>
      </w:r>
      <w:r>
        <w:rPr>
          <w:rFonts w:ascii="Amiri" w:hAnsi="Amiri" w:eastAsia="Amiri" w:cs="Amiri"/>
          <w:color w:val="111111"/>
          <w:sz w:val="28"/>
          <w:sz w:val="28"/>
          <w:szCs w:val="28"/>
          <w:rtl w:val="true"/>
          <w:lang w:bidi="ar-SA"/>
        </w:rPr>
        <w:t xml:space="preserve">، کما مرّ تفصیله فی مقدّمات بحوث الضدّ و الترتّب </w:t>
      </w:r>
      <w:r>
        <w:rPr>
          <w:rStyle w:val="FootnoteAnchor"/>
          <w:rtl w:val="true"/>
        </w:rPr>
        <w:footnoteReference w:id="779"/>
      </w:r>
      <w:r>
        <w:rPr>
          <w:rFonts w:ascii="IRNazanin" w:hAnsi="IRNazanin" w:eastAsia="IRNazanin"/>
          <w:color w:val="111111"/>
          <w:sz w:val="28"/>
          <w:sz w:val="28"/>
          <w:szCs w:val="28"/>
          <w:rtl w:val="true"/>
          <w:lang w:bidi="fa-IR"/>
        </w:rPr>
        <w:t>، و علیه یلزم صحّة المعاملة و إن لم یکن هناک أمر و تنفیذ بالإطلاق أو العموم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یکون فی صورة وجود الإطلاق و العموم، فعلیه إن ثبت دلالة النهی علی الفساد فیلزم التخصیص أو التقیید، و إلاّ فلا وجه للقول بالفساد؛ لا من جهة التمسّک بالإطلاق و العموم، بل لأجل قصور النهی عن إیراث</w:t>
      </w:r>
      <w:bookmarkStart w:id="630" w:name="pg13163_143216"/>
    </w:p>
    <w:p>
      <w:pPr>
        <w:pStyle w:val="BookText"/>
        <w:rPr/>
      </w:pPr>
      <w:bookmarkEnd w:id="630"/>
      <w:r>
        <w:rPr>
          <w:rFonts w:ascii="IRNazanin" w:hAnsi="IRNazanin" w:eastAsia="IRNazanin"/>
          <w:color w:val="111111"/>
          <w:sz w:val="28"/>
          <w:sz w:val="28"/>
          <w:szCs w:val="28"/>
          <w:rtl w:val="true"/>
          <w:lang w:bidi="fa-IR"/>
        </w:rPr>
        <w:t>الفساد أو إیراث ما یمانع انتزاع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من هذه الجهة تشتمل علی بحث حیثیّ، و لا ینبغی الخلط،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جدّاً</w:t>
      </w:r>
      <w:r>
        <w:rPr>
          <w:rFonts w:eastAsia="IRNazanin" w:cs="IRNazanin"/>
          <w:color w:val="111111"/>
          <w:sz w:val="28"/>
          <w:szCs w:val="28"/>
          <w:rtl w:val="true"/>
          <w:lang w:bidi="fa-IR"/>
        </w:rPr>
        <w:t>.</w:t>
      </w:r>
    </w:p>
    <w:p>
      <w:pPr>
        <w:pStyle w:val="Heading6"/>
        <w:numPr>
          <w:ilvl w:val="5"/>
          <w:numId w:val="1"/>
        </w:numPr>
        <w:rPr/>
      </w:pPr>
      <w:bookmarkStart w:id="631" w:name="__RefHeading___Toc534039_3244359995"/>
      <w:bookmarkStart w:id="632" w:name="_Toc237"/>
      <w:bookmarkEnd w:id="631"/>
      <w:r>
        <w:rPr>
          <w:rtl w:val="true"/>
        </w:rPr>
        <w:t>ذنابة</w:t>
      </w:r>
      <w:r>
        <w:rPr>
          <w:rtl w:val="true"/>
        </w:rPr>
        <w:t xml:space="preserve">: </w:t>
      </w:r>
      <w:r>
        <w:rPr>
          <w:rtl w:val="true"/>
        </w:rPr>
        <w:t>حول ابتناء النزاع علی عقلیّة النزاع و لفظیته</w:t>
      </w:r>
      <w:bookmarkEnd w:id="632"/>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ابتناء المسألة علی کون النزاع لفظیّاً أو عقلیّاً، فأفاد الصحّة علی الأوّل؛ لأنّ الشکّ یرجع إلی الشکّ فی التقیید، بعد وجود الأمر فی الشریعة، و بعد فرض إطلاقه و عمومه، و الفساد علی الثانی؛ لأنّه لیس من الشکّ فی قید من قیود المأمور به، بل هو من الشکّ فی حصول القرب بالمأتیّ به </w:t>
      </w:r>
      <w:r>
        <w:rPr>
          <w:rStyle w:val="FootnoteAnchor"/>
          <w:rtl w:val="true"/>
        </w:rPr>
        <w:footnoteReference w:id="780"/>
      </w:r>
      <w:r>
        <w:rPr>
          <w:rFonts w:ascii="IRNazanin" w:hAnsi="IRNazanin" w:eastAsia="IRNazanin"/>
          <w:color w:val="111111"/>
          <w:sz w:val="28"/>
          <w:sz w:val="28"/>
          <w:szCs w:val="28"/>
          <w:rtl w:val="true"/>
          <w:lang w:bidi="fa-IR"/>
        </w:rPr>
        <w:t>، انتهی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أنّ مناط عقلیّة النزاع و لفظیّته لیس دلیل المسألة، و إلاّ یلزم کون حجّیة الخبر الواحد و أمثالها لفظیّة و عقلیّة، و مرّ تفصیله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یتوجّه إلیه ما مرّ؛ من توجیه الإشکال الأخیر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یزید علی ما فیها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علی ما یستظهر منه، ظنّ أنّ القرب المطلوب فی العبادات، أمر تکوینیّ سماویّ خارج عن محیط دائرة العلم و القدرة</w:t>
      </w:r>
      <w:r>
        <w:rPr>
          <w:rStyle w:val="FootnoteAnchor"/>
          <w:rtl w:val="true"/>
        </w:rPr>
        <w:footnoteReference w:id="782"/>
      </w:r>
      <w:r>
        <w:rPr>
          <w:rFonts w:ascii="IRNazanin" w:hAnsi="IRNazanin" w:eastAsia="IRNazanin"/>
          <w:color w:val="111111"/>
          <w:sz w:val="28"/>
          <w:sz w:val="28"/>
          <w:szCs w:val="28"/>
          <w:rtl w:val="true"/>
          <w:lang w:bidi="fa-IR"/>
        </w:rPr>
        <w:t>، و إلاّ فلا شبهة فی أنّ المکلّف یقصد بالمأتیّ به وجه اللَّه تعالی؛ علی وجه یکفی فی صورة احتمال کون الطبیعة مورد الأمر، فضلاً عمّا نحن فیه، فتدبّر، جیّداً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تلک المقدّمات فالکلام یقع فی مقامین</w:t>
      </w:r>
      <w:r>
        <w:rPr>
          <w:rFonts w:eastAsia="IRNazanin" w:cs="IRNazanin"/>
          <w:color w:val="111111"/>
          <w:sz w:val="28"/>
          <w:szCs w:val="28"/>
          <w:rtl w:val="true"/>
          <w:lang w:bidi="fa-IR"/>
        </w:rPr>
        <w:t>:</w:t>
      </w:r>
      <w:bookmarkStart w:id="633" w:name="pg13163_143218"/>
    </w:p>
    <w:p>
      <w:pPr>
        <w:pStyle w:val="Heading4"/>
        <w:numPr>
          <w:ilvl w:val="3"/>
          <w:numId w:val="1"/>
        </w:numPr>
        <w:rPr/>
      </w:pPr>
      <w:bookmarkStart w:id="634" w:name="__RefHeading___Toc534041_3244359995"/>
      <w:bookmarkStart w:id="635" w:name="_Toc238"/>
      <w:bookmarkEnd w:id="633"/>
      <w:bookmarkEnd w:id="634"/>
      <w:r>
        <w:rPr>
          <w:rtl w:val="true"/>
        </w:rPr>
        <w:t>المقام الأوّل فی النهی عن العبادة و الأفعال القربیّة</w:t>
      </w:r>
      <w:bookmarkEnd w:id="635"/>
    </w:p>
    <w:p>
      <w:pPr>
        <w:pStyle w:val="Heading5"/>
        <w:numPr>
          <w:ilvl w:val="4"/>
          <w:numId w:val="1"/>
        </w:numPr>
        <w:rPr/>
      </w:pPr>
      <w:bookmarkStart w:id="636" w:name="__RefHeading___Toc534043_3244359995"/>
      <w:bookmarkStart w:id="637" w:name="_Toc239"/>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و أنّه هل هو یستتبع الحکم الوضعیّ و عدم الإجزاء و الفساد و البطلان مطلقاً</w:t>
      </w:r>
      <w:r>
        <w:rPr>
          <w:rStyle w:val="FootnoteAnchor"/>
          <w:rtl w:val="true"/>
        </w:rPr>
        <w:footnoteReference w:id="783"/>
      </w:r>
      <w:r>
        <w:rPr>
          <w:rFonts w:ascii="IRNazanin" w:hAnsi="IRNazanin" w:eastAsia="IRNazanin"/>
          <w:color w:val="111111"/>
          <w:sz w:val="28"/>
          <w:sz w:val="28"/>
          <w:szCs w:val="28"/>
          <w:rtl w:val="true"/>
          <w:lang w:bidi="fa-IR"/>
        </w:rPr>
        <w:t>، أم لا مطلقاً</w:t>
      </w:r>
      <w:r>
        <w:rPr>
          <w:rStyle w:val="FootnoteAnchor"/>
          <w:rtl w:val="true"/>
        </w:rPr>
        <w:footnoteReference w:id="7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یقع التفصیل بین أنحاء النهی؛ فما کان منه تحریمیّاً أو تنزیهیّاً فهو یستتبع، و ما کان غیریّاً فلا</w:t>
      </w:r>
      <w:r>
        <w:rPr>
          <w:rStyle w:val="FootnoteAnchor"/>
          <w:rtl w:val="true"/>
        </w:rPr>
        <w:footnoteReference w:id="785"/>
      </w:r>
      <w:r>
        <w:rPr>
          <w:rFonts w:ascii="IRNazanin" w:hAnsi="IRNazanin" w:eastAsia="IRNazanin"/>
          <w:color w:val="111111"/>
          <w:sz w:val="28"/>
          <w:sz w:val="28"/>
          <w:szCs w:val="28"/>
          <w:rtl w:val="true"/>
          <w:lang w:bidi="fa-IR"/>
        </w:rPr>
        <w:t>، أو یلحق بالغیریّ التنزیهیّ أیضا</w:t>
      </w:r>
      <w:r>
        <w:rPr>
          <w:rStyle w:val="FootnoteAnchor"/>
          <w:rtl w:val="true"/>
        </w:rPr>
        <w:footnoteReference w:id="7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 یقع التفصیل بین ما إذا کانت نفس العبادة منهیّة، أو کانت أجزاؤها و شرائطها</w:t>
      </w:r>
      <w:r>
        <w:rPr>
          <w:rStyle w:val="FootnoteAnchor"/>
          <w:rtl w:val="true"/>
        </w:rPr>
        <w:footnoteReference w:id="787"/>
      </w:r>
      <w:r>
        <w:rPr>
          <w:rFonts w:ascii="IRNazanin" w:hAnsi="IRNazanin" w:eastAsia="IRNazanin"/>
          <w:color w:val="111111"/>
          <w:sz w:val="28"/>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یفصّل بین ما کانت عبادة ذاتاً، و ما کانت عبادة بجهات عرضیّة، فلا یدلّ</w:t>
      </w:r>
    </w:p>
    <w:p>
      <w:pPr>
        <w:pStyle w:val="BookText"/>
        <w:rPr/>
      </w:pPr>
      <w:r>
        <w:rPr>
          <w:rFonts w:ascii="IRNazanin" w:hAnsi="IRNazanin" w:eastAsia="IRNazanin"/>
          <w:color w:val="111111"/>
          <w:sz w:val="28"/>
          <w:sz w:val="28"/>
          <w:szCs w:val="28"/>
          <w:rtl w:val="true"/>
          <w:lang w:bidi="fa-IR"/>
        </w:rPr>
        <w:t>علی الأوّل، و یدلّ علی الثانی؟</w:t>
      </w:r>
    </w:p>
    <w:p>
      <w:pPr>
        <w:pStyle w:val="BookText"/>
        <w:rPr/>
      </w:pPr>
      <w:r>
        <w:rPr>
          <w:rFonts w:ascii="IRNazanin" w:hAnsi="IRNazanin" w:eastAsia="IRNazanin"/>
          <w:color w:val="111111"/>
          <w:sz w:val="28"/>
          <w:sz w:val="28"/>
          <w:szCs w:val="28"/>
          <w:rtl w:val="true"/>
          <w:lang w:bidi="fa-IR"/>
        </w:rPr>
        <w:t>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التفصیل بین الأجزاء أو الشروط و غیرهما المأخوذة واسطة فی الثبوت و عدمه </w:t>
      </w:r>
      <w:r>
        <w:rPr>
          <w:rStyle w:val="FootnoteAnchor"/>
          <w:rtl w:val="true"/>
        </w:rPr>
        <w:footnoteReference w:id="788"/>
      </w:r>
      <w:r>
        <w:rPr>
          <w:rFonts w:ascii="IRNazanin" w:hAnsi="IRNazanin" w:eastAsia="IRNazanin"/>
          <w:color w:val="111111"/>
          <w:sz w:val="28"/>
          <w:sz w:val="28"/>
          <w:szCs w:val="28"/>
          <w:rtl w:val="true"/>
          <w:lang w:bidi="fa-IR"/>
        </w:rPr>
        <w:t>، فهو خروج عن البحث، کما نشیر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لا یدلّ بالوضع علی شی‌ء؛ لما تحرّر فیما سبق من حدود دلالة صیغته </w:t>
      </w:r>
      <w:r>
        <w:rPr>
          <w:rStyle w:val="FootnoteAnchor"/>
          <w:rtl w:val="true"/>
        </w:rPr>
        <w:footnoteReference w:id="789"/>
      </w:r>
      <w:r>
        <w:rPr>
          <w:rFonts w:ascii="IRNazanin" w:hAnsi="IRNazanin" w:eastAsia="IRNazanin"/>
          <w:color w:val="111111"/>
          <w:sz w:val="28"/>
          <w:sz w:val="28"/>
          <w:szCs w:val="28"/>
          <w:rtl w:val="true"/>
          <w:lang w:bidi="fa-IR"/>
        </w:rPr>
        <w:t xml:space="preserve">، و 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دلالته علیه </w:t>
      </w:r>
      <w:r>
        <w:rPr>
          <w:rStyle w:val="FootnoteAnchor"/>
          <w:rtl w:val="true"/>
        </w:rPr>
        <w:footnoteReference w:id="790"/>
      </w:r>
      <w:r>
        <w:rPr>
          <w:rFonts w:ascii="IRNazanin" w:hAnsi="IRNazanin" w:eastAsia="IRNazanin"/>
          <w:color w:val="111111"/>
          <w:sz w:val="28"/>
          <w:sz w:val="28"/>
          <w:szCs w:val="28"/>
          <w:rtl w:val="true"/>
          <w:lang w:bidi="fa-IR"/>
        </w:rPr>
        <w:t>، محمول علی المسامحة، و لکن یستتبع الحکم الوضعیّ و بطلان المنهیّ و فساد العبادة، و تصیر النتیجة عدم جواز الاجتزاء بالمنهیّ عنه فی مقام الامتثال، من غیر فرق بین صور المسألة و الفروض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هنا وجوه لا یخلو جلّها لو لا کلّها عن الخلل و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عبادیّة العبادة بالأمر، و لا یعقل اجتماعه مع النهی الوارد علی محلّه کما هو المفروض، من غیر فرق بین کون النهی متعلّقاً بنفسها، أو بجزئها؛ لأنّ معنی تعلّقه بجزئها هو تعلّقه بالطبیعة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تفسیر تعلّقه بجزئها أو بوصفها بعنوانه الاستقلالیّ، فهو یرجع إلی النهی عن العنوان الخارج الّذی هو خارج عن محیط النزاع،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و التقریرات </w:t>
      </w:r>
      <w:r>
        <w:rPr>
          <w:rStyle w:val="FootnoteAnchor"/>
          <w:rtl w:val="true"/>
        </w:rPr>
        <w:footnoteReference w:id="792"/>
      </w:r>
      <w:r>
        <w:rPr>
          <w:rFonts w:ascii="IRNazanin" w:hAnsi="IRNazanin" w:eastAsia="IRNazanin"/>
          <w:color w:val="111111"/>
          <w:sz w:val="28"/>
          <w:sz w:val="28"/>
          <w:szCs w:val="28"/>
          <w:rtl w:val="true"/>
          <w:lang w:bidi="fa-IR"/>
        </w:rPr>
        <w:t>لا یخلو من تأسّف</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یرجع التفصیل المشار إلیه بین الشرط الّذی یکون واسطة فی الثبوت، و بین ما یکون واسطة فی العروض؛ لأنّه مع الوساطة فی الثبوت یرجع إلی</w:t>
      </w:r>
    </w:p>
    <w:p>
      <w:pPr>
        <w:pStyle w:val="BookText"/>
        <w:rPr/>
      </w:pPr>
      <w:r>
        <w:rPr>
          <w:rFonts w:ascii="IRNazanin" w:hAnsi="IRNazanin" w:eastAsia="IRNazanin"/>
          <w:color w:val="111111"/>
          <w:sz w:val="28"/>
          <w:sz w:val="28"/>
          <w:szCs w:val="28"/>
          <w:rtl w:val="true"/>
          <w:lang w:bidi="fa-IR"/>
        </w:rPr>
        <w:t>أنّ ما هو المنهیّ حقیقة، هو العنوان الخارج،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النهی الغیریّ لا یورث الفساد؛ لتعلّقه بعنوان خارج و لکنّه أیضا خلف؛ لما أنّ المفروض تعلّقه بذات الضدّ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المضادّة مع الإزالة، فلا ینبغی الخلط بین اختلاف المبانی، و اختلاف البناءات، و إلاّ فالبحث المبنویّ طویل الذیل هنا، و قد مضی فی محلّه </w:t>
      </w:r>
      <w:r>
        <w:rPr>
          <w:rStyle w:val="FootnoteAnchor"/>
          <w:rtl w:val="true"/>
        </w:rPr>
        <w:footnoteReference w:id="793"/>
      </w:r>
      <w:r>
        <w:rPr>
          <w:rFonts w:ascii="Amiri" w:hAnsi="Amiri" w:eastAsia="Amiri" w:cs="Amiri"/>
          <w:color w:val="111111"/>
          <w:sz w:val="28"/>
          <w:sz w:val="28"/>
          <w:szCs w:val="28"/>
          <w:rtl w:val="true"/>
          <w:lang w:bidi="ar-SA"/>
        </w:rPr>
        <w:t>بحمد اللَّه و له الشکر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التنزیهیّ یجتمع مع الأمر؛ لأنّه ترخیص بالفعل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عن امتناعه بعد الإقرار بأنّه متعلّق بالعبادة المقیّدة، و بعد الإقرار بأنّه محمول علی الکراهة المصطلحة</w:t>
      </w:r>
      <w:r>
        <w:rPr>
          <w:rStyle w:val="FootnoteAnchor"/>
          <w:rtl w:val="true"/>
        </w:rPr>
        <w:footnoteReference w:id="795"/>
      </w:r>
      <w:r>
        <w:rPr>
          <w:rFonts w:ascii="IRNazanin" w:hAnsi="IRNazanin" w:eastAsia="IRNazanin"/>
          <w:color w:val="111111"/>
          <w:sz w:val="28"/>
          <w:sz w:val="28"/>
          <w:szCs w:val="28"/>
          <w:rtl w:val="true"/>
          <w:lang w:bidi="fa-IR"/>
        </w:rPr>
        <w:t>، و أمّا مع إنکار ذلک فیلزم الخروج عن محطّ التشاحّ و مصبّ النزاع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الکلام یلزم اجتماع الأمر و النهی، و حیث إنّ الفرض تقدّم النهی فی مقام التعارض، یلزم عدم الأمر، و عند ذلک تصبح العبادة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فی محلّه إمکان اندراج المطلق و المقیّد فی محلّ النزاع السابق، فعلی هذا لا یلزم سقوط الأمر علی کلّ تقدیر، بل إمّا یجتمع مع النهی، أو یسقط النهی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اندراجه فی محطّ النزاع السابق، کما تحرّر عندنا</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 رحمهم اللَّه بناؤهم علی حمل المطلق علی المقیّد</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قامت القرینة الخارجیّة علی وجود الأمر فی مورد القید، یصحّ</w:t>
      </w:r>
    </w:p>
    <w:p>
      <w:pPr>
        <w:pStyle w:val="BookText"/>
        <w:rPr/>
      </w:pPr>
      <w:r>
        <w:rPr>
          <w:rFonts w:ascii="IRNazanin" w:hAnsi="IRNazanin" w:eastAsia="IRNazanin"/>
          <w:color w:val="111111"/>
          <w:sz w:val="28"/>
          <w:sz w:val="28"/>
          <w:szCs w:val="28"/>
          <w:rtl w:val="true"/>
          <w:lang w:bidi="fa-IR"/>
        </w:rPr>
        <w:t>اندراجه فی اجتماع الأمر و النهی؛ حفظاً لظهورهما فی الوجوب و التحریم،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البحث و هو تعلّق النهی بالعبادة، و فی مفروض الکلام و هو تقوّم العبادة بالأمر، یلزم امتناع النزاع؛ ضرورة امتناع اجتماع الأمر و النهی فی الواحد العنوانیّ کما تبیّن فی بحث اجتماع الأمر و النهی </w:t>
      </w:r>
      <w:r>
        <w:rPr>
          <w:rStyle w:val="FootnoteAnchor"/>
          <w:rtl w:val="true"/>
        </w:rPr>
        <w:footnoteReference w:id="798"/>
      </w:r>
      <w:r>
        <w:rPr>
          <w:rFonts w:ascii="IRNazanin" w:hAnsi="IRNazanin" w:eastAsia="IRNazanin"/>
          <w:color w:val="111111"/>
          <w:sz w:val="28"/>
          <w:sz w:val="28"/>
          <w:szCs w:val="28"/>
          <w:rtl w:val="true"/>
          <w:lang w:bidi="fa-IR"/>
        </w:rPr>
        <w:t>، فعلی هذا لا بدّ 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عبادیّة العبادة بغیر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البحث یکون تقدیریّاً، و بذلک یلزم إمکان النزاع،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المبانی فی عبادیّة العبادات مختلفة، و النزاع محرّر علی تلک المبانی بإجمالها، من غیر النّظر إلی مبنی خاصّ، کما أنّ وجه البطلان و الفساد مختلف، من غیر انحصاره بذلک الوجه حتّی یلزم لغویّة النزاع،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وجیه، إلاّ أنّ من الممکن دعوی سقوط الأمر؛ لأجل عروض النهی، و بقاء الملاک المصحّح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سقوط الأمر لا کاشف عن الملاک، کما مرّ تفصیله فی البحوث السابقة</w:t>
      </w:r>
      <w:r>
        <w:rPr>
          <w:rStyle w:val="FootnoteAnchor"/>
          <w:rtl w:val="true"/>
        </w:rPr>
        <w:footnoteReference w:id="799"/>
      </w:r>
      <w:r>
        <w:rPr>
          <w:rFonts w:ascii="IRNazanin" w:hAnsi="IRNazanin" w:eastAsia="IRNazanin"/>
          <w:color w:val="111111"/>
          <w:sz w:val="28"/>
          <w:sz w:val="28"/>
          <w:szCs w:val="28"/>
          <w:rtl w:val="true"/>
          <w:lang w:bidi="fa-IR"/>
        </w:rPr>
        <w:t>، و حینئذٍ لا یمکن تصحیح العبادة علی وجه الاجتزاء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الحکم بالفساد ثبوتاً، و لا بالصحّة إثباتاً، و لا نعنی إلاّ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عبادة ذاتیّة تلزم الصحّة من غیر الحاجة إلی الأمر، فلا یکون النهی علی التقریب المزبور مانعاً عن إمکان الاجتزاء بالمأتیّ به؛ لأنّه ینتزع الصحّة منها لذاتها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معنی للعبادة الذاتیّة؛ لأنّ المراد من الذاتیّة إمّا هو</w:t>
      </w:r>
    </w:p>
    <w:p>
      <w:pPr>
        <w:pStyle w:val="BookText"/>
        <w:rPr/>
      </w:pPr>
      <w:r>
        <w:rPr>
          <w:rFonts w:ascii="IRNazanin" w:hAnsi="IRNazanin" w:eastAsia="IRNazanin"/>
          <w:color w:val="111111"/>
          <w:sz w:val="28"/>
          <w:sz w:val="28"/>
          <w:szCs w:val="28"/>
          <w:rtl w:val="true"/>
          <w:lang w:bidi="fa-IR"/>
        </w:rPr>
        <w:t>الذاتیّ فی باب البرهان، أو الإیساغوجی، و کلاهما هنا 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الخضوع السجودیّ بعنوان العبودیّة، تمام الموضوع لانتزاع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تدخّل الأمر الآخر، فإذا سجد للأوثان فقد تعبد بالعبادة المحرّمة، و لأجل ذلک کان مورد النهی </w:t>
      </w:r>
      <w:r>
        <w:rPr>
          <w:rStyle w:val="FootnoteAnchor"/>
          <w:rtl w:val="true"/>
        </w:rPr>
        <w:footnoteReference w:id="800"/>
      </w:r>
      <w:r>
        <w:rPr>
          <w:rFonts w:ascii="IRNazanin" w:hAnsi="IRNazanin" w:eastAsia="IRNazanin"/>
          <w:color w:val="111111"/>
          <w:sz w:val="28"/>
          <w:sz w:val="28"/>
          <w:szCs w:val="28"/>
          <w:rtl w:val="true"/>
          <w:lang w:bidi="fa-IR"/>
        </w:rPr>
        <w:t xml:space="preserve">، فیعلم إمکان تحقّقه خارجاً، فلا یکون الوجه المزبور کافیاً لسریان الفساد، و لا یمنع النهی عن 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یستتبع الحکم الوضعیّ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إذا تعلّق به النهی التکلیفیّ، فلا بدّ و أن یکون هو مورد بغض المولی، و کلّ ما کان مبغوض المولی لا یصلح لأن یتعبّد به اللَّه تعالی؛ ضرورة أنّ المقصود من العبادة هو التهیّؤ للتقرّب بالمأتیّ به منه تعالی، من غیر فرق بین کونه عبادة بذاته، أو بالأمر، أو بالملاک، أو کان یمکن أن یقصد به التقرّب، کسائر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یمکن قصد العبودیّة و التقرّب بشرب الخمر، و لیس ذلک إلاّ لأجل کونه مرجوح الفعل عنده تعالی؛ سواء کان إلی حدّ الحرمة، أو الکراهة، کذلک لا یمکن بسائر الأفعال الأُخر التی یتعبّد بها العباد، کالصوم و الصلاة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الوجه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صفة الحرمة و الکراهة تمنع عن انتزاع وصف الصحّة عن العبادة و العمل المأتیّ به بعنوانها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یظهر عدم اختصاص منعه بالعبادات و الأعمال القربیّة المفروضة، أو المجعولة ندباً، بل تمنع عن إمکان التقرّب بکلّ فعل من الأفعال المباحة التی کان للمکلّف قصد التقرّب بها، و قد سمّیناها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بالمعنی الأعمّ</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أنّ المبغوضیة لیست مستوعبة؛ لما لا بغض للمولی فی</w:t>
      </w:r>
    </w:p>
    <w:p>
      <w:pPr>
        <w:pStyle w:val="BookText"/>
        <w:rPr/>
      </w:pPr>
      <w:r>
        <w:rPr>
          <w:rFonts w:ascii="IRNazanin" w:hAnsi="IRNazanin" w:eastAsia="IRNazanin"/>
          <w:color w:val="111111"/>
          <w:sz w:val="28"/>
          <w:sz w:val="28"/>
          <w:szCs w:val="28"/>
          <w:rtl w:val="true"/>
          <w:lang w:bidi="fa-IR"/>
        </w:rPr>
        <w:t>صورة عدم تنجّز التکلیف التحریمیّ أو التنزیهیّ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وجود البغض فی موردهما ثبوتاً</w:t>
      </w:r>
      <w:r>
        <w:rPr>
          <w:rStyle w:val="FootnoteAnchor"/>
          <w:rtl w:val="true"/>
        </w:rPr>
        <w:footnoteReference w:id="802"/>
      </w:r>
    </w:p>
    <w:p>
      <w:pPr>
        <w:pStyle w:val="BookText"/>
        <w:rPr/>
      </w:pP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منتهی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مدفوع بعدم الدلیل علیه إثباتاً، مع عدم تنافیه للصحّة أیضا إثباتاً، فإذا فرض جهل المکلّف بالنهی تکون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 أنّ المقصود بالبحث إثبات فسادها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ذات صفة الحرمة، لا تمنع عن وصف الصحّة إلاّ برجوعها إلی المبغوضیّة،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مورد النهی الغیریّ ربّما لا یکون بغض،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 خلاف التحقیق المحرّر عندنا</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الإشکال فی المبنی دون البناء، و إلاّ فمع فرض کون العبادة بذاتها مورد النهی، فلا فرق بین النواهی، و بین البغض الذاتیّ الناشئ عن مفسدة فی ذات المنهیّ، أو البغض العرضیّ الناشئ من المحافظة علی الإزالة،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للوالد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المناقشة فی تبعة النهی الغیریّ، و قد مرّ منّا تفصیل مناشئ توهّمهم عدم دلالة النهی علی المبغوضیّة</w:t>
      </w:r>
      <w:r>
        <w:rPr>
          <w:rStyle w:val="FootnoteAnchor"/>
          <w:rtl w:val="true"/>
        </w:rPr>
        <w:footnoteReference w:id="806"/>
      </w:r>
      <w:r>
        <w:rPr>
          <w:rFonts w:ascii="IRNazanin" w:hAnsi="IRNazanin" w:eastAsia="IRNazanin"/>
          <w:color w:val="111111"/>
          <w:sz w:val="28"/>
          <w:sz w:val="28"/>
          <w:szCs w:val="28"/>
          <w:rtl w:val="true"/>
          <w:lang w:bidi="fa-IR"/>
        </w:rPr>
        <w:t>، و سیأتی تمام الکلام حوله فی ذیل الوجه الآتی إن شاء اللَّه تعالی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یثبت النهی الإلهیّ، یلزم استکشاف المفسدة</w:t>
      </w:r>
    </w:p>
    <w:p>
      <w:pPr>
        <w:pStyle w:val="BookText"/>
        <w:rPr/>
      </w:pPr>
      <w:r>
        <w:rPr>
          <w:rFonts w:ascii="IRNazanin" w:hAnsi="IRNazanin" w:eastAsia="IRNazanin"/>
          <w:color w:val="111111"/>
          <w:sz w:val="28"/>
          <w:sz w:val="28"/>
          <w:szCs w:val="28"/>
          <w:rtl w:val="true"/>
          <w:lang w:bidi="fa-IR"/>
        </w:rPr>
        <w:t xml:space="preserve">حسب مبنی العدلیّة، و کلّ شی‌ء کان فیه المفسدة لا یلیق لأن یتقرّب به منه تعالی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ثبت النهی یثبت استحقاق العقاب و العتاب، و یلزم البعد و الحزازة، و کلّ فعل کان مآله إلی هذه الأُمور، لا یصلح لأن یتقرّب به منه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جریان التقریب الأخیر فی النهی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یتمّ فی صورة عدم تنجّز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استکشاف المفسدة بالنهی الساقط لأجل الجهل </w:t>
      </w:r>
      <w:r>
        <w:rPr>
          <w:rStyle w:val="FootnoteAnchor"/>
          <w:rtl w:val="true"/>
        </w:rPr>
        <w:footnoteReference w:id="808"/>
      </w:r>
      <w:r>
        <w:rPr>
          <w:rFonts w:ascii="IRNazanin" w:hAnsi="IRNazanin" w:eastAsia="IRNazanin"/>
          <w:color w:val="111111"/>
          <w:sz w:val="28"/>
          <w:sz w:val="28"/>
          <w:szCs w:val="28"/>
          <w:rtl w:val="true"/>
          <w:lang w:bidi="fa-IR"/>
        </w:rPr>
        <w:t>،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یسقط دلالته المطابقیّة فی صورة عدم تنجّزه، دون دلالته الالتزامیّة و هو کشفه عن المفسدة</w:t>
      </w:r>
      <w:r>
        <w:rPr>
          <w:rStyle w:val="FootnoteAnchor"/>
          <w:rtl w:val="true"/>
        </w:rPr>
        <w:footnoteReference w:id="809"/>
      </w:r>
      <w:r>
        <w:rPr>
          <w:rFonts w:ascii="IRNazanin" w:hAnsi="IRNazanin" w:eastAsia="IRNazanin"/>
          <w:color w:val="111111"/>
          <w:sz w:val="28"/>
          <w:sz w:val="28"/>
          <w:szCs w:val="28"/>
          <w:rtl w:val="true"/>
          <w:lang w:bidi="fa-IR"/>
        </w:rPr>
        <w:t>، فإذن یمکن الدعوی المزبورة؛ ضرورة أنّ صیغة النهی لا تدلّ علی شی‌ء لأجل نیابتها مناب الزجر العملیّ الخارجیّ، فإذا کانت باقیة علی نیابتها یمکن دعوی التلازم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مذهب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و بین المفسدة،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من قبیل الدلالة الالتزامیّة التی تکون مورد الخلاف فی أنّها باقیة عند انتفاء دلالة المطابقة، أو هی أیضا تزول، أو الخلاف فی بقاء حجّیتها، فلا تغفل، و لا تخلط</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التبعیّة فی أمثال المقام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اقتضاء المفسدة بما هی هی للفساد؛ ضرورة إمکان کون العبادة ذات مفسدة، فإذا کانت هی محرزة تکون غالبة، و أمّا إذا لم تکن محرزة تکون مغلوبة، و یبقی إمکان التقرّب بالعبادة علی حاله، و تکفی هذه المصلحة المتقوّمة بها صحّة العبادة</w:t>
      </w:r>
      <w:r>
        <w:rPr>
          <w:rFonts w:eastAsia="IRNazanin" w:cs="IRNazanin"/>
          <w:color w:val="111111"/>
          <w:sz w:val="28"/>
          <w:szCs w:val="28"/>
          <w:rtl w:val="true"/>
          <w:lang w:bidi="fa-IR"/>
        </w:rPr>
        <w:t>.</w:t>
      </w:r>
      <w:bookmarkStart w:id="638" w:name="pg13163_143225"/>
    </w:p>
    <w:p>
      <w:pPr>
        <w:pStyle w:val="BookText"/>
        <w:rPr/>
      </w:pPr>
      <w:bookmarkEnd w:id="638"/>
      <w:r>
        <w:rPr>
          <w:rFonts w:ascii="IRNazanin" w:hAnsi="IRNazanin" w:eastAsia="IRNazanin"/>
          <w:color w:val="111111"/>
          <w:sz w:val="28"/>
          <w:sz w:val="28"/>
          <w:szCs w:val="28"/>
          <w:rtl w:val="true"/>
          <w:lang w:bidi="fa-IR"/>
        </w:rPr>
        <w:t xml:space="preserve">و بذلک یظهر وجه فساد مقالة العلاّمة النائینی قدس سره </w:t>
      </w:r>
      <w:r>
        <w:rPr>
          <w:rStyle w:val="FootnoteAnchor"/>
          <w:rtl w:val="true"/>
        </w:rPr>
        <w:footnoteReference w:id="810"/>
      </w:r>
      <w:r>
        <w:rPr>
          <w:rFonts w:ascii="IRNazanin" w:hAnsi="IRNazanin" w:eastAsia="IRNazanin"/>
          <w:color w:val="111111"/>
          <w:sz w:val="28"/>
          <w:sz w:val="28"/>
          <w:szCs w:val="28"/>
          <w:rtl w:val="true"/>
          <w:lang w:bidi="fa-IR"/>
        </w:rPr>
        <w:t xml:space="preserve">و من یحذو حذوه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الوجوه غیر ناهضة بنحو الإطلاق علی تمام المرام فی المقام، و اللَّه ولیّ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تمسّک العلاّمة المزبور رحمه اللَّه بأنّ النهی یورث تقیید متعلّق الأمر</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غفلة عن مورد البحث؛ و هو کون النهی تحریماً فقط، و لا یکون إرشاداً إلی الجزئیّة أو الشرطیّة، و إلاّ فلا کلام رأساً فی استتباع النهی للفساد؛ سواء کان مستتبعاً للحکم التکلیفیّ، أم لم یکن، فراجع تعرف</w:t>
      </w:r>
      <w:r>
        <w:rPr>
          <w:rFonts w:eastAsia="IRNazanin" w:cs="IRNazanin"/>
          <w:color w:val="111111"/>
          <w:sz w:val="28"/>
          <w:szCs w:val="28"/>
          <w:rtl w:val="true"/>
          <w:lang w:bidi="fa-IR"/>
        </w:rPr>
        <w:t>.</w:t>
      </w:r>
    </w:p>
    <w:p>
      <w:pPr>
        <w:pStyle w:val="Heading5"/>
        <w:numPr>
          <w:ilvl w:val="4"/>
          <w:numId w:val="1"/>
        </w:numPr>
        <w:rPr/>
      </w:pPr>
      <w:bookmarkStart w:id="639" w:name="__RefHeading___Toc534045_3244359995"/>
      <w:bookmarkStart w:id="640" w:name="_Toc240"/>
      <w:bookmarkEnd w:id="639"/>
      <w:r>
        <w:rPr>
          <w:rtl w:val="true"/>
        </w:rPr>
        <w:t>إعادة و إفادة</w:t>
      </w:r>
      <w:bookmarkEnd w:id="640"/>
    </w:p>
    <w:p>
      <w:pPr>
        <w:pStyle w:val="BookText"/>
        <w:rPr/>
      </w:pPr>
      <w:r>
        <w:rPr>
          <w:rFonts w:ascii="IRNazanin" w:hAnsi="IRNazanin" w:eastAsia="IRNazanin"/>
          <w:color w:val="111111"/>
          <w:sz w:val="28"/>
          <w:sz w:val="28"/>
          <w:szCs w:val="28"/>
          <w:rtl w:val="true"/>
          <w:lang w:bidi="fa-IR"/>
        </w:rPr>
        <w:t>فی موارد عدم تنجّز النهی لا یخلو الأمر من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یکون النهی باقیاً علی فعلیّته، و یکون العبد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لا یکون باقیاً علی فعلیّته؛ لارتفاعه بمقتضی حدیث الرفع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قلنا ببقائه علی فعلیّته، فیکون باقیاً علی کاشفیّته عن المبغوضیّة المنافیة للعبادة و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بانتفاء فعلیّته، فلا یکون من النهی فی العبادة حتّی یستتبع الفساد، و یخرج من موضوع البحث؛ ضرورة أنّه مع انتفاء الفعلیّة لا أثر للوجود الإنشائیّ، و یکون مورد الکلام هو النهی الفعلیّ، لا النهی الإنشائیّ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حاجة إلی تقیید النهی بالتنجّز، حتّی یکون مورد الخلاف هو النهی</w:t>
      </w:r>
      <w:bookmarkStart w:id="641" w:name="pg13163_143226"/>
    </w:p>
    <w:p>
      <w:pPr>
        <w:pStyle w:val="BookText"/>
        <w:rPr/>
      </w:pPr>
      <w:bookmarkEnd w:id="641"/>
      <w:r>
        <w:rPr>
          <w:rFonts w:ascii="IRNazanin" w:hAnsi="IRNazanin" w:eastAsia="IRNazanin"/>
          <w:color w:val="111111"/>
          <w:sz w:val="28"/>
          <w:sz w:val="28"/>
          <w:szCs w:val="28"/>
          <w:rtl w:val="true"/>
          <w:lang w:bidi="fa-IR"/>
        </w:rPr>
        <w:t>المنجّز؛ فإنّه خلاف ظواهر الأصحاب هنا، و خلاف مبناهم؛ من الالتزام بفعلیّة النهی فی بعض موارد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یمکن تتمیم الوجه الثانی الّذی اختاره 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لبعض آخر کالأُستاذ البروجردیّ </w:t>
      </w:r>
      <w:r>
        <w:rPr>
          <w:rStyle w:val="FootnoteAnchor"/>
          <w:rtl w:val="true"/>
        </w:rPr>
        <w:footnoteReference w:id="815"/>
      </w:r>
      <w:r>
        <w:rPr>
          <w:rFonts w:ascii="IRNazanin" w:hAnsi="IRNazanin" w:eastAsia="IRNazanin"/>
          <w:color w:val="111111"/>
          <w:sz w:val="28"/>
          <w:sz w:val="28"/>
          <w:szCs w:val="28"/>
          <w:rtl w:val="true"/>
          <w:lang w:bidi="fa-IR"/>
        </w:rPr>
        <w:t xml:space="preserve">، مع لزوم کون المقرّب و المبعّد واحداً، من غیر طریان الجهات العدیدة الموجبة لجوازه، کما مضی فی بحوث اجتماع الأمر و النهی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الوجه الثالث إلاّ علی الاحتمال الأخیر؛ من أنّ المفسدة الغالبة لا تمنع عن إمکان التقرّب بالمصلحة و الملاک المغلوب حتّی فی باب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الإشکال علی الوجه الثانی فی مورد العبادة الذاتیّة، فإنّه لو ورد الأمر بها علی الإطلاق، و ورد النهی عن حصّة منها، فإنّ النهی لا یتمکّن من خلع الثوب الذاتیّ بالضرورة، و تصیر العبادة المحرّمة محقّقةً قهراً مسقطةً للأمر عقلاً،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قراءة العزیمة توجب وجوب السجدة، إلاّ أنّها منهیّة حال الحیض، فإنّها إذا صلّت و سجدت یسقط أمر السجدة؛ لما لا یعتبر إلاّ کون السجدة عبادة، و هی تحصل بسجودها، من غیر حاجة إلی الأمر أو الجهة الأُخری العرضیّة التی لا تجتمع مع الحرمة و المبغوضیّة</w:t>
      </w:r>
      <w:r>
        <w:rPr>
          <w:rFonts w:eastAsia="IRNazanin" w:cs="IRNazanin"/>
          <w:color w:val="111111"/>
          <w:sz w:val="28"/>
          <w:szCs w:val="28"/>
          <w:rtl w:val="true"/>
          <w:lang w:bidi="fa-IR"/>
        </w:rPr>
        <w:t>.</w:t>
      </w:r>
    </w:p>
    <w:p>
      <w:pPr>
        <w:pStyle w:val="Heading5"/>
        <w:numPr>
          <w:ilvl w:val="4"/>
          <w:numId w:val="1"/>
        </w:numPr>
        <w:rPr/>
      </w:pPr>
      <w:bookmarkStart w:id="642" w:name="__RefHeading___Toc534047_3244359995"/>
      <w:bookmarkStart w:id="643" w:name="_Toc241"/>
      <w:bookmarkEnd w:id="642"/>
      <w:r>
        <w:rPr>
          <w:rtl w:val="true"/>
        </w:rPr>
        <w:t>بحث و إیقاظ</w:t>
      </w:r>
      <w:r>
        <w:rPr>
          <w:rtl w:val="true"/>
        </w:rPr>
        <w:t xml:space="preserve">: </w:t>
      </w:r>
      <w:r>
        <w:rPr>
          <w:rtl w:val="true"/>
        </w:rPr>
        <w:t>فی عدم اعتبار کون العبادة مقرّبة و لا طاعة</w:t>
      </w:r>
      <w:bookmarkEnd w:id="64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 بین أبناء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العبادة لا بدّ و أن تکون مقرّبة، و إذا کانت</w:t>
      </w:r>
    </w:p>
    <w:p>
      <w:pPr>
        <w:pStyle w:val="BookText"/>
        <w:rPr/>
      </w:pPr>
      <w:r>
        <w:rPr>
          <w:rFonts w:ascii="IRNazanin" w:hAnsi="IRNazanin" w:eastAsia="IRNazanin"/>
          <w:color w:val="111111"/>
          <w:sz w:val="28"/>
          <w:sz w:val="28"/>
          <w:szCs w:val="28"/>
          <w:rtl w:val="true"/>
          <w:lang w:bidi="fa-IR"/>
        </w:rPr>
        <w:t>منهیّة فلا یمکن ذلک؛ لما یلزم اجتماع المقرّب و المبعّد، و هو من المستحیل عقلاً</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کون المأمور به بالأمر الصلاتیّ مقرّباً أو عبادة أو طاعة، ممّا لا دلیل علیه، بل المأمور به بالأمر الصلاتیّ و غیرها، لا یعتبر إلاّ أن یکون صلاة هی أوّلها التکبیر، و آخرها التسلیم، مقترنةً بقصد القربة، و لا شی‌ء وراء ذلک معتبر، و إلاّ یلزم القول بالاشتغال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الضرورة قاضیة بأنّ کثیراً من الصلوات لیست مقرّبة إن لم تکن مبعّدة، فما هو اللاّزم بحسب الفقه کون صلاة الصبح مثلاً، ذات أجزاء و شرائط معلومة و خارجیّة، مع کونها مصحوبة بالقربة، خالصة من الریاء و السمعة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المکلّف لأجل الأمر المعلوم،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یقصدها لأجل احتمال الأمر، و قد تحرّر فی محلّه جوازه و صحّتها، و جواز الاکتفاء بها، من غیر لزوم العلم بالأمر</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یقصدها لأجل الملاک المعلوم، کما فی بعض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یقصدها لأجل احتمال الملاک، و إذا کان مورد النهی التحریمیّ مثلاً محتمل الملاک بالوجدان، فإنّه و إن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إتیانها، إلاّ أنّه إذا کان یخطر بباله إتیانها لأجل احتمال الملاک و لو کان مغلوباً، فقد أتی بالصلاة المقرونة بقصد القربة من غیر إخلال بشی‌ء من القیود المعتبرة فیها، فمجرّد کونها محرّمة ذاتیّة أو تشریعیّة، لا یکفی لصیرورة الصلاة باطلة و فاسدة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کانت بلا ملاک واقعاً، و کان ذلک معلوماً للمکلّف، فهو لا یتمکّن من ترشیح القربة المطلقة، و إلاّ فهو بالضرورة یتمکّن من ذلک، کما فی موارد احتمال</w:t>
      </w:r>
    </w:p>
    <w:p>
      <w:pPr>
        <w:pStyle w:val="BookText"/>
        <w:rPr/>
      </w:pPr>
      <w:r>
        <w:rPr>
          <w:rFonts w:ascii="IRNazanin" w:hAnsi="IRNazanin" w:eastAsia="IRNazanin"/>
          <w:color w:val="111111"/>
          <w:sz w:val="28"/>
          <w:sz w:val="28"/>
          <w:szCs w:val="28"/>
          <w:rtl w:val="true"/>
          <w:lang w:bidi="fa-IR"/>
        </w:rPr>
        <w:t>الملاک و الأمر مع عدم النهی التحریمیّ و غیره،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المشار إلیها کلّها مشترکة فی تصدّیها لإثبات أنّ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هو، أو بما هو دالّ علی الحرمة و المبغوضیّة و المفسدة، أو بما هو مستتبع للعقاب و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إمکان التقرّب بالعبادة، فیلزم فسادها، و قد منعنا ذلک، و ذکرنا إمکان ذلک، و عدم تمامیّة المانعیّة المزبورة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الوجه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النواهی کما تکون فی صورة إرشادیّتها، موجبةً لتقیید مورد الأمر، و مفیدةً للشرطیّة و الجزئیّة و المانعیّة؛ بناءً علی تصویرها، کذلک هی تکون فی مورد کونها تحریمیّة مستتبعةً لتقیید المأمور به بالأمر العبادیّ، و موجبةً لإفادة کون متعلّق الأمر مشروطاً بعدم اقترانه بما تعلّق به النهی، فیکون باطلاً و فاسداً؛ لأجل الإخلال بالشرط، أو الجزء، أو الوصف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موارد تعلّق النهی بذات العبادة، أیضا یلزم اشتراط کون الصوم فی غیر یوم العیدین </w:t>
      </w:r>
      <w:r>
        <w:rPr>
          <w:rStyle w:val="FootnoteAnchor"/>
          <w:rtl w:val="true"/>
        </w:rPr>
        <w:footnoteReference w:id="819"/>
      </w:r>
      <w:r>
        <w:rPr>
          <w:rFonts w:ascii="IRNazanin" w:hAnsi="IRNazanin" w:eastAsia="IRNazanin"/>
          <w:color w:val="111111"/>
          <w:sz w:val="28"/>
          <w:sz w:val="28"/>
          <w:szCs w:val="28"/>
          <w:rtl w:val="true"/>
          <w:lang w:bidi="fa-IR"/>
        </w:rPr>
        <w:t>، فعلی هذا لا فرق بین تعلّق النواهی بالذوات، أو بالأجزاء و الشرائط و الأوصاف و الحالات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إثبات الحکم الوضعیّ من ناحیة الحرمة التکلیفیّة؛ و من ناحیة البغض و المفسدة، بل نرید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التحریمیّ 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تحریمیّته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 إلی القیدیّة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الجمع بین التحریمیّة و الإرشادیّة، مع أنّ الأصحاب قسّموا النواهی و الأوامر إلیهما، و الأقسام متقابلات لا یجمعها الصیغة الواحدة فی الاستعمال الواحد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التقسیم إفادة المقابلة، بل النّظر إلی أنّ الأمر أو النهی لا یخلوان من أحد الأمرین من غیر منع عن جمعهما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التکلیفیّة و الإرشادیّة و التحریمیّة و إفادة الشرطیّة، لیست من مدالیل الصیغة؛ لما تحرّر أنّ الصیغة لیست موضوعة لشی‌ء، بل هی تنوب مناب البعث و الزجر الخارجیّین فی الاعتبار</w:t>
      </w:r>
      <w:r>
        <w:rPr>
          <w:rStyle w:val="FootnoteAnchor"/>
          <w:rtl w:val="true"/>
        </w:rPr>
        <w:footnoteReference w:id="820"/>
      </w:r>
      <w:r>
        <w:rPr>
          <w:rFonts w:ascii="IRNazanin" w:hAnsi="IRNazanin" w:eastAsia="IRNazanin"/>
          <w:color w:val="111111"/>
          <w:sz w:val="28"/>
          <w:sz w:val="28"/>
          <w:szCs w:val="28"/>
          <w:rtl w:val="true"/>
          <w:lang w:bidi="fa-IR"/>
        </w:rPr>
        <w:t>، فلا تکون دلالة النهی علی التحریم إلاّ بالجهات الخارجة عن حدود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کان مفاد النهی فی صورة کونه إرشاداً محضاً، هو مدخلیّة عدم المنهیّ فی المأمور به، أو مانعیّة وجوده فی المأمور به، و أنّ ما هو المأمور به بالأمر الصلاتیّ أو الصومیّ و غیرهما، مقیّد بعدم ذلک المنهیّ، أو ممنوع بوجوده فی الاعتبار، فلا یمکن امتثال الأمر إلاّ بالاجتناب عن المنهیّ، و یکون إفادته فی صورة مبغوضیّة المنهیّ مستقلاًّ و ذاتاً؛ لعدم إمکان الامتثال، و لکون المأمور به مقیّداً بعدمه، أولی و أحسن فی محیط العرف و العقلاء، من غیر لزوم کون الصیغة مستعملةً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الصیغة لا تفید إلاّ الزجر، إلاّ أنّه إذا نظرنا إلی ذات المنزجر عنه یکون محرّماً، و إذا نظرنا إلی أنّه یکون فی محیط المرکّبات و المخترعات الشرعیّة العبادیّة، یکون مفیداً للتضییق و التقیید المستتبع للفساد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 وجه لا غبار علیه، و لا شبهة تعتریه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المتمسّک بها فی کلمات القوم کلّها ترجع إلی إفادة عدم اجتماع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أو بتبعاتها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الصحّة و العبودیّة و المقرّبیة تکویناً و خارجاً، و قد عرفت قصورها عن ذلک جدّاً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الأخیر، فهو یرجع إلی أنّ البطلان و الفساد و الحکم الوضعیّ، تابع لحدود المأمور به؛ فإن کان یلزم من النهی المزبور عدم تحقّق المأمور به خارجاً لأجل الإخلال بقیده، فیمکن الوصول إلی فساد العبادة، و إلاّ فلا</w:t>
      </w:r>
      <w:r>
        <w:rPr>
          <w:rFonts w:eastAsia="IRNazanin" w:cs="IRNazanin"/>
          <w:color w:val="111111"/>
          <w:sz w:val="28"/>
          <w:szCs w:val="28"/>
          <w:rtl w:val="true"/>
          <w:lang w:bidi="fa-IR"/>
        </w:rPr>
        <w:t>.</w:t>
      </w:r>
      <w:bookmarkStart w:id="644" w:name="pg13163_143230"/>
    </w:p>
    <w:p>
      <w:pPr>
        <w:pStyle w:val="Heading5"/>
        <w:numPr>
          <w:ilvl w:val="4"/>
          <w:numId w:val="1"/>
        </w:numPr>
        <w:rPr/>
      </w:pPr>
      <w:bookmarkStart w:id="645" w:name="__RefHeading___Toc534049_3244359995"/>
      <w:bookmarkStart w:id="646" w:name="_Toc242"/>
      <w:bookmarkEnd w:id="644"/>
      <w:bookmarkEnd w:id="645"/>
      <w:r>
        <w:rPr>
          <w:rtl w:val="true"/>
        </w:rPr>
        <w:t>وهم و دفع</w:t>
      </w:r>
      <w:bookmarkEnd w:id="646"/>
    </w:p>
    <w:p>
      <w:pPr>
        <w:pStyle w:val="BookText"/>
        <w:rPr/>
      </w:pPr>
      <w:r>
        <w:rPr>
          <w:rFonts w:ascii="IRNazanin" w:hAnsi="IRNazanin" w:eastAsia="IRNazanin"/>
          <w:color w:val="111111"/>
          <w:sz w:val="28"/>
          <w:sz w:val="28"/>
          <w:szCs w:val="28"/>
          <w:rtl w:val="true"/>
          <w:lang w:bidi="fa-IR"/>
        </w:rPr>
        <w:t>إذا کانت العبادة بذاتها متعلّق النهی، فبناءً علی التقریب المزبور لا یلزم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المنهیّة بذاتها حسب اصطلاح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کصوم العیدین، و صلاة الحائض </w:t>
      </w:r>
      <w:r>
        <w:rPr>
          <w:rStyle w:val="FootnoteAnchor"/>
          <w:rtl w:val="true"/>
        </w:rPr>
        <w:footnoteReference w:id="821"/>
      </w:r>
      <w:r>
        <w:rPr>
          <w:rFonts w:ascii="IRNazanin" w:hAnsi="IRNazanin" w:eastAsia="IRNazanin"/>
          <w:color w:val="111111"/>
          <w:sz w:val="28"/>
          <w:sz w:val="28"/>
          <w:szCs w:val="28"/>
          <w:rtl w:val="true"/>
          <w:lang w:bidi="fa-IR"/>
        </w:rPr>
        <w:t>، تکون باطلة کما عرفت بالتقریب المزبور؛ لأنّه یستکشف من النهی المذکور اشتراط المأمور به بالأمر الصلاتیّ بکونه فی غیر حال الحیض، و اشتراط المأمور به بالأمر الصومیّ بکونه فی غیر یوم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العبادة الذاتیّة المنهیّة حسبما ذکرناه؛ و هو کون العبادة النوعیّة منهیّة، دون حصّة منها</w:t>
      </w:r>
      <w:r>
        <w:rPr>
          <w:rStyle w:val="FootnoteAnchor"/>
          <w:rtl w:val="true"/>
        </w:rPr>
        <w:footnoteReference w:id="822"/>
      </w:r>
      <w:r>
        <w:rPr>
          <w:rFonts w:ascii="IRNazanin" w:hAnsi="IRNazanin" w:eastAsia="IRNazanin"/>
          <w:color w:val="111111"/>
          <w:sz w:val="28"/>
          <w:sz w:val="28"/>
          <w:szCs w:val="28"/>
          <w:rtl w:val="true"/>
          <w:lang w:bidi="fa-IR"/>
        </w:rPr>
        <w:t>، فلا أثر منه فی الشریعة الإسلامیّة؛ ضرورة أنّ النواهی الشرعیّة کلّها راجعة إلی النهی عن حصّة منها و عن العبادة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عبادة تکون بطبیعتها النوعیّة منهیّة، لا یلزم من النهی المزبور فساد و بطلان؛ لعدم إمکان کونه إرشاداً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الغیریّ لا یورث الفساد؛ لعدم إمکان کونه إرشاداً إلی شی‌ء فی المأمور به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ثبوت النهی الغیریّ کما مرّ</w:t>
      </w:r>
      <w:r>
        <w:rPr>
          <w:rStyle w:val="FootnoteAnchor"/>
          <w:rtl w:val="true"/>
        </w:rPr>
        <w:footnoteReference w:id="823"/>
      </w:r>
      <w:r>
        <w:rPr>
          <w:rFonts w:ascii="IRNazanin" w:hAnsi="IRNazanin" w:eastAsia="IRNazanin"/>
          <w:color w:val="111111"/>
          <w:sz w:val="28"/>
          <w:sz w:val="28"/>
          <w:szCs w:val="28"/>
          <w:rtl w:val="true"/>
          <w:lang w:bidi="fa-IR"/>
        </w:rPr>
        <w:t xml:space="preserve">، لا مانع من الالتزام بذلک، کما ذکرناه فی بحوثه </w:t>
      </w:r>
      <w:r>
        <w:rPr>
          <w:rStyle w:val="FootnoteAnchor"/>
          <w:rtl w:val="true"/>
        </w:rPr>
        <w:footnoteReference w:id="824"/>
      </w:r>
      <w:r>
        <w:rPr>
          <w:rFonts w:ascii="IRNazanin" w:hAnsi="IRNazanin" w:eastAsia="IRNazanin"/>
          <w:color w:val="111111"/>
          <w:sz w:val="28"/>
          <w:sz w:val="28"/>
          <w:szCs w:val="28"/>
          <w:rtl w:val="true"/>
          <w:lang w:bidi="fa-IR"/>
        </w:rPr>
        <w:t>و ذلک لأنّ الصلاة حال المزاحمة إذا کانت منهیّة بالنهی الغیریّ، فهو یکون إرشاداً أیضا إلی لزوم کون الصلاة فی غیر تلک الحال؛ و أن</w:t>
      </w:r>
      <w:bookmarkStart w:id="647" w:name="pg13163_143231"/>
    </w:p>
    <w:p>
      <w:pPr>
        <w:pStyle w:val="BookText"/>
        <w:rPr/>
      </w:pPr>
      <w:bookmarkEnd w:id="647"/>
      <w:r>
        <w:rPr>
          <w:rFonts w:ascii="IRNazanin" w:hAnsi="IRNazanin" w:eastAsia="IRNazanin"/>
          <w:color w:val="111111"/>
          <w:sz w:val="28"/>
          <w:sz w:val="28"/>
          <w:szCs w:val="28"/>
          <w:rtl w:val="true"/>
          <w:lang w:bidi="fa-IR"/>
        </w:rPr>
        <w:t xml:space="preserve">لا تکون بحیث ینتزع منها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ذلک لأجل أنّ المزاحمة فرع وجود الإزالة، و إذا کانت الإزالة معدومة لعدم الإرادة، فلا تستند المزاحمة إلی الصلاة، فلک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إرشاد إلی أن لا تکون الصلاة فی حال مخالفة الأمر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 إلی قید فی الطبیعة الموجب لعدم انطباق الطبیعة المأمور بها علی الخارج، و لعدم تحقّقها فی الأعیان</w:t>
      </w:r>
      <w:r>
        <w:rPr>
          <w:rFonts w:eastAsia="IRNazanin" w:cs="IRNazanin"/>
          <w:color w:val="111111"/>
          <w:sz w:val="28"/>
          <w:szCs w:val="28"/>
          <w:rtl w:val="true"/>
          <w:lang w:bidi="fa-IR"/>
        </w:rPr>
        <w:t>.</w:t>
      </w:r>
    </w:p>
    <w:p>
      <w:pPr>
        <w:pStyle w:val="Heading5"/>
        <w:numPr>
          <w:ilvl w:val="4"/>
          <w:numId w:val="1"/>
        </w:numPr>
        <w:rPr/>
      </w:pPr>
      <w:bookmarkStart w:id="648" w:name="__RefHeading___Toc534051_3244359995"/>
      <w:bookmarkStart w:id="649" w:name="_Toc243"/>
      <w:bookmarkEnd w:id="648"/>
      <w:r>
        <w:rPr>
          <w:rtl w:val="true"/>
        </w:rPr>
        <w:t>ذنابة</w:t>
      </w:r>
      <w:r>
        <w:rPr>
          <w:rtl w:val="true"/>
        </w:rPr>
        <w:t xml:space="preserve">: </w:t>
      </w:r>
      <w:r>
        <w:rPr>
          <w:rtl w:val="true"/>
        </w:rPr>
        <w:t>حول الإشکال فی استتباع النهی التنزیهیّ و الغیریّ غیر الإلزامیّ للفساد</w:t>
      </w:r>
      <w:bookmarkEnd w:id="649"/>
    </w:p>
    <w:p>
      <w:pPr>
        <w:pStyle w:val="BookText"/>
        <w:rPr/>
      </w:pPr>
      <w:r>
        <w:rPr>
          <w:rFonts w:ascii="IRNazanin" w:hAnsi="IRNazanin" w:eastAsia="IRNazanin"/>
          <w:color w:val="111111"/>
          <w:sz w:val="28"/>
          <w:sz w:val="28"/>
          <w:szCs w:val="28"/>
          <w:rtl w:val="true"/>
          <w:lang w:bidi="fa-IR"/>
        </w:rPr>
        <w:t>إلی هنا تبیّن کیفیّة استتباع النهی للحکم الوضعیّ المنتهی إلی فساد العبادة، من غیر فرق بین النهی التحریمیّ، و الغیریّ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الشبهة و الإشکال فی النهی التنزیهیّ و الغیریّ غیر الإلزامیّ، فإنّه لا یمکن استتباعهما للفساد؛ ضرورة أنّ قضیّة الترخیص المتحصّل من الکراهة، عدم تضیّق المأمور به بالأمر الصلاتیّ و الصومیّ و غیرهما بشی‌ء و قید أو شرط، حتّی یلزم الإخلال به إذا أتی به المکلّف و ارتکبه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التحریمی یستتبع فساد الطبیعة و عدم تحقّق المأمور به، و النهی التنزیهیّ یستتبع عدم تحقّق الطبیعة الکاملة؛ ضرورة أنّ قضیّة النهی کون الطبیعة الفاقدة للمنهیّ طبیعة کاملة، فإذا اشتملت علی المنهیّ تکون ناقصة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الطبیعة الجامعة للشرائط و الأجزاء الموجب للبطلان فقدها، موردُ أمر، و الطبیعةَ الکاملة الجامعة للشرائط المطلقة و الأجزاء الندبیّة، موردُ أمر آخر، یلزم بطلان الطبیعة الکاملة و فسادها و عدم تحقّقها؛ لاشتمالها علی المنهیّ بالنهی التنزیهیّ، فتأمّل و اغتنم</w:t>
      </w:r>
      <w:r>
        <w:rPr>
          <w:rFonts w:eastAsia="IRNazanin" w:cs="IRNazanin"/>
          <w:color w:val="111111"/>
          <w:sz w:val="28"/>
          <w:szCs w:val="28"/>
          <w:rtl w:val="true"/>
          <w:lang w:bidi="fa-IR"/>
        </w:rPr>
        <w:t>.</w:t>
      </w:r>
      <w:bookmarkStart w:id="650" w:name="pg13163_143232"/>
    </w:p>
    <w:p>
      <w:pPr>
        <w:pStyle w:val="BookText"/>
        <w:rPr/>
      </w:pPr>
      <w:bookmarkEnd w:id="650"/>
      <w:r>
        <w:rPr>
          <w:rFonts w:ascii="IRNazanin" w:hAnsi="IRNazanin" w:eastAsia="IRNazanin"/>
          <w:color w:val="111111"/>
          <w:sz w:val="28"/>
          <w:sz w:val="28"/>
          <w:szCs w:val="28"/>
          <w:rtl w:val="true"/>
          <w:lang w:bidi="fa-IR"/>
        </w:rPr>
        <w:t xml:space="preserve">هذا غایة ما یمکن أن یتخیّل فی النهی التنزیهیّ، و أمّا حمله علی النهی المستتبع لأقلّیة الثواب </w:t>
      </w:r>
      <w:r>
        <w:rPr>
          <w:rStyle w:val="FootnoteAnchor"/>
          <w:rtl w:val="true"/>
        </w:rPr>
        <w:footnoteReference w:id="825"/>
      </w:r>
      <w:r>
        <w:rPr>
          <w:rFonts w:ascii="IRNazanin" w:hAnsi="IRNazanin" w:eastAsia="IRNazanin"/>
          <w:color w:val="111111"/>
          <w:sz w:val="28"/>
          <w:sz w:val="28"/>
          <w:szCs w:val="28"/>
          <w:rtl w:val="true"/>
          <w:lang w:bidi="fa-IR"/>
        </w:rPr>
        <w:t>، فهو خروج عن البحث کما تری</w:t>
      </w:r>
      <w:r>
        <w:rPr>
          <w:rFonts w:eastAsia="IRNazanin" w:cs="IRNazanin"/>
          <w:color w:val="111111"/>
          <w:sz w:val="28"/>
          <w:szCs w:val="28"/>
          <w:rtl w:val="true"/>
          <w:lang w:bidi="fa-IR"/>
        </w:rPr>
        <w:t>.</w:t>
      </w:r>
    </w:p>
    <w:p>
      <w:pPr>
        <w:pStyle w:val="Heading5"/>
        <w:numPr>
          <w:ilvl w:val="4"/>
          <w:numId w:val="1"/>
        </w:numPr>
        <w:rPr/>
      </w:pPr>
      <w:bookmarkStart w:id="651" w:name="__RefHeading___Toc534053_3244359995"/>
      <w:bookmarkStart w:id="652" w:name="_Toc244"/>
      <w:bookmarkEnd w:id="651"/>
      <w:r>
        <w:rPr>
          <w:rtl w:val="true"/>
        </w:rPr>
        <w:t>تنبیهات</w:t>
      </w:r>
      <w:r>
        <w:rPr>
          <w:rtl w:val="true"/>
        </w:rPr>
        <w:t>:</w:t>
      </w:r>
      <w:bookmarkEnd w:id="652"/>
    </w:p>
    <w:p>
      <w:pPr>
        <w:pStyle w:val="Heading6"/>
        <w:numPr>
          <w:ilvl w:val="5"/>
          <w:numId w:val="1"/>
        </w:numPr>
        <w:rPr/>
      </w:pPr>
      <w:bookmarkStart w:id="653" w:name="__RefHeading___Toc534055_3244359995"/>
      <w:bookmarkStart w:id="654" w:name="_Toc245"/>
      <w:bookmarkEnd w:id="653"/>
      <w:r>
        <w:rPr>
          <w:rtl w:val="true"/>
        </w:rPr>
        <w:t>التنبیه الأوّل</w:t>
      </w:r>
      <w:r>
        <w:rPr>
          <w:rtl w:val="true"/>
        </w:rPr>
        <w:t xml:space="preserve">: </w:t>
      </w:r>
      <w:r>
        <w:rPr>
          <w:rtl w:val="true"/>
        </w:rPr>
        <w:t>حول تصحیح العبادة بالنهی عنها</w:t>
      </w:r>
      <w:bookmarkEnd w:id="654"/>
    </w:p>
    <w:p>
      <w:pPr>
        <w:pStyle w:val="BookText"/>
        <w:rPr/>
      </w:pPr>
      <w:r>
        <w:rPr>
          <w:rFonts w:ascii="IRNazanin" w:hAnsi="IRNazanin" w:eastAsia="IRNazanin"/>
          <w:color w:val="111111"/>
          <w:sz w:val="28"/>
          <w:sz w:val="28"/>
          <w:szCs w:val="28"/>
          <w:rtl w:val="true"/>
          <w:lang w:bidi="fa-IR"/>
        </w:rPr>
        <w:t>قد مرّ فی مطاوی کلماتنا ما یشعر بتوهّم إمکان الاستدلال علی صحّة العبادة و إمکان تحقّقها بالنهی، فیکون النهی دلیلاً علی الصحّة، دون الفساد</w:t>
      </w:r>
      <w:r>
        <w:rPr>
          <w:rStyle w:val="FootnoteAnchor"/>
          <w:rtl w:val="true"/>
        </w:rPr>
        <w:footnoteReference w:id="826"/>
      </w:r>
      <w:r>
        <w:rPr>
          <w:rFonts w:ascii="IRNazanin" w:hAnsi="IRNazanin" w:eastAsia="IRNazanin"/>
          <w:color w:val="111111"/>
          <w:sz w:val="28"/>
          <w:sz w:val="28"/>
          <w:szCs w:val="28"/>
          <w:rtl w:val="true"/>
          <w:lang w:bidi="fa-IR"/>
        </w:rPr>
        <w:t>و ذلک لأنّ الحرمة التکلیفیّة تلازم القدرة علی المحرّم، فتکون العبادة المحرّمة مورد القدرة، فلا بدّ و أن یکون المنهیّ عنه صالحاً للتقرّب، و لیس ذلک ممکناً إلاّ فی العبادات الذاتیّة؛ لأنّ العبادات العرضیّة غیر مجتمعة مع الحرمة الذاتیّة، فتکون خارجة عن محطّ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التفصیل فی المسألة بین الذاتیّة و العرضیّة؛ و أنّ النهی فی الأُولی یدلّ علی الصحّة، و فی الثانیة یستتبع الفساد؛ لأجل الجهات اللاّحقة التی مرّ تفصیلها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القوم حلاّ لهذه المشکلة؛ بأنّ المقصود من النهی المتعلّق بالعبادة، هی العبادة التی لو لا النهی لکانت مورد الأمر</w:t>
      </w:r>
      <w:r>
        <w:rPr>
          <w:rStyle w:val="FootnoteAnchor"/>
          <w:rtl w:val="true"/>
        </w:rPr>
        <w:footnoteReference w:id="828"/>
      </w:r>
      <w:r>
        <w:rPr>
          <w:rFonts w:ascii="IRNazanin" w:hAnsi="IRNazanin" w:eastAsia="IRNazanin"/>
          <w:color w:val="111111"/>
          <w:sz w:val="28"/>
          <w:sz w:val="28"/>
          <w:szCs w:val="28"/>
          <w:rtl w:val="true"/>
          <w:lang w:bidi="fa-IR"/>
        </w:rPr>
        <w:t>، فهو غیر مفید؛ ضرورة أنّ العنوان المأخوذ فی محطّ النزاع ظاهر فی الفعلیّة؛ أی ما کان عبادة یکون مورد</w:t>
      </w:r>
      <w:bookmarkStart w:id="655" w:name="pg13163_143233"/>
    </w:p>
    <w:p>
      <w:pPr>
        <w:pStyle w:val="BookText"/>
        <w:rPr/>
      </w:pPr>
      <w:bookmarkEnd w:id="655"/>
      <w:r>
        <w:rPr>
          <w:rFonts w:ascii="IRNazanin" w:hAnsi="IRNazanin" w:eastAsia="IRNazanin"/>
          <w:color w:val="111111"/>
          <w:sz w:val="28"/>
          <w:sz w:val="28"/>
          <w:szCs w:val="28"/>
          <w:rtl w:val="true"/>
          <w:lang w:bidi="fa-IR"/>
        </w:rPr>
        <w:t>النهی، لا ما کانت صالحة لأن یتقرّب بها؛ للزوم دخول کلّ شی‌ء فی محط النزاع إلاّ المحرّمات الذاتیّة أو المکروهات،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الالتزام بأحد أمرین؛ إمّا دعوی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حرمة صورة العبادة و شکلها، سواء قصد التشریع، أم لم یقصد، و هذا غیر مقبول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العبادة المحرّمة قابلة للتحقّق؛ لأجل إمکان ترشّح قصد القربة، لأجل احتمال وجود المصلحة و وجود الملاک المقهور، کما عرفت منّا تفصیله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یجوز الاجتزاء به بناءً علی ما سلکناه من تبعیّة النهی التحریمیّ حکماً وضعیّاً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534057_3244359995"/>
      <w:bookmarkStart w:id="657" w:name="_Toc246"/>
      <w:bookmarkEnd w:id="656"/>
      <w:r>
        <w:rPr>
          <w:rtl w:val="true"/>
        </w:rPr>
        <w:t>التنبیه الثانی</w:t>
      </w:r>
      <w:r>
        <w:rPr>
          <w:rtl w:val="true"/>
        </w:rPr>
        <w:t xml:space="preserve">: </w:t>
      </w:r>
      <w:r>
        <w:rPr>
          <w:rtl w:val="true"/>
        </w:rPr>
        <w:t>حول بطلان العبادة المنهیة لأجل التشریع</w:t>
      </w:r>
      <w:bookmarkEnd w:id="657"/>
    </w:p>
    <w:p>
      <w:pPr>
        <w:pStyle w:val="Heading6"/>
        <w:numPr>
          <w:ilvl w:val="5"/>
          <w:numId w:val="1"/>
        </w:numPr>
        <w:rPr/>
      </w:pPr>
      <w:bookmarkStart w:id="658" w:name="__RefHeading___Toc534059_3244359995"/>
      <w:bookmarkStart w:id="659" w:name="_Toc247"/>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فی موارد التشریع و النهی عن العبادة التشریعیّة هل تکون العبادة، باطلة أم لا؟</w:t>
      </w:r>
    </w:p>
    <w:p>
      <w:pPr>
        <w:pStyle w:val="BookText"/>
        <w:rPr/>
      </w:pPr>
      <w:r>
        <w:rPr>
          <w:rFonts w:ascii="IRNazanin" w:hAnsi="IRNazanin" w:eastAsia="IRNazanin"/>
          <w:color w:val="111111"/>
          <w:sz w:val="28"/>
          <w:sz w:val="28"/>
          <w:szCs w:val="28"/>
          <w:rtl w:val="true"/>
          <w:lang w:bidi="fa-IR"/>
        </w:rPr>
        <w:t>و الکلام هنا یقع فی صورتین</w:t>
      </w:r>
      <w:r>
        <w:rPr>
          <w:rFonts w:eastAsia="IRNazanin" w:cs="IRNazanin"/>
          <w:color w:val="111111"/>
          <w:sz w:val="28"/>
          <w:szCs w:val="28"/>
          <w:rtl w:val="true"/>
          <w:lang w:bidi="fa-IR"/>
        </w:rPr>
        <w:t>:</w:t>
      </w:r>
    </w:p>
    <w:p>
      <w:pPr>
        <w:pStyle w:val="Heading6"/>
        <w:numPr>
          <w:ilvl w:val="5"/>
          <w:numId w:val="1"/>
        </w:numPr>
        <w:rPr/>
      </w:pPr>
      <w:bookmarkStart w:id="660" w:name="__RefHeading___Toc534061_3244359995"/>
      <w:bookmarkStart w:id="661" w:name="_Toc248"/>
      <w:bookmarkEnd w:id="660"/>
      <w:r>
        <w:rPr>
          <w:rtl w:val="true"/>
        </w:rPr>
        <w:t>الصورة الأولی</w:t>
      </w:r>
      <w:r>
        <w:rPr>
          <w:rtl w:val="true"/>
        </w:rPr>
        <w:t xml:space="preserve">: </w:t>
      </w:r>
      <w:r>
        <w:rPr>
          <w:rtl w:val="true"/>
        </w:rPr>
        <w:t>فیما إذا کانت العبادة بحسب الواقع مورد الأمر، و لکنّه لا یعلم به</w:t>
      </w:r>
      <w:bookmarkEnd w:id="661"/>
    </w:p>
    <w:p>
      <w:pPr>
        <w:pStyle w:val="BookText"/>
        <w:rPr/>
      </w:pPr>
      <w:r>
        <w:rPr>
          <w:rFonts w:ascii="IRNazanin" w:hAnsi="IRNazanin" w:eastAsia="IRNazanin"/>
          <w:color w:val="111111"/>
          <w:sz w:val="28"/>
          <w:sz w:val="28"/>
          <w:szCs w:val="28"/>
          <w:rtl w:val="true"/>
          <w:lang w:bidi="fa-IR"/>
        </w:rPr>
        <w:t>، فإنّه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عبادیّة کلّ عبادة عبارة عن الامتثال و الانبعاث المستند إلی أمرها</w:t>
      </w:r>
      <w:r>
        <w:rPr>
          <w:rStyle w:val="FootnoteAnchor"/>
          <w:rtl w:val="true"/>
        </w:rPr>
        <w:footnoteReference w:id="831"/>
      </w:r>
      <w:r>
        <w:rPr>
          <w:rFonts w:ascii="IRNazanin" w:hAnsi="IRNazanin" w:eastAsia="IRNazanin"/>
          <w:color w:val="111111"/>
          <w:sz w:val="28"/>
          <w:sz w:val="28"/>
          <w:szCs w:val="28"/>
          <w:rtl w:val="true"/>
          <w:lang w:bidi="fa-IR"/>
        </w:rPr>
        <w:t>فهی باطلة؛ ضرورة أنّه لیس منبعثاً عنه، و إن قلنا بکفایة اقترانها بالقربة المطلقة</w:t>
      </w:r>
      <w:r>
        <w:rPr>
          <w:rStyle w:val="FootnoteAnchor"/>
          <w:rtl w:val="true"/>
        </w:rPr>
        <w:footnoteReference w:id="832"/>
      </w:r>
      <w:r>
        <w:rPr>
          <w:rFonts w:ascii="IRNazanin" w:hAnsi="IRNazanin" w:eastAsia="IRNazanin"/>
          <w:color w:val="111111"/>
          <w:sz w:val="28"/>
          <w:sz w:val="28"/>
          <w:szCs w:val="28"/>
          <w:rtl w:val="true"/>
          <w:lang w:bidi="fa-IR"/>
        </w:rPr>
        <w:t>فهی صحیحة؛ لأجل اشتمالها علی الشرائط</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عن العبادة التشریعیّة، یفید اشتراط العبادة بأن</w:t>
      </w:r>
    </w:p>
    <w:p>
      <w:pPr>
        <w:pStyle w:val="BookText"/>
        <w:rPr/>
      </w:pPr>
      <w:r>
        <w:rPr>
          <w:rFonts w:ascii="IRNazanin" w:hAnsi="IRNazanin" w:eastAsia="IRNazanin"/>
          <w:color w:val="111111"/>
          <w:sz w:val="28"/>
          <w:sz w:val="28"/>
          <w:szCs w:val="28"/>
          <w:rtl w:val="true"/>
          <w:lang w:bidi="fa-IR"/>
        </w:rPr>
        <w:t>لا تکون مقرونة بالتشریع، کما یفید أن لا تکون حال الحیض و فی وبر 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النهی متعلّقاً بعنوان التشریع من غیر اختصاصها بالعبادة أو المعاملة، فلا یلزم منه الفساد؛ لأنّه من قبیل النهی عن الأمر الخارج و العنوان المباین و یندرج فی مسألة الاجتماع و الامتناع علی إشکال فیه یأتی فی الآتی إن شاء اللَّه تعالی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العبادة فالحرمة التشریعیّة کالحرمة الذاتیّة تقتضی الفساد، کقبح التشریع عقلاً المستتبع بقاعدة الملازمة للحرمة الشرعیّة</w:t>
      </w:r>
      <w:r>
        <w:rPr>
          <w:rStyle w:val="FootnoteAnchor"/>
          <w:rtl w:val="true"/>
        </w:rPr>
        <w:footnoteReference w:id="834"/>
      </w:r>
      <w:r>
        <w:rPr>
          <w:rFonts w:ascii="IRNazanin" w:hAnsi="IRNazanin" w:eastAsia="IRNazanin"/>
          <w:color w:val="111111"/>
          <w:sz w:val="28"/>
          <w:sz w:val="28"/>
          <w:szCs w:val="28"/>
          <w:rtl w:val="true"/>
          <w:lang w:bidi="fa-IR"/>
        </w:rPr>
        <w:t>، انتهی ما هو جوهر مقصوده، و قد أفاد ما لا یخلو من تأسّفات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المزبورة لا أساس لها، و أنّ العقل لا یتمکّن من استکشاف الحرمة، و لا یعقل کشف الحرمة القائمة بالإرادة التشریعیّة الزاجرة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للعقل درک مبغوضیّة شی‌ء عند المولی، و هو أعمّ من الحرمة؛ ضرورة إمکان کون شی‌ء مبغوضاً للمولی، و لکنّه لا ینهی عنه؛ لمصالح أُخر مغفولة عنّا راجعة إلی سیاسة المدن، و إدارة النفوس و مصالحها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القاعدة المزبورة صحیحة، لکان یستکشف حرمة الظلم؛ لقبحه العقلیّ الراجع إلیه قبح کلّ شی‌ء، مع أنّ حرمة الظلم غیر معقولة؛ للزوم کون کلّ محرّم شرعیّ محرّمین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خاصّة، و حرمة استکشافیّة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الغصب محرّماً لأجل الغصب مرّة، و لأجل الظلم أُخری، و یؤاخذ المکلّفین عند ذلک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للحرمة الخاصّة، و الثانیة للحرمة الانکشافیة الثابتة للموضوع الأعمّ المنطبق علیه، و هذا ممّا یکذبه وجدان جمیع العقلاء و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قبح التشریع المطلق، لا یکفی لفساد العبادة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الذاتیّة قاصرة عن استتباع الفساد و الحکم الوضعیّ تکویناً، فلیغتنم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فی مورد الحرمة الذاتیّة یکون العمل الخارجیّ محرّماً، و أمّا فی مورد الحرمة التشریعیّة، فکون العمل الخارجی ذا نهی حتّی لا یجتمع مع الأمر، أو یکون مبغوضاً، أو ذا مفسدة حتّی لا یصلح لأن یکون مقرّباً و عبادة، محلّ المناقشة، بل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المحشّی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ذکرنا فی بحث التجرّی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و هتک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الفعل و عناوینه، و أنّ العبد بفعل ما أحرز أنّه مبغوض المولی یکون هاتکاً لحرمته، و إلاّ فمجرّد العزم علیه عزم علی هتک حرمته، کذلک البناء علی فعل ما لم یعلم أنّه من الدین بعنوان أنّه منه و إن کان فعلاً نفسیّاً و إثماً قلبیّاً، إلاّ أنّه بناءً علی التصرّف فی سلطان المولی، حیث إنّ تشریع الأحکام من شئون سلطانه، فبفعل ما لم یعلم أنّه من الدین بعنوان أنّه منه یکون هاتکاً لحرمة مولاه، و متصرّفاً فی سلطانه</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آخر لتحریم الفعل التشریعیّ بتطبیق کبری أُخری محرّمة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هتک الحرمة لیس من المحرّمات الشرعیّة، بل هو من المقبحات العقلائیّة أو العقلیّة فی محیط خاصّ حسب العادات، و لو کان حراماً شرعاً و قبیحاً عقلاً، لما کان قابلاً للاستثناء و التخصیص</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حرمة المسجد لو کان محرّماً شرعاً و مقبّحاً عقلاً، لما کان یرخّص الشرع فی موجباته التی لا شبهة فی جوازها، کالنوم، و النخامة، و البصاق فیها، و غیر ذلک من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تدبّر فی هذه المسائل، یجد أنّ هذه التخیّلات نشأت عن النخوة الخاصّة و الشئون التی هتکها الإسلام، و منع عن نشرها، و لو لا مخافة بعض المخالفات، لکشفت النقاب عن بعض البحوث الدخیلة فی الفقه الإسلامیّ الموجبة لانحراف أذهان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آرائهم، و المستلزمة لسوء النّظر إلی حقیقة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محرّماً یلزم تسلسل المحرّمات؛ لأنّ الدخول فی المعصیة من هتک الحرمة، فیکون حراماً، و یلزم منه موضوع محرّم آخر و هتک حرمة أُخری و هکذا،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 المتجرّی به و العمل التشریعیّ لا یلزم قبح العمل بذاته و بعنوانه الذاتیّ، بل القبیح هو السبب المتسبّب به إلی ذلک القبیح الّذی لا یتحقّق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الفعل و العمل، و عنوان السبب موجب لانتزاع القبیح، و یکون من الواسطة فی العروض، دون الثبوت، و قد تقرّر أنّ الحیثیّات التعلیلیّة فی الأحکام العقلیّة ترجع إلی الحیثیّات التقییدیّة، و تکون عناوین لموضوعات الإدراکات العقلیّة حقیقة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حرمة الفعل التشریعیّ ممنوعة، و ما هو المحرّم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بالصلاة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یلزم أن یکون کلّ محرّم تشریعیّ محرّماً ذاتاً؛ لأنّ حقیقة الحرمة التشریعیّة هی حرمة الإسناد قولاً أو فعلاً، و حقیقة الحرمة الذاتیّة هی حرمة الفعل و المسند، و لو کانت حرمة إسناد المشروعیّة مستلزمةً لحرمة المشروع، یلزم کون الإسناد و المسند محرّماً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مورد الحرمة الذاتیّة، لا یمکن إتیان الفعل بداعی القربة و الرجاء، بخلاف الحرمة التشریعیّة، یحصل الفرق بینهما من هذه الناحیة، فتأمّل</w:t>
      </w:r>
      <w:r>
        <w:rPr>
          <w:rFonts w:eastAsia="IRNazanin" w:cs="IRNazanin"/>
          <w:color w:val="111111"/>
          <w:sz w:val="28"/>
          <w:szCs w:val="28"/>
          <w:rtl w:val="true"/>
          <w:lang w:bidi="fa-IR"/>
        </w:rPr>
        <w:t>.</w:t>
      </w:r>
      <w:bookmarkStart w:id="662" w:name="pg13163_143237"/>
    </w:p>
    <w:p>
      <w:pPr>
        <w:pStyle w:val="BookText"/>
        <w:rPr/>
      </w:pPr>
      <w:bookmarkEnd w:id="662"/>
      <w:r>
        <w:rPr>
          <w:rFonts w:ascii="IRNazanin" w:hAnsi="IRNazanin" w:eastAsia="IRNazanin"/>
          <w:color w:val="111111"/>
          <w:sz w:val="28"/>
          <w:sz w:val="28"/>
          <w:szCs w:val="28"/>
          <w:rtl w:val="true"/>
          <w:lang w:bidi="fa-IR"/>
        </w:rPr>
        <w:t>ثم إنّه یلزم أن یکون الفعل فی هذه الصورة مجمع الأمر و النهی، و هذه معضلة ستمرّ علیک مع حلّها فی التنبیه الثالث إن شاء اللَّه تعالی</w:t>
      </w:r>
      <w:r>
        <w:rPr>
          <w:rFonts w:eastAsia="IRNazanin" w:cs="IRNazanin"/>
          <w:color w:val="111111"/>
          <w:sz w:val="28"/>
          <w:szCs w:val="28"/>
          <w:rtl w:val="true"/>
          <w:lang w:bidi="fa-IR"/>
        </w:rPr>
        <w:t>.</w:t>
      </w:r>
    </w:p>
    <w:p>
      <w:pPr>
        <w:pStyle w:val="Heading6"/>
        <w:numPr>
          <w:ilvl w:val="5"/>
          <w:numId w:val="1"/>
        </w:numPr>
        <w:rPr/>
      </w:pPr>
      <w:bookmarkStart w:id="663" w:name="__RefHeading___Toc534063_3244359995"/>
      <w:bookmarkStart w:id="664" w:name="_Toc249"/>
      <w:bookmarkEnd w:id="663"/>
      <w:r>
        <w:rPr>
          <w:rtl w:val="true"/>
        </w:rPr>
        <w:t>الصورة الثانیة</w:t>
      </w:r>
      <w:r>
        <w:rPr>
          <w:rtl w:val="true"/>
        </w:rPr>
        <w:t xml:space="preserve">: </w:t>
      </w:r>
      <w:r>
        <w:rPr>
          <w:rtl w:val="true"/>
        </w:rPr>
        <w:t>ما إذا کان الفعل المأتیّ به تشریعاً غیر مأمور به واقعاً</w:t>
      </w:r>
      <w:bookmarkEnd w:id="664"/>
    </w:p>
    <w:p>
      <w:pPr>
        <w:pStyle w:val="BookText"/>
        <w:rPr/>
      </w:pPr>
      <w:r>
        <w:rPr>
          <w:rFonts w:ascii="IRNazanin" w:hAnsi="IRNazanin" w:eastAsia="IRNazanin"/>
          <w:color w:val="111111"/>
          <w:sz w:val="28"/>
          <w:sz w:val="28"/>
          <w:szCs w:val="28"/>
          <w:rtl w:val="true"/>
          <w:lang w:bidi="fa-IR"/>
        </w:rPr>
        <w:t>، فوجه الصحّة هنا ما أُشیر إلیه فی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الفعل المأتیّ به تشریعاً مشتمل علی قصد القربة، و إلاّ فلا یکون تشریعاً؛ ضرورة أنّ حقیقة التشریع هی الإسناد مع عدم العلم، الأعمّ من العلم بالعدم، أو الشک، أو الظنّ، و علی هذا و إن لم یعقل الجزم بأنّه من الشرع، إلاّ أنّه یمکن التجزّم بذلک فی مقابل الإتیان به استهزاءً و جزافاً، و هذا المعنی لا یحصل إلاّ مقترناً بالقربة، کما فی فعل المرائی، فإنّه یأتی بالعبادة للإراءة، و یعبد اللَّه تعالی ریاءً، فالمشرّع بالعبادة یعبد اللَّه تعالی بما لیس من الدین ناسباً إیّاه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تصحّ عبادته؛ لاقترانها بما هو شرطها من غیر لزوم کونه مورد الأمر حسب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البطلان، فالوجوه السابقة الثلاثة غیر ناهضة، کما عرفت مناشئ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الوجه الرابع الّذی أبدعناه؛ من أنّ النهی عن العبادة تشریعاً یرجع إلی مثل النهی عن العبادة فی الغصب، لا بمعنی أن یکون النهی إرشاداً محضاً، بل کما أنّ النهی عن الصلاة فی الغصب یفید الحرمة التکلیفیّة بالنظر إلی ذات المنهیّ، و یفید اشتراط المأمور به بالأمر بالصلاتیّ؛ بأن لا یکون فی الغصب بالنظر إلی وقوعه فی محیط المرکّبات، کذلک النهی عن العبادة تشریعاً یفید الحرمة الذاتیّة المتعلّقة بالتشریع، و یفید اشتراط المأمور به بأن لا یکون مقترناً بالتشریع، و أمّا نفس الاقتران به فهو لا یفید الفساد، کما لا یلزم من اقتران الصلاة بالنظر إلی الأجنبیّة فسادها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الوجه الرابع الّذی أبدعناه؛ من أنّ النهی عن العبادة تشریعاً یرجع إلی مثل النهی عن العبادة فی الغصب، لا بمعنی أن یکون النهی إرشاداً محضاً، بل کما أنّ النهی عن الصلاة فی الغصب یفید الحرمة التکلیفیّة بالنظر إلی ذات المنهیّ، و یفید اشتراط المأمور به بالأمر بالصلاتیّ؛ بأن لا یکون فی الغصب بالنظر إلی وقوعه فی محیط المرکّبات، کذلک النهی عن العبادة تشریعاً یفید الحرمة الذاتیّة المتعلّقة بالتشریع، و یفید اشتراط المأمور به بأن لا یکون مقترناً بالتشریع، و أمّا نفس الاقتران به فهو لا یفید الفساد، کما لا یلزم من اقتران الصلاة بالنظر إلی الأجنبیّة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التشریع من المحرّمات الذاتیّة بلا کلام، و علیه النصّ </w:t>
      </w:r>
      <w:r>
        <w:rPr>
          <w:rStyle w:val="FootnoteAnchor"/>
          <w:rtl w:val="true"/>
        </w:rPr>
        <w:footnoteReference w:id="837"/>
      </w:r>
      <w:r>
        <w:rPr>
          <w:rFonts w:ascii="IRNazanin" w:hAnsi="IRNazanin" w:eastAsia="IRNazanin"/>
          <w:color w:val="111111"/>
          <w:sz w:val="28"/>
          <w:sz w:val="28"/>
          <w:szCs w:val="28"/>
          <w:rtl w:val="true"/>
          <w:lang w:bidi="fa-IR"/>
        </w:rPr>
        <w:t xml:space="preserve">و الفتوی </w:t>
      </w:r>
      <w:r>
        <w:rPr>
          <w:rStyle w:val="FootnoteAnchor"/>
          <w:rtl w:val="true"/>
        </w:rPr>
        <w:footnoteReference w:id="838"/>
      </w:r>
      <w:r>
        <w:rPr>
          <w:rFonts w:ascii="IRNazanin" w:hAnsi="IRNazanin" w:eastAsia="IRNazanin"/>
          <w:color w:val="111111"/>
          <w:sz w:val="28"/>
          <w:sz w:val="28"/>
          <w:szCs w:val="28"/>
          <w:rtl w:val="true"/>
          <w:lang w:bidi="fa-IR"/>
        </w:rPr>
        <w:t xml:space="preserve">، و یکون مثل شرب الخمر، و أمّا الفعل المأتیّ به تشریعاً فهو مورد الخلاف، و قد أنکرنا حرمته و قبحه الموجب لحرمته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مورد الإتیان بالتشریع الّذی هو الأمر الخارجیّ المشتمل علی النسبة إلی الشرع العمل محرّماً، یلزم تعدّد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علی العمل المأتیّ به القبیح لأجل التشریع، و عقاب علی نفس التشریع الّذی هو المحرّم ذاتاً، و هذا ممّا لا یمکن المساعدة علیه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موارد الحرمة التشریعیّة یکون المحرّم هو إسناد وجوب الصلاة، أو إسناد مندوبیّتها إلیه تعالی، مع عدم العلم بذلک، أو الإتیان بالفعل بعنوان أنّه مشروع فی التشریعیة الإسلامیّة متجزّماً به، و أمّا الجزم فهو مع عدم العلم غیر معقول بالضرورة، و أمّا نفس الصلاة فهی خارجة عن مصبّ التحریم بعنوانها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الحرمة التشریعیّة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ذات الصلاة و الطبیعة، فلا وجه لبطلانها من حیث هی هی؛ لعدم المفسدة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الصورة الأُولی تکون هی المأمور بها مع أنّه لا یعقل اجتماع الأمر و النهی، مثلاً إذا اعتقد المشرّع أنّ صلاة الأعرابیّ لیست من الشرع، فأتی بها تشریعاً، و کانت مورد الأمر مثلاً فی یوم الغدیر، فإنّه تصحّ صلاته و إن کان فی الإتیان بها بالعنوان المزبور آثماً و عاصیاً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صورة عدم کونها مورد الأمر، و کانت ذات مصلحة واقعیّة و ملاک حسن، فإنّه إذا تبیّن له ذلک صحّت صلاته أیضا</w:t>
      </w:r>
      <w:r>
        <w:rPr>
          <w:rFonts w:eastAsia="IRNazanin" w:cs="IRNazanin"/>
          <w:color w:val="111111"/>
          <w:sz w:val="28"/>
          <w:szCs w:val="28"/>
          <w:rtl w:val="true"/>
          <w:lang w:bidi="fa-IR"/>
        </w:rPr>
        <w:t>.</w:t>
      </w:r>
      <w:bookmarkStart w:id="665" w:name="pg13163_143239"/>
    </w:p>
    <w:p>
      <w:pPr>
        <w:pStyle w:val="BookText"/>
        <w:rPr/>
      </w:pPr>
      <w:bookmarkEnd w:id="665"/>
      <w:r>
        <w:rPr>
          <w:rFonts w:ascii="IRNazanin" w:hAnsi="IRNazanin" w:eastAsia="IRNazanin"/>
          <w:color w:val="111111"/>
          <w:sz w:val="28"/>
          <w:sz w:val="28"/>
          <w:szCs w:val="28"/>
          <w:rtl w:val="true"/>
          <w:lang w:bidi="fa-IR"/>
        </w:rPr>
        <w:t>نعم، بناءً علی ما عرفت من أنّ النهی المتعلّق بإتیان الصلاة تشریعاً، یفید التخصیص و التقیید زائداً علی إفادته الحرمة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کذلک فیما إذا تعلّق بالصلاة فی الغصب و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النسبة بین استحباب صلاة الأعرابی و بین حرمة الإتیان بها تشریعاً، عموم من وجه؛ فإنّ الصلاة مستحبّة سواء أُتی بها تشریعاً، أم لا، و التشریعَ فی العبادة محرّم سواء کانت مورد الأمر واقعاً، أم لم تکن، و عند ذلک لا معنی لکونها مخصّصة لإطلاق دلیل الاستحباب، کما فی موارد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ما تحرّر منّا فی التعبّدی و التوصّلی؛ من عدم صحّة الاجتزاء بالمصداق المحرّم أو الملازم له عن المأمور به حسب الفهم العرفیّ </w:t>
      </w:r>
      <w:r>
        <w:rPr>
          <w:rStyle w:val="FootnoteAnchor"/>
          <w:rtl w:val="true"/>
        </w:rPr>
        <w:footnoteReference w:id="840"/>
      </w:r>
      <w:r>
        <w:rPr>
          <w:rFonts w:ascii="IRNazanin" w:hAnsi="IRNazanin" w:eastAsia="IRNazanin"/>
          <w:color w:val="111111"/>
          <w:sz w:val="28"/>
          <w:sz w:val="28"/>
          <w:szCs w:val="28"/>
          <w:rtl w:val="true"/>
          <w:lang w:bidi="fa-IR"/>
        </w:rPr>
        <w:t>، یشکل الصحّة کما فی المجمع، أو یقال بإفادته الشرطیّة و لو کانت النسبة عموماً من وجه فی المقام، فتدبّر جیّداً</w:t>
      </w:r>
      <w:r>
        <w:rPr>
          <w:rFonts w:eastAsia="IRNazanin" w:cs="IRNazanin"/>
          <w:color w:val="111111"/>
          <w:sz w:val="28"/>
          <w:szCs w:val="28"/>
          <w:rtl w:val="true"/>
          <w:lang w:bidi="fa-IR"/>
        </w:rPr>
        <w:t>.</w:t>
      </w:r>
    </w:p>
    <w:p>
      <w:pPr>
        <w:pStyle w:val="Heading6"/>
        <w:numPr>
          <w:ilvl w:val="5"/>
          <w:numId w:val="1"/>
        </w:numPr>
        <w:rPr/>
      </w:pPr>
      <w:bookmarkStart w:id="666" w:name="__RefHeading___Toc534065_3244359995"/>
      <w:bookmarkStart w:id="667" w:name="_Toc250"/>
      <w:bookmarkEnd w:id="666"/>
      <w:r>
        <w:rPr>
          <w:rtl w:val="true"/>
        </w:rPr>
        <w:t>التنبیه الثالث</w:t>
      </w:r>
      <w:r>
        <w:rPr>
          <w:rtl w:val="true"/>
        </w:rPr>
        <w:t xml:space="preserve">: </w:t>
      </w:r>
      <w:r>
        <w:rPr>
          <w:rtl w:val="true"/>
        </w:rPr>
        <w:t>حول استتباع الحرمة الذاتیّة للنهی التشریعیّ</w:t>
      </w:r>
      <w:bookmarkEnd w:id="667"/>
    </w:p>
    <w:p>
      <w:pPr>
        <w:pStyle w:val="BookText"/>
        <w:rPr/>
      </w:pPr>
      <w:r>
        <w:rPr>
          <w:rFonts w:ascii="IRNazanin" w:hAnsi="IRNazanin" w:eastAsia="IRNazanin"/>
          <w:color w:val="111111"/>
          <w:sz w:val="28"/>
          <w:sz w:val="28"/>
          <w:szCs w:val="28"/>
          <w:rtl w:val="true"/>
          <w:lang w:bidi="fa-IR"/>
        </w:rPr>
        <w:t>فی موارد الحرمة الذاتیّة من العبادات، تکون العبادة محرّمة تشریعاً أیضا؛ لما أنّه إذا علم بعدم کونها مأموراً بها و مشروعیة شرعاً، فأتی بها تشریعاً، یلزم اجتماع الحرمتین، و امتناع اجتماعهما فی موضوع واحد کامتناع اجتماع الحرمة و الوجوب، سواء قلنا بالامتناع ذاتاً بناءً علی کون الأحکام متضادّة، أو قلنا بالامتناع الغیریّ؛ ضرورة أنّ ترشّح الإرادتین الزاجرتین التأسیسیّتین غیر ممکن مع وحدة المحلّ و الزمان و المکلّف</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التشریع فی مورد یکون مأموراً به بحسب الواقع، یلزم اجتماع الأمر و النهی، و إذا أمکن فی مورد یکون محرّماً ذاتاً، یلزم اجتماع</w:t>
      </w:r>
    </w:p>
    <w:p>
      <w:pPr>
        <w:pStyle w:val="BookText"/>
        <w:rPr/>
      </w:pPr>
      <w:r>
        <w:rPr>
          <w:rFonts w:ascii="IRNazanin" w:hAnsi="IRNazanin" w:eastAsia="IRNazanin"/>
          <w:color w:val="111111"/>
          <w:sz w:val="28"/>
          <w:sz w:val="28"/>
          <w:szCs w:val="28"/>
          <w:rtl w:val="true"/>
          <w:lang w:bidi="fa-IR"/>
        </w:rPr>
        <w:t>النهیین التأسیسیّین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المحشّی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الفعل المأتیّ به بعنوان التشریع ذاتاً و تشریعاً غیر معقول، لا لاجتماع المثلین، بل لأنّ الالتزام بالحرمة الذاتیّة زیادة علی الحرمة التشریعیّة، إنّما یکون تصحیحاً لتحریم العبادة بما هی عبادة، حیث لا یعقل إلاّ تشریعاً، و فی نفس هذا الفرض لا یعقل قطع النّظر عن عنوان التشریع؛ بدعوی أنّه حرام؛ فإنّ النهی عن العبادة حینئذٍ لا فعلیّة له أصلاً؛ لأنّ مورده دائماً لا یتحقّق إلاّ بالتشریع المحرّم بالفعل، فلا تترتّب الفعلیّة منهما جمیعاً حتّی ینتزع منهما نهی فعلیّ فی المورد فصحّ دعوی لزوم اجتماع المثلین فی مثل المقام، لا فی مثل العبادة الذاتیّة، فإنّه یمکن تعقّل الحرمة الذاتیّة و التشریعیّة فتأکّد الحرمة لوجود الملاکین و استحالة اجتماع المثلین </w:t>
      </w:r>
      <w:r>
        <w:rPr>
          <w:rStyle w:val="FootnoteAnchor"/>
          <w:rtl w:val="true"/>
        </w:rPr>
        <w:footnoteReference w:id="841"/>
      </w:r>
      <w:r>
        <w:rPr>
          <w:rFonts w:ascii="IRNazanin" w:hAnsi="IRNazanin" w:eastAsia="IRNazanin"/>
          <w:color w:val="111111"/>
          <w:sz w:val="28"/>
          <w:sz w:val="28"/>
          <w:szCs w:val="28"/>
          <w:rtl w:val="true"/>
          <w:lang w:bidi="fa-IR"/>
        </w:rPr>
        <w:t>، انتهی ما أردنا نقله مع تقدیم و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فی التنبیه الأوّل أنّ النهی عن العبادة حسبما أفاده القوم، یرجع إلی النهی عن شکل العبادة و صورتها الخارجیّة، و إلی ما هی العبادة تقدیراً، سواء کانت عبادیّة العبادة بالأمر، أو بالملاک، فعلی هذا ینفع التقدیر المزبور، ضرورة أنّ نفس الصورة و شکل العبادة محرّمة ذاتاً، و بما أنّها مطلوبة محرّمة تشریعاً، فیکون مورد النهی قد أُتی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العبادة الذاتیّة و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علی فرقٍ ما غیر دخیل فی أساس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عبادیّة الصلاة فی النهی الذاتیّ بالأمر تقدیراً، و عبادیّة السجدة بنفس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یعتبر فی تحریم العبادة ذاتاً کون مورد النهی عبادة ذاتیّة، بل یکفی کونها عبادة تقدیریّة، فلو صحّ أن یکون الصلاة محرّمة بنفس ذاتها فی التحریم الذاتیّ، و محرّمة بتحریم آخر بما أنّها مطلوبة، لما یکون فرق بین الصورتین بالضرورة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الشأن فی أنّ تحریم الصلاة بما هی مرّة، و تحریمها بما هی مطلوبة</w:t>
      </w:r>
    </w:p>
    <w:p>
      <w:pPr>
        <w:pStyle w:val="BookText"/>
        <w:rPr/>
      </w:pPr>
      <w:r>
        <w:rPr>
          <w:rFonts w:ascii="IRNazanin" w:hAnsi="IRNazanin" w:eastAsia="IRNazanin"/>
          <w:color w:val="111111"/>
          <w:sz w:val="28"/>
          <w:sz w:val="28"/>
          <w:szCs w:val="28"/>
          <w:rtl w:val="true"/>
          <w:lang w:bidi="fa-IR"/>
        </w:rPr>
        <w:t xml:space="preserve">أُخری، غیر معقول؛ لعدم إمکان تعلّق التحریمین بالعنوانین اللّذین تکون النسبة بینهما عموماً مطلقاً، کما تحرّر فی بحوث الاجتماع و الامتناع </w:t>
      </w:r>
      <w:r>
        <w:rPr>
          <w:rStyle w:val="FootnoteAnchor"/>
          <w:rtl w:val="true"/>
        </w:rPr>
        <w:footnoteReference w:id="842"/>
      </w:r>
      <w:r>
        <w:rPr>
          <w:rFonts w:ascii="IRNazanin" w:hAnsi="IRNazanin" w:eastAsia="IRNazanin"/>
          <w:color w:val="111111"/>
          <w:sz w:val="28"/>
          <w:sz w:val="28"/>
          <w:szCs w:val="28"/>
          <w:rtl w:val="true"/>
          <w:lang w:bidi="fa-IR"/>
        </w:rPr>
        <w:t>، و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المذکورة خارجة عن محطّ البحث؛ لعدم إمکان ترشّح الإرادتین الآمرة و الزاجرة بها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یعقل تعدّد التحریم التأسیسیّ مع وحدة المتعلّق و المورد، کذلک لا یمکن مع کون النسبة بین الموردین عموماً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التحقیق ما مرّ منّا من أنّ مورد التحریم الذاتیّ فی الحرمة الذاتیّة، غیر ما هو مورد التحریم تشریعاً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التفکیک و الجمع بین المحرّمین؛ بأن یصلّی فی السفر أربع رکعات تشریعاً، فإنّه آثم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للإتیان بالصلاة، و مرّة للتشریع، و له أن یصلّی من غیر قصد التشریع، و أن یشرّع بغیر الصلاة فی السفر، بل یشرّع بصلاة أُخری و عبادة غیرها،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فالنهی عن العبادة تشریعاً أو الصلاة تشریعاً، و النهی عن الصلاة فی السفر، مختلفان بحسب الموضوع، و تکون النسبة بینهما العموم من وجه، من غیر لزوم التداخل و التأکّد الّذی مرّ فی کلامه قدس سره و من غیر لزوم الجمع بین المثلین أو الضدّین، فما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مورد المحرّم الذاتیّ یکون التشریع دائمیّاً</w:t>
      </w:r>
      <w:r>
        <w:rPr>
          <w:rStyle w:val="FootnoteAnchor"/>
          <w:rtl w:val="true"/>
        </w:rPr>
        <w:footnoteReference w:id="844"/>
      </w:r>
      <w:r>
        <w:rPr>
          <w:rFonts w:ascii="Amiri" w:hAnsi="Amiri" w:eastAsia="Amiri" w:cs="Amiri"/>
          <w:color w:val="111111"/>
          <w:sz w:val="28"/>
          <w:sz w:val="28"/>
          <w:szCs w:val="28"/>
          <w:rtl w:val="true"/>
          <w:lang w:bidi="ar-SA"/>
        </w:rPr>
        <w:t>، فی غیر محلّه؛ لأنّه أمر قصدیّ</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تبیّن إمکان کون مورد التشریع مأموراً به واقعاً؛ حسبما تحرّر فی بحوث الاجتماع و الامتناع</w:t>
      </w:r>
      <w:r>
        <w:rPr>
          <w:rFonts w:eastAsia="IRNazanin" w:cs="IRNazanin"/>
          <w:color w:val="111111"/>
          <w:sz w:val="28"/>
          <w:szCs w:val="28"/>
          <w:rtl w:val="true"/>
          <w:lang w:bidi="fa-IR"/>
        </w:rPr>
        <w:t>.</w:t>
      </w:r>
      <w:bookmarkStart w:id="668" w:name="pg13163_143242"/>
    </w:p>
    <w:p>
      <w:pPr>
        <w:pStyle w:val="Heading4"/>
        <w:numPr>
          <w:ilvl w:val="3"/>
          <w:numId w:val="1"/>
        </w:numPr>
        <w:rPr/>
      </w:pPr>
      <w:bookmarkStart w:id="669" w:name="__RefHeading___Toc534067_3244359995"/>
      <w:bookmarkStart w:id="670" w:name="_Toc251"/>
      <w:bookmarkEnd w:id="668"/>
      <w:bookmarkEnd w:id="669"/>
      <w:r>
        <w:rPr>
          <w:rtl w:val="true"/>
        </w:rPr>
        <w:t>المقام الثانی فی النهی عن المعاملات و عن کلّ شی‌ء یشبهها</w:t>
      </w:r>
      <w:bookmarkEnd w:id="670"/>
    </w:p>
    <w:p>
      <w:pPr>
        <w:pStyle w:val="Heading5"/>
        <w:numPr>
          <w:ilvl w:val="4"/>
          <w:numId w:val="1"/>
        </w:numPr>
        <w:rPr/>
      </w:pPr>
      <w:bookmarkStart w:id="671" w:name="__RefHeading___Toc534069_3244359995"/>
      <w:bookmarkStart w:id="672" w:name="_Toc252"/>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 xml:space="preserve">أی فی کونه من الأسباب و المسبّبات العرفیّة أو الشرعیّة، کالذبح بالنسبة إلی الحلّیة و الذکاة، و الحیازة بالنسبة إلی الملکیّة، و هکذا ممّا قد مرّ تفصیل اندراجها فی محیط البحث و الخلاف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هنا یقع فی بحوث</w:t>
      </w:r>
      <w:r>
        <w:rPr>
          <w:rFonts w:eastAsia="IRNazanin" w:cs="IRNazanin"/>
          <w:color w:val="111111"/>
          <w:sz w:val="28"/>
          <w:szCs w:val="28"/>
          <w:rtl w:val="true"/>
          <w:lang w:bidi="fa-IR"/>
        </w:rPr>
        <w:t>:</w:t>
      </w:r>
    </w:p>
    <w:p>
      <w:pPr>
        <w:pStyle w:val="Heading5"/>
        <w:numPr>
          <w:ilvl w:val="4"/>
          <w:numId w:val="1"/>
        </w:numPr>
        <w:rPr/>
      </w:pPr>
      <w:bookmarkStart w:id="673" w:name="__RefHeading___Toc534071_3244359995"/>
      <w:bookmarkStart w:id="674" w:name="_Toc253"/>
      <w:bookmarkEnd w:id="673"/>
      <w:r>
        <w:rPr>
          <w:rtl w:val="true"/>
        </w:rPr>
        <w:t>البحث الأوّل</w:t>
      </w:r>
      <w:r>
        <w:rPr>
          <w:rtl w:val="true"/>
        </w:rPr>
        <w:t xml:space="preserve">: </w:t>
      </w:r>
      <w:r>
        <w:rPr>
          <w:rtl w:val="true"/>
        </w:rPr>
        <w:t>فی النهی التنزیهیّ</w:t>
      </w:r>
      <w:bookmarkEnd w:id="67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ذهب الأعلام کلّهم إلی عدم دلالته علی الفساد، و عدم وجود وجه یؤدّی إلیه، من غیر فرق بین کونه متعلّقاً بالسبب، أو المسبّب، أو التسبّب، أو الآثار و الأحکام، أو غیر ذلک ممّا مرّت شقوقه فی المقدّمات </w:t>
      </w:r>
      <w:r>
        <w:rPr>
          <w:rStyle w:val="FootnoteAnchor"/>
          <w:rtl w:val="true"/>
        </w:rPr>
        <w:footnoteReference w:id="846"/>
      </w:r>
      <w:r>
        <w:rPr>
          <w:rFonts w:ascii="IRNazanin" w:hAnsi="IRNazanin" w:eastAsia="IRNazanin"/>
          <w:color w:val="111111"/>
          <w:sz w:val="28"/>
          <w:sz w:val="28"/>
          <w:szCs w:val="28"/>
          <w:rtl w:val="true"/>
          <w:lang w:bidi="fa-IR"/>
        </w:rPr>
        <w:t>، و یأتی فی البحث الثالث إن شاء اللَّه تعالی بتوضیح شریف</w:t>
      </w:r>
      <w:r>
        <w:rPr>
          <w:rFonts w:eastAsia="IRNazanin" w:cs="IRNazanin"/>
          <w:color w:val="111111"/>
          <w:sz w:val="28"/>
          <w:szCs w:val="28"/>
          <w:rtl w:val="true"/>
          <w:lang w:bidi="fa-IR"/>
        </w:rPr>
        <w:t>.</w:t>
      </w:r>
      <w:bookmarkStart w:id="675" w:name="pg13163_143243"/>
    </w:p>
    <w:p>
      <w:pPr>
        <w:pStyle w:val="BookText"/>
        <w:rPr/>
      </w:pPr>
      <w:bookmarkEnd w:id="67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أنّ مرجوحیّة المعاملة و مبغوضیّتها و لو بالرتبة الدانیة، لا تجتمع مع الرضا المعتبر فی صحّة المعاملات؛ ضرورة اعتبار رضا الشرع بذلک و أمره و عدم ردعه الکاشف عن إمضائه الملازم للرضا، فالمعاملات المکروهة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رجوع کراهتها إلی خلوّها عن شرط نفوذها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الرضا القلبیّ و الکراهة القلبیّة غیر ممکن فی محلّ الکلام، و لکن یکفی لصحّة المعاملات و نفوذها ترخیص الشرع و إجازته بها، و لا شبهة فی أنّه یجیز فی موارد الکراهة</w:t>
      </w:r>
      <w:r>
        <w:rPr>
          <w:rFonts w:eastAsia="IRNazanin" w:cs="IRNazanin"/>
          <w:color w:val="111111"/>
          <w:sz w:val="28"/>
          <w:szCs w:val="28"/>
          <w:rtl w:val="true"/>
          <w:lang w:bidi="fa-IR"/>
        </w:rPr>
        <w:t>.</w:t>
      </w:r>
    </w:p>
    <w:p>
      <w:pPr>
        <w:pStyle w:val="Heading5"/>
        <w:numPr>
          <w:ilvl w:val="4"/>
          <w:numId w:val="1"/>
        </w:numPr>
        <w:rPr/>
      </w:pPr>
      <w:bookmarkStart w:id="676" w:name="__RefHeading___Toc534073_3244359995"/>
      <w:bookmarkStart w:id="677" w:name="_Toc254"/>
      <w:bookmarkEnd w:id="676"/>
      <w:r>
        <w:rPr>
          <w:rtl w:val="true"/>
        </w:rPr>
        <w:t>البحث الثانی</w:t>
      </w:r>
      <w:r>
        <w:rPr>
          <w:rtl w:val="true"/>
        </w:rPr>
        <w:t xml:space="preserve">: </w:t>
      </w:r>
      <w:r>
        <w:rPr>
          <w:rtl w:val="true"/>
        </w:rPr>
        <w:t>فی النهی الغیریّ</w:t>
      </w:r>
      <w:bookmarkEnd w:id="677"/>
    </w:p>
    <w:p>
      <w:pPr>
        <w:pStyle w:val="BookText"/>
        <w:rPr/>
      </w:pPr>
      <w:r>
        <w:rPr>
          <w:rFonts w:ascii="IRNazanin" w:hAnsi="IRNazanin" w:eastAsia="IRNazanin"/>
          <w:color w:val="111111"/>
          <w:sz w:val="28"/>
          <w:sz w:val="28"/>
          <w:szCs w:val="28"/>
          <w:rtl w:val="true"/>
          <w:lang w:bidi="fa-IR"/>
        </w:rPr>
        <w:t>و هذا أیضا عندهم لا یدلّ علی شی‌ء، و لا یستتبع الحکم الوضعیّ بالمرّة، سواء کان من النهی الغیریّ الإلزامیّ، أو غیر الإلزامیّ؛ معلّلاً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یکشف عن مفسدة فی متعلّقه حتّی یورث شیئاً،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زاجریّة له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ما فیهما فی محلّهما بما لا مزید علیه </w:t>
      </w:r>
      <w:r>
        <w:rPr>
          <w:rStyle w:val="FootnoteAnchor"/>
          <w:rtl w:val="true"/>
        </w:rPr>
        <w:footnoteReference w:id="848"/>
      </w:r>
      <w:r>
        <w:rPr>
          <w:rFonts w:ascii="IRNazanin" w:hAnsi="IRNazanin" w:eastAsia="IRNazanin"/>
          <w:color w:val="111111"/>
          <w:sz w:val="28"/>
          <w:sz w:val="28"/>
          <w:szCs w:val="28"/>
          <w:rtl w:val="true"/>
          <w:lang w:bidi="fa-IR"/>
        </w:rPr>
        <w:t xml:space="preserve">، و قد تبیّن عندنا أنّ النهی الغیریّ کاشف عن اهتمام الشرع بمورد الأمر، و یکفی لترشّح النهی الرئیسی المولویّ ذلک </w:t>
      </w:r>
      <w:r>
        <w:rPr>
          <w:rStyle w:val="FootnoteAnchor"/>
          <w:rtl w:val="true"/>
        </w:rPr>
        <w:footnoteReference w:id="849"/>
      </w:r>
      <w:r>
        <w:rPr>
          <w:rFonts w:ascii="IRNazanin" w:hAnsi="IRNazanin" w:eastAsia="IRNazanin"/>
          <w:color w:val="111111"/>
          <w:sz w:val="28"/>
          <w:sz w:val="28"/>
          <w:szCs w:val="28"/>
          <w:rtl w:val="true"/>
          <w:lang w:bidi="fa-IR"/>
        </w:rPr>
        <w:t>، و هو یورث انکشاف نحو من المبغوضیّة العرضیّة الطارئة التی لا تنافی المحبوبیّة الذاتیّة بالضرورة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الشأن فی أنّ النهی الغیریّ لا یتعلّق بعنوان المعاملة، مع أنّه لا أصل له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القول به، و بناءً علی تعلّقه بذات المعاملة، فهو و النهی</w:t>
      </w:r>
      <w:bookmarkStart w:id="678" w:name="pg13163_143244"/>
    </w:p>
    <w:p>
      <w:pPr>
        <w:pStyle w:val="BookText"/>
        <w:rPr/>
      </w:pPr>
      <w:bookmarkEnd w:id="678"/>
      <w:r>
        <w:rPr>
          <w:rFonts w:ascii="Amiri" w:hAnsi="Amiri" w:eastAsia="Amiri" w:cs="Amiri"/>
          <w:color w:val="111111"/>
          <w:sz w:val="28"/>
          <w:sz w:val="28"/>
          <w:szCs w:val="28"/>
          <w:rtl w:val="true"/>
          <w:lang w:bidi="ar-SA"/>
        </w:rPr>
        <w:t>التحریمیّ سیّان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المبغوضیّة المستکشفة بالنهی التحریمیّ النفسیّ، تنافی الرضا المعتبر فی صحّة المعاملة، و أمّا المبغوضیّة العرضیّة الغیریّة المستکشفة بالنهی الإلزامیّ الغیریّ، فلا تنافی ذلک الرضا کما لا یخفی، و سیمرّ علیک تمام الکلام من هذه الجهة فی البحث الآتی إن شاء اللَّه تعالی</w:t>
      </w:r>
      <w:r>
        <w:rPr>
          <w:rFonts w:eastAsia="IRNazanin" w:cs="IRNazanin"/>
          <w:color w:val="111111"/>
          <w:sz w:val="28"/>
          <w:szCs w:val="28"/>
          <w:rtl w:val="true"/>
          <w:lang w:bidi="fa-IR"/>
        </w:rPr>
        <w:t>.</w:t>
      </w:r>
    </w:p>
    <w:p>
      <w:pPr>
        <w:pStyle w:val="Heading5"/>
        <w:numPr>
          <w:ilvl w:val="4"/>
          <w:numId w:val="1"/>
        </w:numPr>
        <w:rPr/>
      </w:pPr>
      <w:bookmarkStart w:id="679" w:name="__RefHeading___Toc534075_3244359995"/>
      <w:bookmarkStart w:id="680" w:name="_Toc255"/>
      <w:bookmarkEnd w:id="679"/>
      <w:r>
        <w:rPr>
          <w:rtl w:val="true"/>
        </w:rPr>
        <w:t>البحث الثالث</w:t>
      </w:r>
      <w:r>
        <w:rPr>
          <w:rtl w:val="true"/>
        </w:rPr>
        <w:t xml:space="preserve">: </w:t>
      </w:r>
      <w:r>
        <w:rPr>
          <w:rtl w:val="true"/>
        </w:rPr>
        <w:t>فی النهی التحریمیّ و المعاملات المحرّمة و المکاسب الممنوعة</w:t>
      </w:r>
      <w:bookmarkEnd w:id="680"/>
    </w:p>
    <w:p>
      <w:pPr>
        <w:pStyle w:val="Heading6"/>
        <w:numPr>
          <w:ilvl w:val="5"/>
          <w:numId w:val="1"/>
        </w:numPr>
        <w:rPr/>
      </w:pPr>
      <w:bookmarkStart w:id="681" w:name="__RefHeading___Toc534077_3244359995"/>
      <w:bookmarkStart w:id="682" w:name="_Toc256"/>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فهل هو یستتبع مطلقاً</w:t>
      </w:r>
      <w:r>
        <w:rPr>
          <w:rStyle w:val="FootnoteAnchor"/>
          <w:rtl w:val="true"/>
        </w:rPr>
        <w:footnoteReference w:id="850"/>
      </w:r>
      <w:r>
        <w:rPr>
          <w:rFonts w:ascii="IRNazanin" w:hAnsi="IRNazanin" w:eastAsia="IRNazanin"/>
          <w:color w:val="111111"/>
          <w:sz w:val="28"/>
          <w:sz w:val="28"/>
          <w:szCs w:val="28"/>
          <w:rtl w:val="true"/>
          <w:lang w:bidi="fa-IR"/>
        </w:rPr>
        <w:t>، أو لا یستتبع شیئاً</w:t>
      </w:r>
      <w:r>
        <w:rPr>
          <w:rStyle w:val="FootnoteAnchor"/>
          <w:rtl w:val="true"/>
        </w:rPr>
        <w:footnoteReference w:id="851"/>
      </w:r>
      <w:r>
        <w:rPr>
          <w:rFonts w:ascii="IRNazanin" w:hAnsi="IRNazanin" w:eastAsia="IRNazanin"/>
          <w:color w:val="111111"/>
          <w:sz w:val="28"/>
          <w:sz w:val="28"/>
          <w:szCs w:val="28"/>
          <w:rtl w:val="true"/>
          <w:lang w:bidi="fa-IR"/>
        </w:rPr>
        <w:t xml:space="preserve">، أم یفصّل بحسب موارد تعلّقه؛ فإن تعلّق بذات السبب أو بعنوان السبب فلا یقتضی، و إن تعلّق بالمسبّب أو بالآثار أو بالتسبّب فیستتبع </w:t>
      </w:r>
      <w:r>
        <w:rPr>
          <w:rStyle w:val="FootnoteAnchor"/>
          <w:rtl w:val="true"/>
        </w:rPr>
        <w:footnoteReference w:id="852"/>
      </w:r>
      <w:r>
        <w:rPr>
          <w:rFonts w:ascii="IRNazanin" w:hAnsi="IRNazanin" w:eastAsia="IRNazanin"/>
          <w:color w:val="111111"/>
          <w:sz w:val="28"/>
          <w:sz w:val="28"/>
          <w:szCs w:val="28"/>
          <w:rtl w:val="true"/>
          <w:lang w:bidi="fa-IR"/>
        </w:rPr>
        <w:t>، أم یختصّ الاستتباع بصورة واحدة؛ و هی ما إذا تعلّق بالآثار و الخواصّ، دون غیرها</w:t>
      </w:r>
      <w:r>
        <w:rPr>
          <w:rStyle w:val="FootnoteAnchor"/>
          <w:rtl w:val="true"/>
        </w:rPr>
        <w:footnoteReference w:id="8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الأقوال مختلفة، و الاحتمالات کثیرة، فالبحث یقع فی مقامین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الثبوت؛ و هو ما إذا کان المفروض کون أحد العناوین المزبورة مورد النهی، فإنّه علیه هل یلزم فساد و حکم وضعیّ، أم لا؟</w:t>
      </w:r>
    </w:p>
    <w:p>
      <w:pPr>
        <w:pStyle w:val="BookText"/>
        <w:rPr/>
      </w:pPr>
      <w:r>
        <w:rPr>
          <w:rFonts w:ascii="IRNazanin" w:hAnsi="IRNazanin" w:eastAsia="IRNazanin"/>
          <w:color w:val="111111"/>
          <w:sz w:val="28"/>
          <w:sz w:val="28"/>
          <w:szCs w:val="28"/>
          <w:rtl w:val="true"/>
          <w:lang w:bidi="fa-IR"/>
        </w:rPr>
        <w:t>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الإثبات؛ و أنّه إذا تعلّق نهی تحریمیّ بمعاملة، فهل الظاهر تعلّقه بذات السبب، أو بعنوانه، أم بسائر الوجوه و العناوین الأُخر؟</w:t>
      </w:r>
    </w:p>
    <w:p>
      <w:pPr>
        <w:pStyle w:val="BookText"/>
        <w:rPr/>
      </w:pPr>
      <w:r>
        <w:rPr>
          <w:rFonts w:ascii="IRNazanin" w:hAnsi="IRNazanin" w:eastAsia="IRNazanin"/>
          <w:color w:val="111111"/>
          <w:sz w:val="28"/>
          <w:sz w:val="28"/>
          <w:szCs w:val="28"/>
          <w:rtl w:val="true"/>
          <w:lang w:bidi="fa-IR"/>
        </w:rPr>
        <w:t>و قبل الخوض فیها لا بدّ من الإشارة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المنسوب إلی الشیخ الأنصاری قدس سره تقسیم النهی التحریمیّ المتعلّق بالعبادة إلی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یتعلّق النهی بالمعاملة بما هی فعل مباشریّ، کالنهی المتعلّق بالبیع وقت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یتعلّق بها بما هو فعل تسبیبیّ، کالنهی المتعلّق ببیع المصحف و العبد المسلم من الکافر، فإنّ المبغوض هی مالکیّة الکافر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یتعلّق بالأثر، کالنهی عن أکل ثمن الکلب و العَذِرة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یتعلّق بالتسبّب </w:t>
      </w:r>
      <w:r>
        <w:rPr>
          <w:rStyle w:val="FootnoteAnchor"/>
          <w:rtl w:val="true"/>
        </w:rPr>
        <w:footnoteReference w:id="855"/>
      </w:r>
      <w:r>
        <w:rPr>
          <w:rFonts w:ascii="IRNazanin" w:hAnsi="IRNazanin" w:eastAsia="IRNazanin"/>
          <w:color w:val="111111"/>
          <w:sz w:val="28"/>
          <w:sz w:val="28"/>
          <w:szCs w:val="28"/>
          <w:rtl w:val="true"/>
          <w:lang w:bidi="fa-IR"/>
        </w:rPr>
        <w:t>، کالنهی عن التسبّب بالظهار لحدوث الفراق و حصول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منّا أنّ الأقسام أکثر من ذلک </w:t>
      </w:r>
      <w:r>
        <w:rPr>
          <w:rStyle w:val="FootnoteAnchor"/>
          <w:rtl w:val="true"/>
        </w:rPr>
        <w:footnoteReference w:id="856"/>
      </w:r>
      <w:r>
        <w:rPr>
          <w:rFonts w:ascii="IRNazanin" w:hAnsi="IRNazanin" w:eastAsia="IRNazanin"/>
          <w:color w:val="111111"/>
          <w:sz w:val="28"/>
          <w:sz w:val="28"/>
          <w:szCs w:val="28"/>
          <w:rtl w:val="true"/>
          <w:lang w:bidi="fa-IR"/>
        </w:rPr>
        <w:t>لأنّ من الممکن أن یتعلّق النهی بذات السبب، و یکون المحرّم نفس التکلّم بالألفاظ الموضوعة للإنشاء المعاملیّ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خارج عن النهی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یتعلّق النهی بالتسبّب؛ أی أن یکون المنهیّ التسبّب بالسبب إلی حصول المعنی الإنشائیّ المسبّبی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أن یتعلّق بالتسبّب بالمعنی الإنشائیّ إلی حصول الأثر و الملکیّة و النقل و الانتقال؛ ضرورة أنّ الملکیّة إمّا معلولة المعنی الإنشائیّ، أو تکون من أحکامه العقلائیّة، فیکون ذلک المعنی الإنشائیّ موضوعاً لها، فیتعلّق النهی بالتوصّل</w:t>
      </w:r>
    </w:p>
    <w:p>
      <w:pPr>
        <w:pStyle w:val="BookText"/>
        <w:rPr/>
      </w:pPr>
      <w:r>
        <w:rPr>
          <w:rFonts w:ascii="IRNazanin" w:hAnsi="IRNazanin" w:eastAsia="IRNazanin"/>
          <w:color w:val="111111"/>
          <w:sz w:val="28"/>
          <w:sz w:val="28"/>
          <w:szCs w:val="28"/>
          <w:rtl w:val="true"/>
          <w:lang w:bidi="fa-IR"/>
        </w:rPr>
        <w:t>بالموضوع المزبور لترتّب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یتعلّق النهی بالتصرّف فی الثمن، کذلک یمکن أن یتعلّق النهی بالتوصّل بالملکیة لأجل ترتّب جواز التصرّف؛ ضرورة أنّ جواز التصرّف فی الملک من آثار الملکیّة التی هی من آثار المنشأ الّذی هو من آثار الآلات المتوصّل بها إلی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البیع وقت النداء مثالاً للنهی التحریمیّ </w:t>
      </w:r>
      <w:r>
        <w:rPr>
          <w:rStyle w:val="FootnoteAnchor"/>
          <w:rtl w:val="true"/>
        </w:rPr>
        <w:footnoteReference w:id="857"/>
      </w:r>
      <w:r>
        <w:rPr>
          <w:rFonts w:ascii="IRNazanin" w:hAnsi="IRNazanin" w:eastAsia="IRNazanin"/>
          <w:color w:val="111111"/>
          <w:sz w:val="28"/>
          <w:sz w:val="28"/>
          <w:szCs w:val="28"/>
          <w:rtl w:val="true"/>
          <w:lang w:bidi="fa-IR"/>
        </w:rPr>
        <w:t>ممنوع إثباتاً؛ لقوّة احتمال کونه مترشّحاً عن الأمر المتعلّق بصلاة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تحریم البیع شرعاً غیر قطعیّ، کما یظهر من الأُستاذ السیّد البروجردیّ قدس سره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ممنوعاً فما هو المحرّم هو الاشتغال بالأضداد، و لا یختصّ ذلک بالبیع، فلا یکون من النهی التحریمیّ المتعلّق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الکتاب لزوم ترک البیع و طرده </w:t>
      </w:r>
      <w:r>
        <w:rPr>
          <w:rStyle w:val="FootnoteAnchor"/>
          <w:rtl w:val="true"/>
        </w:rPr>
        <w:footnoteReference w:id="859"/>
      </w:r>
      <w:r>
        <w:rPr>
          <w:rFonts w:ascii="IRNazanin" w:hAnsi="IRNazanin" w:eastAsia="IRNazanin"/>
          <w:color w:val="111111"/>
          <w:sz w:val="28"/>
          <w:sz w:val="28"/>
          <w:szCs w:val="28"/>
          <w:rtl w:val="true"/>
          <w:lang w:bidi="fa-IR"/>
        </w:rPr>
        <w:t>، فیکون طرده واجباً، و هذا لیس من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النهی فهو قسم آخر بوجه، کالأمر بترک الصلاة أیّام الأقراء</w:t>
      </w:r>
      <w:r>
        <w:rPr>
          <w:rStyle w:val="FootnoteAnchor"/>
          <w:rtl w:val="true"/>
        </w:rPr>
        <w:footnoteReference w:id="860"/>
      </w:r>
      <w:r>
        <w:rPr>
          <w:rFonts w:ascii="IRNazanin" w:hAnsi="IRNazanin" w:eastAsia="IRNazanin"/>
          <w:color w:val="111111"/>
          <w:sz w:val="28"/>
          <w:sz w:val="28"/>
          <w:szCs w:val="28"/>
          <w:rtl w:val="true"/>
          <w:lang w:bidi="fa-IR"/>
        </w:rPr>
        <w:t>الراجع إلی النهی عنها حقیقة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المبغوض مثلاً فی مسألة مالکیّة الکافر للمصحف و المسلم و إن لم یکن إنشاء الملکیّة و إنشاء المبادلة و الاشتغال بالإنشاء، و لکن أیضا لیس حصول الملکیّة، بل المبغوض دوام الملکیّة، فإنّه ینافی نفی السبیل المذکور فی الکتاب </w:t>
      </w:r>
      <w:r>
        <w:rPr>
          <w:rStyle w:val="FootnoteAnchor"/>
          <w:rtl w:val="true"/>
        </w:rPr>
        <w:footnoteReference w:id="861"/>
      </w:r>
      <w:r>
        <w:rPr>
          <w:rFonts w:ascii="IRNazanin" w:hAnsi="IRNazanin" w:eastAsia="IRNazanin"/>
          <w:color w:val="111111"/>
          <w:sz w:val="28"/>
          <w:sz w:val="28"/>
          <w:szCs w:val="28"/>
          <w:rtl w:val="true"/>
          <w:lang w:bidi="fa-IR"/>
        </w:rPr>
        <w:t>، فلو أنشأ المبادلة، و حصلت الملکیّة آناً ما و انتفت فوراً، فلا سبیل، و تصیر النتیجة أنّ</w:t>
      </w:r>
      <w:bookmarkStart w:id="683" w:name="pg13163_143247"/>
    </w:p>
    <w:p>
      <w:pPr>
        <w:pStyle w:val="BookText"/>
        <w:rPr/>
      </w:pPr>
      <w:bookmarkEnd w:id="683"/>
      <w:r>
        <w:rPr>
          <w:rFonts w:ascii="IRNazanin" w:hAnsi="IRNazanin" w:eastAsia="IRNazanin"/>
          <w:color w:val="111111"/>
          <w:sz w:val="28"/>
          <w:sz w:val="28"/>
          <w:szCs w:val="28"/>
          <w:rtl w:val="true"/>
          <w:lang w:bidi="fa-IR"/>
        </w:rPr>
        <w:t>الثمن یدخل فی کیس البائع، و المثمن یصیر حرّاً غیر مملوک، و مالاً بلا مالک بحکم الشرع، و هذا هو الأوفق بالاعتبار ممّا ذکره الأصحاب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وجه لزوم البحث فی المقامین و هذه المقدّمة النافعة، فلنشرع فی حقیقة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684" w:name="__RefHeading___Toc534079_3244359995"/>
      <w:bookmarkStart w:id="685" w:name="_Toc257"/>
      <w:bookmarkEnd w:id="684"/>
      <w:r>
        <w:rPr>
          <w:rtl w:val="true"/>
        </w:rPr>
        <w:t>المقام الأوّل</w:t>
      </w:r>
      <w:r>
        <w:rPr>
          <w:rtl w:val="true"/>
        </w:rPr>
        <w:t xml:space="preserve">: </w:t>
      </w:r>
      <w:r>
        <w:rPr>
          <w:rtl w:val="true"/>
        </w:rPr>
        <w:t>فیما إذا فرض تعلّق النهی بأحد الوجوه المزبورة</w:t>
      </w:r>
      <w:bookmarkEnd w:id="685"/>
    </w:p>
    <w:p>
      <w:pPr>
        <w:pStyle w:val="Heading6"/>
        <w:numPr>
          <w:ilvl w:val="5"/>
          <w:numId w:val="1"/>
        </w:numPr>
        <w:rPr/>
      </w:pPr>
      <w:bookmarkStart w:id="686" w:name="__RefHeading___Toc534081_3244359995"/>
      <w:bookmarkStart w:id="687" w:name="_Toc258"/>
      <w:bookmarkEnd w:id="686"/>
      <w:r>
        <w:rPr>
          <w:rtl w:val="true"/>
        </w:rPr>
        <w:t>الأوّل</w:t>
      </w:r>
      <w:r>
        <w:rPr>
          <w:rtl w:val="true"/>
        </w:rPr>
        <w:t xml:space="preserve">: </w:t>
      </w:r>
      <w:r>
        <w:rPr>
          <w:rtl w:val="true"/>
        </w:rPr>
        <w:t>فی تعلّقه بالسبب</w:t>
      </w:r>
      <w:bookmarkEnd w:id="687"/>
    </w:p>
    <w:p>
      <w:pPr>
        <w:pStyle w:val="BookText"/>
        <w:rPr/>
      </w:pPr>
      <w:r>
        <w:rPr>
          <w:rFonts w:ascii="IRNazanin" w:hAnsi="IRNazanin" w:eastAsia="IRNazanin"/>
          <w:color w:val="111111"/>
          <w:sz w:val="28"/>
          <w:sz w:val="28"/>
          <w:szCs w:val="28"/>
          <w:rtl w:val="true"/>
          <w:lang w:bidi="fa-IR"/>
        </w:rPr>
        <w:t>فإن تعلّق بالإنشاء و السبب بما هو سبب، فحیث إنّ السبب و الإنشاء یمکن أن یوصف بالإجزاء و عدمه، و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الإنشاء الکذائیّ صحیح؛ لأنّه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لأنّه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و أن یکون النهی المزبور مستتبعاً للإرشاد علی الوجه المحرّر فی العبادات، و یدلّ علی الفساد زائداً علی استتباعه للحرمة التکلیفیّة، فیرجع مفاد النهی المزبور إلی اشتراط کون الإنشاء غیر مبغوض، و قد فرغنا عن إمکان کون النهی مستتبعاً للأمرین تصوّراً و تصدیقاً بما لا مزید علیه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الإنشاء فاقد شرط التأثیر یکون فاسداً، کما إذا کان معلّقاً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الإنشاء المعلّق ممتنع، و لا یوصف الإنشاء بالصحّة و الفساد و الإجزاء و عدمه </w:t>
      </w:r>
      <w:r>
        <w:rPr>
          <w:rStyle w:val="FootnoteAnchor"/>
          <w:rtl w:val="true"/>
        </w:rPr>
        <w:footnoteReference w:id="863"/>
      </w:r>
      <w:r>
        <w:rPr>
          <w:rFonts w:ascii="IRNazanin" w:hAnsi="IRNazanin" w:eastAsia="IRNazanin"/>
          <w:color w:val="111111"/>
          <w:sz w:val="28"/>
          <w:sz w:val="28"/>
          <w:szCs w:val="28"/>
          <w:rtl w:val="true"/>
          <w:lang w:bidi="fa-IR"/>
        </w:rPr>
        <w:t xml:space="preserve">، غیر مسموعة، بما تحرّر منّا من الخلط بین الإنشاء التکوینیّ و الاعتباریّ </w:t>
      </w:r>
      <w:r>
        <w:rPr>
          <w:rStyle w:val="FootnoteAnchor"/>
          <w:rtl w:val="true"/>
        </w:rPr>
        <w:footnoteReference w:id="864"/>
      </w:r>
      <w:r>
        <w:rPr>
          <w:rFonts w:ascii="IRNazanin" w:hAnsi="IRNazanin" w:eastAsia="IRNazanin"/>
          <w:color w:val="111111"/>
          <w:sz w:val="28"/>
          <w:sz w:val="28"/>
          <w:szCs w:val="28"/>
          <w:rtl w:val="true"/>
          <w:lang w:bidi="fa-IR"/>
        </w:rPr>
        <w:t>، و تبیّن فی محلّه أنّ الإنشاءات الاعتباریّة قابلة لأن تکون ذات</w:t>
      </w:r>
      <w:bookmarkStart w:id="688" w:name="pg13163_143248"/>
    </w:p>
    <w:p>
      <w:pPr>
        <w:pStyle w:val="BookText"/>
        <w:rPr/>
      </w:pPr>
      <w:bookmarkEnd w:id="688"/>
      <w:r>
        <w:rPr>
          <w:rFonts w:ascii="IRNazanin" w:hAnsi="IRNazanin" w:eastAsia="IRNazanin"/>
          <w:color w:val="111111"/>
          <w:sz w:val="28"/>
          <w:sz w:val="28"/>
          <w:szCs w:val="28"/>
          <w:rtl w:val="true"/>
          <w:lang w:bidi="fa-IR"/>
        </w:rPr>
        <w:t>نشئات، ففی نشأة یتحقّق نحو تحقّق الواجب المشروط، و هو من الإنشاء المعلّق، و أُخری نحو تحقّق الوجوب المعلّق، فإنّه یرجع إلی تعلیق المنشأ، و التفصیل فی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المزبور یفید الحرمة و المبغوضیّة لأجل طبعه الأوّلی، و یفید التضییق و التخصیص لأجل وروده فی محیط المرکّبات و الأسباب و المسبّبات من غیر تمانع فی الجمع بین الإفادتین، و إذا صار السبب قاصراً فی السببیّة فلا یعتبر المسبّب، و لا الأحکام و الآثار الأُخر المترتّبة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مورد النهی حصّة خاصّة من المعاملات، کبیع الغرر و الربویّ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متعلّق النهی الماهیّة النوعیّة کالقمار، فلا بدّ من التمسّک بتقریب آخر یأتی من ذی قبل تفصیله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مورد تعلّق به النهی، و کان یمکن أن یوصف ذلک المورد بالإجزاء و عدم الإجزاء، أو بجهة وضعیّة وجودیّة أو عدمیّة، کالشرطیّة و المانعیّة و الجزئیّة و غیرها، فالنهی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کونه فی منطقة المرکّبات العرفیّة و فی محیط المعاملات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مستتبعاً لتلک الجهة و ذلک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القاعدة الکلّیة تستخرج المسائل الکثیرة و الفروع الجزئیّة</w:t>
      </w:r>
      <w:r>
        <w:rPr>
          <w:rFonts w:eastAsia="IRNazanin" w:cs="IRNazanin"/>
          <w:color w:val="111111"/>
          <w:sz w:val="28"/>
          <w:szCs w:val="28"/>
          <w:rtl w:val="true"/>
          <w:lang w:bidi="fa-IR"/>
        </w:rPr>
        <w:t>.</w:t>
      </w:r>
    </w:p>
    <w:p>
      <w:pPr>
        <w:pStyle w:val="Heading6"/>
        <w:numPr>
          <w:ilvl w:val="5"/>
          <w:numId w:val="1"/>
        </w:numPr>
        <w:rPr/>
      </w:pPr>
      <w:bookmarkStart w:id="689" w:name="__RefHeading___Toc534083_3244359995"/>
      <w:bookmarkStart w:id="690" w:name="_Toc259"/>
      <w:bookmarkEnd w:id="689"/>
      <w:r>
        <w:rPr>
          <w:rtl w:val="true"/>
        </w:rPr>
        <w:t>الثانی</w:t>
      </w:r>
      <w:r>
        <w:rPr>
          <w:rtl w:val="true"/>
        </w:rPr>
        <w:t xml:space="preserve">: </w:t>
      </w:r>
      <w:r>
        <w:rPr>
          <w:rtl w:val="true"/>
        </w:rPr>
        <w:t>فی تعلّقه بالمسبّب</w:t>
      </w:r>
      <w:bookmarkEnd w:id="69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تعلّق بالمنشإ و المسبّب،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الأمر لأجل امتناع تعلّق النهی به؛ لکونه خارجاً عن محیط الاختیار</w:t>
      </w:r>
      <w:r>
        <w:rPr>
          <w:rStyle w:val="FootnoteAnchor"/>
          <w:rtl w:val="true"/>
        </w:rPr>
        <w:footnoteReference w:id="866"/>
      </w:r>
      <w:r>
        <w:rPr>
          <w:rFonts w:ascii="IRNazanin" w:hAnsi="IRNazanin" w:eastAsia="IRNazanin"/>
          <w:color w:val="111111"/>
          <w:sz w:val="28"/>
          <w:sz w:val="28"/>
          <w:szCs w:val="28"/>
          <w:rtl w:val="true"/>
          <w:lang w:bidi="fa-IR"/>
        </w:rPr>
        <w:t>، و لا یکون من قبیل الأسباب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w:t>
      </w:r>
    </w:p>
    <w:p>
      <w:pPr>
        <w:pStyle w:val="BookText"/>
        <w:rPr/>
      </w:pPr>
      <w:r>
        <w:rPr>
          <w:rFonts w:ascii="IRNazanin" w:hAnsi="IRNazanin" w:eastAsia="IRNazanin"/>
          <w:color w:val="111111"/>
          <w:sz w:val="28"/>
          <w:sz w:val="28"/>
          <w:szCs w:val="28"/>
          <w:rtl w:val="true"/>
          <w:lang w:bidi="fa-IR"/>
        </w:rPr>
        <w:t>له عدم إمکان تصویر تعلّقه بالسبب هنا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تحرق الکتب الکذائیّة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یوجّه الخطاب المتعلّق المورث لمبغوضیّة مالکیّة الکافر إلاّ برجوعه إلی الإنشاء و السبب فی 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إن کان کذلک، إلاّ أنّه لا بأس بأن یتعلّق النهی بتملیک المصحف للکافر بداعی الانتقال إلی مبغوضیّة ملکیّة المصحف، من دون أن یکون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إنشاء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مقام الاستظهار یتعیّن کون المبغوض هو الوجود الإنشائیّ؛ لتعلّقه حسب الظاهر به، إلاّ مع قیام القرینة کما یأتی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استناد الحرکة إلیه و لو بالعرض، کذلک یصحّ هنا،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هنا لا یمکن أن یستتبع أمراً وضعیّاً و حکما آخر غیر الحرمة التکلیفیّة؛ ضرورة أنّ الملکیّة لا توصف بالإجزاء و عدمه، و لا یمکن اتصافها بالفساد، أو بعدم التحقّق؛ ضرورة أنّه مع تمامیّة السبب بما هو سبب فی محیط الناهی، لا یعقل وجه لعدم تحقّق المسبّب فی ذلک المحیط، فلا بدّ و أن یرجع مبغوضیّة المسبّب و الملکیّة إلی قصور فی السبب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المفروض أنّ النهی المتعلّق بالمسبّب، لا یستتبع شیئاً إلاّ بالنسبة إلی اعتبار عدم المسبّب فی نفوذ المعاملة، فلا یعقل هنا أن یکون مفیداً للحکم الوضعیّ زائداً علی الحرمة التکلیفیّة، بل یکون ممحّضاً فی التکلیف، و لا یدلّ علی الفساد إلاّ برجوعه إلی أنّ الناهی الّذی یرید إفادة مبغوضیّة الملکیّة فی محیط العقلاء و العرف،</w:t>
      </w:r>
    </w:p>
    <w:p>
      <w:pPr>
        <w:pStyle w:val="BookText"/>
        <w:rPr/>
      </w:pPr>
      <w:r>
        <w:rPr>
          <w:rFonts w:ascii="IRNazanin" w:hAnsi="IRNazanin" w:eastAsia="IRNazanin"/>
          <w:color w:val="111111"/>
          <w:sz w:val="28"/>
          <w:sz w:val="28"/>
          <w:szCs w:val="28"/>
          <w:rtl w:val="true"/>
          <w:lang w:bidi="fa-IR"/>
        </w:rPr>
        <w:t>لا بدّ و أن یعتبر قیداً فی السبب و السببیّة؛ حتّی لا تتحقّق الملکیّة فی أُفق الشرع تعبّداً و تدیّناً، و أمّا مع الإقرار بالسبب فالإقرار بالمسبّب عقلیّ، و یکون هو مبغوضه من غیر طروّ الفساد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للابدیّة العقلیّة المزبورة؛ فإنّ الشرع علی نعت القانون الکلّی اعتبر نفوذ البیع و هکذا، و علی نعت القانون الآخر حرّم الملکیّة المذکورة، و دلیل حلّیة البیع </w:t>
      </w:r>
      <w:r>
        <w:rPr>
          <w:rStyle w:val="FootnoteAnchor"/>
          <w:rtl w:val="true"/>
        </w:rPr>
        <w:footnoteReference w:id="868"/>
      </w:r>
      <w:r>
        <w:rPr>
          <w:rFonts w:ascii="IRNazanin" w:hAnsi="IRNazanin" w:eastAsia="IRNazanin"/>
          <w:color w:val="111111"/>
          <w:sz w:val="28"/>
          <w:sz w:val="28"/>
          <w:szCs w:val="28"/>
          <w:rtl w:val="true"/>
          <w:lang w:bidi="fa-IR"/>
        </w:rPr>
        <w:t>ناظر إلی أنّ إنشاء الملکیّة بالبیع نافذ عندی، و دلیل مبغوضیّة الملکیّة أجنبیّ عن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استبعده الشیخ الأنصاریّ قدس سره من مبغوضیّة المسبّب مع جعل السبب </w:t>
      </w:r>
      <w:r>
        <w:rPr>
          <w:rStyle w:val="FootnoteAnchor"/>
          <w:rtl w:val="true"/>
        </w:rPr>
        <w:footnoteReference w:id="869"/>
      </w:r>
      <w:r>
        <w:rPr>
          <w:rFonts w:ascii="IRNazanin" w:hAnsi="IRNazanin" w:eastAsia="IRNazanin"/>
          <w:color w:val="111111"/>
          <w:sz w:val="28"/>
          <w:sz w:val="28"/>
          <w:szCs w:val="28"/>
          <w:rtl w:val="true"/>
          <w:lang w:bidi="fa-IR"/>
        </w:rPr>
        <w:t>، فی غیر محلّه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اختلاف المجعولین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أنّ الاستبعاد مخصوص بما إذا ورد دلیل خاصّ بأنّ البیع الربویّ سبب عندی، و الملکیّة الحاصلة منه مبغوضة، دون ما إذا کان الدلیل بنحو القانون الکلّی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اختلاف کیفیّة الدلیل لا ینفع؛ لاشتراک الاستبعاد مع شدّة بُعد الفرض الثانی، و ما هو یمکن أن یکون نافعاً هو اختلاف الموضوعین، و هو لا یختلف مع اختلاف کیفیّة الدلیلین کما لا یخفی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المتوجّهین إلی مبغوضیّة المسبّب، و الواقفین علی أن المولی لا یرضی بوجوده، لا یتأمّلون فی المسألة إلاّ باستکشاف القید فی</w:t>
      </w:r>
    </w:p>
    <w:p>
      <w:pPr>
        <w:pStyle w:val="BookText"/>
        <w:rPr/>
      </w:pPr>
      <w:r>
        <w:rPr>
          <w:rFonts w:ascii="IRNazanin" w:hAnsi="IRNazanin" w:eastAsia="IRNazanin"/>
          <w:color w:val="111111"/>
          <w:sz w:val="28"/>
          <w:sz w:val="28"/>
          <w:szCs w:val="28"/>
          <w:rtl w:val="true"/>
          <w:lang w:bidi="fa-IR"/>
        </w:rPr>
        <w:t>السبب فی محیط الشرع؛ لأنّ الشارع یتمکّن بذلک من عدم تحقّق مبغوضه فی محیطه و إن کان یتحقّق المبغوض فی محیط العقلاء و العرف، کما هو الظاهر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اجتماع مبغوضیّة المسبّب مع الرضا المعتبر فی نفوذ المعاملات، و مع الطیب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الکلام مقام آخر یأتی من ذی قبل إن شاء اللَّه تعالی بتفصیل </w:t>
      </w:r>
      <w:r>
        <w:rPr>
          <w:rStyle w:val="FootnoteAnchor"/>
          <w:rtl w:val="true"/>
        </w:rPr>
        <w:footnoteReference w:id="871"/>
      </w:r>
      <w:r>
        <w:rPr>
          <w:rFonts w:ascii="Amiri" w:hAnsi="Amiri" w:eastAsia="Amiri" w:cs="Amiri"/>
          <w:color w:val="111111"/>
          <w:sz w:val="28"/>
          <w:sz w:val="28"/>
          <w:szCs w:val="28"/>
          <w:rtl w:val="true"/>
          <w:lang w:bidi="ar-SA"/>
        </w:rPr>
        <w:t>، و لا یضرّ بما هو مقصودنا من حکم العقلاء بسرایة النهی المتعلّق بالمسبّب إلی قصور سببیّة السبب، و إلی تخصیص أَوْفُوا بِالْعُقُودِ</w:t>
      </w:r>
      <w:r>
        <w:rPr>
          <w:rStyle w:val="FootnoteAnchor"/>
          <w:rtl w:val="true"/>
        </w:rPr>
        <w:footnoteReference w:id="872"/>
      </w:r>
      <w:r>
        <w:rPr>
          <w:rFonts w:ascii="Amiri" w:hAnsi="Amiri" w:eastAsia="Amiri" w:cs="Amiri"/>
          <w:color w:val="111111"/>
          <w:sz w:val="28"/>
          <w:sz w:val="28"/>
          <w:szCs w:val="28"/>
          <w:rtl w:val="true"/>
          <w:lang w:bidi="ar-SA"/>
        </w:rPr>
        <w:t xml:space="preserve">و أَحَلَّ اللَّهُ الْبَیْعَ </w:t>
      </w:r>
      <w:r>
        <w:rPr>
          <w:rStyle w:val="FootnoteAnchor"/>
          <w:rtl w:val="true"/>
        </w:rPr>
        <w:footnoteReference w:id="873"/>
      </w:r>
      <w:r>
        <w:rPr>
          <w:rFonts w:ascii="IRNazanin" w:hAnsi="IRNazanin" w:eastAsia="IRNazanin"/>
          <w:color w:val="111111"/>
          <w:sz w:val="28"/>
          <w:sz w:val="28"/>
          <w:szCs w:val="28"/>
          <w:rtl w:val="true"/>
          <w:lang w:bidi="fa-IR"/>
        </w:rPr>
        <w:t>و غیرهما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الدلیل المخصّص، فلا شبهة فی أنّ قضیّة الجمع العرفیّ و العقلائیّ؛ هو أنّ وجوب الإکرام المستفاد من العامّ موضوعه مقیّد بعنوان المخصّص، من غیر أن تکون هیئة النهی مفیدة الحرمة التکلیفیّة، فلو فرضنا استفادة الحرمة التکلیفیّة من دلیل المخصّص؛ لأجل بعض القرائن الجزئیّة الخاصّة، فهو لا ینافی التخصیص، بل یؤکّده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و فی العبادات یکون الأمر کذلک؛ فإنّه مع فرض کون المنهیّ مبغوضاً و محرّماً، لا منع من تخصیص الأدلّة العامّة و تقییدها و استفادة اشتراط کون الإنشاء المترتّب علیه الملکیّة عند الشرع مقیّد بعدم المنهیّ؛ و بأن لا یکون مبغوضاً، أو بأن لا یکون مورده نقل الکتاب إلی الکافر مثلاً</w:t>
      </w:r>
      <w:r>
        <w:rPr>
          <w:rFonts w:eastAsia="IRNazanin" w:cs="IRNazanin"/>
          <w:color w:val="111111"/>
          <w:sz w:val="28"/>
          <w:szCs w:val="28"/>
          <w:rtl w:val="true"/>
          <w:lang w:bidi="fa-IR"/>
        </w:rPr>
        <w:t>.</w:t>
      </w:r>
      <w:bookmarkStart w:id="691" w:name="pg13163_143252"/>
    </w:p>
    <w:p>
      <w:pPr>
        <w:pStyle w:val="BookText"/>
        <w:rPr/>
      </w:pPr>
      <w:bookmarkEnd w:id="691"/>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القیود المعتبرة فی المعاملة سواء کانت من قیود الإنشاء، أو من قیود العوضین، أو المعاوضین، کلّها ترجع إلی تقیید السبب و اشتراطه فی عالم السببیّة أو الموضوعیّة علی الخلاف المحرّر فی محلّه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إذا تعلّق النهی التکلیفیّ بملکیّة الکافر للمصحف مثلاً، فهو یستتبع اشتراط نفوذ البیع و حلّیته بأن لا یکون مورده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کون الأسباب و المسبّبات جعلیّة شرعیّة، أو انجعالیّة عرفیّة</w:t>
      </w:r>
      <w:r>
        <w:rPr>
          <w:rStyle w:val="FootnoteAnchor"/>
          <w:rtl w:val="true"/>
        </w:rPr>
        <w:footnoteReference w:id="876"/>
      </w:r>
      <w:r>
        <w:rPr>
          <w:rFonts w:ascii="IRNazanin" w:hAnsi="IRNazanin" w:eastAsia="IRNazanin"/>
          <w:color w:val="111111"/>
          <w:sz w:val="28"/>
          <w:sz w:val="28"/>
          <w:szCs w:val="28"/>
          <w:rtl w:val="true"/>
          <w:lang w:bidi="fa-IR"/>
        </w:rPr>
        <w:t>لوحدة الملاک، و تفرّد المناط، و أنّ الانجعالیّة العرفیّة ترجع إلی الجعل؛ لإمکان الردع عنها و إسقاط سببیّتها تعبّداً</w:t>
      </w:r>
      <w:r>
        <w:rPr>
          <w:rFonts w:eastAsia="IRNazanin" w:cs="IRNazanin"/>
          <w:color w:val="111111"/>
          <w:sz w:val="28"/>
          <w:szCs w:val="28"/>
          <w:rtl w:val="true"/>
          <w:lang w:bidi="fa-IR"/>
        </w:rPr>
        <w:t>.</w:t>
      </w:r>
    </w:p>
    <w:p>
      <w:pPr>
        <w:pStyle w:val="Heading6"/>
        <w:numPr>
          <w:ilvl w:val="5"/>
          <w:numId w:val="1"/>
        </w:numPr>
        <w:rPr/>
      </w:pPr>
      <w:bookmarkStart w:id="692" w:name="__RefHeading___Toc534085_3244359995"/>
      <w:bookmarkStart w:id="693" w:name="_Toc260"/>
      <w:bookmarkEnd w:id="692"/>
      <w:r>
        <w:rPr>
          <w:rtl w:val="true"/>
        </w:rPr>
        <w:t>الثالث</w:t>
      </w:r>
      <w:r>
        <w:rPr>
          <w:rtl w:val="true"/>
        </w:rPr>
        <w:t xml:space="preserve">: </w:t>
      </w:r>
      <w:r>
        <w:rPr>
          <w:rtl w:val="true"/>
        </w:rPr>
        <w:t>فی تعلّقه بالآثار</w:t>
      </w:r>
      <w:bookmarkEnd w:id="693"/>
    </w:p>
    <w:p>
      <w:pPr>
        <w:pStyle w:val="BookText"/>
        <w:rPr/>
      </w:pPr>
      <w:r>
        <w:rPr>
          <w:rFonts w:ascii="IRNazanin" w:hAnsi="IRNazanin" w:eastAsia="IRNazanin"/>
          <w:color w:val="111111"/>
          <w:sz w:val="28"/>
          <w:sz w:val="28"/>
          <w:szCs w:val="28"/>
          <w:rtl w:val="true"/>
          <w:lang w:bidi="fa-IR"/>
        </w:rPr>
        <w:t>و إن تعلّق بالآثار، کما إذا تعلّق بأکل الثمن و الأُجرة، سواء کان بنحو النهی بالصیغة، أو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سحت</w:t>
      </w:r>
      <w:r>
        <w:rPr>
          <w:rFonts w:eastAsia="IRNazanin" w:cs="IRNazanin"/>
          <w:color w:val="111111"/>
          <w:sz w:val="28"/>
          <w:szCs w:val="28"/>
          <w:rtl w:val="true"/>
          <w:lang w:bidi="fa-IR"/>
        </w:rPr>
        <w:t>»</w:t>
      </w:r>
      <w:r>
        <w:rPr>
          <w:rStyle w:val="FootnoteAnchor"/>
          <w:rtl w:val="true"/>
        </w:rPr>
        <w:footnoteReference w:id="877"/>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فالظاهر أنّه بما أنّه تعلّق بالأثر لا یورث الفساد؛ لعدم إمکان اتصاف المنهیّ بالصحّة و الفساد، و عدم إمکان اتصاف ثمن الکلب بعدم الإجزاء، بخلاف الصلاة فی وبر ما لا یؤکل، و بیع الرّبا، و الإجارة بالأکثر، و غیر ذلک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إذا کان قابلاً لإفادة الحکم الوضعیّ لأجل تعلّقه بحصّة من المعاملة فهو یکفی لتلک الإفادة تصدیقاً</w:t>
      </w:r>
      <w:r>
        <w:rPr>
          <w:rStyle w:val="FootnoteAnchor"/>
          <w:rtl w:val="true"/>
        </w:rPr>
        <w:footnoteReference w:id="879"/>
      </w:r>
      <w:r>
        <w:rPr>
          <w:rFonts w:ascii="IRNazanin" w:hAnsi="IRNazanin" w:eastAsia="IRNazanin"/>
          <w:color w:val="111111"/>
          <w:sz w:val="28"/>
          <w:sz w:val="28"/>
          <w:szCs w:val="28"/>
          <w:rtl w:val="true"/>
          <w:lang w:bidi="fa-IR"/>
        </w:rPr>
        <w:t>، و أمّا مع عدم الإمکان المزبور فلا، فما</w:t>
      </w:r>
    </w:p>
    <w:p>
      <w:pPr>
        <w:pStyle w:val="BookText"/>
        <w:rPr/>
      </w:pPr>
      <w:r>
        <w:rPr>
          <w:rFonts w:ascii="IRNazanin" w:hAnsi="IRNazanin" w:eastAsia="IRNazanin"/>
          <w:color w:val="111111"/>
          <w:sz w:val="28"/>
          <w:sz w:val="28"/>
          <w:szCs w:val="28"/>
          <w:rtl w:val="true"/>
          <w:lang w:bidi="fa-IR"/>
        </w:rPr>
        <w:t>اشتهر بین أبناء العصر من استتباعه للفساد فی هذه الصورة</w:t>
      </w:r>
      <w:r>
        <w:rPr>
          <w:rStyle w:val="FootnoteAnchor"/>
          <w:rtl w:val="true"/>
        </w:rPr>
        <w:footnoteReference w:id="880"/>
      </w:r>
      <w:r>
        <w:rPr>
          <w:rFonts w:ascii="IRNazanin" w:hAnsi="IRNazanin" w:eastAsia="IRNazanin"/>
          <w:color w:val="111111"/>
          <w:sz w:val="28"/>
          <w:sz w:val="28"/>
          <w:szCs w:val="28"/>
          <w:rtl w:val="true"/>
          <w:lang w:bidi="fa-IR"/>
        </w:rPr>
        <w:t>، غیر موافق 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تحریم الشرع ثمنه، مع التزامه بالإمضاء؛ نظراً إلی حصول الملکیّة، و انتقال حقّ الاختصاص إلی المشتری، و أمّا البائع فهو ممنوع عن مطلق التصرّفات، فیکون الثمن من المحرّمات الشرعیّة الممنوع عنها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دعوی انصراف تحریم الثمن إلی تحریم التصرّفات الخاصّة، و هذا لا ینافی اعتبار بقاء ملکیّته للمالک البائع و ربّما یؤیّد ما ذکرناه أنّ جعل الثمن مورد التحریم إیماء إلی إمضاء البیع؛ لأنّه إقرار بأنّه ثمن، و العوض لا یصیر ثمناً إلاّ بالبیع و بعد تحقّقه اعتباراً،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نظر الشرع أخذ البائع بالأشقّ؛ حتّی لا یرجع إلیه حقّ الاختصاص الثابت له بالنسبة إلی المحرّمات الشرعیّة و الأعیان النجسة، و قد فصّلنا الکلام حول المرام فی المکاسب المحظورة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 الثمن باقیاً علی ملک المشتری، یلزم أن تکون الأدلّة تأکیدَ الحرمة الثابتة؛ و هی حرمة التصرّف فی مال الغیر، مع أنّ الظاهر منها أنّها تأسیس للتحریم الجدید بما تزداد حرمته علی حرمة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النواهی المتعلّقة بالأُمور الخارجة عن حقیقة المعاملة و المحسوبة من آثارها، إمّا تکون إرشاداً إلی البطلان من غیر استتباع للحرمة التکلیفیّة، و یکون الاشتداد فی التعبیر لأجل زجر الناس عن التجارات المخصوصة، فهو فی حدّ ذاته غیر ممنوع، و تصیر النتیجة بطلانها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ظهورها فی التحریم التکلیفیّ أقوی، و إذا کانت مستتبعة للحرمة التکلیفیّة، فإمکان إرجاعها إلی أنّها فی مقام إفادة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مبغوضیّة</w:t>
      </w:r>
    </w:p>
    <w:p>
      <w:pPr>
        <w:pStyle w:val="BookText"/>
        <w:rPr/>
      </w:pPr>
      <w:r>
        <w:rPr>
          <w:rFonts w:ascii="IRNazanin" w:hAnsi="IRNazanin" w:eastAsia="IRNazanin"/>
          <w:color w:val="111111"/>
          <w:sz w:val="28"/>
          <w:sz w:val="28"/>
          <w:szCs w:val="28"/>
          <w:rtl w:val="true"/>
          <w:lang w:bidi="fa-IR"/>
        </w:rPr>
        <w:t>المثمن، و بطلان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غیر مسدود؛ لأنّه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تحریم الأثر بداعی الانتقال إلی أنّه فی الحقیقة لیس بأثر عندی، و یرجع بعد ذلک إلی اعتباریّته فی سببیّة البیع لحصول الملکیّة، و أنّ بیع الکلب فاقد ذلک السبب، فیکون ما هو السبب هو البیع المتعلّق بغیر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بعید عن الأذهان، فلا بدّ و أن نلتزم بأنّ هذه الأدلّة لیست إلاّ فی موقف تحریم المثمن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تبقی 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لازم کون المثمن محرّماً تکلیفاً هی حرمته علی کلّ أحد حتّی علی المشتری، و یکون بمثابة الخمر و لو انفسخ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بالانفساخ یخرج عن کونه 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غیر تامّ؛ لعدم إمکان الانفساخ بعد خروجه عن الملکیّة، کما فی بیع الأبوین بعد الانعتاق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دلیل نفی السبیل لو اقتضی شیئاً، فلا یزداد علی أنّ ملکیّة المسلم للکافر ممنوعة إذا کانت دائمیّة، فلا یلزم منه فساد المعاملة؛ لأنّ السبب أثّر فی عمله، و الشرع قطع ما هو الخارج عن حدّ المعاملة، کذلک الأمر هنا، فإنّ البیع أثّر فی عمله، إلاّ أنّ الشرع تدخّل فیما ینبغی له التدخّل فیه؛ بمنع المشتری عن مطلق التصرّفات، و مقتضی الممنوعیّة المطلقة عدم اعتبار الملک له بعد ذلک، فلا وجه لبطلان البیع</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المقبوض بالعقد الفاسد لیس ممنوع التصرّف؛ لإمکان کشف الرضا من الرضا المعاملیّ، کما حرّرناه فی محلّه </w:t>
      </w:r>
      <w:r>
        <w:rPr>
          <w:rStyle w:val="FootnoteAnchor"/>
          <w:rtl w:val="true"/>
        </w:rPr>
        <w:footnoteReference w:id="881"/>
      </w:r>
      <w:r>
        <w:rPr>
          <w:rFonts w:ascii="IRNazanin" w:hAnsi="IRNazanin" w:eastAsia="IRNazanin"/>
          <w:color w:val="111111"/>
          <w:sz w:val="28"/>
          <w:sz w:val="28"/>
          <w:szCs w:val="28"/>
          <w:rtl w:val="true"/>
          <w:lang w:bidi="fa-IR"/>
        </w:rPr>
        <w:t xml:space="preserve">، خلافا للإجماع المدّعی علی أنّه یجری مجری الغصب عند المحصّلین </w:t>
      </w:r>
      <w:r>
        <w:rPr>
          <w:rStyle w:val="FootnoteAnchor"/>
          <w:rtl w:val="true"/>
        </w:rPr>
        <w:footnoteReference w:id="882"/>
      </w:r>
      <w:r>
        <w:rPr>
          <w:rFonts w:ascii="IRNazanin" w:hAnsi="IRNazanin" w:eastAsia="IRNazanin"/>
          <w:color w:val="111111"/>
          <w:sz w:val="28"/>
          <w:sz w:val="28"/>
          <w:szCs w:val="28"/>
          <w:rtl w:val="true"/>
          <w:lang w:bidi="fa-IR"/>
        </w:rPr>
        <w:t>، فعلی هذا یکون جائز التصرّف؛ لأجل</w:t>
      </w:r>
    </w:p>
    <w:p>
      <w:pPr>
        <w:pStyle w:val="BookText"/>
        <w:rPr/>
      </w:pPr>
      <w:r>
        <w:rPr>
          <w:rFonts w:ascii="IRNazanin" w:hAnsi="IRNazanin" w:eastAsia="IRNazanin"/>
          <w:color w:val="111111"/>
          <w:sz w:val="28"/>
          <w:sz w:val="28"/>
          <w:szCs w:val="28"/>
          <w:rtl w:val="true"/>
          <w:lang w:bidi="fa-IR"/>
        </w:rPr>
        <w:t>حصول الرضا، و ممنوعاً شرعاً، فیمکن أن لا تکون تلک الأدلّة مؤکّدة للحرمة الآتیة من قبل النهی عن التصرّف فی مال الغیر، فلا یتمّ الاستشهاد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الاستشهاد منحصراً بهذا؛ حتّی یلزم صرف هذه الأدلّة عمّا هو مقتضی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منّا</w:t>
      </w:r>
      <w:r>
        <w:rPr>
          <w:rStyle w:val="FootnoteAnchor"/>
          <w:rtl w:val="true"/>
        </w:rPr>
        <w:footnoteReference w:id="883"/>
      </w:r>
      <w:r>
        <w:rPr>
          <w:rFonts w:ascii="IRNazanin" w:hAnsi="IRNazanin" w:eastAsia="IRNazanin"/>
          <w:color w:val="111111"/>
          <w:sz w:val="28"/>
          <w:sz w:val="28"/>
          <w:szCs w:val="28"/>
          <w:rtl w:val="true"/>
          <w:lang w:bidi="fa-IR"/>
        </w:rPr>
        <w:t>أنّ دلیل استکشاف الرضا الخاصّ من الطیب المعاملیّ، مخصوص ببعض الموارد، و لا یجری فی مثل أُجرة الزانیة و المغنّیة، مع أنّها منهیّة، و عدّت سحتاً</w:t>
      </w:r>
      <w:r>
        <w:rPr>
          <w:rStyle w:val="FootnoteAnchor"/>
          <w:rtl w:val="true"/>
        </w:rPr>
        <w:footnoteReference w:id="884"/>
      </w:r>
      <w:r>
        <w:rPr>
          <w:rFonts w:ascii="IRNazanin" w:hAnsi="IRNazanin" w:eastAsia="IRNazanin"/>
          <w:color w:val="111111"/>
          <w:sz w:val="28"/>
          <w:sz w:val="28"/>
          <w:szCs w:val="28"/>
          <w:rtl w:val="true"/>
          <w:lang w:bidi="fa-IR"/>
        </w:rPr>
        <w:t>أیضا، فیعلم من الکلّ أنّ هذه النواهی غیر وافیة بما فهمه الجمهور؛ و هو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النهی بالصیغة عن التصرّف فیما استملکه ببیع الکلب و الخنزیر، یکون إرشاداً من غیر إفادة التحریم، و لو فرض أنّه نهی تحریمیّ فیأتی فیه بعض ما أوردناه فی تلک الأدلّة علی اختلاف ألسنتها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للتفصیل بین أنحاء إفادة الحرمة التکلیفیّة و المبغوضیّة الذاتیّة وجه، إلاّ أنّ فی و جاهته نظراً، فتدبّر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الممکن أن یفصّل بین النهی المتعلّق بالأمر بالأثر، و هو التصرّف؛ بمعنی أنّ الناهی یرید نفی الأثر الحاصل من الملکیّة الحاصلة من الإنشاء، و بین النهی؛ بمعنی أنّ الناهی یرید تحریم التصرّف فی الثمن، و یرید جعل الحرمة تأسیساً علی ما هو ثمنه فی البیع، و یرید جعل منع التصرّف علی المثمن، فإن کان من قبیل الأوّل فهو یستتبع البطلان و الفساد؛ لرجوعه إلی تقیید السبب المجعول</w:t>
      </w:r>
      <w:bookmarkStart w:id="694" w:name="pg13163_143256"/>
    </w:p>
    <w:p>
      <w:pPr>
        <w:pStyle w:val="BookText"/>
        <w:rPr/>
      </w:pPr>
      <w:bookmarkEnd w:id="694"/>
      <w:r>
        <w:rPr>
          <w:rFonts w:ascii="IRNazanin" w:hAnsi="IRNazanin" w:eastAsia="IRNazanin"/>
          <w:color w:val="111111"/>
          <w:sz w:val="28"/>
          <w:sz w:val="28"/>
          <w:szCs w:val="28"/>
          <w:rtl w:val="true"/>
          <w:lang w:bidi="fa-IR"/>
        </w:rPr>
        <w:t>بعدم المنهی، و أمّا إذا کان من قبیل الثانی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شبهة فی أنّ الظاهر هو الثانی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xml:space="preserve">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فی النهی بالصیغة و جهان، فلاحظ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الأثر الخاصّ و هو جواز التصرّف الآتی من قبل الملکیّة الآتیة من قبل الإنشاء و إن کان یلازم المبغوضیّة أحیاناً، إلاّ أنّ إفادة مبغوضیّة التصرّف فی المثمن تجتمع مع جواز التصرّف المعلول للملکیّة آناً ما</w:t>
      </w:r>
      <w:r>
        <w:rPr>
          <w:rFonts w:eastAsia="IRNazanin" w:cs="IRNazanin"/>
          <w:color w:val="111111"/>
          <w:sz w:val="28"/>
          <w:szCs w:val="28"/>
          <w:rtl w:val="true"/>
          <w:lang w:bidi="fa-IR"/>
        </w:rPr>
        <w:t>.</w:t>
      </w:r>
    </w:p>
    <w:p>
      <w:pPr>
        <w:pStyle w:val="Heading6"/>
        <w:numPr>
          <w:ilvl w:val="5"/>
          <w:numId w:val="1"/>
        </w:numPr>
        <w:rPr/>
      </w:pPr>
      <w:bookmarkStart w:id="695" w:name="__RefHeading___Toc534087_3244359995"/>
      <w:bookmarkStart w:id="696" w:name="_Toc261"/>
      <w:bookmarkEnd w:id="695"/>
      <w:r>
        <w:rPr>
          <w:rtl w:val="true"/>
        </w:rPr>
        <w:t>الرابع</w:t>
      </w:r>
      <w:r>
        <w:rPr>
          <w:rtl w:val="true"/>
        </w:rPr>
        <w:t xml:space="preserve">: </w:t>
      </w:r>
      <w:r>
        <w:rPr>
          <w:rtl w:val="true"/>
        </w:rPr>
        <w:t>فی تعلّقه بالتسبّب</w:t>
      </w:r>
      <w:bookmarkEnd w:id="696"/>
    </w:p>
    <w:p>
      <w:pPr>
        <w:pStyle w:val="BookText"/>
        <w:rPr/>
      </w:pPr>
      <w:r>
        <w:rPr>
          <w:rFonts w:ascii="IRNazanin" w:hAnsi="IRNazanin" w:eastAsia="IRNazanin"/>
          <w:color w:val="111111"/>
          <w:sz w:val="28"/>
          <w:sz w:val="28"/>
          <w:szCs w:val="28"/>
          <w:rtl w:val="true"/>
          <w:lang w:bidi="fa-IR"/>
        </w:rPr>
        <w:t>و إذا کان النهی متعلّقاً بالتسبّب، فقد عرفت أنّ ذلک یتصوّر علی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التسبّب بآلات الإنشاء للتوصّل إلی الإنشاء مورد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التسبّب بإنشاء المبادلة إلی حصول الملکیّة مورد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التسبّب بالملکیّة لحصول جواز التصرّف مورد النهی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تطبیق القاعدة التی أسّسناها لتشخیص کون النهی قابلاً لاستتباع الحکم الوضعیّ علیها؛ ضرورة أنّ ذات التسبّب بعنوانه لا یوصف بالفساد، و بالبطلان، و عدم الإجزاء، و غیر ذلک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غیر الراضی بالتسبّب، یجب علیه أن یمنع عن تحقّق السبب و الموضوع؛ حتّی لا یتمکّن العبد من التسبّب واقعاً، فیکون لازم ذلک إسقاط سببیّة الآلات للإنشاء باعتبار قید فیها حسب محیط الشرع، أو إسقاط سببیّة الإنشاء و هکذا، الّذی یرجع فی الحقیقة إلی تقیید دلیل الإمضاء المستتبع بعد التقیید لبطلان المعاملة، فلو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التسبّب لحلّیة الزیادة بالبیع الربویّ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bookmarkStart w:id="697" w:name="pg13163_143257"/>
    </w:p>
    <w:p>
      <w:pPr>
        <w:pStyle w:val="BookText"/>
        <w:rPr/>
      </w:pPr>
      <w:bookmarkEnd w:id="697"/>
      <w:r>
        <w:rPr>
          <w:rFonts w:ascii="IRNazanin" w:hAnsi="IRNazanin" w:eastAsia="IRNazanin"/>
          <w:color w:val="111111"/>
          <w:sz w:val="28"/>
          <w:sz w:val="28"/>
          <w:szCs w:val="28"/>
          <w:rtl w:val="true"/>
          <w:lang w:bidi="fa-IR"/>
        </w:rPr>
        <w:t>لیس إلاّ لأجل أنّ السبب قاصر، لا نفس التسبّب یکون غیر لائق بذلک،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إعمال القرینة الخارجیّة فی هذه الصور، و لذلک یکون التسبّب بالظهار للفراق ممنوعا شرعا و صحیحاً، و لا یکون خارجاً عن الضابطة التی أبدعناها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امتناع اجتماع المبغوضیّة و الرضا بالسببیّة، تأتی بتفصیل أکثر من ذی قبل إن شاء اللَّه تعالی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8" w:name="__RefHeading___Toc534089_3244359995"/>
      <w:bookmarkStart w:id="699" w:name="_Toc262"/>
      <w:bookmarkEnd w:id="698"/>
      <w:r>
        <w:rPr>
          <w:rtl w:val="true"/>
        </w:rPr>
        <w:t>المقام الثانی</w:t>
      </w:r>
      <w:r>
        <w:rPr>
          <w:rtl w:val="true"/>
        </w:rPr>
        <w:t xml:space="preserve">: </w:t>
      </w:r>
      <w:r>
        <w:rPr>
          <w:rtl w:val="true"/>
        </w:rPr>
        <w:t>فی الاستظهار من الأدلّة الناهیة عن حصّة من المعاملة</w:t>
      </w:r>
      <w:bookmarkEnd w:id="699"/>
    </w:p>
    <w:p>
      <w:pPr>
        <w:pStyle w:val="BookText"/>
        <w:rPr/>
      </w:pPr>
      <w:r>
        <w:rPr>
          <w:rFonts w:ascii="IRNazanin" w:hAnsi="IRNazanin" w:eastAsia="IRNazanin"/>
          <w:color w:val="111111"/>
          <w:sz w:val="28"/>
          <w:sz w:val="28"/>
          <w:szCs w:val="28"/>
          <w:rtl w:val="true"/>
          <w:lang w:bidi="fa-IR"/>
        </w:rPr>
        <w:t xml:space="preserve">و أنّها متعلّقة بأی شی‌ء من الأُمور المشار إلیها، فعن الشیخ الأنصاری قدس سره ظهورها فی تعلّقه بصدور الفعل المباشریّ </w:t>
      </w:r>
      <w:r>
        <w:rPr>
          <w:rStyle w:val="FootnoteAnchor"/>
          <w:rtl w:val="true"/>
        </w:rPr>
        <w:footnoteReference w:id="888"/>
      </w:r>
      <w:r>
        <w:rPr>
          <w:rFonts w:ascii="IRNazanin" w:hAnsi="IRNazanin" w:eastAsia="IRNazanin"/>
          <w:color w:val="111111"/>
          <w:sz w:val="28"/>
          <w:sz w:val="28"/>
          <w:szCs w:val="28"/>
          <w:rtl w:val="true"/>
          <w:lang w:bidi="fa-IR"/>
        </w:rPr>
        <w:t>، و استبعده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أبعد الاحتمالات، و استظهر أنّها متعلّقة بحرمة ترتیب الأثر، مستدلاّ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تعلّقها بالفعل المباشریّ لا معنی له؛ لأنّه لیس إلاّ التلفّظ بالآلات التی لا ینظر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تعلّقها بالمسبّب غیر صحیح؛ لأنّه حکم عقلائیّ، و لا یکون مبغوضاً نوعا، و لا التسبّب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النهی هو الزجر عن المعاملة بلحاظ آثارها، فالممنوع هو ترتیب الآثار المطلوبة علیها، کسائر المعاملات، و هو مساوق للفساد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ذهب السیّد الأُستاذ البروجردیّ قدس سره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و النهی فی الأُمور الآلیّة یتعلّقان حقیقة بما هی فانیة فیه، فلا یتبادر إلی الأذهان من النهی عن نکاح</w:t>
      </w:r>
    </w:p>
    <w:p>
      <w:pPr>
        <w:pStyle w:val="BookText"/>
        <w:rPr/>
      </w:pPr>
      <w:r>
        <w:rPr>
          <w:rFonts w:ascii="IRNazanin" w:hAnsi="IRNazanin" w:eastAsia="IRNazanin"/>
          <w:color w:val="111111"/>
          <w:sz w:val="28"/>
          <w:sz w:val="28"/>
          <w:szCs w:val="28"/>
          <w:rtl w:val="true"/>
          <w:lang w:bidi="fa-IR"/>
        </w:rPr>
        <w:t>الأُمّ مثلاً، إلاّ حرمة ترتیب آثار الزوجیّة، فإنّها المقصود بالذات من النکاح، لا الإیجاب و القبول، و لا الزوجیّة المجرّدة عنها</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ظاهرهما أنّ متعلّق النهی التحریمیّ هو التصرّف، و قد عرفت المناقشة فی دلالته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الأغراض لیست موجبة لصرف الأدلّة عن ظاهرها، و إلاّ یلزم إنکار الواجبات النفسیّة و المحرّمات النفسیّة، فعلیه لا مانع من کون المحرّم و المنهیّ شیئاً، و المقصود بالذات و المبغوض الحقیقیّ أمراً ملازماً معه بوجه من الملازمات الممکنة؛ من العلّیة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تعلّق النهی بالبیع الربویّ، أو بالبیع الغرریّ، یکون البیع محرّماً، کما تکون الصلاة فی الوبر محرّمة، و إذا لاحظنا البیع نجد أنّه عبارة عن إنشاء المبادلة، الّذی هو إمّا تمام الموضوع لحکم العقلاء بالنقل و بحصول الملکیّة، أو هو تمام السبب، و إذا کان هو محرّماً تشریعاً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أدلّة الجعل و التنفیذ، و تقیید المطلقات الواردة فی محیط المرکّبات و المسبّبات، و تصیر النتیجة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المحرّم إمّا البیع الإنشائیّ، أو البیع المعتبر بقاء القابل للفسخ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هما معاً إذا فرض لهما الجامع، أو جوّزنا استعمال اللفظ فی أکثر من المعنی الواحد، علی إشکال فی الأخیر؛ لعدم الجامع، و لأنّ جواز الاستعمال المزبور لا یستلزم وقوعه، خصوصا فی هذه التراکیب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إن استظهرنا من الدلیل أحد الإطلاقین فهو، و إلاّ یلزم الإجمال، و یلزم العمل بالعلم الإجمالیّ، فتأمّل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ما سلکناه فی هذا المقام؛ أنّ إرجاع تحریم المعاملة إلی أثرها</w:t>
      </w:r>
      <w:bookmarkStart w:id="700" w:name="pg13163_143259"/>
    </w:p>
    <w:p>
      <w:pPr>
        <w:pStyle w:val="BookText"/>
        <w:rPr/>
      </w:pPr>
      <w:bookmarkEnd w:id="700"/>
      <w:r>
        <w:rPr>
          <w:rFonts w:ascii="IRNazanin" w:hAnsi="IRNazanin" w:eastAsia="IRNazanin"/>
          <w:color w:val="111111"/>
          <w:sz w:val="28"/>
          <w:sz w:val="28"/>
          <w:szCs w:val="28"/>
          <w:rtl w:val="true"/>
          <w:lang w:bidi="fa-IR"/>
        </w:rPr>
        <w:t>یستلزم إنکار محرّمیة المعاملة، و هو خلاف الفرض؛ لأنّ المفروض کون المعاملة مورد النهی، و أثرها خارج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قضیّة الاعتبار کون نکاح الأُمّ حراماً زائداً علی حرمة الزنا بها، و لو رجع تلک الحرمة إلیها یلزم اتحاد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الأعظم الأنصاری رحمه اللَّه و إن نسب إلیه أنّه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المحرّم هو الفعل المباشریّ، و لکنّ المقصود منه هو إنشاء المعاملة، فإنّه فعل مباشریّ بمباشریّة الآلات، فیکون کلامه أقرب المحتملات، فلاحظ</w:t>
      </w:r>
      <w:r>
        <w:rPr>
          <w:rFonts w:eastAsia="IRNazanin" w:cs="IRNazanin"/>
          <w:color w:val="111111"/>
          <w:sz w:val="28"/>
          <w:szCs w:val="28"/>
          <w:rtl w:val="true"/>
          <w:lang w:bidi="fa-IR"/>
        </w:rPr>
        <w:t>.</w:t>
      </w:r>
    </w:p>
    <w:p>
      <w:pPr>
        <w:pStyle w:val="Heading4"/>
        <w:numPr>
          <w:ilvl w:val="3"/>
          <w:numId w:val="1"/>
        </w:numPr>
        <w:rPr/>
      </w:pPr>
      <w:bookmarkStart w:id="701" w:name="__RefHeading___Toc534091_3244359995"/>
      <w:bookmarkStart w:id="702" w:name="_Toc263"/>
      <w:bookmarkEnd w:id="701"/>
      <w:r>
        <w:rPr>
          <w:rtl w:val="true"/>
        </w:rPr>
        <w:t>تنبیهات</w:t>
      </w:r>
      <w:bookmarkEnd w:id="702"/>
    </w:p>
    <w:p>
      <w:pPr>
        <w:pStyle w:val="Heading5"/>
        <w:numPr>
          <w:ilvl w:val="4"/>
          <w:numId w:val="1"/>
        </w:numPr>
        <w:rPr/>
      </w:pPr>
      <w:bookmarkStart w:id="703" w:name="__RefHeading___Toc534093_3244359995"/>
      <w:bookmarkStart w:id="704" w:name="_Toc264"/>
      <w:bookmarkEnd w:id="703"/>
      <w:r>
        <w:rPr>
          <w:rtl w:val="true"/>
        </w:rPr>
        <w:t>التنبیه الأوّل</w:t>
      </w:r>
      <w:r>
        <w:rPr>
          <w:rtl w:val="true"/>
        </w:rPr>
        <w:t xml:space="preserve">: </w:t>
      </w:r>
      <w:r>
        <w:rPr>
          <w:rtl w:val="true"/>
        </w:rPr>
        <w:t>حول فساد المعاملة النوعیّة بالنهی عنها و عدمه</w:t>
      </w:r>
      <w:bookmarkEnd w:id="704"/>
    </w:p>
    <w:p>
      <w:pPr>
        <w:pStyle w:val="Heading6"/>
        <w:numPr>
          <w:ilvl w:val="5"/>
          <w:numId w:val="1"/>
        </w:numPr>
        <w:rPr/>
      </w:pPr>
      <w:bookmarkStart w:id="705" w:name="__RefHeading___Toc534095_3244359995"/>
      <w:bookmarkStart w:id="706" w:name="_Toc265"/>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إذا تعلّق النهی بالمعاملة النوعیّة و کانت المعاملة بنوعها مورد النهی التحریمیّ، کالقمار مثلاً، فلا یتمّ الوجه الّذی ذکرناه لفساد المعاملة</w:t>
      </w:r>
      <w:r>
        <w:rPr>
          <w:rStyle w:val="FootnoteAnchor"/>
          <w:rtl w:val="true"/>
        </w:rPr>
        <w:footnoteReference w:id="891"/>
      </w:r>
      <w:r>
        <w:rPr>
          <w:rFonts w:ascii="IRNazanin" w:hAnsi="IRNazanin" w:eastAsia="IRNazanin"/>
          <w:color w:val="111111"/>
          <w:sz w:val="28"/>
          <w:sz w:val="28"/>
          <w:szCs w:val="28"/>
          <w:rtl w:val="true"/>
          <w:lang w:bidi="fa-IR"/>
        </w:rPr>
        <w:t>لعدم وجه لکونه إرشاداً إلی شی‌ء،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یستفاد من کلام جمع بعض وجوه استدلّ بها علی دلالة النهی علی الفساد مطلقاً من غیر فرق بین کون النهی متعلّقاً بحصّة من المعاملة النوعیّة، أو بنفسها، و لا بأس بالإشارة إلیها و إلی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النهی إذا تعلّق بنفس الإیجاد و الإنشاء فهو لا یقتضی الفساد؛ إذ حرمة الإیجاد لا تقتضی مبغوضیّة الموجد، و أمّا لو تعلّق النهی بنفس الموجد و المنشأ فهو یقتضی الفساد؛ لخروج المنشأ حینئذٍ عن تحت اختیاره و سلطانه، و لا قدرة علیه فی عالم التشریع، و المانع التشریعیّ کالمانع العقلیّ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کان أخذ الأُجرة علی الواجبات حراماً، لخروج الفعل بالإیجاب</w:t>
      </w:r>
    </w:p>
    <w:p>
      <w:pPr>
        <w:pStyle w:val="BookText"/>
        <w:rPr/>
      </w:pPr>
      <w:r>
        <w:rPr>
          <w:rFonts w:ascii="IRNazanin" w:hAnsi="IRNazanin" w:eastAsia="IRNazanin"/>
          <w:color w:val="111111"/>
          <w:sz w:val="28"/>
          <w:sz w:val="28"/>
          <w:szCs w:val="28"/>
          <w:rtl w:val="true"/>
          <w:lang w:bidi="fa-IR"/>
        </w:rPr>
        <w:t>الشرعیّ تحت قدرته و نفوذه</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العلاّمة النائینی قدس سره و قد تبیّن فساده فیما مرّ</w:t>
      </w:r>
      <w:r>
        <w:rPr>
          <w:rStyle w:val="FootnoteAnchor"/>
          <w:rtl w:val="true"/>
        </w:rPr>
        <w:footnoteReference w:id="893"/>
      </w:r>
      <w:r>
        <w:rPr>
          <w:rFonts w:ascii="IRNazanin" w:hAnsi="IRNazanin" w:eastAsia="IRNazanin"/>
          <w:color w:val="111111"/>
          <w:sz w:val="28"/>
          <w:sz w:val="28"/>
          <w:szCs w:val="28"/>
          <w:rtl w:val="true"/>
          <w:lang w:bidi="fa-IR"/>
        </w:rPr>
        <w:t>، و فی المکاسب المحرّمة، و فی کتاب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العجز المدّعی و الخروج عن تحت القدرة إمّا واقعیّ، أو ادعائیّ، فإن کان واقعیّاً فلا معنی للتکلیف أیضا، و إن کان ادعائیّاً فلا بدّ من قیام الدلیل الشرعیّ علی نفوذ ذلک الادعاء، و علی إطلاق مصبّ الدعوی؛ حتّی یترتّب علیه أحکامه و آثاره الخاصّة، دون الأثر الواحد؛ و هو نفس التکلیف المتقوّم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الأباطیل الشائعة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المانع الشرعیّ کالمانع العقلیّ</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لأنّه من المقایسة و التخییل، و من القول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اقتضاء الذوق شیئاً لا یکفی فی منطق الشرع، کما هو البارز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مرّ منّا فی مطاوی بحوثنا السابقة؛ من أنّ صحّة کلّ معاملة و کلّ مرکّب اعتبر سببا لأمر آخر مترتّب علیه، منوط برضا الشرع و طیب الشریعة، و تکون المعاملات بغیر الرضا و بغیر الإمضاء باطلة</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هو المشهور عنهم من أصالة الفساد فیها؛ قضاءً لحقّ الاستصحاب </w:t>
      </w:r>
      <w:r>
        <w:rPr>
          <w:rStyle w:val="FootnoteAnchor"/>
          <w:rtl w:val="true"/>
        </w:rPr>
        <w:footnoteReference w:id="896"/>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الصحّة مشروطة بذلک، فکیف یعقل الجمع بینهما و بین الحرمة التکلیفیّة الکاشفة عن المبغوضیّة، و المساوقة للکراهة المضادّة للرضا و الطیب</w:t>
      </w:r>
    </w:p>
    <w:p>
      <w:pPr>
        <w:pStyle w:val="BookText"/>
        <w:rPr/>
      </w:pP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ما کانت الحرمة متعلّقة بالسبب، أو المسبّب، أو غیر ذلک؛ لأنّ مبغوضیّة کلّ واحد من هذه الجهات، توجب السرایة إلی الجهة الأُخری، و لا یمکن حینئذٍ الجمع بینها و بین الرضا و الطیب المتعلّق بالآخر؛ لعدم إمکان التفکیک بینها، و قد تبیّن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المتلازمین لا یمکن أن یکونا محکومین بالحکمین المتخالفین، أو محکومین بالحبّ و البغض و الرضا و الکراهة</w:t>
      </w:r>
      <w:r>
        <w:rPr>
          <w:rStyle w:val="FootnoteAnchor"/>
          <w:rtl w:val="true"/>
        </w:rPr>
        <w:footnoteReference w:id="897"/>
      </w:r>
      <w:r>
        <w:rPr>
          <w:rFonts w:ascii="IRNazanin" w:hAnsi="IRNazanin" w:eastAsia="IRNazanin"/>
          <w:color w:val="111111"/>
          <w:sz w:val="28"/>
          <w:sz w:val="28"/>
          <w:szCs w:val="28"/>
          <w:rtl w:val="true"/>
          <w:lang w:bidi="fa-IR"/>
        </w:rPr>
        <w:t>، و لا شبهة فی تلازم السبب و المسبّب، أو تلازم الحکم و الموضوع و هکذا، فتحریم البیع الإنشائیّ لا یجتمع مع الرضا و الطیب النفسانیّ المتعلّق بترتّب الأثر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جواز کون الإیجاد مبغوضاً، دون الوجود البقائیّ، کما فی تصویر ذوات الأرواح و تجسیمها، فإنّ المحرّم حسبما ذهب إلیه جمع هو الإیجاد المصدریّ، و أمّا الوجود الحاصل المصدریّ فهو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 ینفکّ عن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لکنّ الوجود البقائیّ المستند إلی المادّة و الهیولی یکون حلالاً و جائزاً، و یجوز اقتناؤها و بیعها</w:t>
      </w:r>
      <w:r>
        <w:rPr>
          <w:rStyle w:val="FootnoteAnchor"/>
          <w:rtl w:val="true"/>
        </w:rPr>
        <w:footnoteReference w:id="898"/>
      </w:r>
      <w:r>
        <w:rPr>
          <w:rFonts w:ascii="IRNazanin" w:hAnsi="IRNazanin" w:eastAsia="IRNazanin"/>
          <w:color w:val="111111"/>
          <w:sz w:val="28"/>
          <w:sz w:val="28"/>
          <w:szCs w:val="28"/>
          <w:rtl w:val="true"/>
          <w:lang w:bidi="fa-IR"/>
        </w:rPr>
        <w:t>، فعلیه لا بأس بأن یقاس ما نحن فیه بذلک، فیکون البیع الإنشائیّ و الإیجادیّ محرّماً و مبغوضاً، و لکنّ البیع المسبّبی الباقی ببقاء العوضین یکون ممضی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یوجد فی کلمات جمع منهم، إلاّ أنّه غیر تامّ؛ ضرورة أنّه فی المثال لا یکون الإیجاد أو السببیّة اعتباریّین حتّی یتقوّما بالإمضاء، فلا مانع من التفکیک المزبور عقلاً، و أمّا فیما نحن فیه فلا یتمّ؛ لما عرفت من أنّ الإیجاد و السببیّة لا یتمّ إلاّ بضمّ الرضا و الطیب، و هذا لا یجتمع مع الکراهة الشدیدة المستکشفة بالنهی التحریمیّ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لم تتحقّق مساوقته للفساد؛ إذ أیّ منافاة بین تحقّق المسبّب غیر المبغوض، و بین حرمة التسبّب؟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الحیازة تتحقّق و لو بالآلة الغصبیّة المحرّمة تکلیفاً</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فإنّ فی المثال تکون الحیازة ممضاةً، و الغصب محرّماً، و النسبة عموماً من وجه، فیکون من قبیل البیع فی المغصوب، و أمّا فی المقام فیکون النسبة بین المحرّم و الممضاة عموماً و خصوصاً مطلقین؛ ضرورة أنّ البیع الربویّ محرّم، و البیع ممضی، و ربّما تکون النسبة متساویة کما فی المعاملة القماریّة، فإنّ المضرّ هی الماهیّة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الممضی هی العقود، فتکون النسبة عموماً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الملازمة بین ما هو المحرّم، و ما هو المحلّل و الممضی من ناحیة، و هذا أیضا من المستحیل، کما تحرّر فی محلّه </w:t>
      </w:r>
      <w:r>
        <w:rPr>
          <w:rStyle w:val="FootnoteAnchor"/>
          <w:rtl w:val="true"/>
        </w:rPr>
        <w:footnoteReference w:id="900"/>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الحیازة بالآلات الغصبیّة إذا کانت محرّمة، و مورد الکراهة و المبغوضیّة لأجل النصّ الخاصّ، فهی لا یتعلّق بها الرضا و الطیب النفسانیّ و العقلائیّ المعتبر فی صحّتها و نفوذها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بعدم اشتراط رضا الشرع و طیب الشریعة فی نفوذ التجارات و المعاملات، و الّذی هو المضرّ بها ردعها فی الإسلام، فلا یلزم الجمع بین المتضادّات بإنکار الکبری دون الصغری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یستظهر من الوالد المحقّق فی هذا المقام، و من بعض السادة فی</w:t>
      </w:r>
    </w:p>
    <w:p>
      <w:pPr>
        <w:pStyle w:val="BookText"/>
        <w:rPr/>
      </w:pPr>
      <w:r>
        <w:rPr>
          <w:rFonts w:ascii="IRNazanin" w:hAnsi="IRNazanin" w:eastAsia="IRNazanin"/>
          <w:color w:val="111111"/>
          <w:sz w:val="28"/>
          <w:sz w:val="28"/>
          <w:szCs w:val="28"/>
          <w:rtl w:val="true"/>
          <w:lang w:bidi="fa-IR"/>
        </w:rPr>
        <w:t>کتاب الإجارة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إلی ذلک أنّ المعاملات عقلائیّة، و العقلاء علی أثر ارتکازهم و بنائهم حتّی یردع عنه الشارع</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ضرورة أنّ قضیّة ردع الشرع عن طائفة من المعاملات، و مقتضی أنّ الشرع لیس بناؤه فی بیان الأحکام و القوانین علی الإعجاز و التکهّن و الإخبار عمّا یأتی؛ هو اعتبار عدم الردع کما علیه الشهرة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یکفی للردع أدلّة الاستصحاب، فمع الشکّ فی النقل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احتمال مردوعیّة المعاملة المشکوکة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نرجع إلی الحجّة الشرعیّة، و لا تکفی الحجّة العرفیّة بذاتها، و لا حاجة فی ردعها إلی الأدلّة الخاصّة، بل یکفی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904"/>
      </w:r>
      <w:r>
        <w:rPr>
          <w:rFonts w:ascii="Amiri" w:hAnsi="Amiri" w:eastAsia="Amiri" w:cs="Amiri"/>
          <w:color w:val="111111"/>
          <w:sz w:val="28"/>
          <w:sz w:val="28"/>
          <w:szCs w:val="28"/>
          <w:rtl w:val="true"/>
          <w:lang w:bidi="ar-SA"/>
        </w:rPr>
        <w:t>فلیتأمّل جیّداً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أیّ بیان أوسع و أظهر للردع من التحریم، و أیّ مخصّص أقوی و أمتن من المخصّص المحدّد للعامّ، و المتکفّل لحکم ضدّ حکم العامّ بالنسبة إلی مورد التخصیص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ذلک لا یکفی ردعاً، و لا یعدّ مخصّصاً و لا مقیّداً لما دلّ علی جعل الأسباب الشرعیّة بنحو القانون</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 غیر موافق لأُفق التحقیق، کما عرفت بتفصیل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bookmarkStart w:id="707" w:name="pg13163_143264"/>
    </w:p>
    <w:p>
      <w:pPr>
        <w:pStyle w:val="BookText"/>
        <w:rPr/>
      </w:pPr>
      <w:bookmarkEnd w:id="707"/>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إلی هنا؛ أنّ قضیّة الإقرار بهذه الکبری، عدم إمکان الجمع بین الرضا و المبغوضیّة؛ إمّا مطلقاً سواء کانت النسبة بین مورد الرضا و البغض، عموماً و خصوصاً مطلقین کما هو الحقّ، أو فی مثل القمار و الظهار، فتکون قضیّة النهی التحریمیّ فساد المعاملة، سواء تعلّق النهی بحصّة منها، أو بالطبیعة النوعیّة، و سواء کان مورد النهی هو السبب، أو المسبّب، أو التسبّب، أو غیر ذلک ممّا یرجع إلی المعاملة</w:t>
      </w:r>
      <w:r>
        <w:rPr>
          <w:rFonts w:eastAsia="IRNazanin" w:cs="IRNazanin"/>
          <w:color w:val="111111"/>
          <w:sz w:val="28"/>
          <w:szCs w:val="28"/>
          <w:rtl w:val="true"/>
          <w:lang w:bidi="fa-IR"/>
        </w:rPr>
        <w:t>.</w:t>
      </w:r>
    </w:p>
    <w:p>
      <w:pPr>
        <w:pStyle w:val="Heading6"/>
        <w:numPr>
          <w:ilvl w:val="5"/>
          <w:numId w:val="1"/>
        </w:numPr>
        <w:rPr/>
      </w:pPr>
      <w:bookmarkStart w:id="708" w:name="__RefHeading___Toc534097_3244359995"/>
      <w:bookmarkStart w:id="709" w:name="_Toc266"/>
      <w:bookmarkEnd w:id="708"/>
      <w:r>
        <w:rPr>
          <w:rtl w:val="true"/>
        </w:rPr>
        <w:t>تذنیب</w:t>
      </w:r>
      <w:r>
        <w:rPr>
          <w:rtl w:val="true"/>
        </w:rPr>
        <w:t xml:space="preserve">: </w:t>
      </w:r>
      <w:r>
        <w:rPr>
          <w:rtl w:val="true"/>
        </w:rPr>
        <w:t>بیان بدیع فی إمکان تحریم الشارع لمعاملة مع إیجابه</w:t>
      </w:r>
      <w:bookmarkEnd w:id="709"/>
    </w:p>
    <w:p>
      <w:pPr>
        <w:pStyle w:val="BookText"/>
        <w:rPr/>
      </w:pPr>
      <w:r>
        <w:rPr>
          <w:rFonts w:ascii="IRNazanin" w:hAnsi="IRNazanin" w:eastAsia="IRNazanin"/>
          <w:color w:val="111111"/>
          <w:sz w:val="28"/>
          <w:sz w:val="28"/>
          <w:szCs w:val="28"/>
          <w:rtl w:val="true"/>
          <w:lang w:bidi="fa-IR"/>
        </w:rPr>
        <w:t>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الجمع علی نعت العرضیّة غیر ممکن، و لکن لا بأس به علی نحو الطولیّة؛ بأن لا یکون المولی راضیاً بالمعاملة، و إذا تکون المعاملة فی هذه اللحظة فهی باطلة، و إذا سئل یحکم بأنّ القمار باطل و عاطل، و البیع الربویّ فاسد و محرّم و مبغوض، و یرید بذلک منع المکلّفین من الإقدام علیه و إیجاده، و أمّا إذا أقدم فأوجده عصیاناً، یکون ترتیب الآثار علیه مورد رضاه، بل و مورد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أن ینادی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بیع القمار و الرّبا، و یحرم الظهار، و إذا تحقّقت هذه الأُمور یجب الوفاء بها، و ترتیب الآثار علیها، فهل تری فی نفسک إشکالاً و تضادّاً فی نفس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من الترتّب المصطلح علیه؛ لاختلاف زمان التکلیف التحریمیّ و زمان التکلیف الإیجابیّ، من غیر اشتراط وجوب الوفاء بالعصیان، فلا تتوجّه إلیه إعضالات الترتّب و إشکالاته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مجرّد التصویر الثبوتیّ غیر کافٍ، فلا بدّ من قیام الدلیل إثباتاً، و بعبارة أُخری لا یمکن أن یکون الدلیل الواحد متکفّلاً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أدلّة وجوب الوفاء بالعقد و أدلّة نفوذ التجارات؛ هو أنّ کلّ معاملة خارجیّة واجبة الوفاء و نافذة، فتلک الأدلّة متعرّضة لحال المعاملة بعد فرض وجودها، و بعد فرض کونها خارجیّة؛ ضرورة أنّ مفاهیمها بما هی هی لیست موضوعة لحکم إیجابیّ، و 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أدلّة تحریم القمار و الظهار و البیع الربویّ و غیرها؛ أنّ الطبیعة مورد التحریم و المنع و الزجر عن صیرورتها خارجیّة، فهی متکفّلة لمنع المکلّف عن إیجادها، و زجره عن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یمکن الجمع بین الدلیلین، فإنّ الدلیل الثانی فی موقف منع المکلّفین عن الإیجاد، و الدلیل الأوّل فی موقف إثبات الحکم علی الموجود الباقی ببقاء العوضین فی الاعتبار، فالدلیل الثانی یمنع عن الإنشاء و الإبراز، و الدلیل الأوّل متکفّل لحکم البارز و الموجود؛ بإیجاب ترتیب الآثار علیه الملازم للرضا بالسبب بعد وجوده و إن کان غیر راضٍ بإیجاد السبب، و لعلّ إلی ذلک یرجع ما فی بعض کلمات القوم </w:t>
      </w:r>
      <w:r>
        <w:rPr>
          <w:rStyle w:val="FootnoteAnchor"/>
          <w:rtl w:val="true"/>
        </w:rPr>
        <w:footnoteReference w:id="907"/>
      </w:r>
      <w:r>
        <w:rPr>
          <w:rFonts w:ascii="IRNazanin" w:hAnsi="IRNazanin" w:eastAsia="IRNazanin"/>
          <w:color w:val="111111"/>
          <w:sz w:val="28"/>
          <w:sz w:val="28"/>
          <w:szCs w:val="28"/>
          <w:rtl w:val="true"/>
          <w:lang w:bidi="fa-IR"/>
        </w:rPr>
        <w:t>، مع قصور فی تأدیة مرامهم،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بحسب الإمکان کما تحرّر، و لکن المراجعة إلی الأفهام العرفیّة فی درک القوانین الإلهیّة، تعطی أنّ المستفاد من قیاس أدلّة التحریم إلی أدلّة الإیجاب و التنفیذ؛ هو أنّ الشرع غیر الراضی بإحداث السبب و بإیجاد القمار، و أنّ الشرع الساخط علی البیع الربویّ، لا یکون سخطه و منعه منحصراً بالإیجاد و بمنع المکلّف عن الإتیان بها، بل الظاهر هو المانع عن الإیجاد و الوجود البقائیّ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قوّینا علی فرض تحریم التجسیم و التصویر، حرمة الاقتناء؛ قضاء لحقّ فهم العرف، و شهادة الوجدان بأنّ التفکیک أمر خارج عن حیطة الأفهام العادیّة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bookmarkStart w:id="710" w:name="pg13163_143266"/>
    </w:p>
    <w:p>
      <w:pPr>
        <w:pStyle w:val="BookText"/>
        <w:rPr/>
      </w:pPr>
      <w:bookmarkEnd w:id="710"/>
      <w:r>
        <w:rPr>
          <w:rFonts w:ascii="IRNazanin" w:hAnsi="IRNazanin" w:eastAsia="IRNazanin"/>
          <w:color w:val="111111"/>
          <w:sz w:val="28"/>
          <w:sz w:val="28"/>
          <w:szCs w:val="28"/>
          <w:rtl w:val="true"/>
          <w:lang w:bidi="fa-IR"/>
        </w:rPr>
        <w:t>نعم، مع اقتضاء القرینة نلتزم به، کما التزموا فی الظهار بأنّه حرام و نافذ</w:t>
      </w:r>
      <w:r>
        <w:rPr>
          <w:rStyle w:val="FootnoteAnchor"/>
          <w:rtl w:val="true"/>
        </w:rPr>
        <w:footnoteReference w:id="909"/>
      </w:r>
      <w:r>
        <w:rPr>
          <w:rFonts w:ascii="Amiri" w:hAnsi="Amiri" w:eastAsia="Amiri" w:cs="Amiri"/>
          <w:color w:val="111111"/>
          <w:sz w:val="28"/>
          <w:sz w:val="28"/>
          <w:szCs w:val="28"/>
          <w:rtl w:val="true"/>
          <w:lang w:bidi="ar-SA"/>
        </w:rPr>
        <w:t>، فافهم و اغتنم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کما یجب فی المثال المزبور کسر الصورة، و یحرم بیعها، و یکون باطلاً، کذلک الأمر فیما نحن فیه یکون البیع بوجوده البقائیّ، مبغوضاً و باطلاً فی محیط الشرع؛ و إن کان بیعاً فی حیطة اللغة و العرف،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صحّة المعاملة منوطة بالرضا فالأمر واضح؛ لسرایة مبغوضیّة الوجود الحدوثیّ إلی الوجود البقائیّ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الحاجة فی نفوذ المعاملة إلی الرضا المزبور، فکما یجب هناک کسر الصورة الخارجیّة التکوینیّة، یجب هنا فسخ الصورة البیعیّة الاعتباریّة؛ لأنّه موجود باقٍ و مبغوض للمولی، فلا بدّ من قلع مادّته</w:t>
      </w:r>
      <w:r>
        <w:rPr>
          <w:rFonts w:eastAsia="IRNazanin" w:cs="IRNazanin"/>
          <w:color w:val="111111"/>
          <w:sz w:val="28"/>
          <w:szCs w:val="28"/>
          <w:rtl w:val="true"/>
          <w:lang w:bidi="fa-IR"/>
        </w:rPr>
        <w:t>.</w:t>
      </w:r>
    </w:p>
    <w:p>
      <w:pPr>
        <w:pStyle w:val="Heading6"/>
        <w:numPr>
          <w:ilvl w:val="5"/>
          <w:numId w:val="1"/>
        </w:numPr>
        <w:rPr/>
      </w:pPr>
      <w:bookmarkStart w:id="711" w:name="__RefHeading___Toc534099_3244359995"/>
      <w:bookmarkStart w:id="712" w:name="_Toc267"/>
      <w:bookmarkEnd w:id="711"/>
      <w:r>
        <w:rPr>
          <w:rtl w:val="true"/>
        </w:rPr>
        <w:t>إعادة و إفادة</w:t>
      </w:r>
      <w:r>
        <w:rPr>
          <w:rtl w:val="true"/>
        </w:rPr>
        <w:t>:</w:t>
      </w:r>
      <w:bookmarkEnd w:id="712"/>
    </w:p>
    <w:p>
      <w:pPr>
        <w:pStyle w:val="BookText"/>
        <w:rPr/>
      </w:pPr>
      <w:r>
        <w:rPr>
          <w:rFonts w:ascii="IRNazanin" w:hAnsi="IRNazanin" w:eastAsia="IRNazanin"/>
          <w:color w:val="111111"/>
          <w:sz w:val="28"/>
          <w:sz w:val="28"/>
          <w:szCs w:val="28"/>
          <w:rtl w:val="true"/>
          <w:lang w:bidi="fa-IR"/>
        </w:rPr>
        <w:t xml:space="preserve">قضیّة ما سلف منّا فی کیفیّة استفادة الحکم الوضعیّ من النهی التحریمیّ </w:t>
      </w:r>
      <w:r>
        <w:rPr>
          <w:rStyle w:val="FootnoteAnchor"/>
          <w:rtl w:val="true"/>
        </w:rPr>
        <w:footnoteReference w:id="910"/>
      </w:r>
      <w:r>
        <w:rPr>
          <w:rFonts w:ascii="IRNazanin" w:hAnsi="IRNazanin" w:eastAsia="IRNazanin"/>
          <w:color w:val="111111"/>
          <w:sz w:val="28"/>
          <w:sz w:val="28"/>
          <w:szCs w:val="28"/>
          <w:rtl w:val="true"/>
          <w:lang w:bidi="fa-IR"/>
        </w:rPr>
        <w:t>اختصاص البطلان و الفساد بصورة یکون النهی فیها متعلّقاً بالحصة من المعاملة، حتّی یکون قابلاً للإرشاد إلی بیان قید فی العمومات و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النهی متعلّقاً بالطبیعة النوعیّة کالقمار و الظهار، فلا یمکن أن یکون کاشفاً عن قید فی العامّ و المطلق؛ لأنّ المفروض تعلّق النهی بجمیع الأفراد و بالطبیعة المطلقة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آیة الوفاء و دلیل الشرط</w:t>
      </w:r>
      <w:r>
        <w:rPr>
          <w:rStyle w:val="FootnoteAnchor"/>
          <w:rtl w:val="true"/>
        </w:rPr>
        <w:footnoteReference w:id="911"/>
      </w:r>
      <w:r>
        <w:rPr>
          <w:rFonts w:ascii="IRNazanin" w:hAnsi="IRNazanin" w:eastAsia="IRNazanin"/>
          <w:color w:val="111111"/>
          <w:sz w:val="28"/>
          <w:sz w:val="28"/>
          <w:szCs w:val="28"/>
          <w:rtl w:val="true"/>
          <w:lang w:bidi="fa-IR"/>
        </w:rPr>
        <w:t>بناءً علی دلالتهما، کما</w:t>
      </w:r>
      <w:bookmarkStart w:id="713" w:name="pg13163_143267"/>
    </w:p>
    <w:p>
      <w:pPr>
        <w:pStyle w:val="BookText"/>
        <w:rPr/>
      </w:pPr>
      <w:bookmarkEnd w:id="713"/>
      <w:r>
        <w:rPr>
          <w:rFonts w:ascii="IRNazanin" w:hAnsi="IRNazanin" w:eastAsia="IRNazanin"/>
          <w:color w:val="111111"/>
          <w:sz w:val="28"/>
          <w:sz w:val="28"/>
          <w:szCs w:val="28"/>
          <w:rtl w:val="true"/>
          <w:lang w:bidi="fa-IR"/>
        </w:rPr>
        <w:t>تکونان دالّتین علی وجوب الوفاء بکلّ فرد من العقود، تلازم نفوذ الطبیعة النوعیّة من الأفراد المتجمّعة تحت تلک الطبیعة، فیکون مثلاً القمار نافذاً؛ لأنّ الآیة إمّا لها العموم الأنواعیّ فالأمر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لها العموم الأفرادیّ فجمیع أفراد القمار إذا کانت صحیحة، یلزم کون القمار من المعاملات النافذة بما أنّها عقد، فإذا قام الدلیل علی حرمة القمار و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التحقیق من شمول آیة الوفاء بالعقد للإیقاع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یلزم تخصیص الآیة و الحدیث، و تکون النتیجة أنّ العقد غیر القماریّ واجب الوفاء، و الشرط غیر الظهاریّ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الظهار لقیام الدلیل الخاصّ، یؤخذ به من غیر لزوم الشبهة العقلیّة؛ و هی الجمع بین الضدّین؛ لما عرفت من اختلاف موضوعهما آنفاً، فلیتدبّر جیّداً</w:t>
      </w:r>
      <w:r>
        <w:rPr>
          <w:rFonts w:eastAsia="IRNazanin" w:cs="IRNazanin"/>
          <w:color w:val="111111"/>
          <w:sz w:val="28"/>
          <w:szCs w:val="28"/>
          <w:rtl w:val="true"/>
          <w:lang w:bidi="fa-IR"/>
        </w:rPr>
        <w:t>.</w:t>
      </w:r>
    </w:p>
    <w:p>
      <w:pPr>
        <w:pStyle w:val="Heading5"/>
        <w:numPr>
          <w:ilvl w:val="4"/>
          <w:numId w:val="1"/>
        </w:numPr>
        <w:rPr/>
      </w:pPr>
      <w:bookmarkStart w:id="714" w:name="__RefHeading___Toc534101_3244359995"/>
      <w:bookmarkStart w:id="715" w:name="_Toc268"/>
      <w:bookmarkEnd w:id="714"/>
      <w:r>
        <w:rPr>
          <w:rtl w:val="true"/>
        </w:rPr>
        <w:t>التنبیه الثانی</w:t>
      </w:r>
      <w:r>
        <w:rPr>
          <w:rtl w:val="true"/>
        </w:rPr>
        <w:t xml:space="preserve">: </w:t>
      </w:r>
      <w:r>
        <w:rPr>
          <w:rtl w:val="true"/>
        </w:rPr>
        <w:t>حول الاستدلال بالأخبار لدلالة النهی علی الفساد</w:t>
      </w:r>
      <w:bookmarkEnd w:id="715"/>
    </w:p>
    <w:p>
      <w:pPr>
        <w:pStyle w:val="Heading6"/>
        <w:numPr>
          <w:ilvl w:val="5"/>
          <w:numId w:val="1"/>
        </w:numPr>
        <w:rPr/>
      </w:pPr>
      <w:bookmarkStart w:id="716" w:name="__RefHeading___Toc534103_3244359995"/>
      <w:bookmarkStart w:id="717" w:name="_Toc269"/>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 xml:space="preserve">ربّما یستدلّ ببعض المآثیر الواردة فی نکاح العبید و الإماء فی الباب الرابع و العشرین علی اقتضاء النهی للفساد، و استتباعه للحکم الوضعیّ </w:t>
      </w:r>
      <w:r>
        <w:rPr>
          <w:rStyle w:val="FootnoteAnchor"/>
          <w:rtl w:val="true"/>
        </w:rPr>
        <w:footnoteReference w:id="912"/>
      </w:r>
      <w:r>
        <w:rPr>
          <w:rFonts w:ascii="IRNazanin" w:hAnsi="IRNazanin" w:eastAsia="IRNazanin"/>
          <w:color w:val="111111"/>
          <w:sz w:val="28"/>
          <w:sz w:val="28"/>
          <w:szCs w:val="28"/>
          <w:rtl w:val="true"/>
          <w:lang w:bidi="fa-IR"/>
        </w:rPr>
        <w:t>، و أمتنها دلالةً معتبر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عبده امرأة بغیر إذنه، فدخل بها، ثمّ اطلع علی ذلک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لمولاه؛ إن شاء فرّق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أصل النکاح کان عاصیا؟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أتی شیئاً حلالاً، و لیس بعاصٍ للَّه، و إنّما عصی سیّده،</w:t>
      </w:r>
    </w:p>
    <w:p>
      <w:pPr>
        <w:pStyle w:val="BookText"/>
        <w:rPr/>
      </w:pPr>
      <w:r>
        <w:rPr>
          <w:rFonts w:ascii="Amiri" w:hAnsi="Amiri" w:eastAsia="Amiri" w:cs="Amiri"/>
          <w:color w:val="111111"/>
          <w:sz w:val="28"/>
          <w:sz w:val="28"/>
          <w:szCs w:val="28"/>
          <w:rtl w:val="true"/>
          <w:lang w:bidi="ar-SA"/>
        </w:rPr>
        <w:t>و لم یعص اللَّه، إنّ ذلک لیس کإتیان ما حرّم اللَّه علیه من نکاح فی عدّة و أشباهه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ظاهراً فی أنّ ما کان محرّماً یکون فاسداً و باطلاً، و ما کان عصیاناً للَّه تعالی لا یمکن أن یکون أمره إلی غیر اللَّه تعالی، فلا حاجة إلی التمسّک بمفهوم القید</w:t>
      </w:r>
      <w:r>
        <w:rPr>
          <w:rStyle w:val="FootnoteAnchor"/>
          <w:rtl w:val="true"/>
        </w:rPr>
        <w:footnoteReference w:id="914"/>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یعص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قضیّة الذیل عدم اختصاص الحکم بباب النکاح، بخلاف المفهوم المستفاد من المعتبر الثانی لزرارة، المستدلّ به فی کلمات القوم و کتبهم، فإنّ 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مملوک تزوّج بغیر 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سیّده؛ إن شاء أجازه، و إن شاء فرّق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إنّ الحکم بن عُتَیبة و إبراهیم النخَعیّ و أصحابهما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أصل النکاح فاسد، و لا تحلّ إجازة السیّد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 اللَّه، و إنّما عصی سیّده، فإذا أجازه فهو له جائز</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تمامیّة الاستدلال منوطة بکون الاستدلال علی الطریقة الصحیحة، و قد کثر إلزامهم بما ألزموا به أنفسهم، و کأنّهم کانوا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ما کان معصیة للَّه یکون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لیس عصیان اللَّه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الکلام فی المفهوم طویل الذیل یأتی إن شاء اللَّه تعالی و مع عدم دلالته علی أنّ کلّ ما کان معصیة للَّه فهو فاسد إلاّ بإلغاء الخصوصیّة، و هو عن باب النکاح مشکل جدّاً</w:t>
      </w:r>
      <w:r>
        <w:rPr>
          <w:rFonts w:eastAsia="IRNazanin" w:cs="IRNazanin"/>
          <w:color w:val="111111"/>
          <w:sz w:val="28"/>
          <w:szCs w:val="28"/>
          <w:rtl w:val="true"/>
          <w:lang w:bidi="fa-IR"/>
        </w:rPr>
        <w:t>.</w:t>
      </w:r>
      <w:bookmarkStart w:id="718" w:name="pg13163_143269"/>
    </w:p>
    <w:p>
      <w:pPr>
        <w:pStyle w:val="BookText"/>
        <w:rPr/>
      </w:pPr>
      <w:bookmarkEnd w:id="718"/>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منها أنّ الکبری المذکورة فی کلامه علیه السلام مورد تصدیقه علیه السلام بل کانت من الکبریات المصدّق بها فی مرام ابن عُتیبة و أمثاله، و لکنّهم اشتبهوا فی صغراها، فذکّر مثلاً الإمام علیه السلام بالمناقشة الصغرویّة من غیر النّظر إلی صحّة الکبری و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و إن کان فی حدّ نفسه بعیداً، إلاّ أنّه بمناسبة المورد؛ و هی المحاجّة، مع ورود هذا النحو من الاستدلال فی مواقف أُخر، یکون احتمالاً قابلاً لإسقاط الاستدلال</w:t>
      </w:r>
      <w:r>
        <w:rPr>
          <w:rFonts w:eastAsia="IRNazanin" w:cs="IRNazanin"/>
          <w:color w:val="111111"/>
          <w:sz w:val="28"/>
          <w:szCs w:val="28"/>
          <w:rtl w:val="true"/>
          <w:lang w:bidi="fa-IR"/>
        </w:rPr>
        <w:t>.</w:t>
      </w:r>
    </w:p>
    <w:p>
      <w:pPr>
        <w:pStyle w:val="Heading6"/>
        <w:numPr>
          <w:ilvl w:val="5"/>
          <w:numId w:val="1"/>
        </w:numPr>
        <w:rPr/>
      </w:pPr>
      <w:bookmarkStart w:id="719" w:name="__RefHeading___Toc534105_3244359995"/>
      <w:bookmarkStart w:id="720" w:name="_Toc270"/>
      <w:bookmarkEnd w:id="719"/>
      <w:r>
        <w:rPr>
          <w:rtl w:val="true"/>
        </w:rPr>
        <w:t>أوهام و اندفاعات</w:t>
      </w:r>
      <w:r>
        <w:rPr>
          <w:rtl w:val="true"/>
        </w:rPr>
        <w:t xml:space="preserve">: </w:t>
      </w:r>
      <w:r>
        <w:rPr>
          <w:rtl w:val="true"/>
        </w:rPr>
        <w:t>حول الأخبار السابقة</w:t>
      </w:r>
      <w:bookmarkEnd w:id="72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یتوجّه إلی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معتبر منصور بن حازم، عن أبی عبد اللَّه علیه السلام فی مملوک تزوّج بغیر إذن مولاه، أعاص 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عاص لمولاه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التزویج بغیر الإذن لیس معصیةً للمولی؛ لأنّ المعصیة هی مخالفة الأمر أو النهی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التصرّف الممنوع؛ لأنّه من التصرّف فی سلطان المولی و مال المولی، و هو ممنوع إلاّ مع الإذن، و مع الشکّ فی ذلک أیضا یکون ممنوعاً، فلا بدّ من الإذن </w:t>
      </w:r>
      <w:r>
        <w:rPr>
          <w:rStyle w:val="FootnoteAnchor"/>
          <w:rtl w:val="true"/>
        </w:rPr>
        <w:footnoteReference w:id="917"/>
      </w:r>
      <w:r>
        <w:rPr>
          <w:rFonts w:ascii="IRNazanin" w:hAnsi="IRNazanin" w:eastAsia="IRNazanin"/>
          <w:color w:val="111111"/>
          <w:sz w:val="28"/>
          <w:sz w:val="28"/>
          <w:szCs w:val="28"/>
          <w:rtl w:val="true"/>
          <w:lang w:bidi="fa-IR"/>
        </w:rPr>
        <w:t>، فهی لو کانت مسموعة بحسب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مسموعة بحسب الصغری؛ لما تقرّر فی مباحث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التصرّفات</w:t>
      </w:r>
    </w:p>
    <w:p>
      <w:pPr>
        <w:pStyle w:val="BookText"/>
        <w:rPr/>
      </w:pPr>
      <w:r>
        <w:rPr>
          <w:rFonts w:ascii="IRNazanin" w:hAnsi="IRNazanin" w:eastAsia="IRNazanin"/>
          <w:color w:val="111111"/>
          <w:sz w:val="28"/>
          <w:sz w:val="28"/>
          <w:szCs w:val="28"/>
          <w:rtl w:val="true"/>
          <w:lang w:bidi="fa-IR"/>
        </w:rPr>
        <w:t>الناقلة لیست من المحرّمات الشرعیّة</w:t>
      </w:r>
      <w:r>
        <w:rPr>
          <w:rStyle w:val="FootnoteAnchor"/>
          <w:rtl w:val="true"/>
        </w:rPr>
        <w:footnoteReference w:id="918"/>
      </w:r>
      <w:r>
        <w:rPr>
          <w:rFonts w:ascii="IRNazanin" w:hAnsi="IRNazanin" w:eastAsia="IRNazanin"/>
          <w:color w:val="111111"/>
          <w:sz w:val="28"/>
          <w:sz w:val="28"/>
          <w:szCs w:val="28"/>
          <w:rtl w:val="true"/>
          <w:lang w:bidi="fa-IR"/>
        </w:rPr>
        <w:t>و ذلک إمّا لأجل أنّها لیست تصرّفاً، أو یکون دلیل التحریم منصرفاً عنها، و أمّا حرکات اللسان و الفم فهی أیضا کذلک بالضرورة، ففی نفس هذه الأخبار و هن یشکل معه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بناء العرف و العقلاء و عادة الناس؛ حتّی فی الأبناء و الآباء، بل و الأصدقاء، علی اطلاع الأکابر فی أمر التزویج، و یعدّ ذلک من الأعمال المدانة بین الناس، و غیر الصحیحة، فعندئذٍ یکون فی التزویج بغیر إذن السیّد توهین بالنسبة إلیه، و هذا غیر جائز، و یعدّ معصیة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 بغیر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التزویج فی مورد کان یعلم العبد بعدم رضا سیّده، و أنّ المتبادر من السؤال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یحمل قوله علیه السلام فی ذیل خبر ابن حازم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أنّه حرام، و قل له أن لا یفعل إلاّ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فالنهی عن إتیان کلّ شی‌ء إلاّ بإذنه، محمول علی کلّ شی‌ء یکون بحسب المتعارف داخلاً فی حدود سلطان السیّد، لا مثل التکلّم و الدعاء و التنفّس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یتوهّم فی بادئ النّظر أنّ فی هذه الأخبار نوع مناقضة؛ و ذلک لأنّ مخالفة السیّد عصیان اللَّه تعالی، ففی النکاح فی العدّة عصیان اللَّه تعالی، کما یکون فی نکاح العبد بغیر إذنه عصیانه بلا فرق، مع أنّها متضمّنة لنفی العصیان فی الثانی، و إثباته فی الأوّل، و الوجه واضح؛ ضرورة أنّ إطاعة السیّد واجبة، و عصیانه محرّم إلهی، و لذلک قال فی ذیل خبر ابن حازم ما قال، کما مرّ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الفرار من هذه الشبهة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هذه الأخبار تدلّ علی أنّ</w:t>
      </w:r>
    </w:p>
    <w:p>
      <w:pPr>
        <w:pStyle w:val="BookText"/>
        <w:rPr/>
      </w:pPr>
      <w:r>
        <w:rPr>
          <w:rFonts w:ascii="IRNazanin" w:hAnsi="IRNazanin" w:eastAsia="IRNazanin"/>
          <w:color w:val="111111"/>
          <w:sz w:val="28"/>
          <w:sz w:val="28"/>
          <w:szCs w:val="28"/>
          <w:rtl w:val="true"/>
          <w:lang w:bidi="fa-IR"/>
        </w:rPr>
        <w:t>النهی التحریمیّ یدلّ علی الصحّة، و أنّ هذه الروایات تشهد علی استتباع النهی للصحّة</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 xml:space="preserve">کما یأتی عن أبی حنیفة و غیره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العصیان المنفیّ عن العبد؛ هی مخالفة عمله للقانون الشرعیّ فی الحکم الوضعیّ، فیکون مفاد کلامه علیه السلام هو أنّ العبد فی نکاحه بغیر إذن سیّده، لم یأتِ بمعاملة غیر مشروعة، و أنّ تصرّفه فی نفسه بالنکاح بغیر إذن سیّده، لا یبطل مشروعیّة المعاملة التی 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نفوذ هذه المعاملة و لزومها فی حقّ العبد، متوقّف علی رضا سیّده بها؛ لأنّها معاملة أجراها فی مال غیره، فیکون عصیان العبد للنهی التکلیفیّ، غیرَ ضارّ بمشروعیّة النکاح الّذی أوقعه بغیر إذن سیّده، و ذلک یدلّ علی أنّ عصیان النهی المولویّ فی المعاملة المشروعیة، لا یوجب فسادها و عدم مشروعیّتها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عصیان اللَّه موجباً للفساد، لکان معاملة العبد و نکاحه باطلاً و فاسداً؛ لأنّه عصیان اللَّه تعالی، فیعلم منه أنّ الفساد لیس تحت العصیان للَّه، بل هو تحت الأمر الآخر؛ و هو عدم إمضائه تعالی إیّاه، فکلّ معاملة کانت ممّا شرعها اللَّه تعالی تکون صحیحة بالضرورة و إن کانت عصیاناً له تعالی، و کلّ معاملة کانت غیر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کنکاح المحارم و النکاح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باطلة؛ سواء کانت محرّمة أیضا تکلیفاً، أم کانت محرّمة تشریعاً، أو لم تکن بمحرّمة رأساً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فی تزویجه لم یعص اللَّه تعالی، لأنّه لیس متصرّفاً فی سلطان اللَّه تعالی بالتشریع، و لیس متدخّلاً فی منطقة نفوذه و قدرته التشریعیّة، و إنّما عصی سیّده؛ لأنّه متدخّل فی سلطانه و حدود مملکته</w:t>
      </w:r>
    </w:p>
    <w:p>
      <w:pPr>
        <w:pStyle w:val="BookText"/>
        <w:rPr/>
      </w:pPr>
      <w:r>
        <w:rPr>
          <w:rFonts w:ascii="IRNazanin" w:hAnsi="IRNazanin" w:eastAsia="IRNazanin"/>
          <w:color w:val="111111"/>
          <w:sz w:val="28"/>
          <w:sz w:val="28"/>
          <w:szCs w:val="28"/>
          <w:rtl w:val="true"/>
          <w:lang w:bidi="fa-IR"/>
        </w:rPr>
        <w:t>الوهمیّة، و أمّا فی تزویج المحارم فعاصٍ للَّه؛ لأنّه متدخّل فی حدود سلطانه، و متصرّف فی حدّ اختیاره التشریعیّ، و بهذا تنحلّ المشکلة المزبورة، و تنسدّ أبواب أُخر متوجّهة إلی تقاریب القوم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التقریب المزبور عدم دلالة النهی علی شی‌ء، و أنّ التحریم یجتمع مع الصحّة، و أمّا دلالة الروایات علی استتباع النهی للصحّة فهی ممنوعة،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المراجعة إلی أخبار المسألة، تعطی أنّ هذه الأخبار متکفّلة لإفادة أنّ المعاملة المحرّمة شرعاً، و المعاملة التی هی عصیان اللَّه، تکون فاسدة، و فیها شواهد ظاهرة جدّاً فی أنّ عصیان اللَّه تکلیفاً المنتزع عن إتیان الفعل المحرّم شرعاً، لا یجتمع مع الصحّة، و تکون المعاملة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ذلک لیس کإتیان ما حرّم اللَّه علیه؛ من نکاح فی 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الظاهر منه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الظاهر منه أنّ الحرمة هی الحرمة التکلیفیّة المستتبعة للعصیان ذاتاً، کسائر المحرّمات الإلهیّة، دون الحرمة التشریعیّة، و دون أن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التدخّل فی سلطانه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 بل العنوان المحرّم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لم یکن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فلا یستتبع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حازم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هو؟</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أنّه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النکاح لیس محرّماً تکلیفاً و بعنوانه الذاتیّ</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عصی سیّده، و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عصیانه للَّه، لیس إلاّ لأجل إتیانه بالنکاح المحلّل، لا لأجل عدم تدخّله فی السلطان، مع أنّ</w:t>
      </w:r>
    </w:p>
    <w:p>
      <w:pPr>
        <w:pStyle w:val="BookText"/>
        <w:rPr/>
      </w:pPr>
      <w:r>
        <w:rPr>
          <w:rFonts w:ascii="IRNazanin" w:hAnsi="IRNazanin" w:eastAsia="IRNazanin"/>
          <w:color w:val="111111"/>
          <w:sz w:val="28"/>
          <w:sz w:val="28"/>
          <w:szCs w:val="28"/>
          <w:rtl w:val="true"/>
          <w:lang w:bidi="fa-IR"/>
        </w:rPr>
        <w:t>التدخّل فی سلطان اللَّه التشریعیّ لیس من المحرّمات، بل المحرّم هو التشریع، و من الممکن الإتیان بما لم یشرّعه اللَّه تعالی برجاء الحلّیة، من غیر أن یرتّب علیه الأثر، فتدبّر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القائلین بأنّ هذه الأخبار ناظرة إلی تلک المقالة، معتقدون بأنّ الأظهر هو أنّ العبد لیس بعاص للَّه فی تزویجه، و إنّما عصی سیّده بالنسبة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إذا أتی بنکاح المحارم یکون عاصیاً للَّه، فیکون باطلا، و لکنّهم لأجل الشبهة المزبورة وقعوا فی هذه المخمصة، و لو انحلّت الشبهة فالأخذ بذلک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 منّا فی بحوث الاجتماع و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المآثیر راجعة إلی مسألة الاجتماع و الامتناع، و ذکرنا هناک أنّ زرارة و ابن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للحکم ابن عُتَیبة و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یقولان بالامتناع، فکانا یریان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السیّد و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شرعاً، و النکاح المزبور محقّق العصیان، و محقّق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النکاح أیضا محرّماً، غافلین عن أنّ ما هو المحرّم بالذات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عرضیّ بالنسبة إلی النکاح الخارجیّ، و ما هو المحلّل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ذاتیّ بالنسبة إلی ما فی الخارج، و بین العنوانین عموم من وجه، و الإمام علیه السلام بصدد بیان أنّ حرمة مخالفة السیّد أجنبیّة عن أصل النکاح؛ فإنّه فی أصل الشرع محلّل، و یشهد لذلک شواهد أُخر، فراجع تلک المسألة</w:t>
      </w:r>
      <w:r>
        <w:rPr>
          <w:rStyle w:val="FootnoteAnchor"/>
          <w:rtl w:val="true"/>
        </w:rPr>
        <w:footnoteReference w:id="923"/>
      </w:r>
      <w:r>
        <w:rPr>
          <w:rFonts w:ascii="Amiri" w:hAnsi="Amiri" w:eastAsia="Amiri" w:cs="Amiri"/>
          <w:color w:val="111111"/>
          <w:sz w:val="28"/>
          <w:sz w:val="28"/>
          <w:szCs w:val="28"/>
          <w:rtl w:val="true"/>
          <w:lang w:bidi="ar-SA"/>
        </w:rPr>
        <w:t>تعرف إن شاء اللَّه تعالی</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شهادتها علی جواز الاجتماع، و علی جواز اجتماع العنوانین الذاتیّ و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علی جواز اجتماع عنوانین؛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 و الآخر انتزاعیّ، و یکون من العناوین التولیدیّة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الوهم الأخیر المتوجّه إلی الاستدلال؛ و هو أنّ المقصود من الاستدلال بالأخبار فی أمثال المقام، لیس تحدید المقتضیات، و تعیین الحدود للمفاهیم العرفیّة و اللغویّة، فإنّ ذلک خارج عن حیطة التعبّد المقصود؛ و هو الاستشهاد بالأدلّة التعبّدیة لتقریب ما یستظهر من البناءات العقلائیّة، أو ما یقتضیه العقل النظریّ، فعلی هذا إذا کانت الروایة مورد المناقشة عقلاً لا یمکن التعبّد بها، و تسقط عن الاستدلال و الاستشهاد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العقلیّة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النهی لا یعقل أن یکون مستتبعاً للحکم الوضعیّ و هو الفساد، بل هو یستتبع الصحّة و الإجزاء؛ و ذلک لأنّ الأوامر و النواهی التکلیفیّة الإلهیّة و غیر الإلهیّة، لا تعقل إلاّ فی موقف قدرة المکلّفین علی الطبیعة المأمور بها، أو المنهیّ عنها، و إلاّ تلزم اللغویّة الظاهرة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فالنهی التحریمیّ عن النکاح و المعاملة، شاهد علی قدرة العبد علی النکاح و المعاملة خارجاً، و شاهد علی تمکّن العبد من الإتیان بتلک المعاملة، و إذا کانت المعاملة الخارجیّة مقدورة، فلا بدّ و أن تکون صحیحة، و إلاّ فلا معنی للنهی عنها، فالتعبّد بالمسألة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قیام هذه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جائز، بل لازمها هو التعبّد بنقیض المطلوب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 الإشکال المنسوب إلی أبی حنیفة و الشیبانیّ و یظهر عدم اختصاصه بالمعاملات؛ لأنّ العبادة المنهیّة أیضا لا بدّ و أن تکون مقدورة للعبد حتّی یصحّ النهی عنها، فالنهی فیها أیضا یشهد علی الصحّة و إمکان تحقّقها الملازم للإجزاء، و قد تعرّض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الشبهة بشکل مستقلّ </w:t>
      </w:r>
      <w:r>
        <w:rPr>
          <w:rStyle w:val="FootnoteAnchor"/>
          <w:rtl w:val="true"/>
        </w:rPr>
        <w:footnoteReference w:id="924"/>
      </w:r>
      <w:r>
        <w:rPr>
          <w:rFonts w:ascii="IRNazanin" w:hAnsi="IRNazanin" w:eastAsia="IRNazanin"/>
          <w:color w:val="111111"/>
          <w:sz w:val="28"/>
          <w:sz w:val="28"/>
          <w:szCs w:val="28"/>
          <w:rtl w:val="true"/>
          <w:lang w:bidi="fa-IR"/>
        </w:rPr>
        <w:t>، و لکنّنا تعرّضنا بشکل آخر کما عرفت، و 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یتوجّه إلی هذه المقالة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لو کان ناشئاً عن اللغویّة محضاً فهو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لیس حینئذ لغواً؛ لأنّ أثره التعجیز التکوینیّ؛ و ذلک لأنّ الطبیعة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مقدورة، بل و صحیحة؛ لشمول العمومات إیّاها، فإذا توجّه النهی صار العبد عاجزاً به؛ لأنّ ما یأتی به یکون فاسداً بذلک النهی، لا بالأمر الآخر حسب المفروض،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لیس إلاّ لتوصّل المولی إلی منع العبد عن إیجاد الطبیعة، و إذا توصّل المولی إلی تعجیزه التکوینیّ بالنهی، فهو أولی به من النهی الّذی هو الداعی، و الإرادة الزاجرة فی جمیع الأحیان باقیة؛ لأجل ما یری المولی فیها من الخیر الکثیر، و هو تعجیزه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فی وجه تشبه مسألة الأوامر الامتحانیّة، التی لیس الداعی فیها إلاّ ما یرجع إلی حدود الجعل، دون المجعول، و المأمور به و المنهیّ هنا بداعی أنّ نفس النهی مورد الداعی،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تکون بشکل المنفصلة الحقیقیّة؛ و هی أنّ الطبیعة المنهیّة إمّا تکون مقدورة، أو متعذّرة، فإن کانت مقدورة فهو المطلوب، و إن کانت متعذّرة فیلزم الخلف؛ لما یلزم أن لا تکون منهیّة، و حیث إنّها منهیّة فلا تکون متعذّرة، أو و لأنّها لیست متعذّرة فهی منهیّة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الاحتمال الثالث حتّی لا یکون النهی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أنّها تکون مقدورة، و المولی یتوصّل إلی تعجیز العبد بالنهی، و یتمکّن حینئذٍ من ترشیح الإرادة الجدّیة الزاجرة، و تکون علی هذا، الأخبار الدالّة علی استتباع النهی التحریمیّ للفساد، سالمة من الوهن المزبور؛ و هی لغویّة النهی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کون المنهیّ بعد النهی التکلیفیّ فی المعاملات کلّها و فی</w:t>
      </w:r>
    </w:p>
    <w:p>
      <w:pPr>
        <w:pStyle w:val="BookText"/>
        <w:rPr/>
      </w:pPr>
      <w:r>
        <w:rPr>
          <w:rFonts w:ascii="Amiri" w:hAnsi="Amiri" w:eastAsia="Amiri" w:cs="Amiri"/>
          <w:color w:val="111111"/>
          <w:sz w:val="28"/>
          <w:sz w:val="28"/>
          <w:szCs w:val="28"/>
          <w:rtl w:val="true"/>
          <w:lang w:bidi="ar-SA"/>
        </w:rPr>
        <w:t>العبادات الذاتیّة متعذّراً؛ 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المعاملات، فلأنّ ما هو المنهیّ هی المعاملات الرائجة العرفیّة المتعارفة الخارجیّة بین العقلاء، و تلک العناوین قابلة للوجود قبل النهی و بعده بالضرورة، و یکون المتخلّف عاصیاً و فاسقا، کما إذا أتی بسائر المحارم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الشرع بعد هذا التحریم حرّم 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ترتیب الآثار علیها، و قد مضی أنّ تصرّفات الشرع فی حدود المعاملات لا تزید علی ذلک، و لا یلزم من تصرّفاته فی توسعة القیود و تضییقها، توسعة المفهوم اللغویّ و العرفیّ بالضرورة</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الممتنع هو أن یکون المحرّم بالتحریم الشرعیّ، المعاملة التی هی صحیحة عرفاً و نافذة شرعاً، و مع ذلک تکون فاسدة بالنهی التحریمیّ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هو مورد التحریم هنا، فهو عین ما هو مورد التحریم فی سائر المحرّمات؛ و هی الطبائع العرفیّة، فکما أنّ المحرّم هو طبیعة شرب الخمر فی نظر العرف، کذلک الأمر فی تحریم بیع الزیادة و القرض الربویّ و الإجارة بالأکثر و هکذا، فلا یلزم التخلّف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العبادات الذاتیّة، فمقدوریّتها واضحة، و قد کانت الأعراب یعبدون الأوثان و الأصنام، فحرّم اللَّه تعالی علیهم عبادتها، و هی مقدورة قبله و بعده بالضرورة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العبادات التی تکون عبادیّتها بالأمر، مورد الإشکال علینا و علی أبی حنیفة؛ و ذلک لأنّ أبا حنیفة و غیره یعلم بامتناع اجتماع الأمر و النهی فی المتعلّق الواحد، و علی هذا إذا کان النهی متعلّقاً بالعبادة المتقوّمة بالأمر، یلزم اجتماعهما، فلا یکون النهی دلیلاً علی الصحّة؛ لامتناع تحقّقه و تعانقه مع الأمر رأساً، لأنّ أصحابنا فرضوا أنّ النهی فی العبادات موجب للفساد، مع أنّه لا یعقل</w:t>
      </w:r>
      <w:bookmarkStart w:id="721" w:name="pg13163_143277"/>
    </w:p>
    <w:p>
      <w:pPr>
        <w:pStyle w:val="BookText"/>
        <w:rPr/>
      </w:pPr>
      <w:bookmarkEnd w:id="721"/>
      <w:r>
        <w:rPr>
          <w:rFonts w:ascii="IRNazanin" w:hAnsi="IRNazanin" w:eastAsia="IRNazanin"/>
          <w:color w:val="111111"/>
          <w:sz w:val="28"/>
          <w:sz w:val="28"/>
          <w:szCs w:val="28"/>
          <w:rtl w:val="true"/>
          <w:lang w:bidi="fa-IR"/>
        </w:rPr>
        <w:t>فرض النهی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 بما لا مزید علیه فیما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المفروضة هی التی لو لا النهی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لتعلّق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r>
        <w:rPr>
          <w:rStyle w:val="FootnoteAnchor"/>
          <w:rtl w:val="true"/>
        </w:rPr>
        <w:footnoteReference w:id="926"/>
      </w:r>
      <w:r>
        <w:rPr>
          <w:rFonts w:ascii="IRNazanin" w:hAnsi="IRNazanin" w:eastAsia="IRNazanin"/>
          <w:color w:val="111111"/>
          <w:sz w:val="28"/>
          <w:sz w:val="28"/>
          <w:szCs w:val="28"/>
          <w:rtl w:val="true"/>
          <w:lang w:bidi="fa-IR"/>
        </w:rPr>
        <w:t xml:space="preserve">، و لا نعنی من الفساد عند طروّ النهی أنّ النهی المتعلّق بها یستتبع الفساد؛ و لو کان لأجل مضادّة النهی مع الأمر، فإذا زال الأمر لأقوائیّة دلیل النهی و أحقّیته، تکون العبادة باطلة و إن کان البطلان مستنداً إلی فقد الأمر، لا إلی الجهة العارضة و هی المبغوضیّة؛ حتّی یقال بما یقال فی محلّه، و قد أوضحنا المسألة فی بعض البحوث الماضیة، و فی تنبیهات المقام الأوّل </w:t>
      </w:r>
      <w:r>
        <w:rPr>
          <w:rStyle w:val="FootnoteAnchor"/>
          <w:rtl w:val="true"/>
        </w:rPr>
        <w:footnoteReference w:id="927"/>
      </w:r>
      <w:r>
        <w:rPr>
          <w:rFonts w:ascii="IRNazanin" w:hAnsi="IRNazanin" w:eastAsia="IRNazanin"/>
          <w:color w:val="111111"/>
          <w:sz w:val="28"/>
          <w:sz w:val="28"/>
          <w:szCs w:val="28"/>
          <w:rtl w:val="true"/>
          <w:lang w:bidi="fa-IR"/>
        </w:rPr>
        <w:t>، فراجع و تأمّل</w:t>
      </w:r>
      <w:r>
        <w:rPr>
          <w:rFonts w:eastAsia="IRNazanin" w:cs="IRNazanin"/>
          <w:color w:val="111111"/>
          <w:sz w:val="28"/>
          <w:szCs w:val="28"/>
          <w:rtl w:val="true"/>
          <w:lang w:bidi="fa-IR"/>
        </w:rPr>
        <w:t>.</w:t>
      </w:r>
    </w:p>
    <w:p>
      <w:pPr>
        <w:pStyle w:val="Heading6"/>
        <w:numPr>
          <w:ilvl w:val="5"/>
          <w:numId w:val="1"/>
        </w:numPr>
        <w:rPr/>
      </w:pPr>
      <w:bookmarkStart w:id="722" w:name="__RefHeading___Toc534107_3244359995"/>
      <w:bookmarkStart w:id="723" w:name="_Toc271"/>
      <w:bookmarkEnd w:id="722"/>
      <w:r>
        <w:rPr>
          <w:rtl w:val="true"/>
        </w:rPr>
        <w:t>تذنیب</w:t>
      </w:r>
      <w:bookmarkEnd w:id="723"/>
    </w:p>
    <w:p>
      <w:pPr>
        <w:pStyle w:val="BookText"/>
        <w:rPr/>
      </w:pPr>
      <w:r>
        <w:rPr>
          <w:rFonts w:ascii="IRNazanin" w:hAnsi="IRNazanin" w:eastAsia="IRNazanin"/>
          <w:color w:val="111111"/>
          <w:sz w:val="28"/>
          <w:sz w:val="28"/>
          <w:szCs w:val="28"/>
          <w:rtl w:val="true"/>
          <w:lang w:bidi="fa-IR"/>
        </w:rPr>
        <w:t>ربّما یخطر بالبال أنّ هذه الشبهة من أبناء العامّة، کانت فی قبال الروایات المزبورة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التحریمیّ یلازم الفساد، و أنّهم کانوا بصدد المناقشة العقلیّة فی صحّة هذه القاعدة الشرعیّة المستفادة من کلام الباقرین علیهما السلام کما کان دأبهم ذلک، و حیث قد تبیّن فساد الشبهة تبیّنت صحّة الاستدلال بالروایة، و إمکان التعبّد بها فی موارد النهی عن المعاملة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أن یقول؛ المقصود من الشبهة المزبورة إفادة أنّ الظاهر من النواهی التحریمیّة، کون النهی معتبرا و نافذاً عند المحرّم و المقنّن، فکما أنّ الظاهر من تحریم الخمر؛ أنّ المقنن یعتقد بأنّ ارتکابه ممکن فنهی عنه، کذلک الأمر هنا، و هذا هو المنصرف العرفیّ من تلک النواهی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النواهی الإرشادیّة، فإنّها لیست إلاّ إعلاماً بشرطیّة الصحّة و النفوذ</w:t>
      </w:r>
      <w:bookmarkStart w:id="724" w:name="pg13163_143278"/>
    </w:p>
    <w:p>
      <w:pPr>
        <w:pStyle w:val="BookText"/>
        <w:rPr/>
      </w:pPr>
      <w:bookmarkEnd w:id="724"/>
      <w:r>
        <w:rPr>
          <w:rFonts w:ascii="IRNazanin" w:hAnsi="IRNazanin" w:eastAsia="IRNazanin"/>
          <w:color w:val="111111"/>
          <w:sz w:val="28"/>
          <w:sz w:val="28"/>
          <w:szCs w:val="28"/>
          <w:rtl w:val="true"/>
          <w:lang w:bidi="fa-IR"/>
        </w:rPr>
        <w:t>بعدم المنهیّ، أو إلی مانعیّة المنهیّ عن الوجود، من غیر کون المتکلّم فی موقف إفادة إمکان تحقّق المعاملة بدون المنهیّ، بل غایة ما یستفاد منها هو أنّ الموضوع لدلیل النفوذ، هی المعاملة الواجدة للقید الکذائیّ، أو الفاقدة لکذا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النهی التحریمیّ الزاجر عن الطبیعة، دالاًّ علی أنّ الناهی یجد أنّ مبغوضه یوجد، فمنع القوم عنه حتّی لا یوجد ما یراه مبغوضاً؛ و هو البیع النافذ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تندفع الشبهة علی هذا بما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حتّی لو سلّمنا الاستظهار المزبور، و لکنّه بمعزل عن التحقیق فی محیط المعاملات و المرکّبات؛ لما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النواهی التحریمیّة تفید الحرمة التکلیفیّة و الوضعیّة معاً؛ حسب القواعد العرفیّة و الأفهام العقلائیّة، و یکون النهی عن البیع الکذائیّ مخصّصاً لدلیل الوفاء بالعقد، و مفیداً لحرمته تکلیفاً</w:t>
      </w:r>
      <w:r>
        <w:rPr>
          <w:rStyle w:val="FootnoteAnchor"/>
          <w:rtl w:val="true"/>
        </w:rPr>
        <w:footnoteReference w:id="928"/>
      </w:r>
      <w:r>
        <w:rPr>
          <w:rFonts w:ascii="IRNazanin" w:hAnsi="IRNazanin" w:eastAsia="IRNazanin"/>
          <w:color w:val="111111"/>
          <w:sz w:val="28"/>
          <w:sz w:val="28"/>
          <w:szCs w:val="28"/>
          <w:rtl w:val="true"/>
          <w:lang w:bidi="fa-IR"/>
        </w:rPr>
        <w:t>، و علی هذا لا تصل النوبة إلی الاستدلال المزبور بالضرورة</w:t>
      </w:r>
      <w:r>
        <w:rPr>
          <w:rFonts w:eastAsia="IRNazanin" w:cs="IRNazanin"/>
          <w:color w:val="111111"/>
          <w:sz w:val="28"/>
          <w:szCs w:val="28"/>
          <w:rtl w:val="true"/>
          <w:lang w:bidi="fa-IR"/>
        </w:rPr>
        <w:t>.</w:t>
      </w:r>
    </w:p>
    <w:p>
      <w:pPr>
        <w:pStyle w:val="Heading6"/>
        <w:numPr>
          <w:ilvl w:val="5"/>
          <w:numId w:val="1"/>
        </w:numPr>
        <w:rPr/>
      </w:pPr>
      <w:bookmarkStart w:id="725" w:name="__RefHeading___Toc534109_3244359995"/>
      <w:bookmarkStart w:id="726" w:name="_Toc272"/>
      <w:bookmarkEnd w:id="725"/>
      <w:r>
        <w:rPr>
          <w:rtl w:val="true"/>
        </w:rPr>
        <w:t>تتمیم</w:t>
      </w:r>
      <w:r>
        <w:rPr>
          <w:rtl w:val="true"/>
        </w:rPr>
        <w:t xml:space="preserve">: </w:t>
      </w:r>
      <w:r>
        <w:rPr>
          <w:rtl w:val="true"/>
        </w:rPr>
        <w:t xml:space="preserve">حول مختار </w:t>
      </w:r>
      <w:r>
        <w:rPr>
          <w:rtl w:val="true"/>
        </w:rPr>
        <w:t>«</w:t>
      </w:r>
      <w:r>
        <w:rPr>
          <w:rtl w:val="true"/>
        </w:rPr>
        <w:t>الکفایة</w:t>
      </w:r>
      <w:r>
        <w:rPr>
          <w:rtl w:val="true"/>
        </w:rPr>
        <w:t>»</w:t>
      </w:r>
      <w:bookmarkEnd w:id="726"/>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أنّه فی المعاملات کذلک إذا کان عن المسبّب أو التسبیب؛ لاعتبار القدرة فی متعلّق النهی کالأمر، و لا یکاد یقدر علیهما إلاّ فیما کانت المعاملة صحیحة، و أمّا إذا کان عن السبب فلا؛ لکونه مقدوراً و إن لم یکن صحیحاً</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بأیّ شی‌ء تعلّق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تعلّق بالآثار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یستتبع الفساد و عدمَ الإجزاء</w:t>
      </w:r>
      <w:r>
        <w:rPr>
          <w:rStyle w:val="FootnoteAnchor"/>
          <w:rtl w:val="true"/>
        </w:rPr>
        <w:footnoteReference w:id="930"/>
      </w:r>
      <w:r>
        <w:rPr>
          <w:rFonts w:ascii="IRNazanin" w:hAnsi="IRNazanin" w:eastAsia="IRNazanin"/>
          <w:color w:val="111111"/>
          <w:sz w:val="28"/>
          <w:sz w:val="28"/>
          <w:szCs w:val="28"/>
          <w:rtl w:val="true"/>
          <w:lang w:bidi="fa-IR"/>
        </w:rPr>
        <w:t>، و إذا کان السبب مقدوراً بالوجه الّذی</w:t>
      </w:r>
      <w:bookmarkStart w:id="727" w:name="pg13163_143279"/>
    </w:p>
    <w:p>
      <w:pPr>
        <w:pStyle w:val="BookText"/>
        <w:rPr/>
      </w:pPr>
      <w:bookmarkEnd w:id="727"/>
      <w:r>
        <w:rPr>
          <w:rFonts w:ascii="IRNazanin" w:hAnsi="IRNazanin" w:eastAsia="IRNazanin"/>
          <w:color w:val="111111"/>
          <w:sz w:val="28"/>
          <w:sz w:val="28"/>
          <w:szCs w:val="28"/>
          <w:rtl w:val="true"/>
          <w:lang w:bidi="fa-IR"/>
        </w:rPr>
        <w:t>اعتقده، فلا محالة التسبّب بهذا السبب المقدور أیضا مقدور، و مسبّب هذا السبب أیضا مقدور؛ لامتناع التفکیک، و لا وجه لکون النهی عن السبب منصرفاً إلی ما هو السبب العرفیّ، و عن التسبّب و المسبّب ما هو الشرعیّ منهما، حتّی لا یکون مقدوراً، بل الکلّ من باب واحد و واد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 المسبّب و التسبّب مردّد بین الوجود و العدم، دون السبب، فإنّه یوصف بالفساد و المبغوضیّة، فهو أیضا غیر تامّ؛ لما عرفت فی المعاملات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8" w:name="__RefHeading___Toc534111_3244359995"/>
      <w:bookmarkStart w:id="729" w:name="_Toc273"/>
      <w:bookmarkEnd w:id="728"/>
      <w:r>
        <w:rPr>
          <w:rtl w:val="true"/>
        </w:rPr>
        <w:t xml:space="preserve">نقل ما فی </w:t>
      </w:r>
      <w:r>
        <w:rPr>
          <w:rtl w:val="true"/>
        </w:rPr>
        <w:t>«</w:t>
      </w:r>
      <w:r>
        <w:rPr>
          <w:rtl w:val="true"/>
        </w:rPr>
        <w:t>تهذیب الأُصول</w:t>
      </w:r>
      <w:r>
        <w:rPr>
          <w:rtl w:val="true"/>
        </w:rPr>
        <w:t xml:space="preserve">» </w:t>
      </w:r>
      <w:r>
        <w:rPr>
          <w:rtl w:val="true"/>
        </w:rPr>
        <w:t>و نقده</w:t>
      </w:r>
      <w:bookmarkEnd w:id="729"/>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فی العبادات، فالمنقول عنهما ساقط فیها علی أیّ تقدیر؛ سواء قلنا بوضعها للأعمّ، أو الصحیح؛ لأنّه علی الأوّل واضح، و علی الثانی 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الصحیح من جمیع الجهات؛ إذ الشرائط الآتیة من قبل الأمر خارجة عن المدلول، بل مطلق الشرائط علی التحقیق، فحینئذٍ لا منافاة بین الصحیح من بعض الجهات، و بین الفساد و المبغوضیّة</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فإنّ مثل الشیخ الأنصاریّ ذهب إلی الأخصّ، و أنّ الموضوع له هی الجامعة الکاملة</w:t>
      </w:r>
      <w:r>
        <w:rPr>
          <w:rStyle w:val="FootnoteAnchor"/>
          <w:rtl w:val="true"/>
        </w:rPr>
        <w:footnoteReference w:id="933"/>
      </w:r>
      <w:r>
        <w:rPr>
          <w:rFonts w:ascii="IRNazanin" w:hAnsi="IRNazanin" w:eastAsia="IRNazanin"/>
          <w:color w:val="111111"/>
          <w:sz w:val="28"/>
          <w:sz w:val="28"/>
          <w:szCs w:val="28"/>
          <w:rtl w:val="true"/>
          <w:lang w:bidi="fa-IR"/>
        </w:rPr>
        <w:t xml:space="preserve">، و ذهبنا إلی أنّ جمیع هذه الجهات داخلة فی محطّ النزاع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من الممکن أن یتعلّق النهی بما هو من سنخ الأجزاء، فلا یکون علی الصحیحیّ ما هو المنهیّ مقدوراً إلاّ علی القول بدلالة النهی علی الصحّة، فلا تندفع الشبهة علی جمیع التقاریر</w:t>
      </w:r>
      <w:r>
        <w:rPr>
          <w:rFonts w:eastAsia="IRNazanin" w:cs="IRNazanin"/>
          <w:color w:val="111111"/>
          <w:sz w:val="28"/>
          <w:szCs w:val="28"/>
          <w:rtl w:val="true"/>
          <w:lang w:bidi="fa-IR"/>
        </w:rPr>
        <w:t>.</w:t>
      </w:r>
      <w:bookmarkStart w:id="730" w:name="pg13163_143280"/>
    </w:p>
    <w:p>
      <w:pPr>
        <w:pStyle w:val="Heading5"/>
        <w:numPr>
          <w:ilvl w:val="4"/>
          <w:numId w:val="1"/>
        </w:numPr>
        <w:rPr/>
      </w:pPr>
      <w:bookmarkStart w:id="731" w:name="__RefHeading___Toc534113_3244359995"/>
      <w:bookmarkStart w:id="732" w:name="_Toc274"/>
      <w:bookmarkEnd w:id="730"/>
      <w:bookmarkEnd w:id="731"/>
      <w:r>
        <w:rPr>
          <w:rtl w:val="true"/>
        </w:rPr>
        <w:t>التنبیه الثالث</w:t>
      </w:r>
      <w:r>
        <w:rPr>
          <w:rtl w:val="true"/>
        </w:rPr>
        <w:t xml:space="preserve">: </w:t>
      </w:r>
      <w:r>
        <w:rPr>
          <w:rtl w:val="true"/>
        </w:rPr>
        <w:t>حول استتباع النهی عن الجزء أو الشرط أو الوصف للفساد</w:t>
      </w:r>
      <w:bookmarkEnd w:id="732"/>
    </w:p>
    <w:p>
      <w:pPr>
        <w:pStyle w:val="Heading6"/>
        <w:numPr>
          <w:ilvl w:val="5"/>
          <w:numId w:val="1"/>
        </w:numPr>
        <w:rPr/>
      </w:pPr>
      <w:bookmarkStart w:id="733" w:name="__RefHeading___Toc534115_3244359995"/>
      <w:bookmarkStart w:id="734" w:name="_Toc275"/>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 xml:space="preserve">إذا تعلّق النهی بجزء، أو شرط، أو وصف لازم، أو مفارق فی العبادة، فهل هو یستتبع فساد العبادة زائداً علی فساد الجزء، و المتعلّق، أم لا؟ و جهان، بل قولان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محطّ نظرنا أنّ هذا البحث غیر صحیح، و لا یرجع إلی بحث آخر وراء البحوث التی مرّ تفصیلها؛ و ذلک لأنّ النهی المزبور علی الوجه المذکور کالنهی عن قراءة العزیمة فی الصلاة، أو النهی عن الإجهار بالقراءة فیها، أو النهی عن القِران فیها، و هکذا یکون علی الفرض تحریمیّاً، و عندئذٍ إمّا یکون عنوان فی الصلاة ظرفاً للامتثال، کالنهی عن الصلاة الرباعیّة فی السفر، فلا یرجع حینئذٍ إلی الصلاة، و لا معنی لکونه مضرّاً بها و مفسداً لها، بل هو محرّم نفسیّ مستقلّ فیها، کالنظر إلی الأجنبیّة إذا نهی عنه حال الصلاة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یکون القید المذکور راجعاً إلی الصلاة؛ أی یکون القِران و قراءة العزیمة فی الصلاة منهیّة، کالنهی عن لبس ما لا یؤکل فیها، فهو یرجع إلی النهی عن الطبیعة الخاصّة، و عن حصّة من الطبیعة؛ أی أنّ النهی عن الإجهار بالقراءة فی الصلاة، معناه النهی عن الصلاة متجاهراً فیها بالقراءة، أو الصلاة المقرونة بالقِران، أو الصلاة المشتملة علی العزیمة، کالصلاة الواقعة فی لباس خاصّ و زمان خاصّ، و قد فرغنا عن هذه المسألة بتفصیل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لا یتصوّر للنهی عن الجزء معنی معقولاً، بل هو إمّا یرجع إلی النهی عن شی‌ء أجنبیّ عن الصلاة، و تکون الصلاة بالنسبة إلیه کالسفر بالنسبة إلی الرباعیّة، و الحضر بالنسبة إلی الثنائیّة، أو یرجع إلی النهی عن حصّة من الصلاة، و یکون من النهی عن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المنهیّ هی الخصوصیّة</w:t>
      </w:r>
      <w:r>
        <w:rPr>
          <w:rStyle w:val="FootnoteAnchor"/>
          <w:rtl w:val="true"/>
        </w:rPr>
        <w:footnoteReference w:id="937"/>
      </w:r>
      <w:r>
        <w:rPr>
          <w:rFonts w:ascii="IRNazanin" w:hAnsi="IRNazanin" w:eastAsia="IRNazanin"/>
          <w:color w:val="111111"/>
          <w:sz w:val="28"/>
          <w:sz w:val="28"/>
          <w:szCs w:val="28"/>
          <w:rtl w:val="true"/>
          <w:lang w:bidi="fa-IR"/>
        </w:rPr>
        <w:t xml:space="preserve">، فهو لا یکون شقاً ثالثاً، بل یرجع إلی مسألة الاجتماع و الامتناع، مع کون النسبة بین المأمور به و المنهیّ عنه عموماً مطلقا، من غیر فرق بین کون المنهیّ عنه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إجهار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سرایة النهی إلی القراءة، کما هو المعلوم، و بین کون المنهیّ الصلاة المجهر بها؛ لأنّ النسبة علی التقدیرین عموم مطلق، و تفصیله فی بحوثه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تبیّن ذلک بحسب الثبوت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النواهی الواردة بهذا الشکل، لا تزید علی النواهی الواردة بشکل آخر و مثل ما إذا تعلّق بحصّة من الطبیعة من الأوّل،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فإنّها أیضا تفید التقیید و التخصیص، و إن کانت مفیدة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الأصل الثانویّ إرشادیّتها فقط، و لکن إذا قامت القرینة علی إفادتها التحریم التکلیفیّ؛ قضاءً لمقتضی الأصل الأوّلی فی النواهی، فلا بأس بکونها مع ذلک مخصّصة و مقیّدة و مرشدة إلی الجزئیّة و الشرطیّة، أو المانعیّة و القطعیّة و غیر ذلک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یمکن الالتزام بحرمة الضحک و البکاء و الأکل و الشرب</w:t>
      </w:r>
    </w:p>
    <w:p>
      <w:pPr>
        <w:pStyle w:val="BookText"/>
        <w:rPr/>
      </w:pPr>
      <w:r>
        <w:rPr>
          <w:rFonts w:ascii="IRNazanin" w:hAnsi="IRNazanin" w:eastAsia="IRNazanin"/>
          <w:color w:val="111111"/>
          <w:sz w:val="28"/>
          <w:sz w:val="28"/>
          <w:szCs w:val="28"/>
          <w:rtl w:val="true"/>
          <w:lang w:bidi="fa-IR"/>
        </w:rPr>
        <w:t>و أمثالها فی الصلاة حرمةً تکلیفیّة و وضعیّة، و یکون فی الحقیقة نهیاً عن الصلاة حال الأکل و الشرب و الضحک، و لإفادة التحریم التکلیفیّ زائداً علی الوضعیّ؛ تغیّر أُسلوب الکلام، فإذا ورد النهی عن الضحک فی الصلاة فهو یفید الحرمتین، و إذا ورد النهی عن الصلاة حال الضحک فهو یفید الإرشاد؛ حسب الاستظهار المحرّر فی النواهی فی باب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المحرّم فی الصلاة ملازماً لما هو الشرط فیها، کما إذا حرم ثوب الحریر فیها، أو حرم القِران فیها، فإنّ اللبس و القِران مشتملان علی التستّر و السورة اللّذین هما الشرط و الجزء، فهل یعقل الالتزام بأنّ محرّمیّة ذلک، لا تنافی اشتمال الصلاة علی الشرط و الجزء المعتبرین فیها، أم لا؟</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حرمة الإجهار أو حرمة الأکل و الشرب، لا یکون المصداق المحرّم ملازماً لما هو الشرط بخلافهما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مثل القرآن و إن لم یتحقّق مفهومه إلاّ بانضمام السورة الثانیة إلی الأولی، و لکن النهی فی الحقیقة متعلّق بنفس السورة الثانیة، و حصول القِران قهریّ، و لا یضرّ ذلک بالسورة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مثل التستّر، فلا یمکن أن یتعلّق النهی بالتستّر الحریریّ، دون مطلق التستّر المشترکة فیه سائر الألبسة، فعندئذٍ یکون الجزء التحلیلیّ مورد النهی التحریمیّ، و لا یمکن أن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 فی الصلاة، کمحرّمیة الرباعیّة فی السفر، بل هو راجع إلی النهی عن حصّة الصلاة و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العناوین المذکورة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یکون محرّماً علی الوجهین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أن یکون محرّماً إلاّ علی وجه واحد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النهی إن کان العبادة المضافة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فی</w:t>
      </w:r>
      <w:bookmarkStart w:id="735" w:name="pg13163_143283"/>
    </w:p>
    <w:p>
      <w:pPr>
        <w:pStyle w:val="BookText"/>
        <w:rPr/>
      </w:pPr>
      <w:bookmarkEnd w:id="735"/>
      <w:r>
        <w:rPr>
          <w:rFonts w:ascii="IRNazanin" w:hAnsi="IRNazanin" w:eastAsia="IRNazanin"/>
          <w:color w:val="111111"/>
          <w:sz w:val="28"/>
          <w:sz w:val="28"/>
          <w:szCs w:val="28"/>
          <w:rtl w:val="true"/>
          <w:lang w:bidi="fa-IR"/>
        </w:rPr>
        <w:t>و 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ظاهراً فی الإرشاد، و مع قیام القرینة علی التحریم التکلیفیّ یجوز الجمع بینهما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متعلّق النهی عنواناً مضافاً إلی العبادة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ما لا یؤکل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کونه ظاهراً فی التحریم و إرشاداً أیضا إلی الشرطیّة أو المانعیّة، و اللَّه العالم بحقائق الأُمور</w:t>
      </w:r>
      <w:r>
        <w:rPr>
          <w:rFonts w:eastAsia="IRNazanin" w:cs="IRNazanin"/>
          <w:color w:val="111111"/>
          <w:sz w:val="28"/>
          <w:szCs w:val="28"/>
          <w:rtl w:val="true"/>
          <w:lang w:bidi="fa-IR"/>
        </w:rPr>
        <w:t>.</w:t>
      </w:r>
    </w:p>
    <w:p>
      <w:pPr>
        <w:pStyle w:val="Heading6"/>
        <w:numPr>
          <w:ilvl w:val="5"/>
          <w:numId w:val="1"/>
        </w:numPr>
        <w:rPr/>
      </w:pPr>
      <w:bookmarkStart w:id="736" w:name="__RefHeading___Toc534117_3244359995"/>
      <w:bookmarkStart w:id="737" w:name="_Toc276"/>
      <w:bookmarkEnd w:id="736"/>
      <w:r>
        <w:rPr>
          <w:rtl w:val="true"/>
        </w:rPr>
        <w:t>تنبیه</w:t>
      </w:r>
      <w:r>
        <w:rPr>
          <w:rtl w:val="true"/>
        </w:rPr>
        <w:t xml:space="preserve">: </w:t>
      </w:r>
      <w:r>
        <w:rPr>
          <w:rtl w:val="true"/>
        </w:rPr>
        <w:t>فی عدم اقتضاء النهی التشریعیّ للفساد</w:t>
      </w:r>
      <w:bookmarkEnd w:id="737"/>
    </w:p>
    <w:p>
      <w:pPr>
        <w:pStyle w:val="BookText"/>
        <w:rPr/>
      </w:pPr>
      <w:r>
        <w:rPr>
          <w:rFonts w:ascii="IRNazanin" w:hAnsi="IRNazanin" w:eastAsia="IRNazanin"/>
          <w:color w:val="111111"/>
          <w:sz w:val="28"/>
          <w:sz w:val="28"/>
          <w:szCs w:val="28"/>
          <w:rtl w:val="true"/>
          <w:lang w:bidi="fa-IR"/>
        </w:rPr>
        <w:t>هل المعاملة المحرّمة بالحرمة التشریعیّة، کالمحرّمة بالحرمة الذاتیّة، أم لا؟</w:t>
      </w:r>
    </w:p>
    <w:p>
      <w:pPr>
        <w:pStyle w:val="BookText"/>
        <w:rPr/>
      </w:pP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مضی تحقیق المسألة فی العبادة المحرّمة بتلک الحرمة، و ذکرنا أنّ المحرّم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مع کون العبادة أو المعاملة مأموراً بها أحیاناً، أو منهیّاً عنها واقعاً، أو مباحاً ثالثاً، فتکون النسبة عموماً من وجه، و عندئذٍ لا وجه لبطلان العبادة و لا المعاملة بما أنّهما مورد التشریع، کما لا یخفی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bookmarkStart w:id="738" w:name="pg13163_143284"/>
    </w:p>
    <w:p>
      <w:pPr>
        <w:pStyle w:val="Heading4"/>
        <w:numPr>
          <w:ilvl w:val="3"/>
          <w:numId w:val="1"/>
        </w:numPr>
        <w:rPr/>
      </w:pPr>
      <w:bookmarkStart w:id="739" w:name="__RefHeading___Toc534119_3244359995"/>
      <w:bookmarkStart w:id="740" w:name="_Toc277"/>
      <w:bookmarkEnd w:id="738"/>
      <w:bookmarkEnd w:id="739"/>
      <w:r>
        <w:rPr>
          <w:rtl w:val="true"/>
        </w:rPr>
        <w:t>خاتمة</w:t>
      </w:r>
      <w:r>
        <w:rPr>
          <w:rtl w:val="true"/>
        </w:rPr>
        <w:t xml:space="preserve">: </w:t>
      </w:r>
      <w:r>
        <w:rPr>
          <w:rtl w:val="true"/>
        </w:rPr>
        <w:t>الکلام فی النواهی حول أنّ الأمر أو النهی یستتبعان أحیاناً الضمان و عدم الضمان، أم لا؟</w:t>
      </w:r>
      <w:bookmarkEnd w:id="740"/>
    </w:p>
    <w:p>
      <w:pPr>
        <w:pStyle w:val="Heading5"/>
        <w:numPr>
          <w:ilvl w:val="4"/>
          <w:numId w:val="1"/>
        </w:numPr>
        <w:rPr/>
      </w:pPr>
      <w:bookmarkStart w:id="741" w:name="__RefHeading___Toc534121_3244359995"/>
      <w:bookmarkStart w:id="742" w:name="_Toc278"/>
      <w:bookmarkEnd w:id="741"/>
      <w:r>
        <w:rPr>
          <w:rtl w:val="true"/>
        </w:rPr>
        <w:t>اشارة</w:t>
      </w:r>
      <w:bookmarkEnd w:id="742"/>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صدیق صدیقه بإلقاء شی‌ء فی البحر، أو أمره بأکل شی‌ء، فهل هو یستتبع الضمان إذا تبیّن أنّه لیس مال الآمر، أم لا؟</w:t>
      </w:r>
    </w:p>
    <w:p>
      <w:pPr>
        <w:pStyle w:val="BookText"/>
        <w:rPr/>
      </w:pPr>
      <w:r>
        <w:rPr>
          <w:rFonts w:ascii="IRNazanin" w:hAnsi="IRNazanin" w:eastAsia="IRNazanin"/>
          <w:color w:val="111111"/>
          <w:sz w:val="28"/>
          <w:sz w:val="28"/>
          <w:szCs w:val="28"/>
          <w:rtl w:val="true"/>
          <w:lang w:bidi="fa-IR"/>
        </w:rPr>
        <w:t>و هکذا إذا نهی صاحب المتاع الحمّال عن حمل المتاع إلی محلّ کذا، فحمله و کان غیر متبرّع فی حمله، و قد استوفی الناهی من عمله مقصوده، فهل النهی یستتبع عدم ضمان الناهی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ثبوت الضمان عند عدم النهی؛ لأنّ عمل المسلم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فهناک مسألتان، و لحدّ الآن ما وجدنا من تعرّض لهما استقلالاً، و لا سیّما فی هذه البحوث، و الأمر سهل</w:t>
      </w:r>
      <w:r>
        <w:rPr>
          <w:rFonts w:eastAsia="IRNazanin" w:cs="IRNazanin"/>
          <w:color w:val="111111"/>
          <w:sz w:val="28"/>
          <w:szCs w:val="28"/>
          <w:rtl w:val="true"/>
          <w:lang w:bidi="fa-IR"/>
        </w:rPr>
        <w:t>.</w:t>
      </w:r>
    </w:p>
    <w:p>
      <w:pPr>
        <w:pStyle w:val="Heading5"/>
        <w:numPr>
          <w:ilvl w:val="4"/>
          <w:numId w:val="1"/>
        </w:numPr>
        <w:rPr/>
      </w:pPr>
      <w:bookmarkStart w:id="743" w:name="__RefHeading___Toc534123_3244359995"/>
      <w:bookmarkStart w:id="744" w:name="_Toc279"/>
      <w:bookmarkEnd w:id="743"/>
      <w:r>
        <w:rPr>
          <w:rtl w:val="true"/>
        </w:rPr>
        <w:t>المسألة الأُولی</w:t>
      </w:r>
      <w:r>
        <w:rPr>
          <w:rtl w:val="true"/>
        </w:rPr>
        <w:t xml:space="preserve">: </w:t>
      </w:r>
      <w:r>
        <w:rPr>
          <w:rtl w:val="true"/>
        </w:rPr>
        <w:t>حول استتباع الأمر أو النهی للضمان</w:t>
      </w:r>
      <w:bookmarkEnd w:id="744"/>
    </w:p>
    <w:p>
      <w:pPr>
        <w:pStyle w:val="Heading6"/>
        <w:numPr>
          <w:ilvl w:val="5"/>
          <w:numId w:val="1"/>
        </w:numPr>
        <w:rPr/>
      </w:pPr>
      <w:bookmarkStart w:id="745" w:name="__RefHeading___Toc534125_3244359995"/>
      <w:bookmarkStart w:id="746" w:name="_Toc280"/>
      <w:bookmarkEnd w:id="745"/>
      <w:r>
        <w:rPr>
          <w:rtl w:val="true"/>
        </w:rPr>
        <w:t>اشارة</w:t>
      </w:r>
      <w:bookmarkEnd w:id="746"/>
    </w:p>
    <w:p>
      <w:pPr>
        <w:pStyle w:val="BookText"/>
        <w:rPr/>
      </w:pPr>
      <w:r>
        <w:rPr>
          <w:rFonts w:ascii="IRNazanin" w:hAnsi="IRNazanin" w:eastAsia="IRNazanin"/>
          <w:color w:val="111111"/>
          <w:sz w:val="28"/>
          <w:sz w:val="28"/>
          <w:szCs w:val="28"/>
          <w:rtl w:val="true"/>
          <w:lang w:bidi="fa-IR"/>
        </w:rPr>
        <w:t>لا شبهة فی عدم اقتضاء الأمر بهیئته و لا بمادّته لشی‌ء من الضمان، و لا لشی‌ء من التعهّد حسب اللغة و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الأمر عرفاً هو أنّ المأمور به تحت اختیار الآمر، و أنّ الآمر إمّا مالکه، أو یکون جائز التصرّف، فإذا تبیّن الخلاف یکون غروراً، فیلزم رجوع المغرور إلی الغارّ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یثبت الضمان علی الإطلاق؛ لأنّ من الممکن کون الآمر جاهلاً مرکّباً، و قد تحرّر فی محلّه قصور دلیل الغرور عن تضمین الغارّ؛ إمّا لأجل عدم</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علم الغارّ، کما هو الأقرب، و هو مختار جمع </w:t>
      </w:r>
      <w:r>
        <w:rPr>
          <w:rStyle w:val="FootnoteAnchor"/>
          <w:rtl w:val="true"/>
        </w:rPr>
        <w:footnoteReference w:id="942"/>
      </w:r>
      <w:r>
        <w:rPr>
          <w:rFonts w:ascii="IRNazanin" w:hAnsi="IRNazanin" w:eastAsia="IRNazanin"/>
          <w:color w:val="111111"/>
          <w:sz w:val="28"/>
          <w:sz w:val="28"/>
          <w:szCs w:val="28"/>
          <w:rtl w:val="true"/>
          <w:lang w:bidi="fa-IR"/>
        </w:rPr>
        <w:t xml:space="preserve">، أو لأجل انصراف دلیل المسألة عن الجاهل المحسن، کما هو أیضا قویّ فتکون ید المأمور به مضمونة حسب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کتاب الغصب،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الظاهر من الأمر تعهّد الآمر للضمان عند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یستکشف من الأمر أنّه جائز التصرّف؛ حملاً لفعله و قوله علی الصحّة، و یفهم من الآمر أیضا أنّه متعهّد فی صورة التخلّف للضمان، و بهذا الوجه یثبت ضمان الآمر مطلقاً؛ سواء کان عالماً أم جاهلاً مرکّباً و لعلّ وجه ذهاب المشهور إلی ضمانه فی صورة تبیّن کون المأکول للآکل ذلک </w:t>
      </w:r>
      <w:r>
        <w:rPr>
          <w:rStyle w:val="FootnoteAnchor"/>
          <w:rtl w:val="true"/>
        </w:rPr>
        <w:footnoteReference w:id="944"/>
      </w:r>
      <w:r>
        <w:rPr>
          <w:rFonts w:ascii="IRNazanin" w:hAnsi="IRNazanin" w:eastAsia="IRNazanin"/>
          <w:color w:val="111111"/>
          <w:sz w:val="28"/>
          <w:sz w:val="28"/>
          <w:szCs w:val="28"/>
          <w:rtl w:val="true"/>
          <w:lang w:bidi="fa-IR"/>
        </w:rPr>
        <w:t>، فیکون الأمر فی هذه المواقف موجباً للضمان، و مستتبعاً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بحسب الإثبات، و إلاّ فبحسب الثبوت فربّما لا یکون الآمر إلاّ متصدّیاً للأمر و الإحسان، و یکون قاصداً لعدم الضمان، و لکنّه محکوم بحسب النّظر العرفیّ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الأمر إذا صرّح بعدم الضمان إذا تخلّف و تبیّن أنّ المأمور به لیس تحت سلطانه، یثبت عدم الضمان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الضمان و اللاضمان فی الصورتین، لیس من عقد الضمان، بل هو من قبیل شرط الضمان فی ضمن الأمر، و لا وجه لدعوی عدم نفوذ الشرط؛ بتوهّم اختصاصه بالشرط الواقع فی ضمن العقد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bookmarkStart w:id="747" w:name="pg13163_143286"/>
    </w:p>
    <w:p>
      <w:pPr>
        <w:pStyle w:val="BookText"/>
        <w:rPr/>
      </w:pPr>
      <w:bookmarkEnd w:id="747"/>
      <w:r>
        <w:rPr>
          <w:rFonts w:ascii="IRNazanin" w:hAnsi="IRNazanin" w:eastAsia="IRNazanin"/>
          <w:color w:val="111111"/>
          <w:sz w:val="28"/>
          <w:sz w:val="28"/>
          <w:szCs w:val="28"/>
          <w:rtl w:val="true"/>
          <w:lang w:bidi="fa-IR"/>
        </w:rPr>
        <w:t>و هنا 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قاعدة التسبیب، فإنّ الأمر بالإلقاء و الأکل سبب التلف، فیکون الآمر ضامناً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تمامیّة المدّعی بها، لا دلیل علی صحّة القاعدة المزبورة، و لا ترجع إلی قاعدة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الأمر فی القوّة إلی حدّ ینسب إلیه التلف فهو، و لکنّه بمعزل عن التحقیق</w:t>
      </w:r>
      <w:r>
        <w:rPr>
          <w:rFonts w:eastAsia="IRNazanin" w:cs="IRNazanin"/>
          <w:color w:val="111111"/>
          <w:sz w:val="28"/>
          <w:szCs w:val="28"/>
          <w:rtl w:val="true"/>
          <w:lang w:bidi="fa-IR"/>
        </w:rPr>
        <w:t>.</w:t>
      </w:r>
    </w:p>
    <w:p>
      <w:pPr>
        <w:pStyle w:val="Heading6"/>
        <w:numPr>
          <w:ilvl w:val="5"/>
          <w:numId w:val="1"/>
        </w:numPr>
        <w:rPr/>
      </w:pPr>
      <w:bookmarkStart w:id="748" w:name="__RefHeading___Toc534127_3244359995"/>
      <w:bookmarkStart w:id="749" w:name="_Toc281"/>
      <w:bookmarkEnd w:id="748"/>
      <w:r>
        <w:rPr>
          <w:rtl w:val="true"/>
        </w:rPr>
        <w:t>تنبیه</w:t>
      </w:r>
      <w:r>
        <w:rPr>
          <w:rtl w:val="true"/>
        </w:rPr>
        <w:t xml:space="preserve">: </w:t>
      </w:r>
      <w:r>
        <w:rPr>
          <w:rtl w:val="true"/>
        </w:rPr>
        <w:t>فی عدم ضمان الوالی و المفتی</w:t>
      </w:r>
      <w:bookmarkEnd w:id="749"/>
    </w:p>
    <w:p>
      <w:pPr>
        <w:pStyle w:val="BookText"/>
        <w:rPr/>
      </w:pPr>
      <w:r>
        <w:rPr>
          <w:rFonts w:ascii="IRNazanin" w:hAnsi="IRNazanin" w:eastAsia="IRNazanin"/>
          <w:color w:val="111111"/>
          <w:sz w:val="28"/>
          <w:sz w:val="28"/>
          <w:szCs w:val="28"/>
          <w:rtl w:val="true"/>
          <w:lang w:bidi="fa-IR"/>
        </w:rPr>
        <w:t>فی موارد أمر الوالی و الحاکم إذا ابتلی المکلّفون بالخسارات المالیّة و البدنیّة، مع کون الحاکم و الوالی شرعیّا نافذ الحکم، و غیر مقصّر، لا یثبت الضمان، کما لا ضمان فی موارد أمر المفتی و إفتائهم إذا کان الإفتاء علی الطریقة الشرعیّة الجامعة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بالتخمیس و الحجّ و الجهاد و الدفاع، ثمّ تبیّن أنّ الأمر ما کان علی ما أفتی به و حکم، لا یجب علیه الخسارة، و کلّ ذلک لأجل تعیین المالک الحقیقیّ إیّاه، و تنفیذ رأیه و عدم بناء من العقلاء علی الضمان فی هذه المواقف و الموارد</w:t>
      </w:r>
      <w:r>
        <w:rPr>
          <w:rFonts w:eastAsia="IRNazanin" w:cs="IRNazanin"/>
          <w:color w:val="111111"/>
          <w:sz w:val="28"/>
          <w:szCs w:val="28"/>
          <w:rtl w:val="true"/>
          <w:lang w:bidi="fa-IR"/>
        </w:rPr>
        <w:t>.</w:t>
      </w:r>
    </w:p>
    <w:p>
      <w:pPr>
        <w:pStyle w:val="Heading6"/>
        <w:numPr>
          <w:ilvl w:val="5"/>
          <w:numId w:val="1"/>
        </w:numPr>
        <w:rPr/>
      </w:pPr>
      <w:bookmarkStart w:id="750" w:name="__RefHeading___Toc534129_3244359995"/>
      <w:bookmarkStart w:id="751" w:name="_Toc282"/>
      <w:bookmarkEnd w:id="750"/>
      <w:r>
        <w:rPr>
          <w:rtl w:val="true"/>
        </w:rPr>
        <w:t>تذنیب</w:t>
      </w:r>
      <w:r>
        <w:rPr>
          <w:rtl w:val="true"/>
        </w:rPr>
        <w:t xml:space="preserve">: </w:t>
      </w:r>
      <w:r>
        <w:rPr>
          <w:rtl w:val="true"/>
        </w:rPr>
        <w:t>حول الأمر بالتصرّفات غیر الإتلافیة الموجبة للتلف أحیاناً</w:t>
      </w:r>
      <w:bookmarkEnd w:id="7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موارد أمر الآمر بالتصرّفات غیر الإتلافیّة، و بالتحویل و التحوّل الموجب لاستیلاء المأمور به علی المأمور به، إذا تلف المأمور به، و تبیّن أنّه للغیر، فهل تکون</w:t>
      </w:r>
      <w:bookmarkStart w:id="752" w:name="pg13163_143287"/>
    </w:p>
    <w:p>
      <w:pPr>
        <w:pStyle w:val="BookText"/>
        <w:rPr/>
      </w:pPr>
      <w:bookmarkEnd w:id="752"/>
      <w:r>
        <w:rPr>
          <w:rFonts w:ascii="IRNazanin" w:hAnsi="IRNazanin" w:eastAsia="IRNazanin"/>
          <w:color w:val="111111"/>
          <w:sz w:val="28"/>
          <w:sz w:val="28"/>
          <w:szCs w:val="28"/>
          <w:rtl w:val="true"/>
          <w:lang w:bidi="fa-IR"/>
        </w:rPr>
        <w:t>ید المأمور غاصبة؛ حتّی یصحّ رجوع المالک إلیه، أم لا؟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الآمر ظاهر أمره فی أنّه فاقد التصرّف، و الشرع رخّص فی أخذ ما هو تحت سلطانه؛ حسب تنفیذ قاعدة الید، فیکون المال عنده من الأمانة الشرعیّة ثبوتاً؛ لتجویز الشرع أخذه، و من الأمانة المالکیّة إثباتاً و تخیّلاً، و یکفی لرفع الضمان الأمانة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موارد تجویز رجوع المالک إلی المأمور، یجوز للمأمور بعد رجوعه إلیه الرجوع إلی الآمر، مثلاً إذا فرضنا أنّ المالک رجع إلی المأمور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المأمور مغروراً، فله أن یرجع إلی الغارّ، کما کان للمالک الرجوع إلی الغارّ لو کان المال تحت استیلائه، أو کان یسند التلف إلیه، بل تعهّد الخسارة یقتضی کونه من کیسه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قبل رجوع المالک إلی المغرور لا یجوز له الرجوع إلی الغارّ؛ 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النّظر فی إرجاع المغرور إلی الغارّ جبران خسارة المغرور، و لا خسارة متوجّهة إلیه قبل أن یرجع إلیه المالک، و التفصیل محرّر فی بحوث الید فی کتاب البیع </w:t>
      </w:r>
      <w:r>
        <w:rPr>
          <w:rStyle w:val="FootnoteAnchor"/>
          <w:rtl w:val="true"/>
        </w:rPr>
        <w:footnoteReference w:id="94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5"/>
        <w:numPr>
          <w:ilvl w:val="4"/>
          <w:numId w:val="1"/>
        </w:numPr>
        <w:rPr/>
      </w:pPr>
      <w:bookmarkStart w:id="753" w:name="__RefHeading___Toc534131_3244359995"/>
      <w:bookmarkStart w:id="754" w:name="_Toc283"/>
      <w:bookmarkEnd w:id="753"/>
      <w:r>
        <w:rPr>
          <w:rtl w:val="true"/>
        </w:rPr>
        <w:t>المسألة الثانیة</w:t>
      </w:r>
      <w:r>
        <w:rPr>
          <w:rtl w:val="true"/>
        </w:rPr>
        <w:t xml:space="preserve">: </w:t>
      </w:r>
      <w:r>
        <w:rPr>
          <w:rtl w:val="true"/>
        </w:rPr>
        <w:t>حول عدم ضمان صاحب المتاع للأُجرة مع نهیه الحمّال</w:t>
      </w:r>
      <w:bookmarkEnd w:id="754"/>
    </w:p>
    <w:p>
      <w:pPr>
        <w:pStyle w:val="Heading6"/>
        <w:numPr>
          <w:ilvl w:val="5"/>
          <w:numId w:val="1"/>
        </w:numPr>
        <w:rPr/>
      </w:pPr>
      <w:bookmarkStart w:id="755" w:name="__RefHeading___Toc534133_3244359995"/>
      <w:bookmarkStart w:id="756" w:name="_Toc284"/>
      <w:bookmarkEnd w:id="755"/>
      <w:r>
        <w:rPr>
          <w:rtl w:val="true"/>
        </w:rPr>
        <w:t>اشارة</w:t>
      </w:r>
      <w:bookmarkEnd w:id="75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الأکثر ذهبوا إلی أنّ الأمر و الاستیفاء یوجب الضمان، و یکون الأمر و الإذن دخیلاً فیه </w:t>
      </w:r>
      <w:r>
        <w:rPr>
          <w:rStyle w:val="FootnoteAnchor"/>
          <w:rtl w:val="true"/>
        </w:rPr>
        <w:footnoteReference w:id="948"/>
      </w:r>
      <w:r>
        <w:rPr>
          <w:rFonts w:ascii="IRNazanin" w:hAnsi="IRNazanin" w:eastAsia="IRNazanin"/>
          <w:color w:val="111111"/>
          <w:sz w:val="28"/>
          <w:sz w:val="28"/>
          <w:szCs w:val="28"/>
          <w:rtl w:val="true"/>
          <w:lang w:bidi="fa-IR"/>
        </w:rPr>
        <w:t>، و إلاّ فالعمل بلا أمر و إذن لا یؤجر علیه، و لا یستحقّ العامل</w:t>
      </w:r>
      <w:bookmarkStart w:id="757" w:name="pg13163_143288"/>
    </w:p>
    <w:p>
      <w:pPr>
        <w:pStyle w:val="BookText"/>
        <w:rPr/>
      </w:pPr>
      <w:bookmarkEnd w:id="757"/>
      <w:r>
        <w:rPr>
          <w:rFonts w:ascii="IRNazanin" w:hAnsi="IRNazanin" w:eastAsia="IRNazanin"/>
          <w:color w:val="111111"/>
          <w:sz w:val="28"/>
          <w:sz w:val="28"/>
          <w:szCs w:val="28"/>
          <w:rtl w:val="true"/>
          <w:lang w:bidi="fa-IR"/>
        </w:rPr>
        <w:t>عوضاً، فعلی هذا لا معنی لکون الاستیفاء المقرون بالنهی مستتبعاً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بذلک، کما لا یبعد فی صورة وصول المالک إلی مقصودة، و استیفائه الحظّ من العامل، فإنّ العقلاء یعتقدون الضمان من غیر الحاجة إلی الأمر و الإذن، و یکون احترام العمل محفوظاً، فهل النهی یستتبع سقوط الاحترام، أم لا؟</w:t>
      </w:r>
    </w:p>
    <w:p>
      <w:pPr>
        <w:pStyle w:val="BookText"/>
        <w:rPr/>
      </w:pPr>
      <w:r>
        <w:rPr>
          <w:rFonts w:ascii="IRNazanin" w:hAnsi="IRNazanin" w:eastAsia="IRNazanin"/>
          <w:color w:val="111111"/>
          <w:sz w:val="28"/>
          <w:sz w:val="28"/>
          <w:szCs w:val="28"/>
          <w:rtl w:val="true"/>
          <w:lang w:bidi="fa-IR"/>
        </w:rPr>
        <w:t>و جهان لا یبعد الأوّل، و یحتمل الثانی؛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 المسلم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حرمة عمله مع الأمر فهی لا تختصّ بالمسلم فیعلم منه أنّ للمسلم خصوصیّة، و هی لیست عدم الأمر فقط، فتأمّل</w:t>
      </w:r>
      <w:r>
        <w:rPr>
          <w:rFonts w:eastAsia="IRNazanin" w:cs="IRNazanin"/>
          <w:color w:val="111111"/>
          <w:sz w:val="28"/>
          <w:szCs w:val="28"/>
          <w:rtl w:val="true"/>
          <w:lang w:bidi="fa-IR"/>
        </w:rPr>
        <w:t>.</w:t>
      </w:r>
    </w:p>
    <w:p>
      <w:pPr>
        <w:pStyle w:val="Heading6"/>
        <w:numPr>
          <w:ilvl w:val="5"/>
          <w:numId w:val="1"/>
        </w:numPr>
        <w:rPr/>
      </w:pPr>
      <w:bookmarkStart w:id="758" w:name="__RefHeading___Toc534135_3244359995"/>
      <w:bookmarkStart w:id="759" w:name="_Toc285"/>
      <w:bookmarkEnd w:id="758"/>
      <w:r>
        <w:rPr>
          <w:rtl w:val="true"/>
        </w:rPr>
        <w:t>تنبیه</w:t>
      </w:r>
      <w:r>
        <w:rPr>
          <w:rtl w:val="true"/>
        </w:rPr>
        <w:t xml:space="preserve">: </w:t>
      </w:r>
      <w:r>
        <w:rPr>
          <w:rtl w:val="true"/>
        </w:rPr>
        <w:t>حول نهی الشخص عن حفظ مال ثمّ تبیّن أنّه له</w:t>
      </w:r>
      <w:bookmarkEnd w:id="759"/>
    </w:p>
    <w:p>
      <w:pPr>
        <w:pStyle w:val="BookText"/>
        <w:rPr/>
      </w:pPr>
      <w:r>
        <w:rPr>
          <w:rFonts w:ascii="IRNazanin" w:hAnsi="IRNazanin" w:eastAsia="IRNazanin"/>
          <w:color w:val="111111"/>
          <w:sz w:val="28"/>
          <w:sz w:val="28"/>
          <w:szCs w:val="28"/>
          <w:rtl w:val="true"/>
          <w:lang w:bidi="fa-IR"/>
        </w:rPr>
        <w:t>إذا نهی صدیق صدیقه عن المحافظة علی مال، ثمّ تبیّن أنّه کان للناهی، فهل یسقط الضمان مثلاً، أم لا؟</w:t>
      </w:r>
    </w:p>
    <w:p>
      <w:pPr>
        <w:pStyle w:val="BookText"/>
        <w:rPr/>
      </w:pPr>
      <w:r>
        <w:rPr>
          <w:rFonts w:ascii="IRNazanin" w:hAnsi="IRNazanin" w:eastAsia="IRNazanin"/>
          <w:color w:val="111111"/>
          <w:sz w:val="28"/>
          <w:sz w:val="28"/>
          <w:szCs w:val="28"/>
          <w:rtl w:val="true"/>
          <w:lang w:bidi="fa-IR"/>
        </w:rPr>
        <w:t xml:space="preserve">لا یبعد الأوّل أیضا و إن کان من باب الخطأ فی التطبیق؛ ضرورة أنّ النهی قد تعلّق بما فی الخارج؛ أی تعلّق بأن لا یحفظ ما فی الخارج، فیکون هو المقدّم علی سقوط حرمة ماله، فلا یرجع إلیه 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علم المأمور بخطإ الناهی، فلاحظ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المزبورة إذا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التالف کان للمحافظ نفسه، فنفی الضمان مشکل جدّاً؛ إمّا لأجل قاعدة الغرور، کما فی صورة، أو لأجل أنّ مقتضی النهی و الأمر واحد، فیکون الناهی متعهّداً لتحمّل الخسارة من ناحیة عدم الحفظ، أو لأجل قاعدة التسبیب مثلاً، علی إشکال فیها صغری و کبری، أو لأجل حکم العقلاء بالضمان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إثبات الضمان مشکل أیضا؛ ضرورة أنّه فی ناحیة الأمر کان الآمر</w:t>
      </w:r>
    </w:p>
    <w:p>
      <w:pPr>
        <w:pStyle w:val="BookText"/>
        <w:rPr/>
      </w:pPr>
      <w:r>
        <w:rPr>
          <w:rFonts w:ascii="IRNazanin" w:hAnsi="IRNazanin" w:eastAsia="IRNazanin"/>
          <w:color w:val="111111"/>
          <w:sz w:val="28"/>
          <w:sz w:val="28"/>
          <w:szCs w:val="28"/>
          <w:rtl w:val="true"/>
          <w:lang w:bidi="fa-IR"/>
        </w:rPr>
        <w:t>مستولیاً، و کان لأجل الاستیلاء نحکم بأنّه فاقد التصرّف، أو المالک، فیکون لازمه تعهّد الخسارة مثلاً، و أمّا فیما نحن فیه فلا یأتی هذا الوجه، و لا یکون الصدیق إلاّ یلوم نفسه فی استماع قوله، و الانزجار عن نهیه، مع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یجب علیه حفظ المال المزبور، فلأجل تجرّیه علی مولاه بعدم حفظ المال، لا یبقی وجه لضمان الناهی إلاّ فی صورة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صورة تبیّن أنّ المال کان للناهی، أو کان للمحافظ، و أمّا إذا کان لغیرهما، و المفروض أنّه ودیعة عنده، فهو ضامن بلا إشکال و أمّا ضمان الناهی فهو مرهون بصدق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ضمان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أردناه فی هذه المقالة، و هنا تفصیل لا یسعه المقام، و کان ینبغی تحریر بحوث هذه المسألة؛ حتّی تکون مرجعاً لما تترتّب علیه من الفروع الکثیرة، و لعلّ المتأخّرین یخوضون فیها، و یوفون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الفراغ من تسوید هذه المباحث فی یوم الأحد، من الأُسبوع الأوّل، من شهر صفر المظفر، العام الثانی و التسعین بعد الثلاثمائة و الألف، فی النجف الأشرف، المصادف للأُسبوع الآخِر من السنة الشمسیّة، العامّ الواحد و الخمسین و الثلاثمائة بعد الألف من الهجرة النبویّة، علی مهاجرها آلاف السلام و التحیّة، و اللعن الدائم علی أعدائهم إلی قیام یوم الدین، آمین ربّ العالمین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الخمینیّ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کمسلک المؤلف و والده المحقق قدس سرهما، راجع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هدایة المسترشدین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کفایة الأصول، المحقق البروجردی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الواجبات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العضدی علی مختصر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القول فی کثیر من کتب القوم و نسب إلی الأشاعرة و المعتزلة کلیهما لکنهما تحاشیا عنه و نسبه کل منهما إلی صاحبه، 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العضدی علی مختصر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المتعة،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خلو الکتاب من تلکم المباحث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و ما یناسبه،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علی نهج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المحتمل أن یتم فیما إذا کان الغرض متعددا، و اعتبر کفائیا؛ لأجل التسهیل علی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البیع، الإمام الخمینی قدس 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الأصول، البروجردی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نجزم بمراده قدس سره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السادة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نعثر علیه فی مظانها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قضاء الصلوات،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المضمون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قضاء الصلوات،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الواجبات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الصوم، الفصل الثامن، من الموقف الأوّل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الرسائل، الإمام الخمینی قدس سره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أبواب عقد البیع و شروطه،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أبواب آداب التجارة،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العضدی علی مختصر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العضدی علی مختصر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من تحریرات فی الفقه للمؤلف مفقود، لاحظ مستند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الشفاء، قسم 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یأتی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کتاب الصوم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مصنفات شیخ الإشراق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آداب التجارة،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یأتی فی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یأتی فی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کتاب الرهن، أبواب الرهن،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الحکمة المتعالیة، للمؤلّف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فوائد الأصول،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فوائد الأصول،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لاحظ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الأخیر 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کتاب الخمس، أبواب الأنفال،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فوائد الأصول،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الاستحاضة،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انظر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المحلّی بالآثار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کتاب الصوم، أبواب من یصحّ منه الصوم،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مکان المصلّی،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درر الفوائد، المحقّق الحائری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الصوم، الفصل الثالث من الموقف الأوّل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کتاب الأنفال،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البیع، الشرط الرابع، الأمر الثانی عشر، المرحلة السابعة، المسألة الرابعة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کتاب الأمر و النهی، أبواب الأمر و النهی،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کتاب الطهارة، المقدّمة الرابعة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ملاک النزاع یجری فیما کان مبغوضاً للمولی، فإنّه لیس من النهی بالضرورة، فیکون البحث فی هذه الصورة عقلیّاً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المحقّق الحائری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حاشیة کفایة الأُصول، المشکینی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العذرة من 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الجزء الثانی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 الزانیة 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أبواب ما یکتسب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أبواب ما یکتسب به،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لاحظ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المحقّق الحائری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درر الفوائد، المحقّق الحائری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الأمر الثانی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تأکلوا أموالکم بینکم بالباطل إلاّ أن تکون تجارة عن تراض</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تحریرات فی الفقه، کتاب البیع، حول صیغ العقود و الإیقاعات، الفرع السادس</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البیع، التنبیه الثامن من تنبیهات المعاطاة، و الفرع السادس من فروع المقبوض بالعقد الفاسد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المکاسب المحرّمة، الإمام الخمینی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شروطهم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الخیار،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تقدّم فی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الإمام الخمینی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الکلام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البیع، الفرع السابع من فروع المقبوض بالعقد الفاسد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کتاب الإجارة، الفصل السادس، 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407</Pages>
  <Words>41679</Words>
  <Characters>178575</Characters>
  <CharactersWithSpaces>218975</CharactersWithSpaces>
  <Paragraphs>1280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2026-08-24T01:11:29Z</dcterms:created>
  <dc:creator>ghaemiyeh.com</dc:creator>
  <dc:description/>
  <dc:language>en-US</dc:language>
  <cp:lastModifiedBy/>
  <dcterms:modified xsi:type="dcterms:W3CDTF">2026-08-24T04:43:24Z</dcterms:modified>
  <cp:revision>1</cp:revision>
  <dc:subject/>
  <dc:title>تحریرات فی الاصول جلد 4</dc:title>
</cp:coreProperties>
</file>

<file path=docProps/custom.xml><?xml version="1.0" encoding="utf-8"?>
<Properties xmlns="http://schemas.openxmlformats.org/officeDocument/2006/custom-properties" xmlns:vt="http://schemas.openxmlformats.org/officeDocument/2006/docPropsVTypes"/>
</file>