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الطهاره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18612_322426499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618614_322426499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618616_3224264995">
            <w:r>
              <w:rPr>
                <w:webHidden/>
                <w:rStyle w:val="IndexLink"/>
                <w:rtl w:val="true"/>
              </w:rPr>
              <w:t>[</w:t>
            </w:r>
            <w:r>
              <w:rPr>
                <w:rStyle w:val="IndexLink"/>
                <w:rtl w:val="true"/>
              </w:rPr>
              <w:t>تتمة شرح کتاب الطهارة من الإرشاد</w:t>
            </w:r>
            <w:r>
              <w:rPr>
                <w:rStyle w:val="IndexLink"/>
                <w:rtl w:val="true"/>
              </w:rPr>
              <w:t>]</w:t>
              <w:tab/>
            </w:r>
            <w:r>
              <w:rPr>
                <w:rStyle w:val="IndexLink"/>
              </w:rPr>
              <w:t>6</w:t>
            </w:r>
          </w:hyperlink>
        </w:p>
        <w:p>
          <w:pPr>
            <w:pStyle w:val="Contents3"/>
            <w:tabs>
              <w:tab w:val="clear" w:pos="8459"/>
              <w:tab w:val="right" w:pos="9026" w:leader="dot"/>
            </w:tabs>
            <w:rPr/>
          </w:pPr>
          <w:hyperlink w:anchor="__RefHeading___Toc6618618_3224264995">
            <w:r>
              <w:rPr>
                <w:webHidden/>
                <w:rStyle w:val="IndexLink"/>
                <w:rtl w:val="true"/>
              </w:rPr>
              <w:t>[</w:t>
            </w:r>
            <w:r>
              <w:rPr>
                <w:rStyle w:val="IndexLink"/>
                <w:rtl w:val="true"/>
              </w:rPr>
              <w:t>النظر الرابع فی أسباب التیمّم و کیفیّته</w:t>
            </w:r>
            <w:r>
              <w:rPr>
                <w:rStyle w:val="IndexLink"/>
                <w:rtl w:val="true"/>
              </w:rPr>
              <w:t>]</w:t>
              <w:tab/>
            </w:r>
            <w:r>
              <w:rPr>
                <w:rStyle w:val="IndexLink"/>
              </w:rPr>
              <w:t>6</w:t>
            </w:r>
          </w:hyperlink>
        </w:p>
        <w:p>
          <w:pPr>
            <w:pStyle w:val="Contents3"/>
            <w:tabs>
              <w:tab w:val="clear" w:pos="8459"/>
              <w:tab w:val="right" w:pos="9026" w:leader="dot"/>
            </w:tabs>
            <w:rPr/>
          </w:pPr>
          <w:hyperlink w:anchor="__RefHeading___Toc6618620_3224264995">
            <w:r>
              <w:rPr>
                <w:webHidden/>
                <w:rStyle w:val="IndexLink"/>
                <w:rtl w:val="true"/>
              </w:rPr>
              <w:t>النظر الخامس فی ما به تحصل الطهارة</w:t>
            </w:r>
            <w:r>
              <w:rPr>
                <w:rStyle w:val="IndexLink"/>
                <w:rtl w:val="true"/>
              </w:rPr>
              <w:tab/>
            </w:r>
            <w:r>
              <w:rPr>
                <w:rStyle w:val="IndexLink"/>
              </w:rPr>
              <w:t>8</w:t>
            </w:r>
          </w:hyperlink>
        </w:p>
        <w:p>
          <w:pPr>
            <w:pStyle w:val="Contents4"/>
            <w:tabs>
              <w:tab w:val="clear" w:pos="8176"/>
              <w:tab w:val="right" w:pos="9026" w:leader="dot"/>
            </w:tabs>
            <w:rPr/>
          </w:pPr>
          <w:hyperlink w:anchor="__RefHeading___Toc6618622_3224264995">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6618624_3224264995">
            <w:r>
              <w:rPr>
                <w:webHidden/>
                <w:rStyle w:val="IndexLink"/>
                <w:rtl w:val="true"/>
              </w:rPr>
              <w:t>[</w:t>
            </w:r>
            <w:r>
              <w:rPr>
                <w:rStyle w:val="IndexLink"/>
                <w:rtl w:val="true"/>
              </w:rPr>
              <w:t>تتمة</w:t>
            </w:r>
            <w:r>
              <w:rPr>
                <w:rStyle w:val="IndexLink"/>
                <w:rtl w:val="true"/>
              </w:rPr>
              <w:t>]</w:t>
              <w:tab/>
            </w:r>
            <w:r>
              <w:rPr>
                <w:rStyle w:val="IndexLink"/>
              </w:rPr>
              <w:t>12</w:t>
            </w:r>
          </w:hyperlink>
        </w:p>
        <w:p>
          <w:pPr>
            <w:pStyle w:val="Contents3"/>
            <w:tabs>
              <w:tab w:val="clear" w:pos="8459"/>
              <w:tab w:val="right" w:pos="9026" w:leader="dot"/>
            </w:tabs>
            <w:rPr/>
          </w:pPr>
          <w:hyperlink w:anchor="__RefHeading___Toc6618626_3224264995">
            <w:r>
              <w:rPr>
                <w:webHidden/>
                <w:rStyle w:val="IndexLink"/>
                <w:rtl w:val="true"/>
              </w:rPr>
              <w:t>النظر السادس فی ما یتبع الطهارة</w:t>
            </w:r>
            <w:r>
              <w:rPr>
                <w:rStyle w:val="IndexLink"/>
                <w:rtl w:val="true"/>
              </w:rPr>
              <w:tab/>
            </w:r>
            <w:r>
              <w:rPr>
                <w:rStyle w:val="IndexLink"/>
              </w:rPr>
              <w:t>13</w:t>
            </w:r>
          </w:hyperlink>
        </w:p>
        <w:p>
          <w:pPr>
            <w:pStyle w:val="Contents4"/>
            <w:tabs>
              <w:tab w:val="clear" w:pos="8176"/>
              <w:tab w:val="right" w:pos="9026" w:leader="dot"/>
            </w:tabs>
            <w:rPr/>
          </w:pPr>
          <w:hyperlink w:anchor="__RefHeading___Toc6618628_3224264995">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6618630_3224264995">
            <w:r>
              <w:rPr>
                <w:webHidden/>
                <w:rStyle w:val="IndexLink"/>
                <w:rtl w:val="true"/>
              </w:rPr>
              <w:t>[</w:t>
            </w:r>
            <w:r>
              <w:rPr>
                <w:rStyle w:val="IndexLink"/>
                <w:rtl w:val="true"/>
              </w:rPr>
              <w:t>أعداد النجاسات</w:t>
            </w:r>
            <w:r>
              <w:rPr>
                <w:rStyle w:val="IndexLink"/>
                <w:rtl w:val="true"/>
              </w:rPr>
              <w:t>]</w:t>
              <w:tab/>
            </w:r>
            <w:r>
              <w:rPr>
                <w:rStyle w:val="IndexLink"/>
              </w:rPr>
              <w:t>16</w:t>
            </w:r>
          </w:hyperlink>
        </w:p>
        <w:p>
          <w:pPr>
            <w:pStyle w:val="Contents5"/>
            <w:tabs>
              <w:tab w:val="clear" w:pos="7892"/>
              <w:tab w:val="right" w:pos="9026" w:leader="dot"/>
            </w:tabs>
            <w:rPr/>
          </w:pPr>
          <w:hyperlink w:anchor="__RefHeading___Toc6618632_3224264995">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6618634_3224264995">
            <w:r>
              <w:rPr>
                <w:webHidden/>
                <w:rStyle w:val="IndexLink"/>
                <w:rtl w:val="true"/>
              </w:rPr>
              <w:t>[</w:t>
            </w:r>
            <w:r>
              <w:rPr>
                <w:rStyle w:val="IndexLink"/>
                <w:rtl w:val="true"/>
              </w:rPr>
              <w:t>الأول و الثانی البول و الغائط</w:t>
            </w:r>
            <w:r>
              <w:rPr>
                <w:rStyle w:val="IndexLink"/>
                <w:rtl w:val="true"/>
              </w:rPr>
              <w:t>]</w:t>
              <w:tab/>
            </w:r>
            <w:r>
              <w:rPr>
                <w:rStyle w:val="IndexLink"/>
              </w:rPr>
              <w:t>16</w:t>
            </w:r>
          </w:hyperlink>
        </w:p>
        <w:p>
          <w:pPr>
            <w:pStyle w:val="Contents5"/>
            <w:tabs>
              <w:tab w:val="clear" w:pos="7892"/>
              <w:tab w:val="right" w:pos="9026" w:leader="dot"/>
            </w:tabs>
            <w:rPr/>
          </w:pPr>
          <w:hyperlink w:anchor="__RefHeading___Toc6618636_3224264995">
            <w:r>
              <w:rPr>
                <w:webHidden/>
                <w:rStyle w:val="IndexLink"/>
                <w:rtl w:val="true"/>
              </w:rPr>
              <w:t>[</w:t>
            </w:r>
            <w:r>
              <w:rPr>
                <w:rStyle w:val="IndexLink"/>
                <w:rtl w:val="true"/>
              </w:rPr>
              <w:t>الثالث المنی</w:t>
            </w:r>
            <w:r>
              <w:rPr>
                <w:rStyle w:val="IndexLink"/>
                <w:rtl w:val="true"/>
              </w:rPr>
              <w:t>]</w:t>
              <w:tab/>
            </w:r>
            <w:r>
              <w:rPr>
                <w:rStyle w:val="IndexLink"/>
              </w:rPr>
              <w:t>32</w:t>
            </w:r>
          </w:hyperlink>
        </w:p>
        <w:p>
          <w:pPr>
            <w:pStyle w:val="Contents5"/>
            <w:tabs>
              <w:tab w:val="clear" w:pos="7892"/>
              <w:tab w:val="right" w:pos="9026" w:leader="dot"/>
            </w:tabs>
            <w:rPr/>
          </w:pPr>
          <w:hyperlink w:anchor="__RefHeading___Toc6618638_3224264995">
            <w:r>
              <w:rPr>
                <w:webHidden/>
                <w:rStyle w:val="IndexLink"/>
                <w:rtl w:val="true"/>
              </w:rPr>
              <w:t>[</w:t>
            </w:r>
            <w:r>
              <w:rPr>
                <w:rStyle w:val="IndexLink"/>
                <w:rtl w:val="true"/>
              </w:rPr>
              <w:t>الرابع المیتة</w:t>
            </w:r>
            <w:r>
              <w:rPr>
                <w:rStyle w:val="IndexLink"/>
                <w:rtl w:val="true"/>
              </w:rPr>
              <w:t>]</w:t>
              <w:tab/>
            </w:r>
            <w:r>
              <w:rPr>
                <w:rStyle w:val="IndexLink"/>
              </w:rPr>
              <w:t>36</w:t>
            </w:r>
          </w:hyperlink>
        </w:p>
        <w:p>
          <w:pPr>
            <w:pStyle w:val="Contents5"/>
            <w:tabs>
              <w:tab w:val="clear" w:pos="7892"/>
              <w:tab w:val="right" w:pos="9026" w:leader="dot"/>
            </w:tabs>
            <w:rPr/>
          </w:pPr>
          <w:hyperlink w:anchor="__RefHeading___Toc6618640_3224264995">
            <w:r>
              <w:rPr>
                <w:webHidden/>
                <w:rStyle w:val="IndexLink"/>
                <w:rtl w:val="true"/>
              </w:rPr>
              <w:t>[</w:t>
            </w:r>
            <w:r>
              <w:rPr>
                <w:rStyle w:val="IndexLink"/>
                <w:rtl w:val="true"/>
              </w:rPr>
              <w:t>الخامس الدم</w:t>
            </w:r>
            <w:r>
              <w:rPr>
                <w:rStyle w:val="IndexLink"/>
                <w:rtl w:val="true"/>
              </w:rPr>
              <w:t>]</w:t>
              <w:tab/>
            </w:r>
            <w:r>
              <w:rPr>
                <w:rStyle w:val="IndexLink"/>
              </w:rPr>
              <w:t>69</w:t>
            </w:r>
          </w:hyperlink>
        </w:p>
        <w:p>
          <w:pPr>
            <w:pStyle w:val="Contents5"/>
            <w:tabs>
              <w:tab w:val="clear" w:pos="7892"/>
              <w:tab w:val="right" w:pos="9026" w:leader="dot"/>
            </w:tabs>
            <w:rPr/>
          </w:pPr>
          <w:hyperlink w:anchor="__RefHeading___Toc6618642_3224264995">
            <w:r>
              <w:rPr>
                <w:webHidden/>
                <w:rStyle w:val="IndexLink"/>
                <w:rtl w:val="true"/>
              </w:rPr>
              <w:t>[</w:t>
            </w:r>
            <w:r>
              <w:rPr>
                <w:rStyle w:val="IndexLink"/>
                <w:rtl w:val="true"/>
              </w:rPr>
              <w:t>السادس و السابع الکلب و الخنزیر</w:t>
            </w:r>
            <w:r>
              <w:rPr>
                <w:rStyle w:val="IndexLink"/>
                <w:rtl w:val="true"/>
              </w:rPr>
              <w:t>]</w:t>
              <w:tab/>
            </w:r>
            <w:r>
              <w:rPr>
                <w:rStyle w:val="IndexLink"/>
              </w:rPr>
              <w:t>85</w:t>
            </w:r>
          </w:hyperlink>
        </w:p>
        <w:p>
          <w:pPr>
            <w:pStyle w:val="Contents5"/>
            <w:tabs>
              <w:tab w:val="clear" w:pos="7892"/>
              <w:tab w:val="right" w:pos="9026" w:leader="dot"/>
            </w:tabs>
            <w:rPr/>
          </w:pPr>
          <w:hyperlink w:anchor="__RefHeading___Toc6618644_3224264995">
            <w:r>
              <w:rPr>
                <w:webHidden/>
                <w:rStyle w:val="IndexLink"/>
                <w:rtl w:val="true"/>
              </w:rPr>
              <w:t>[</w:t>
            </w:r>
            <w:r>
              <w:rPr>
                <w:rStyle w:val="IndexLink"/>
                <w:rtl w:val="true"/>
              </w:rPr>
              <w:t>الثامن الکافر</w:t>
            </w:r>
            <w:r>
              <w:rPr>
                <w:rStyle w:val="IndexLink"/>
                <w:rtl w:val="true"/>
              </w:rPr>
              <w:t>]</w:t>
              <w:tab/>
            </w:r>
            <w:r>
              <w:rPr>
                <w:rStyle w:val="IndexLink"/>
              </w:rPr>
              <w:t>94</w:t>
            </w:r>
          </w:hyperlink>
        </w:p>
        <w:p>
          <w:pPr>
            <w:pStyle w:val="Contents6"/>
            <w:tabs>
              <w:tab w:val="clear" w:pos="7609"/>
              <w:tab w:val="right" w:pos="9026" w:leader="dot"/>
            </w:tabs>
            <w:rPr/>
          </w:pPr>
          <w:hyperlink w:anchor="__RefHeading___Toc6618646_3224264995">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6618648_3224264995">
            <w:r>
              <w:rPr>
                <w:webHidden/>
                <w:rStyle w:val="IndexLink"/>
                <w:rtl w:val="true"/>
              </w:rPr>
              <w:t>[</w:t>
            </w:r>
            <w:r>
              <w:rPr>
                <w:rStyle w:val="IndexLink"/>
                <w:rtl w:val="true"/>
              </w:rPr>
              <w:t>نجاسة الناصب مطلقا</w:t>
            </w:r>
            <w:r>
              <w:rPr>
                <w:rStyle w:val="IndexLink"/>
                <w:rtl w:val="true"/>
              </w:rPr>
              <w:t>]</w:t>
              <w:tab/>
            </w:r>
            <w:r>
              <w:rPr>
                <w:rStyle w:val="IndexLink"/>
              </w:rPr>
              <w:t>138</w:t>
            </w:r>
          </w:hyperlink>
        </w:p>
        <w:p>
          <w:pPr>
            <w:pStyle w:val="Contents6"/>
            <w:tabs>
              <w:tab w:val="clear" w:pos="7609"/>
              <w:tab w:val="right" w:pos="9026" w:leader="dot"/>
            </w:tabs>
            <w:rPr/>
          </w:pPr>
          <w:hyperlink w:anchor="__RefHeading___Toc6618650_3224264995">
            <w:r>
              <w:rPr>
                <w:webHidden/>
                <w:rStyle w:val="IndexLink"/>
                <w:rtl w:val="true"/>
              </w:rPr>
              <w:t>[</w:t>
            </w:r>
            <w:r>
              <w:rPr>
                <w:rStyle w:val="IndexLink"/>
                <w:rtl w:val="true"/>
              </w:rPr>
              <w:t>حکم الخوارج</w:t>
            </w:r>
            <w:r>
              <w:rPr>
                <w:rStyle w:val="IndexLink"/>
                <w:rtl w:val="true"/>
              </w:rPr>
              <w:t>]</w:t>
              <w:tab/>
            </w:r>
            <w:r>
              <w:rPr>
                <w:rStyle w:val="IndexLink"/>
              </w:rPr>
              <w:t>144</w:t>
            </w:r>
          </w:hyperlink>
        </w:p>
        <w:p>
          <w:pPr>
            <w:pStyle w:val="Contents6"/>
            <w:tabs>
              <w:tab w:val="clear" w:pos="7609"/>
              <w:tab w:val="right" w:pos="9026" w:leader="dot"/>
            </w:tabs>
            <w:rPr/>
          </w:pPr>
          <w:hyperlink w:anchor="__RefHeading___Toc6618652_3224264995">
            <w:r>
              <w:rPr>
                <w:webHidden/>
                <w:rStyle w:val="IndexLink"/>
                <w:rtl w:val="true"/>
              </w:rPr>
              <w:t>[</w:t>
            </w:r>
            <w:r>
              <w:rPr>
                <w:rStyle w:val="IndexLink"/>
                <w:rtl w:val="true"/>
              </w:rPr>
              <w:t>حکم الغلاة</w:t>
            </w:r>
            <w:r>
              <w:rPr>
                <w:rStyle w:val="IndexLink"/>
                <w:rtl w:val="true"/>
              </w:rPr>
              <w:t>]</w:t>
              <w:tab/>
            </w:r>
            <w:r>
              <w:rPr>
                <w:rStyle w:val="IndexLink"/>
              </w:rPr>
              <w:t>144</w:t>
            </w:r>
          </w:hyperlink>
        </w:p>
        <w:p>
          <w:pPr>
            <w:pStyle w:val="Contents6"/>
            <w:tabs>
              <w:tab w:val="clear" w:pos="7609"/>
              <w:tab w:val="right" w:pos="9026" w:leader="dot"/>
            </w:tabs>
            <w:rPr/>
          </w:pPr>
          <w:hyperlink w:anchor="__RefHeading___Toc6618654_3224264995">
            <w:r>
              <w:rPr>
                <w:webHidden/>
                <w:rStyle w:val="IndexLink"/>
                <w:rtl w:val="true"/>
              </w:rPr>
              <w:t>[</w:t>
            </w:r>
            <w:r>
              <w:rPr>
                <w:rStyle w:val="IndexLink"/>
                <w:rtl w:val="true"/>
              </w:rPr>
              <w:t>حکم المجسِّمة</w:t>
            </w:r>
            <w:r>
              <w:rPr>
                <w:rStyle w:val="IndexLink"/>
                <w:rtl w:val="true"/>
              </w:rPr>
              <w:t>]</w:t>
              <w:tab/>
            </w:r>
            <w:r>
              <w:rPr>
                <w:rStyle w:val="IndexLink"/>
              </w:rPr>
              <w:t>145</w:t>
            </w:r>
          </w:hyperlink>
        </w:p>
        <w:p>
          <w:pPr>
            <w:pStyle w:val="Contents6"/>
            <w:tabs>
              <w:tab w:val="clear" w:pos="7609"/>
              <w:tab w:val="right" w:pos="9026" w:leader="dot"/>
            </w:tabs>
            <w:rPr/>
          </w:pPr>
          <w:hyperlink w:anchor="__RefHeading___Toc6618656_3224264995">
            <w:r>
              <w:rPr>
                <w:webHidden/>
                <w:rStyle w:val="IndexLink"/>
                <w:rtl w:val="true"/>
              </w:rPr>
              <w:t>[</w:t>
            </w:r>
            <w:r>
              <w:rPr>
                <w:rStyle w:val="IndexLink"/>
                <w:rtl w:val="true"/>
              </w:rPr>
              <w:t>حکم المجبِّرة</w:t>
            </w:r>
            <w:r>
              <w:rPr>
                <w:rStyle w:val="IndexLink"/>
                <w:rtl w:val="true"/>
              </w:rPr>
              <w:t>]</w:t>
              <w:tab/>
            </w:r>
            <w:r>
              <w:rPr>
                <w:rStyle w:val="IndexLink"/>
              </w:rPr>
              <w:t>147</w:t>
            </w:r>
          </w:hyperlink>
        </w:p>
        <w:p>
          <w:pPr>
            <w:pStyle w:val="Contents6"/>
            <w:tabs>
              <w:tab w:val="clear" w:pos="7609"/>
              <w:tab w:val="right" w:pos="9026" w:leader="dot"/>
            </w:tabs>
            <w:rPr/>
          </w:pPr>
          <w:hyperlink w:anchor="__RefHeading___Toc6618658_3224264995">
            <w:r>
              <w:rPr>
                <w:webHidden/>
                <w:rStyle w:val="IndexLink"/>
                <w:rtl w:val="true"/>
              </w:rPr>
              <w:t>[</w:t>
            </w:r>
            <w:r>
              <w:rPr>
                <w:rStyle w:val="IndexLink"/>
                <w:rtl w:val="true"/>
              </w:rPr>
              <w:t>حکم المفوِّضة</w:t>
            </w:r>
            <w:r>
              <w:rPr>
                <w:rStyle w:val="IndexLink"/>
                <w:rtl w:val="true"/>
              </w:rPr>
              <w:t>]</w:t>
              <w:tab/>
            </w:r>
            <w:r>
              <w:rPr>
                <w:rStyle w:val="IndexLink"/>
              </w:rPr>
              <w:t>149</w:t>
            </w:r>
          </w:hyperlink>
        </w:p>
        <w:p>
          <w:pPr>
            <w:pStyle w:val="Contents6"/>
            <w:tabs>
              <w:tab w:val="clear" w:pos="7609"/>
              <w:tab w:val="right" w:pos="9026" w:leader="dot"/>
            </w:tabs>
            <w:rPr/>
          </w:pPr>
          <w:hyperlink w:anchor="__RefHeading___Toc6618660_3224264995">
            <w:r>
              <w:rPr>
                <w:webHidden/>
                <w:rStyle w:val="IndexLink"/>
                <w:rtl w:val="true"/>
              </w:rPr>
              <w:t>[</w:t>
            </w:r>
            <w:r>
              <w:rPr>
                <w:rStyle w:val="IndexLink"/>
                <w:rtl w:val="true"/>
              </w:rPr>
              <w:t>حکم ولد الزنا</w:t>
            </w:r>
            <w:r>
              <w:rPr>
                <w:rStyle w:val="IndexLink"/>
                <w:rtl w:val="true"/>
              </w:rPr>
              <w:t>]</w:t>
              <w:tab/>
            </w:r>
            <w:r>
              <w:rPr>
                <w:rStyle w:val="IndexLink"/>
              </w:rPr>
              <w:t>150</w:t>
            </w:r>
          </w:hyperlink>
        </w:p>
        <w:p>
          <w:pPr>
            <w:pStyle w:val="Contents5"/>
            <w:tabs>
              <w:tab w:val="clear" w:pos="7892"/>
              <w:tab w:val="right" w:pos="9026" w:leader="dot"/>
            </w:tabs>
            <w:rPr/>
          </w:pPr>
          <w:hyperlink w:anchor="__RefHeading___Toc6618662_3224264995">
            <w:r>
              <w:rPr>
                <w:webHidden/>
                <w:rStyle w:val="IndexLink"/>
                <w:rtl w:val="true"/>
              </w:rPr>
              <w:t>[</w:t>
            </w:r>
            <w:r>
              <w:rPr>
                <w:rStyle w:val="IndexLink"/>
                <w:rtl w:val="true"/>
              </w:rPr>
              <w:t>التاسع المسکرات</w:t>
            </w:r>
            <w:r>
              <w:rPr>
                <w:rStyle w:val="IndexLink"/>
                <w:rtl w:val="true"/>
              </w:rPr>
              <w:t>]</w:t>
              <w:tab/>
            </w:r>
            <w:r>
              <w:rPr>
                <w:rStyle w:val="IndexLink"/>
              </w:rPr>
              <w:t>154</w:t>
            </w:r>
          </w:hyperlink>
        </w:p>
        <w:p>
          <w:pPr>
            <w:pStyle w:val="Contents6"/>
            <w:tabs>
              <w:tab w:val="clear" w:pos="7609"/>
              <w:tab w:val="right" w:pos="9026" w:leader="dot"/>
            </w:tabs>
            <w:rPr/>
          </w:pPr>
          <w:hyperlink w:anchor="__RefHeading___Toc6618664_3224264995">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6618666_3224264995">
            <w:r>
              <w:rPr>
                <w:webHidden/>
                <w:rStyle w:val="IndexLink"/>
                <w:rtl w:val="true"/>
              </w:rPr>
              <w:t>[</w:t>
            </w:r>
            <w:r>
              <w:rPr>
                <w:rStyle w:val="IndexLink"/>
                <w:rtl w:val="true"/>
              </w:rPr>
              <w:t>عرق الجنب من الحرام</w:t>
            </w:r>
            <w:r>
              <w:rPr>
                <w:rStyle w:val="IndexLink"/>
                <w:rtl w:val="true"/>
              </w:rPr>
              <w:t>]</w:t>
              <w:tab/>
            </w:r>
            <w:r>
              <w:rPr>
                <w:rStyle w:val="IndexLink"/>
              </w:rPr>
              <w:t>190</w:t>
            </w:r>
          </w:hyperlink>
        </w:p>
        <w:p>
          <w:pPr>
            <w:pStyle w:val="Contents6"/>
            <w:tabs>
              <w:tab w:val="clear" w:pos="7609"/>
              <w:tab w:val="right" w:pos="9026" w:leader="dot"/>
            </w:tabs>
            <w:rPr/>
          </w:pPr>
          <w:hyperlink w:anchor="__RefHeading___Toc6618668_3224264995">
            <w:r>
              <w:rPr>
                <w:webHidden/>
                <w:rStyle w:val="IndexLink"/>
                <w:rtl w:val="true"/>
              </w:rPr>
              <w:t>[</w:t>
            </w:r>
            <w:r>
              <w:rPr>
                <w:rStyle w:val="IndexLink"/>
                <w:rtl w:val="true"/>
              </w:rPr>
              <w:t>عرق الإبل الجلّالة</w:t>
            </w:r>
            <w:r>
              <w:rPr>
                <w:rStyle w:val="IndexLink"/>
                <w:rtl w:val="true"/>
              </w:rPr>
              <w:t>]</w:t>
              <w:tab/>
            </w:r>
            <w:r>
              <w:rPr>
                <w:rStyle w:val="IndexLink"/>
              </w:rPr>
              <w:t>196</w:t>
            </w:r>
          </w:hyperlink>
        </w:p>
        <w:p>
          <w:pPr>
            <w:pStyle w:val="Contents5"/>
            <w:tabs>
              <w:tab w:val="clear" w:pos="7892"/>
              <w:tab w:val="right" w:pos="9026" w:leader="dot"/>
            </w:tabs>
            <w:rPr/>
          </w:pPr>
          <w:hyperlink w:anchor="__RefHeading___Toc6618670_3224264995">
            <w:r>
              <w:rPr>
                <w:webHidden/>
                <w:rStyle w:val="IndexLink"/>
                <w:rtl w:val="true"/>
              </w:rPr>
              <w:t>[</w:t>
            </w:r>
            <w:r>
              <w:rPr>
                <w:rStyle w:val="IndexLink"/>
                <w:rtl w:val="true"/>
              </w:rPr>
              <w:t>العاشر الفقّاع</w:t>
            </w:r>
            <w:r>
              <w:rPr>
                <w:rStyle w:val="IndexLink"/>
                <w:rtl w:val="true"/>
              </w:rPr>
              <w:t>]</w:t>
              <w:tab/>
            </w:r>
            <w:r>
              <w:rPr>
                <w:rStyle w:val="IndexLink"/>
              </w:rPr>
              <w:t>198</w:t>
            </w:r>
          </w:hyperlink>
        </w:p>
        <w:p>
          <w:pPr>
            <w:pStyle w:val="Contents5"/>
            <w:tabs>
              <w:tab w:val="clear" w:pos="7892"/>
              <w:tab w:val="right" w:pos="9026" w:leader="dot"/>
            </w:tabs>
            <w:rPr/>
          </w:pPr>
          <w:hyperlink w:anchor="__RefHeading___Toc6618672_3224264995">
            <w:r>
              <w:rPr>
                <w:webHidden/>
                <w:rStyle w:val="IndexLink"/>
                <w:rtl w:val="true"/>
              </w:rPr>
              <w:t>[</w:t>
            </w:r>
            <w:r>
              <w:rPr>
                <w:rStyle w:val="IndexLink"/>
                <w:rtl w:val="true"/>
              </w:rPr>
              <w:t>حکم المُسوخات</w:t>
            </w:r>
            <w:r>
              <w:rPr>
                <w:rStyle w:val="IndexLink"/>
                <w:rtl w:val="true"/>
              </w:rPr>
              <w:t>]</w:t>
              <w:tab/>
            </w:r>
            <w:r>
              <w:rPr>
                <w:rStyle w:val="IndexLink"/>
              </w:rPr>
              <w:t>203</w:t>
            </w:r>
          </w:hyperlink>
        </w:p>
        <w:p>
          <w:pPr>
            <w:pStyle w:val="Contents4"/>
            <w:tabs>
              <w:tab w:val="clear" w:pos="8176"/>
              <w:tab w:val="right" w:pos="9026" w:leader="dot"/>
            </w:tabs>
            <w:rPr/>
          </w:pPr>
          <w:hyperlink w:anchor="__RefHeading___Toc6618674_3224264995">
            <w:r>
              <w:rPr>
                <w:webHidden/>
                <w:rStyle w:val="IndexLink"/>
                <w:rtl w:val="true"/>
              </w:rPr>
              <w:t>[</w:t>
            </w:r>
            <w:r>
              <w:rPr>
                <w:rStyle w:val="IndexLink"/>
                <w:rtl w:val="true"/>
              </w:rPr>
              <w:t>أحکام النجاسات</w:t>
            </w:r>
            <w:r>
              <w:rPr>
                <w:rStyle w:val="IndexLink"/>
                <w:rtl w:val="true"/>
              </w:rPr>
              <w:t>]</w:t>
              <w:tab/>
            </w:r>
            <w:r>
              <w:rPr>
                <w:rStyle w:val="IndexLink"/>
              </w:rPr>
              <w:t>209</w:t>
            </w:r>
          </w:hyperlink>
        </w:p>
        <w:p>
          <w:pPr>
            <w:pStyle w:val="Contents5"/>
            <w:tabs>
              <w:tab w:val="clear" w:pos="7892"/>
              <w:tab w:val="right" w:pos="9026" w:leader="dot"/>
            </w:tabs>
            <w:rPr/>
          </w:pPr>
          <w:hyperlink w:anchor="__RefHeading___Toc6618676_3224264995">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6618678_3224264995">
            <w:r>
              <w:rPr>
                <w:webHidden/>
                <w:rStyle w:val="IndexLink"/>
                <w:rtl w:val="true"/>
              </w:rPr>
              <w:t>[</w:t>
            </w:r>
            <w:r>
              <w:rPr>
                <w:rStyle w:val="IndexLink"/>
                <w:rtl w:val="true"/>
              </w:rPr>
              <w:t>وجوب إزالة النجاسة عن الثوب و البدن للصلاة و الطواف</w:t>
            </w:r>
            <w:r>
              <w:rPr>
                <w:rStyle w:val="IndexLink"/>
                <w:rtl w:val="true"/>
              </w:rPr>
              <w:t>]</w:t>
              <w:tab/>
            </w:r>
            <w:r>
              <w:rPr>
                <w:rStyle w:val="IndexLink"/>
              </w:rPr>
              <w:t>209</w:t>
            </w:r>
          </w:hyperlink>
        </w:p>
        <w:p>
          <w:pPr>
            <w:pStyle w:val="Contents5"/>
            <w:tabs>
              <w:tab w:val="clear" w:pos="7892"/>
              <w:tab w:val="right" w:pos="9026" w:leader="dot"/>
            </w:tabs>
            <w:rPr/>
          </w:pPr>
          <w:hyperlink w:anchor="__RefHeading___Toc6618680_3224264995">
            <w:r>
              <w:rPr>
                <w:webHidden/>
                <w:rStyle w:val="IndexLink"/>
                <w:rtl w:val="true"/>
              </w:rPr>
              <w:t>[</w:t>
            </w:r>
            <w:r>
              <w:rPr>
                <w:rStyle w:val="IndexLink"/>
                <w:rtl w:val="true"/>
              </w:rPr>
              <w:t>وجوب إزالة النجاسة عن المساجد و عن المصاحف و المشاهد المشرفة</w:t>
            </w:r>
            <w:r>
              <w:rPr>
                <w:rStyle w:val="IndexLink"/>
                <w:rtl w:val="true"/>
              </w:rPr>
              <w:t>]</w:t>
              <w:tab/>
            </w:r>
            <w:r>
              <w:rPr>
                <w:rStyle w:val="IndexLink"/>
              </w:rPr>
              <w:t>214</w:t>
            </w:r>
          </w:hyperlink>
        </w:p>
        <w:p>
          <w:pPr>
            <w:pStyle w:val="Contents5"/>
            <w:tabs>
              <w:tab w:val="clear" w:pos="7892"/>
              <w:tab w:val="right" w:pos="9026" w:leader="dot"/>
            </w:tabs>
            <w:rPr/>
          </w:pPr>
          <w:hyperlink w:anchor="__RefHeading___Toc6618682_3224264995">
            <w:r>
              <w:rPr>
                <w:webHidden/>
                <w:rStyle w:val="IndexLink"/>
                <w:rtl w:val="true"/>
              </w:rPr>
              <w:t>[</w:t>
            </w:r>
            <w:r>
              <w:rPr>
                <w:rStyle w:val="IndexLink"/>
                <w:rtl w:val="true"/>
              </w:rPr>
              <w:t>العفو عن دم القروح و الجروح</w:t>
            </w:r>
            <w:r>
              <w:rPr>
                <w:rStyle w:val="IndexLink"/>
                <w:rtl w:val="true"/>
              </w:rPr>
              <w:t>]</w:t>
              <w:tab/>
            </w:r>
            <w:r>
              <w:rPr>
                <w:rStyle w:val="IndexLink"/>
              </w:rPr>
              <w:t>223</w:t>
            </w:r>
          </w:hyperlink>
        </w:p>
        <w:p>
          <w:pPr>
            <w:pStyle w:val="Contents5"/>
            <w:tabs>
              <w:tab w:val="clear" w:pos="7892"/>
              <w:tab w:val="right" w:pos="9026" w:leader="dot"/>
            </w:tabs>
            <w:rPr/>
          </w:pPr>
          <w:hyperlink w:anchor="__RefHeading___Toc6618684_3224264995">
            <w:r>
              <w:rPr>
                <w:webHidden/>
                <w:rStyle w:val="IndexLink"/>
                <w:rtl w:val="true"/>
              </w:rPr>
              <w:t>[</w:t>
            </w:r>
            <w:r>
              <w:rPr>
                <w:rStyle w:val="IndexLink"/>
                <w:rtl w:val="true"/>
              </w:rPr>
              <w:t>العفو عمّا دون سعة الدرهم البغلی</w:t>
            </w:r>
            <w:r>
              <w:rPr>
                <w:rStyle w:val="IndexLink"/>
                <w:rtl w:val="true"/>
              </w:rPr>
              <w:t>]</w:t>
              <w:tab/>
            </w:r>
            <w:r>
              <w:rPr>
                <w:rStyle w:val="IndexLink"/>
              </w:rPr>
              <w:t>233</w:t>
            </w:r>
          </w:hyperlink>
        </w:p>
        <w:p>
          <w:pPr>
            <w:pStyle w:val="Contents5"/>
            <w:tabs>
              <w:tab w:val="clear" w:pos="7892"/>
              <w:tab w:val="right" w:pos="9026" w:leader="dot"/>
            </w:tabs>
            <w:rPr/>
          </w:pPr>
          <w:hyperlink w:anchor="__RefHeading___Toc6618686_3224264995">
            <w:r>
              <w:rPr>
                <w:webHidden/>
                <w:rStyle w:val="IndexLink"/>
                <w:rtl w:val="true"/>
              </w:rPr>
              <w:t>[</w:t>
            </w:r>
            <w:r>
              <w:rPr>
                <w:rStyle w:val="IndexLink"/>
                <w:rtl w:val="true"/>
              </w:rPr>
              <w:t>عدم العفو عن دم الثلاثة و دم نجس العین</w:t>
            </w:r>
            <w:r>
              <w:rPr>
                <w:rStyle w:val="IndexLink"/>
                <w:rtl w:val="true"/>
              </w:rPr>
              <w:t>]</w:t>
              <w:tab/>
            </w:r>
            <w:r>
              <w:rPr>
                <w:rStyle w:val="IndexLink"/>
              </w:rPr>
              <w:t>245</w:t>
            </w:r>
          </w:hyperlink>
        </w:p>
        <w:p>
          <w:pPr>
            <w:pStyle w:val="Contents5"/>
            <w:tabs>
              <w:tab w:val="clear" w:pos="7892"/>
              <w:tab w:val="right" w:pos="9026" w:leader="dot"/>
            </w:tabs>
            <w:rPr/>
          </w:pPr>
          <w:hyperlink w:anchor="__RefHeading___Toc6618688_3224264995">
            <w:r>
              <w:rPr>
                <w:webHidden/>
                <w:rStyle w:val="IndexLink"/>
                <w:rtl w:val="true"/>
              </w:rPr>
              <w:t>[</w:t>
            </w:r>
            <w:r>
              <w:rPr>
                <w:rStyle w:val="IndexLink"/>
                <w:rtl w:val="true"/>
              </w:rPr>
              <w:t>العفو عن نجاسة ما لا تتمّ الصلاة فیه</w:t>
            </w:r>
            <w:r>
              <w:rPr>
                <w:rStyle w:val="IndexLink"/>
                <w:rtl w:val="true"/>
              </w:rPr>
              <w:t>]</w:t>
              <w:tab/>
            </w:r>
            <w:r>
              <w:rPr>
                <w:rStyle w:val="IndexLink"/>
              </w:rPr>
              <w:t>246</w:t>
            </w:r>
          </w:hyperlink>
        </w:p>
        <w:p>
          <w:pPr>
            <w:pStyle w:val="Contents6"/>
            <w:tabs>
              <w:tab w:val="clear" w:pos="7609"/>
              <w:tab w:val="right" w:pos="9026" w:leader="dot"/>
            </w:tabs>
            <w:rPr/>
          </w:pPr>
          <w:hyperlink w:anchor="__RefHeading___Toc6618690_3224264995">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6618692_3224264995">
            <w:r>
              <w:rPr>
                <w:webHidden/>
                <w:rStyle w:val="IndexLink"/>
                <w:rtl w:val="true"/>
              </w:rPr>
              <w:t>[</w:t>
            </w:r>
            <w:r>
              <w:rPr>
                <w:rStyle w:val="IndexLink"/>
                <w:rtl w:val="true"/>
              </w:rPr>
              <w:t>و إن تنجّس بغیر الدم</w:t>
            </w:r>
            <w:r>
              <w:rPr>
                <w:rStyle w:val="IndexLink"/>
                <w:rtl w:val="true"/>
              </w:rPr>
              <w:t>]</w:t>
              <w:tab/>
            </w:r>
            <w:r>
              <w:rPr>
                <w:rStyle w:val="IndexLink"/>
              </w:rPr>
              <w:t>250</w:t>
            </w:r>
          </w:hyperlink>
        </w:p>
        <w:p>
          <w:pPr>
            <w:pStyle w:val="Contents5"/>
            <w:tabs>
              <w:tab w:val="clear" w:pos="7892"/>
              <w:tab w:val="right" w:pos="9026" w:leader="dot"/>
            </w:tabs>
            <w:rPr/>
          </w:pPr>
          <w:hyperlink w:anchor="__RefHeading___Toc6618694_3224264995">
            <w:r>
              <w:rPr>
                <w:webHidden/>
                <w:rStyle w:val="IndexLink"/>
                <w:rtl w:val="true"/>
              </w:rPr>
              <w:t>[</w:t>
            </w:r>
            <w:r>
              <w:rPr>
                <w:rStyle w:val="IndexLink"/>
                <w:rtl w:val="true"/>
              </w:rPr>
              <w:t>و لا بدّ من العصر إلا من الرضیع</w:t>
            </w:r>
            <w:r>
              <w:rPr>
                <w:rStyle w:val="IndexLink"/>
                <w:rtl w:val="true"/>
              </w:rPr>
              <w:t>]</w:t>
              <w:tab/>
            </w:r>
            <w:r>
              <w:rPr>
                <w:rStyle w:val="IndexLink"/>
              </w:rPr>
              <w:t>255</w:t>
            </w:r>
          </w:hyperlink>
        </w:p>
        <w:p>
          <w:pPr>
            <w:pStyle w:val="Contents5"/>
            <w:tabs>
              <w:tab w:val="clear" w:pos="7892"/>
              <w:tab w:val="right" w:pos="9026" w:leader="dot"/>
            </w:tabs>
            <w:rPr/>
          </w:pPr>
          <w:hyperlink w:anchor="__RefHeading___Toc6618696_3224264995">
            <w:r>
              <w:rPr>
                <w:webHidden/>
                <w:rStyle w:val="IndexLink"/>
                <w:rtl w:val="true"/>
              </w:rPr>
              <w:t>[</w:t>
            </w:r>
            <w:r>
              <w:rPr>
                <w:rStyle w:val="IndexLink"/>
                <w:rtl w:val="true"/>
              </w:rPr>
              <w:t>حکم المربّیة للصبیّ</w:t>
            </w:r>
            <w:r>
              <w:rPr>
                <w:rStyle w:val="IndexLink"/>
                <w:rtl w:val="true"/>
              </w:rPr>
              <w:t>]</w:t>
              <w:tab/>
            </w:r>
            <w:r>
              <w:rPr>
                <w:rStyle w:val="IndexLink"/>
              </w:rPr>
              <w:t>268</w:t>
            </w:r>
          </w:hyperlink>
        </w:p>
        <w:p>
          <w:pPr>
            <w:pStyle w:val="Contents5"/>
            <w:tabs>
              <w:tab w:val="clear" w:pos="7892"/>
              <w:tab w:val="right" w:pos="9026" w:leader="dot"/>
            </w:tabs>
            <w:rPr/>
          </w:pPr>
          <w:hyperlink w:anchor="__RefHeading___Toc6618698_3224264995">
            <w:r>
              <w:rPr>
                <w:webHidden/>
                <w:rStyle w:val="IndexLink"/>
                <w:rtl w:val="true"/>
              </w:rPr>
              <w:t>[</w:t>
            </w:r>
            <w:r>
              <w:rPr>
                <w:rStyle w:val="IndexLink"/>
                <w:rtl w:val="true"/>
              </w:rPr>
              <w:t>الصلاة فی الثوب و البدن النجس</w:t>
            </w:r>
            <w:r>
              <w:rPr>
                <w:rStyle w:val="IndexLink"/>
                <w:rtl w:val="true"/>
              </w:rPr>
              <w:t>]</w:t>
              <w:tab/>
            </w:r>
            <w:r>
              <w:rPr>
                <w:rStyle w:val="IndexLink"/>
              </w:rPr>
              <w:t>270</w:t>
            </w:r>
          </w:hyperlink>
        </w:p>
        <w:p>
          <w:pPr>
            <w:pStyle w:val="Contents6"/>
            <w:tabs>
              <w:tab w:val="clear" w:pos="7609"/>
              <w:tab w:val="right" w:pos="9026" w:leader="dot"/>
            </w:tabs>
            <w:rPr/>
          </w:pPr>
          <w:hyperlink w:anchor="__RefHeading___Toc6618700_3224264995">
            <w:r>
              <w:rPr>
                <w:webHidden/>
                <w:rStyle w:val="IndexLink"/>
                <w:rtl w:val="true"/>
              </w:rPr>
              <w:t>[</w:t>
            </w:r>
            <w:r>
              <w:rPr>
                <w:rStyle w:val="IndexLink"/>
                <w:rtl w:val="true"/>
              </w:rPr>
              <w:t>حکم العامد</w:t>
            </w:r>
            <w:r>
              <w:rPr>
                <w:rStyle w:val="IndexLink"/>
                <w:rtl w:val="true"/>
              </w:rPr>
              <w:t>]</w:t>
              <w:tab/>
            </w:r>
            <w:r>
              <w:rPr>
                <w:rStyle w:val="IndexLink"/>
              </w:rPr>
              <w:t>270</w:t>
            </w:r>
          </w:hyperlink>
        </w:p>
        <w:p>
          <w:pPr>
            <w:pStyle w:val="Contents6"/>
            <w:tabs>
              <w:tab w:val="clear" w:pos="7609"/>
              <w:tab w:val="right" w:pos="9026" w:leader="dot"/>
            </w:tabs>
            <w:rPr/>
          </w:pPr>
          <w:hyperlink w:anchor="__RefHeading___Toc6618702_3224264995">
            <w:r>
              <w:rPr>
                <w:webHidden/>
                <w:rStyle w:val="IndexLink"/>
                <w:rtl w:val="true"/>
              </w:rPr>
              <w:t>[</w:t>
            </w:r>
            <w:r>
              <w:rPr>
                <w:rStyle w:val="IndexLink"/>
                <w:rtl w:val="true"/>
              </w:rPr>
              <w:t>حکم الناسی</w:t>
            </w:r>
            <w:r>
              <w:rPr>
                <w:rStyle w:val="IndexLink"/>
                <w:rtl w:val="true"/>
              </w:rPr>
              <w:t>]</w:t>
              <w:tab/>
            </w:r>
            <w:r>
              <w:rPr>
                <w:rStyle w:val="IndexLink"/>
              </w:rPr>
              <w:t>270</w:t>
            </w:r>
          </w:hyperlink>
        </w:p>
        <w:p>
          <w:pPr>
            <w:pStyle w:val="Contents6"/>
            <w:tabs>
              <w:tab w:val="clear" w:pos="7609"/>
              <w:tab w:val="right" w:pos="9026" w:leader="dot"/>
            </w:tabs>
            <w:rPr/>
          </w:pPr>
          <w:hyperlink w:anchor="__RefHeading___Toc6618704_3224264995">
            <w:r>
              <w:rPr>
                <w:webHidden/>
                <w:rStyle w:val="IndexLink"/>
                <w:rtl w:val="true"/>
              </w:rPr>
              <w:t>[</w:t>
            </w:r>
            <w:r>
              <w:rPr>
                <w:rStyle w:val="IndexLink"/>
                <w:rtl w:val="true"/>
              </w:rPr>
              <w:t>حکم الجاهل</w:t>
            </w:r>
            <w:r>
              <w:rPr>
                <w:rStyle w:val="IndexLink"/>
                <w:rtl w:val="true"/>
              </w:rPr>
              <w:t>]</w:t>
              <w:tab/>
            </w:r>
            <w:r>
              <w:rPr>
                <w:rStyle w:val="IndexLink"/>
              </w:rPr>
              <w:t>271</w:t>
            </w:r>
          </w:hyperlink>
        </w:p>
        <w:p>
          <w:pPr>
            <w:pStyle w:val="Contents5"/>
            <w:tabs>
              <w:tab w:val="clear" w:pos="7892"/>
              <w:tab w:val="right" w:pos="9026" w:leader="dot"/>
            </w:tabs>
            <w:rPr/>
          </w:pPr>
          <w:hyperlink w:anchor="__RefHeading___Toc6618706_3224264995">
            <w:r>
              <w:rPr>
                <w:webHidden/>
                <w:rStyle w:val="IndexLink"/>
                <w:rtl w:val="true"/>
              </w:rPr>
              <w:t>[</w:t>
            </w:r>
            <w:r>
              <w:rPr>
                <w:rStyle w:val="IndexLink"/>
                <w:rtl w:val="true"/>
              </w:rPr>
              <w:t>لو نجس الثوب و لیس له غیره</w:t>
            </w:r>
            <w:r>
              <w:rPr>
                <w:rStyle w:val="IndexLink"/>
                <w:rtl w:val="true"/>
              </w:rPr>
              <w:t>]</w:t>
              <w:tab/>
            </w:r>
            <w:r>
              <w:rPr>
                <w:rStyle w:val="IndexLink"/>
              </w:rPr>
              <w:t>273</w:t>
            </w:r>
          </w:hyperlink>
        </w:p>
        <w:p>
          <w:pPr>
            <w:pStyle w:val="Contents4"/>
            <w:tabs>
              <w:tab w:val="clear" w:pos="8176"/>
              <w:tab w:val="right" w:pos="9026" w:leader="dot"/>
            </w:tabs>
            <w:rPr/>
          </w:pPr>
          <w:hyperlink w:anchor="__RefHeading___Toc6618708_3224264995">
            <w:r>
              <w:rPr>
                <w:webHidden/>
                <w:rStyle w:val="IndexLink"/>
                <w:rtl w:val="true"/>
              </w:rPr>
              <w:t>[</w:t>
            </w:r>
            <w:r>
              <w:rPr>
                <w:rStyle w:val="IndexLink"/>
                <w:rtl w:val="true"/>
              </w:rPr>
              <w:t>المطهِّرات</w:t>
            </w:r>
            <w:r>
              <w:rPr>
                <w:rStyle w:val="IndexLink"/>
                <w:rtl w:val="true"/>
              </w:rPr>
              <w:t>]</w:t>
              <w:tab/>
            </w:r>
            <w:r>
              <w:rPr>
                <w:rStyle w:val="IndexLink"/>
              </w:rPr>
              <w:t>278</w:t>
            </w:r>
          </w:hyperlink>
        </w:p>
        <w:p>
          <w:pPr>
            <w:pStyle w:val="Contents5"/>
            <w:tabs>
              <w:tab w:val="clear" w:pos="7892"/>
              <w:tab w:val="right" w:pos="9026" w:leader="dot"/>
            </w:tabs>
            <w:rPr/>
          </w:pPr>
          <w:hyperlink w:anchor="__RefHeading___Toc6618710_3224264995">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6618712_3224264995">
            <w:r>
              <w:rPr>
                <w:webHidden/>
                <w:rStyle w:val="IndexLink"/>
                <w:rtl w:val="true"/>
              </w:rPr>
              <w:t>[</w:t>
            </w:r>
            <w:r>
              <w:rPr>
                <w:rStyle w:val="IndexLink"/>
              </w:rPr>
              <w:t>1</w:t>
            </w:r>
            <w:r>
              <w:rPr>
                <w:rStyle w:val="IndexLink"/>
                <w:rtl w:val="true"/>
              </w:rPr>
              <w:t xml:space="preserve">- </w:t>
            </w:r>
            <w:r>
              <w:rPr>
                <w:rStyle w:val="IndexLink"/>
                <w:rtl w:val="true"/>
              </w:rPr>
              <w:t>مطهّریة الشمس</w:t>
            </w:r>
            <w:r>
              <w:rPr>
                <w:rStyle w:val="IndexLink"/>
                <w:rtl w:val="true"/>
              </w:rPr>
              <w:t>]</w:t>
              <w:tab/>
            </w:r>
            <w:r>
              <w:rPr>
                <w:rStyle w:val="IndexLink"/>
              </w:rPr>
              <w:t>278</w:t>
            </w:r>
          </w:hyperlink>
        </w:p>
        <w:p>
          <w:pPr>
            <w:pStyle w:val="Contents5"/>
            <w:tabs>
              <w:tab w:val="clear" w:pos="7892"/>
              <w:tab w:val="right" w:pos="9026" w:leader="dot"/>
            </w:tabs>
            <w:rPr/>
          </w:pPr>
          <w:hyperlink w:anchor="__RefHeading___Toc6618714_3224264995">
            <w:r>
              <w:rPr>
                <w:webHidden/>
                <w:rStyle w:val="IndexLink"/>
                <w:rtl w:val="true"/>
              </w:rPr>
              <w:t>[</w:t>
            </w:r>
            <w:r>
              <w:rPr>
                <w:rStyle w:val="IndexLink"/>
              </w:rPr>
              <w:t>2</w:t>
            </w:r>
            <w:r>
              <w:rPr>
                <w:rStyle w:val="IndexLink"/>
                <w:rtl w:val="true"/>
              </w:rPr>
              <w:t xml:space="preserve">- </w:t>
            </w:r>
            <w:r>
              <w:rPr>
                <w:rStyle w:val="IndexLink"/>
                <w:rtl w:val="true"/>
              </w:rPr>
              <w:t>مطهّریة النار لما أحالته دخاناً أو رماداً</w:t>
            </w:r>
            <w:r>
              <w:rPr>
                <w:rStyle w:val="IndexLink"/>
                <w:rtl w:val="true"/>
              </w:rPr>
              <w:t>]</w:t>
              <w:tab/>
            </w:r>
            <w:r>
              <w:rPr>
                <w:rStyle w:val="IndexLink"/>
              </w:rPr>
              <w:t>284</w:t>
            </w:r>
          </w:hyperlink>
        </w:p>
        <w:p>
          <w:pPr>
            <w:pStyle w:val="Contents5"/>
            <w:tabs>
              <w:tab w:val="clear" w:pos="7892"/>
              <w:tab w:val="right" w:pos="9026" w:leader="dot"/>
            </w:tabs>
            <w:rPr/>
          </w:pPr>
          <w:hyperlink w:anchor="__RefHeading___Toc6618716_3224264995">
            <w:r>
              <w:rPr>
                <w:webHidden/>
                <w:rStyle w:val="IndexLink"/>
                <w:rtl w:val="true"/>
              </w:rPr>
              <w:t>[</w:t>
            </w:r>
            <w:r>
              <w:rPr>
                <w:rStyle w:val="IndexLink"/>
              </w:rPr>
              <w:t>3</w:t>
            </w:r>
            <w:r>
              <w:rPr>
                <w:rStyle w:val="IndexLink"/>
                <w:rtl w:val="true"/>
              </w:rPr>
              <w:t xml:space="preserve">- </w:t>
            </w:r>
            <w:r>
              <w:rPr>
                <w:rStyle w:val="IndexLink"/>
                <w:rtl w:val="true"/>
              </w:rPr>
              <w:t>مطهِّریة الأرض لباطن النعل و القدم</w:t>
            </w:r>
            <w:r>
              <w:rPr>
                <w:rStyle w:val="IndexLink"/>
                <w:rtl w:val="true"/>
              </w:rPr>
              <w:t>]</w:t>
              <w:tab/>
            </w:r>
            <w:r>
              <w:rPr>
                <w:rStyle w:val="IndexLink"/>
              </w:rPr>
              <w:t>291</w:t>
            </w:r>
          </w:hyperlink>
        </w:p>
        <w:p>
          <w:pPr>
            <w:pStyle w:val="Contents5"/>
            <w:tabs>
              <w:tab w:val="clear" w:pos="7892"/>
              <w:tab w:val="right" w:pos="9026" w:leader="dot"/>
            </w:tabs>
            <w:rPr/>
          </w:pPr>
          <w:hyperlink w:anchor="__RefHeading___Toc6618718_3224264995">
            <w:r>
              <w:rPr>
                <w:webHidden/>
                <w:rStyle w:val="IndexLink"/>
                <w:rtl w:val="true"/>
              </w:rPr>
              <w:t>[</w:t>
            </w:r>
            <w:r>
              <w:rPr>
                <w:rStyle w:val="IndexLink"/>
              </w:rPr>
              <w:t>4</w:t>
            </w:r>
            <w:r>
              <w:rPr>
                <w:rStyle w:val="IndexLink"/>
                <w:rtl w:val="true"/>
              </w:rPr>
              <w:t xml:space="preserve">- </w:t>
            </w:r>
            <w:r>
              <w:rPr>
                <w:rStyle w:val="IndexLink"/>
                <w:rtl w:val="true"/>
              </w:rPr>
              <w:t>الاستحالة</w:t>
            </w:r>
            <w:r>
              <w:rPr>
                <w:rStyle w:val="IndexLink"/>
                <w:rtl w:val="true"/>
              </w:rPr>
              <w:t>]</w:t>
              <w:tab/>
            </w:r>
            <w:r>
              <w:rPr>
                <w:rStyle w:val="IndexLink"/>
              </w:rPr>
              <w:t>298</w:t>
            </w:r>
          </w:hyperlink>
        </w:p>
        <w:p>
          <w:pPr>
            <w:pStyle w:val="Contents5"/>
            <w:tabs>
              <w:tab w:val="clear" w:pos="7892"/>
              <w:tab w:val="right" w:pos="9026" w:leader="dot"/>
            </w:tabs>
            <w:rPr/>
          </w:pPr>
          <w:hyperlink w:anchor="__RefHeading___Toc6618720_3224264995">
            <w:r>
              <w:rPr>
                <w:webHidden/>
                <w:rStyle w:val="IndexLink"/>
                <w:rtl w:val="true"/>
              </w:rPr>
              <w:t>[</w:t>
            </w:r>
            <w:r>
              <w:rPr>
                <w:rStyle w:val="IndexLink"/>
              </w:rPr>
              <w:t>5</w:t>
            </w:r>
            <w:r>
              <w:rPr>
                <w:rStyle w:val="IndexLink"/>
                <w:rtl w:val="true"/>
              </w:rPr>
              <w:t xml:space="preserve">- </w:t>
            </w:r>
            <w:r>
              <w:rPr>
                <w:rStyle w:val="IndexLink"/>
                <w:rtl w:val="true"/>
              </w:rPr>
              <w:t>الانقلاب</w:t>
            </w:r>
            <w:r>
              <w:rPr>
                <w:rStyle w:val="IndexLink"/>
                <w:rtl w:val="true"/>
              </w:rPr>
              <w:t>]</w:t>
              <w:tab/>
            </w:r>
            <w:r>
              <w:rPr>
                <w:rStyle w:val="IndexLink"/>
              </w:rPr>
              <w:t>303</w:t>
            </w:r>
          </w:hyperlink>
        </w:p>
        <w:p>
          <w:pPr>
            <w:pStyle w:val="Contents5"/>
            <w:tabs>
              <w:tab w:val="clear" w:pos="7892"/>
              <w:tab w:val="right" w:pos="9026" w:leader="dot"/>
            </w:tabs>
            <w:rPr/>
          </w:pPr>
          <w:hyperlink w:anchor="__RefHeading___Toc6618722_3224264995">
            <w:r>
              <w:rPr>
                <w:webHidden/>
                <w:rStyle w:val="IndexLink"/>
                <w:rtl w:val="true"/>
              </w:rPr>
              <w:t>[</w:t>
            </w:r>
            <w:r>
              <w:rPr>
                <w:rStyle w:val="IndexLink"/>
              </w:rPr>
              <w:t>6</w:t>
            </w:r>
            <w:r>
              <w:rPr>
                <w:rStyle w:val="IndexLink"/>
                <w:rtl w:val="true"/>
              </w:rPr>
              <w:t xml:space="preserve">- </w:t>
            </w:r>
            <w:r>
              <w:rPr>
                <w:rStyle w:val="IndexLink"/>
                <w:rtl w:val="true"/>
              </w:rPr>
              <w:t>زوال الثلثین</w:t>
            </w:r>
            <w:r>
              <w:rPr>
                <w:rStyle w:val="IndexLink"/>
                <w:rtl w:val="true"/>
              </w:rPr>
              <w:t>]</w:t>
              <w:tab/>
            </w:r>
            <w:r>
              <w:rPr>
                <w:rStyle w:val="IndexLink"/>
              </w:rPr>
              <w:t>308</w:t>
            </w:r>
          </w:hyperlink>
        </w:p>
        <w:p>
          <w:pPr>
            <w:pStyle w:val="Contents5"/>
            <w:tabs>
              <w:tab w:val="clear" w:pos="7892"/>
              <w:tab w:val="right" w:pos="9026" w:leader="dot"/>
            </w:tabs>
            <w:rPr/>
          </w:pPr>
          <w:hyperlink w:anchor="__RefHeading___Toc6618724_3224264995">
            <w:r>
              <w:rPr>
                <w:webHidden/>
                <w:rStyle w:val="IndexLink"/>
                <w:rtl w:val="true"/>
              </w:rPr>
              <w:t>[</w:t>
            </w:r>
            <w:r>
              <w:rPr>
                <w:rStyle w:val="IndexLink"/>
              </w:rPr>
              <w:t>7</w:t>
            </w:r>
            <w:r>
              <w:rPr>
                <w:rStyle w:val="IndexLink"/>
                <w:rtl w:val="true"/>
              </w:rPr>
              <w:t xml:space="preserve">- </w:t>
            </w:r>
            <w:r>
              <w:rPr>
                <w:rStyle w:val="IndexLink"/>
                <w:rtl w:val="true"/>
              </w:rPr>
              <w:t>الإسلام</w:t>
            </w:r>
            <w:r>
              <w:rPr>
                <w:rStyle w:val="IndexLink"/>
                <w:rtl w:val="true"/>
              </w:rPr>
              <w:t>]</w:t>
              <w:tab/>
            </w:r>
            <w:r>
              <w:rPr>
                <w:rStyle w:val="IndexLink"/>
              </w:rPr>
              <w:t>314</w:t>
            </w:r>
          </w:hyperlink>
        </w:p>
        <w:p>
          <w:pPr>
            <w:pStyle w:val="Contents5"/>
            <w:tabs>
              <w:tab w:val="clear" w:pos="7892"/>
              <w:tab w:val="right" w:pos="9026" w:leader="dot"/>
            </w:tabs>
            <w:rPr/>
          </w:pPr>
          <w:hyperlink w:anchor="__RefHeading___Toc6618726_3224264995">
            <w:r>
              <w:rPr>
                <w:webHidden/>
                <w:rStyle w:val="IndexLink"/>
                <w:rtl w:val="true"/>
              </w:rPr>
              <w:t>[</w:t>
            </w:r>
            <w:r>
              <w:rPr>
                <w:rStyle w:val="IndexLink"/>
              </w:rPr>
              <w:t>8</w:t>
            </w:r>
            <w:r>
              <w:rPr>
                <w:rStyle w:val="IndexLink"/>
                <w:rtl w:val="true"/>
              </w:rPr>
              <w:t xml:space="preserve">- </w:t>
            </w:r>
            <w:r>
              <w:rPr>
                <w:rStyle w:val="IndexLink"/>
                <w:rtl w:val="true"/>
              </w:rPr>
              <w:t>الغیبة</w:t>
            </w:r>
            <w:r>
              <w:rPr>
                <w:rStyle w:val="IndexLink"/>
                <w:rtl w:val="true"/>
              </w:rPr>
              <w:t>]</w:t>
              <w:tab/>
            </w:r>
            <w:r>
              <w:rPr>
                <w:rStyle w:val="IndexLink"/>
              </w:rPr>
              <w:t>320</w:t>
            </w:r>
          </w:hyperlink>
        </w:p>
        <w:p>
          <w:pPr>
            <w:pStyle w:val="Contents5"/>
            <w:tabs>
              <w:tab w:val="clear" w:pos="7892"/>
              <w:tab w:val="right" w:pos="9026" w:leader="dot"/>
            </w:tabs>
            <w:rPr/>
          </w:pPr>
          <w:hyperlink w:anchor="__RefHeading___Toc6618728_3224264995">
            <w:r>
              <w:rPr>
                <w:webHidden/>
                <w:rStyle w:val="IndexLink"/>
                <w:rtl w:val="true"/>
              </w:rPr>
              <w:t>[</w:t>
            </w:r>
            <w:r>
              <w:rPr>
                <w:rStyle w:val="IndexLink"/>
              </w:rPr>
              <w:t>9</w:t>
            </w:r>
            <w:r>
              <w:rPr>
                <w:rStyle w:val="IndexLink"/>
                <w:rtl w:val="true"/>
              </w:rPr>
              <w:t xml:space="preserve">- </w:t>
            </w:r>
            <w:r>
              <w:rPr>
                <w:rStyle w:val="IndexLink"/>
                <w:rtl w:val="true"/>
              </w:rPr>
              <w:t>انتقال النجاسة إلی البواطن</w:t>
            </w:r>
            <w:r>
              <w:rPr>
                <w:rStyle w:val="IndexLink"/>
                <w:rtl w:val="true"/>
              </w:rPr>
              <w:t>]</w:t>
              <w:tab/>
            </w:r>
            <w:r>
              <w:rPr>
                <w:rStyle w:val="IndexLink"/>
              </w:rPr>
              <w:t>328</w:t>
            </w:r>
          </w:hyperlink>
        </w:p>
        <w:p>
          <w:pPr>
            <w:pStyle w:val="Contents3"/>
            <w:tabs>
              <w:tab w:val="clear" w:pos="8459"/>
              <w:tab w:val="right" w:pos="9026" w:leader="dot"/>
            </w:tabs>
            <w:rPr/>
          </w:pPr>
          <w:hyperlink w:anchor="__RefHeading___Toc6618730_3224264995">
            <w:r>
              <w:rPr>
                <w:webHidden/>
                <w:rStyle w:val="IndexLink"/>
                <w:rtl w:val="true"/>
              </w:rPr>
              <w:t>[</w:t>
            </w:r>
            <w:r>
              <w:rPr>
                <w:rStyle w:val="IndexLink"/>
                <w:rtl w:val="true"/>
              </w:rPr>
              <w:t>خاتمة فی الأوانی</w:t>
            </w:r>
            <w:r>
              <w:rPr>
                <w:rStyle w:val="IndexLink"/>
                <w:rtl w:val="true"/>
              </w:rPr>
              <w:t>]</w:t>
              <w:tab/>
            </w:r>
            <w:r>
              <w:rPr>
                <w:rStyle w:val="IndexLink"/>
              </w:rPr>
              <w:t>334</w:t>
            </w:r>
          </w:hyperlink>
        </w:p>
        <w:p>
          <w:pPr>
            <w:pStyle w:val="Contents4"/>
            <w:tabs>
              <w:tab w:val="clear" w:pos="8176"/>
              <w:tab w:val="right" w:pos="9026" w:leader="dot"/>
            </w:tabs>
            <w:rPr/>
          </w:pPr>
          <w:hyperlink w:anchor="__RefHeading___Toc6618732_3224264995">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6618734_3224264995">
            <w:r>
              <w:rPr>
                <w:webHidden/>
                <w:rStyle w:val="IndexLink"/>
                <w:rtl w:val="true"/>
              </w:rPr>
              <w:t>[</w:t>
            </w:r>
            <w:r>
              <w:rPr>
                <w:rStyle w:val="IndexLink"/>
                <w:rtl w:val="true"/>
              </w:rPr>
              <w:t>یحرم استعمال أوانی الذهب و الفضّة</w:t>
            </w:r>
            <w:r>
              <w:rPr>
                <w:rStyle w:val="IndexLink"/>
                <w:rtl w:val="true"/>
              </w:rPr>
              <w:t>]</w:t>
              <w:tab/>
            </w:r>
            <w:r>
              <w:rPr>
                <w:rStyle w:val="IndexLink"/>
              </w:rPr>
              <w:t>334</w:t>
            </w:r>
          </w:hyperlink>
        </w:p>
        <w:p>
          <w:pPr>
            <w:pStyle w:val="Contents5"/>
            <w:tabs>
              <w:tab w:val="clear" w:pos="7892"/>
              <w:tab w:val="right" w:pos="9026" w:leader="dot"/>
            </w:tabs>
            <w:rPr/>
          </w:pPr>
          <w:hyperlink w:anchor="__RefHeading___Toc6618736_3224264995">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6618738_3224264995">
            <w:r>
              <w:rPr>
                <w:webHidden/>
                <w:rStyle w:val="IndexLink"/>
                <w:rtl w:val="true"/>
              </w:rPr>
              <w:t>[</w:t>
            </w:r>
            <w:r>
              <w:rPr>
                <w:rStyle w:val="IndexLink"/>
                <w:rtl w:val="true"/>
              </w:rPr>
              <w:t>و یکره المفضَّض و یجتنب موضع الفضة</w:t>
            </w:r>
            <w:r>
              <w:rPr>
                <w:rStyle w:val="IndexLink"/>
                <w:rtl w:val="true"/>
              </w:rPr>
              <w:t>]</w:t>
              <w:tab/>
            </w:r>
            <w:r>
              <w:rPr>
                <w:rStyle w:val="IndexLink"/>
              </w:rPr>
              <w:t>337</w:t>
            </w:r>
          </w:hyperlink>
        </w:p>
        <w:p>
          <w:pPr>
            <w:pStyle w:val="Contents4"/>
            <w:tabs>
              <w:tab w:val="clear" w:pos="8176"/>
              <w:tab w:val="right" w:pos="9026" w:leader="dot"/>
            </w:tabs>
            <w:rPr/>
          </w:pPr>
          <w:hyperlink w:anchor="__RefHeading___Toc6618740_3224264995">
            <w:r>
              <w:rPr>
                <w:webHidden/>
                <w:rStyle w:val="IndexLink"/>
                <w:rtl w:val="true"/>
              </w:rPr>
              <w:t>[</w:t>
            </w:r>
            <w:r>
              <w:rPr>
                <w:rStyle w:val="IndexLink"/>
                <w:rtl w:val="true"/>
              </w:rPr>
              <w:t>طهارة أوانی المشرکین</w:t>
            </w:r>
            <w:r>
              <w:rPr>
                <w:rStyle w:val="IndexLink"/>
                <w:rtl w:val="true"/>
              </w:rPr>
              <w:t>]</w:t>
              <w:tab/>
            </w:r>
            <w:r>
              <w:rPr>
                <w:rStyle w:val="IndexLink"/>
              </w:rPr>
              <w:t>343</w:t>
            </w:r>
          </w:hyperlink>
        </w:p>
        <w:p>
          <w:pPr>
            <w:pStyle w:val="Contents4"/>
            <w:tabs>
              <w:tab w:val="clear" w:pos="8176"/>
              <w:tab w:val="right" w:pos="9026" w:leader="dot"/>
            </w:tabs>
            <w:rPr/>
          </w:pPr>
          <w:hyperlink w:anchor="__RefHeading___Toc6618742_3224264995">
            <w:r>
              <w:rPr>
                <w:webHidden/>
                <w:rStyle w:val="IndexLink"/>
                <w:rtl w:val="true"/>
              </w:rPr>
              <w:t>[</w:t>
            </w:r>
            <w:r>
              <w:rPr>
                <w:rStyle w:val="IndexLink"/>
                <w:rtl w:val="true"/>
              </w:rPr>
              <w:t>یغسل الإناء من الخمر و غیره من النجاسات حتی تزول العین</w:t>
            </w:r>
            <w:r>
              <w:rPr>
                <w:rStyle w:val="IndexLink"/>
                <w:rtl w:val="true"/>
              </w:rPr>
              <w:t>]</w:t>
              <w:tab/>
            </w:r>
            <w:r>
              <w:rPr>
                <w:rStyle w:val="IndexLink"/>
              </w:rPr>
              <w:t>343</w:t>
            </w:r>
          </w:hyperlink>
        </w:p>
        <w:p>
          <w:pPr>
            <w:pStyle w:val="Contents4"/>
            <w:tabs>
              <w:tab w:val="clear" w:pos="8176"/>
              <w:tab w:val="right" w:pos="9026" w:leader="dot"/>
            </w:tabs>
            <w:rPr/>
          </w:pPr>
          <w:hyperlink w:anchor="__RefHeading___Toc6618744_3224264995">
            <w:r>
              <w:rPr>
                <w:webHidden/>
                <w:rStyle w:val="IndexLink"/>
                <w:rtl w:val="true"/>
              </w:rPr>
              <w:t>[</w:t>
            </w:r>
            <w:r>
              <w:rPr>
                <w:rStyle w:val="IndexLink"/>
                <w:rtl w:val="true"/>
              </w:rPr>
              <w:t>یغسل الإناء من ولوغ الکلب ثلاثاً</w:t>
            </w:r>
            <w:r>
              <w:rPr>
                <w:rStyle w:val="IndexLink"/>
                <w:rtl w:val="true"/>
              </w:rPr>
              <w:t>]</w:t>
              <w:tab/>
            </w:r>
            <w:r>
              <w:rPr>
                <w:rStyle w:val="IndexLink"/>
              </w:rPr>
              <w:t>351</w:t>
            </w:r>
          </w:hyperlink>
        </w:p>
        <w:p>
          <w:pPr>
            <w:pStyle w:val="Contents4"/>
            <w:tabs>
              <w:tab w:val="clear" w:pos="8176"/>
              <w:tab w:val="right" w:pos="9026" w:leader="dot"/>
            </w:tabs>
            <w:rPr/>
          </w:pPr>
          <w:hyperlink w:anchor="__RefHeading___Toc6618746_3224264995">
            <w:r>
              <w:rPr>
                <w:webHidden/>
                <w:rStyle w:val="IndexLink"/>
                <w:rtl w:val="true"/>
              </w:rPr>
              <w:t>[</w:t>
            </w:r>
            <w:r>
              <w:rPr>
                <w:rStyle w:val="IndexLink"/>
                <w:rtl w:val="true"/>
              </w:rPr>
              <w:t>و من ولوغ الخنزیر سبعاً</w:t>
            </w:r>
            <w:r>
              <w:rPr>
                <w:rStyle w:val="IndexLink"/>
                <w:rtl w:val="true"/>
              </w:rPr>
              <w:t>]</w:t>
              <w:tab/>
            </w:r>
            <w:r>
              <w:rPr>
                <w:rStyle w:val="IndexLink"/>
              </w:rPr>
              <w:t>360</w:t>
            </w:r>
          </w:hyperlink>
        </w:p>
        <w:p>
          <w:pPr>
            <w:pStyle w:val="Contents3"/>
            <w:tabs>
              <w:tab w:val="clear" w:pos="8459"/>
              <w:tab w:val="right" w:pos="9026" w:leader="dot"/>
            </w:tabs>
            <w:rPr/>
          </w:pPr>
          <w:hyperlink w:anchor="__RefHeading___Toc6618748_3224264995">
            <w:r>
              <w:rPr>
                <w:webHidden/>
                <w:rStyle w:val="IndexLink"/>
                <w:rtl w:val="true"/>
              </w:rPr>
              <w:t>[</w:t>
            </w:r>
            <w:r>
              <w:rPr>
                <w:rStyle w:val="IndexLink"/>
                <w:rtl w:val="true"/>
              </w:rPr>
              <w:t>ملحق</w:t>
            </w:r>
            <w:r>
              <w:rPr>
                <w:rStyle w:val="IndexLink"/>
                <w:rtl w:val="true"/>
              </w:rPr>
              <w:t>] [</w:t>
            </w:r>
            <w:r>
              <w:rPr>
                <w:rStyle w:val="IndexLink"/>
                <w:rtl w:val="true"/>
              </w:rPr>
              <w:t>فی التیمّم</w:t>
            </w:r>
            <w:r>
              <w:rPr>
                <w:rStyle w:val="IndexLink"/>
                <w:rtl w:val="true"/>
              </w:rPr>
              <w:tab/>
            </w:r>
            <w:r>
              <w:rPr>
                <w:rStyle w:val="IndexLink"/>
              </w:rPr>
              <w:t>364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11_259449"/>
      <w:bookmarkStart w:id="1" w:name="pg16911_259449"/>
      <w:bookmarkEnd w:id="1"/>
    </w:p>
    <w:p>
      <w:pPr>
        <w:pStyle w:val="Heading2"/>
        <w:numPr>
          <w:ilvl w:val="1"/>
          <w:numId w:val="1"/>
        </w:numPr>
        <w:rPr/>
      </w:pPr>
      <w:bookmarkStart w:id="2" w:name="pg16911_259449"/>
      <w:bookmarkStart w:id="3" w:name="__RefHeading___Toc6618612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دزفولی، مرتضی بن محمد امین انصاری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بزرگداشت شیخ اعظم انصاری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در کنگره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 الشیخ الأعظم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18614_3224264995"/>
      <w:bookmarkStart w:id="6" w:name="_Toc2"/>
      <w:bookmarkEnd w:id="5"/>
      <w:r>
        <w:rPr>
          <w:rtl w:val="true"/>
        </w:rPr>
        <w:t>اشارة</w:t>
      </w:r>
      <w:bookmarkStart w:id="7" w:name="pg16911_259457"/>
      <w:bookmarkEnd w:id="6"/>
    </w:p>
    <w:p>
      <w:pPr>
        <w:pStyle w:val="Heading2"/>
        <w:numPr>
          <w:ilvl w:val="1"/>
          <w:numId w:val="1"/>
        </w:numPr>
        <w:rPr/>
      </w:pPr>
      <w:bookmarkStart w:id="8" w:name="__RefHeading___Toc6618616_3224264995"/>
      <w:bookmarkStart w:id="9" w:name="_Toc3"/>
      <w:bookmarkEnd w:id="7"/>
      <w:bookmarkEnd w:id="8"/>
      <w:r>
        <w:rPr>
          <w:rtl w:val="true"/>
        </w:rPr>
        <w:t>[</w:t>
      </w:r>
      <w:r>
        <w:rPr>
          <w:rtl w:val="true"/>
        </w:rPr>
        <w:t>تتمة شرح کتاب الطهارة من الإرشاد</w:t>
      </w:r>
      <w:r>
        <w:rPr>
          <w:rtl w:val="true"/>
        </w:rPr>
        <w:t>]</w:t>
      </w:r>
      <w:bookmarkEnd w:id="9"/>
    </w:p>
    <w:p>
      <w:pPr>
        <w:pStyle w:val="Heading3"/>
        <w:numPr>
          <w:ilvl w:val="2"/>
          <w:numId w:val="1"/>
        </w:numPr>
        <w:rPr/>
      </w:pPr>
      <w:bookmarkStart w:id="10" w:name="__RefHeading___Toc6618618_3224264995"/>
      <w:bookmarkStart w:id="11" w:name="_Toc4"/>
      <w:bookmarkEnd w:id="10"/>
      <w:r>
        <w:rPr>
          <w:rtl w:val="true"/>
        </w:rPr>
        <w:t>[</w:t>
      </w:r>
      <w:r>
        <w:rPr>
          <w:rtl w:val="true"/>
        </w:rPr>
        <w:t>النظر الرابع فی أسباب التیمّم و کیفیّته</w:t>
      </w:r>
      <w:r>
        <w:rPr>
          <w:rtl w:val="true"/>
        </w:rPr>
        <w:t>]</w:t>
      </w:r>
      <w:bookmarkEnd w:id="1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النظر الرابع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أسباب التیمّم و کیفیّته یجب التیمّم لما تجب له الطهارتان، و إنّما یجب عند فقد الماء، أو تعذّر استعماله للمرض أو البرد أو الشین، أو خوف العطش أو اللصّ أو السبع أو ضیاع المال، أو عدم الآلة، أو عدم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وجده و خاف الضرر بدفعه جاز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وجده بثمنٍ لا یضرّه فی الحال، وجب الشراء و إن زاد عن ثمن المثل علی إشکال، و کذا 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فقده وجب الطلب غلوة سهمٍ فی الحزنة من کلّ جانب، و سهمین فی السهلة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ماءً لا یکفیه للطهارة تیمّم، و لو وجد ما یکفیه لإزالة النجاسة خاصّة أزالها و تیمّم</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یصحّ إلّا بالأرض، کالتراب و أرض النورة و الجص و تراب القبر و المستعمل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بالمعادن و الرماد و الأُشنان و الدقیق و المغصوب و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بالوَحَل مع عدم التراب، و بالحجر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بالسبخة و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فقده تیمّم بغبار ثوبه و لِبْد سرجه و عُرْف دابّته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الأولی تأخیره إلی آخر وقت الصلاة إلّا لعارضٍ لا یرجی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فیه النیّة للفعل لوجوبه أو ندبه متقرّباً، و لا یجوز رفع الحدث، و یجوز الاستباحة مستدامة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یضرب یدیه علی التراب، ثمّ یمسح بهما جبهته من القصاص إلی طرف الأنف الأعلی، ثم یمسح ظهر کفّه الیمنی من الزند إلی أطراف الأصابع ببطن الیسری، ثم ظهر الیسری ببطن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التیمّم بدلًا من الغسل ضرب للوجه ضربةً و للیدین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الترتیب و الاستیعاب، و لا یشترط فیه و لا فی الوضوء طهارة غیر محلّ الفرض من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أخلّ بالطلب ثمّ وجد الماء مع أصحابه أو فی رحله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عدم الماء و التراب سقطت أداءً و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ینقضه کلّ نواقض الطهارة، و یزید وجود الماء مع تمکّنه من استعماله، فإن وجده قبل دخوله تطهّر، و إن وجده و قد تلبّس بالتکبیرة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یستباح به کلّ ما یستباح بالمائیّة، و لا یعید ما صلّی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یخصّ الجنب بالماء المباح أو المبذول، و یتیمّم المحدث و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أحدث المجنب المتیمّم أعاد بدلًا من الغسل و إن کان أصغر</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التیمّم مع وجود الماء للجنازة، و لا یدخل به فی غیرها</w:t>
      </w:r>
      <w:r>
        <w:rPr>
          <w:rFonts w:eastAsia="IRNazanin" w:cs="IRNazanin"/>
          <w:color w:val="111111"/>
          <w:sz w:val="28"/>
          <w:szCs w:val="28"/>
          <w:rtl w:val="true"/>
          <w:lang w:bidi="fa-IR"/>
        </w:rPr>
        <w:t>.)</w:t>
      </w:r>
      <w:bookmarkStart w:id="12" w:name="pg16911_259459"/>
    </w:p>
    <w:p>
      <w:pPr>
        <w:pStyle w:val="Heading3"/>
        <w:numPr>
          <w:ilvl w:val="2"/>
          <w:numId w:val="1"/>
        </w:numPr>
        <w:rPr/>
      </w:pPr>
      <w:bookmarkStart w:id="13" w:name="__RefHeading___Toc6618620_3224264995"/>
      <w:bookmarkStart w:id="14" w:name="_Toc5"/>
      <w:bookmarkEnd w:id="12"/>
      <w:bookmarkEnd w:id="13"/>
      <w:r>
        <w:rPr>
          <w:rtl w:val="true"/>
        </w:rPr>
        <w:t>النظر الخامس فی ما به تحصل الطهارة</w:t>
      </w:r>
      <w:bookmarkEnd w:id="14"/>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6618622_3224264995"/>
      <w:bookmarkStart w:id="16" w:name="_Toc6"/>
      <w:bookmarkEnd w:id="15"/>
      <w:r>
        <w:rPr>
          <w:rtl w:val="true"/>
        </w:rPr>
        <w:t>اشارة</w:t>
      </w:r>
      <w:bookmarkEnd w:id="1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النظر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به تحصل الطهارة أمّا الترابیّة فقد بیّناها، و أما المائیّة فبالماء المطلق لا غیر، و کذا إزالة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یصدق علیه إطلاق الاسم من غیر قید، و المضاف بخلافه، و هما فی الأصل طاهران، فإن لاقتهما نجاسة فأقسامهما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 کالمعتصر من الأجسام کماء الورد، و الممتزج بها مزجاً یسلبه الإطلاق کالمرق و هو ینجس بکلّ ما یقع فیه من النجاسة، قلیلًا کان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 من المطلق، و لا ینجس إلّا بتغیّر لونه أو طعمه أو ریحه بالنجاسة، فإن تغیّر نجس المتغیِّر خاصّة، و یطهر بتدافع الماء الطاهر علیه حتّی یزول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ماء الحمّام إذا کان له مادّةٌ من کرٍّ فصاعداً و ماء الغیث حال تقاطره کالجاری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الواقف کمیاه الحیاض و الأوانی و الغدران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قدرها کرّاً و هو ألف و مائتا رطل بالعراقی، أو ما حواه ثلاثة أشبار و نصف طولًا فی عرض فی عمق بشبر مستوی الخلقة لم ینجس إلّا بتغیّر أحد أوصافه الثلاثة بالنجاسة، فإن تغیّر نجس أجمع إن کان کرّاً، و یطهر بإلقاء کرٍّ علیه</w:t>
      </w:r>
    </w:p>
    <w:p>
      <w:pPr>
        <w:pStyle w:val="BookText"/>
        <w:rPr/>
      </w:pPr>
      <w:r>
        <w:rPr>
          <w:rFonts w:ascii="Amiri" w:hAnsi="Amiri" w:eastAsia="Amiri" w:cs="Amiri"/>
          <w:color w:val="111111"/>
          <w:sz w:val="28"/>
          <w:sz w:val="28"/>
          <w:szCs w:val="28"/>
          <w:rtl w:val="true"/>
          <w:lang w:bidi="ar-SA"/>
        </w:rPr>
        <w:t>دفعةً فکرّ حتی یزول التغیّر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أکثر فالمتغیّر خاصّة إن کان الباقی کرّاً، و یطهر بإلقاء کرٍّ علیه دفعةً فکرّ حتی یزول التغیّر، أو بتموّجه حتی یستهلکه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أقلّ من کرّ نجس بجمیع ما یلاقیه من النجاسة و إن لم یتغیّر بالنجاسة وصفه، و یطهر بإلقاء کرٍّ طاهر علیه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البئر إن تغیّر بالنجاسة نجس، و یطهر بالنزح حتّی یزول التغیّر، و إن لم یتغیّر لم ینجس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أصحابنا حکموا بالنجاسة، و أوجبوا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نزح الجمیع فی موت البعیر، و وقع المنی، و دم الحیض و الاستحاضة و النفاس، و المسکر، و الفقّاع، فإن تعذّر لکثرته تراوح أربعة رجال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نزح کرٍّ فی موت الحمار و البقرة و شبههما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نزح سبعین دلواً من دلاء العادة فی موت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خمسین فی العذرة الذائبة، و الدم الکثیر غیر الدماء الثلاثة کذبح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أربعین فی موت السنَّور و الکلب و الخنزیر و الثعلب و الأرنب، و بول الرجل، و وقوع نجاسة لم یرد فیها نصّ،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ثلاثین فی وقوع ماء المطر مخالطاً للبول أو العذرة، و خرء الکلاب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عشر فی العذرة الیابسة، و الدم القلیل غیر الثلاثة کذبح الطیر و الرعاف 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سبع فی موت الطیر کالنعامة و الحمامة و ما بینهما، و الفأرة إذا تفسّخت أو انتفخت، و بول الصبی، و اغتسال الجنب الخالی من نجاسة عینیّة، و خروج الکلب حیّاً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خمس فی ذرق الدجاج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ثلاث فی موت الحیّة و الفأرة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دلو فی العصفور و شبهه، و بول الرضیع الذی لم یغتذ بالطعام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ذلک عندی مستحب</w:t>
      </w:r>
      <w:r>
        <w:rPr>
          <w:rFonts w:eastAsia="IRNazanin" w:cs="IRNazanin"/>
          <w:color w:val="111111"/>
          <w:sz w:val="28"/>
          <w:szCs w:val="28"/>
          <w:rtl w:val="true"/>
          <w:lang w:bidi="fa-IR"/>
        </w:rPr>
        <w:t>.)</w:t>
      </w:r>
      <w:bookmarkStart w:id="17" w:name="pg16911_259464"/>
    </w:p>
    <w:p>
      <w:pPr>
        <w:pStyle w:val="Heading4"/>
        <w:numPr>
          <w:ilvl w:val="3"/>
          <w:numId w:val="1"/>
        </w:numPr>
        <w:rPr/>
      </w:pPr>
      <w:bookmarkStart w:id="18" w:name="__RefHeading___Toc6618624_3224264995"/>
      <w:bookmarkStart w:id="19" w:name="_Toc7"/>
      <w:bookmarkEnd w:id="17"/>
      <w:bookmarkEnd w:id="18"/>
      <w:r>
        <w:rPr>
          <w:rtl w:val="true"/>
        </w:rPr>
        <w:t>[</w:t>
      </w:r>
      <w:r>
        <w:rPr>
          <w:rtl w:val="true"/>
        </w:rPr>
        <w:t>تتمة</w:t>
      </w:r>
      <w:r>
        <w:rPr>
          <w:rtl w:val="true"/>
        </w:rPr>
        <w:t>]</w:t>
      </w:r>
      <w:bookmarkEnd w:id="1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تتمّة لا یجوز استعمال الماء النجس فی الطهارة مطلقاً، و لا فی الأکل و الشرب اختیاراً، و لو اشتبه النجس من الإناءین اجتنبا و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تباعد البئر عن البالوعة بسبع أذرع إن کانت الأرض سهلة و کانت البالوعة فوقها، و إلّا فخمس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أسآر الحیوان کلّها طاهرة، عدا الکلب و الخنزیر و الکافر و 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المستعمل فی رفع الحدث طاهرٌ مطهِّر، و فی رفع الخبث نجس، سواء تغیر بالنجاسة أو لا، إلّا ماء الاستنجاء فإنّه طاهر، ما لم یتغیّر بالنجاسة أو یقع علی نجاسة خارجة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غسالة الحمّام نجسة، ما لم یعلم خلوّها من النجاسة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تکره الطهارة بالمسخَّن بالشمس فی الأوانی، و المسخَّن بالنار فی غسل الأموات، و سؤر الجلّال، و آکل الجِیَف، و الحائض المتّهمة، و البغال، و الحمیر، و الفأرة، و الحیّة، و ما مات فیه الوزغ و العقرب</w:t>
      </w:r>
      <w:r>
        <w:rPr>
          <w:rFonts w:eastAsia="IRNazanin" w:cs="IRNazanin"/>
          <w:color w:val="111111"/>
          <w:sz w:val="28"/>
          <w:szCs w:val="28"/>
          <w:rtl w:val="true"/>
          <w:lang w:bidi="fa-IR"/>
        </w:rPr>
        <w:t>.)</w:t>
      </w:r>
      <w:bookmarkStart w:id="20" w:name="pg16911_259465"/>
    </w:p>
    <w:p>
      <w:pPr>
        <w:pStyle w:val="Heading3"/>
        <w:numPr>
          <w:ilvl w:val="2"/>
          <w:numId w:val="1"/>
        </w:numPr>
        <w:rPr/>
      </w:pPr>
      <w:bookmarkStart w:id="21" w:name="__RefHeading___Toc6618626_3224264995"/>
      <w:bookmarkStart w:id="22" w:name="_Toc8"/>
      <w:bookmarkEnd w:id="20"/>
      <w:bookmarkEnd w:id="21"/>
      <w:r>
        <w:rPr>
          <w:rtl w:val="true"/>
        </w:rPr>
        <w:t>النظر السادس فی ما یتبع الطهارة</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 w:name="__RefHeading___Toc6618628_3224264995"/>
      <w:bookmarkStart w:id="24" w:name="_Toc9"/>
      <w:bookmarkEnd w:id="23"/>
      <w:r>
        <w:rPr>
          <w:rtl w:val="true"/>
        </w:rPr>
        <w:t>اشارة</w:t>
      </w:r>
      <w:bookmarkEnd w:id="2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النظر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یتبع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تقدّم أنّ المراد بها فی مصطلح الفقهاء ما عدا شاذٍّ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الطهارات الثلاث، و أنّ استعمالها فی إزالة النجاسة مجاز، فیکون ذکر النجاسات و بیان وجوب إزالتها فی الموارد المخصوصة، من التوابع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3"/>
      </w:r>
      <w:r>
        <w:rPr>
          <w:rFonts w:ascii="IRNazanin" w:hAnsi="IRNazanin" w:eastAsia="IRNazanin"/>
          <w:color w:val="111111"/>
          <w:sz w:val="28"/>
          <w:sz w:val="28"/>
          <w:szCs w:val="28"/>
          <w:rtl w:val="true"/>
          <w:lang w:bidi="fa-IR"/>
        </w:rPr>
        <w:t>أنّ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الطهارة قد یطلق اسم مصدر، فیکون المراد منه عند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الطهارات، و قد یطلق علی صفة حقیقیّة أو اعتباریّة فی المکلّف،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الحاصلة عقیب إحدی تلک الثلاث، و یقابلها بهذا المعنی الحدث، و قد یطلق علی صفة حقیقیّة أو اعتباریّة فی الأجسام، و یقابلها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 فهی النظافة و الخلوّ عن النجاسة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النجاسة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القذارة، و شرعاً قذارة خاصّة فی نظر الشارع مجهولة الکنه، اقتضت إیجاب هجرها فی أُمورٍ مخصوصة، فکلّ جسم خلا عن تلک القذارة فی نظر الشارع فهو طاهر نظیف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المحکیّ عن الشهید فی قواعده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النجاسة حکم الشارع بوجوب الاجتناب استقذاراً و استنفاراً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هذا الکلام أنّ النجاسة عین الحکم بوجوب الاجتناب، و لیس کذلک قطعاً؛ لأنّ النجاسة مما یتّصف به الأجسام، فلا دخل له فی الأحکام، فالظاهر أنّ مراده أنّها صفة انتزاعیّة من حکم الشارع بوجوب الاجتناب للاستقذار أو الاستنفار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الکتاب و السنّة أنّ النجاسة صفة متأصّلة یتفرّع علیها تلک الأحکام، و هی القذارة التی ذکرناها، لا أنّها صفة منتزعة من أحکام تکلیفیّة نظیر الأحکام الوضعیّة المنتزعة منها کالشرطیّة و السببیّة و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دعوی أنّ حکم الشارع بنجاسة الخمر لأجل التوصّل إلی الفرار عنها و لتزید نفرة الطباع عنها لیست بأولی من دعوی أنّ حکمه بوجوب التنفّر عنها لأجل قذارة خاصّة فیها، إلّا أن تکون دعوی الشهید قدّس سرّه فیما ذکره مستندة إلی ما یظهر من أدلّة تحریم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العلّة فیه هو تخمیر العقل، لکنّک خبیر بأنّه لا ینافی کون التخمیر مستنداً إلی تلک القذارة، کما یومی إلیه قوله علیه السلام فی صفة الخمر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یبلّ المیل منه ینجس حُبّاً من الماء</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کیف کان، فالمراد بالمصدر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النجاسات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الأعیان النجسة، مبالغة فی نجاسة عینها، کما فی قوله تعالی إِنَّمَا الْمُشْرِکُونَ نَجَسٌ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25" w:name="pg16911_259469"/>
    </w:p>
    <w:p>
      <w:pPr>
        <w:pStyle w:val="Heading4"/>
        <w:numPr>
          <w:ilvl w:val="3"/>
          <w:numId w:val="1"/>
        </w:numPr>
        <w:rPr/>
      </w:pPr>
      <w:bookmarkStart w:id="26" w:name="__RefHeading___Toc6618630_3224264995"/>
      <w:bookmarkStart w:id="27" w:name="_Toc10"/>
      <w:bookmarkEnd w:id="25"/>
      <w:bookmarkEnd w:id="26"/>
      <w:r>
        <w:rPr>
          <w:rtl w:val="true"/>
        </w:rPr>
        <w:t>[</w:t>
      </w:r>
      <w:r>
        <w:rPr>
          <w:rtl w:val="true"/>
        </w:rPr>
        <w:t>أعداد النجاسات</w:t>
      </w:r>
      <w:r>
        <w:rPr>
          <w:rtl w:val="true"/>
        </w:rPr>
        <w:t>]</w:t>
      </w:r>
      <w:bookmarkEnd w:id="27"/>
    </w:p>
    <w:p>
      <w:pPr>
        <w:pStyle w:val="Heading5"/>
        <w:numPr>
          <w:ilvl w:val="4"/>
          <w:numId w:val="1"/>
        </w:numPr>
        <w:rPr/>
      </w:pPr>
      <w:bookmarkStart w:id="28" w:name="__RefHeading___Toc6618632_3224264995"/>
      <w:bookmarkStart w:id="29" w:name="_Toc11"/>
      <w:bookmarkEnd w:id="28"/>
      <w:r>
        <w:rPr>
          <w:rtl w:val="true"/>
        </w:rPr>
        <w:t>اشارة</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الأعیان النجسة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 w:name="__RefHeading___Toc6618634_3224264995"/>
      <w:bookmarkStart w:id="31" w:name="_Toc12"/>
      <w:bookmarkEnd w:id="30"/>
      <w:r>
        <w:rPr>
          <w:rtl w:val="true"/>
        </w:rPr>
        <w:t>[</w:t>
      </w:r>
      <w:r>
        <w:rPr>
          <w:rtl w:val="true"/>
        </w:rPr>
        <w:t>الأول و الثانی البول و الغائط</w:t>
      </w:r>
      <w:r>
        <w:rPr>
          <w:rtl w:val="true"/>
        </w:rPr>
        <w:t>]</w:t>
      </w:r>
      <w:bookmarkEnd w:id="31"/>
    </w:p>
    <w:p>
      <w:pPr>
        <w:pStyle w:val="BookText"/>
        <w:rPr/>
      </w:pP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و الغائط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النفس السائلة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بها علی ما نسب إلی أهل اللغة و الأصحاب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یجتمع فی العروق و یخرج عند قطعها بقوّة و دفق، لا کدم السمک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لحمه، إجماعاً محقّقاً فی الجملة و مستفیضاً </w:t>
      </w:r>
      <w:r>
        <w:rPr>
          <w:rStyle w:val="FootnoteAnchor"/>
          <w:rtl w:val="true"/>
        </w:rPr>
        <w:footnoteReference w:id="9"/>
      </w:r>
      <w:r>
        <w:rPr>
          <w:rFonts w:ascii="IRNazanin" w:hAnsi="IRNazanin" w:eastAsia="IRNazanin"/>
          <w:color w:val="111111"/>
          <w:sz w:val="28"/>
          <w:sz w:val="28"/>
          <w:szCs w:val="28"/>
          <w:rtl w:val="true"/>
          <w:lang w:bidi="fa-IR"/>
        </w:rPr>
        <w:t>کالأخبار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حسنة ابن سنان بابن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مفهوم حسنة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تغسل ثوبک من بول شی‌ءٍ ممّا یؤکل لحمه</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النبوی المحکیّ عن قرب الإسناد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ببول ما یؤکل لحمه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أُکل لحمه فلا بأس بما یخرج منه</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دلّت علی المطلوب بمفهوم الوصف الوارد فی مقام بیان الضابط و المعیار، کالقید المأخوذ فی الحدود، إلی غیر ذلک ممّا یأتی بعضها فی بول الدواب و الخُشّاف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مضافاً إلی المستفیضة الواردة فی البول و العذرة کما سیجی‌ء بناءً علی عدم اختصاص العذرة بغائط الإنسان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یخدش فی دلالة إیجاب الغسل علی النجاسة، و فیه بعد اتّفاق العلماء علی استفادة النجاسة من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الغسل مطلقاً لا یکون إلّا لأجل النجاسة؛ إذ احتمال کونه لأجل وجوب التجنّب عن أجزاء غیر المأکول، مدفوع بإطلاق وجوب الغسل حتّی لو جفّ الثوب أو مسح مسحاً یزیل أثره و لم یبق منها أثر، و قد قام الضرورة و الإجماع علی أنّه لا یشترط فی ثوب المصلی بعد الإباحة أزید من الطهارة و عدم کونه مما لا یؤکل أو ملاصقاً له، مع أنّ فی کثیرٍ من أخبار خصوص البول و العذرة ما یدلّ علی نجاستهما بقول مطلق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لا فرق فی إطلاق النصوص و معاقد الإجماع فیما لا یؤکل بین أن یکون تحریمه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بالأصالة کالأسد و بالعارض </w:t>
      </w:r>
      <w:r>
        <w:rPr>
          <w:rStyle w:val="FootnoteAnchor"/>
          <w:rtl w:val="true"/>
        </w:rPr>
        <w:footnoteReference w:id="16"/>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الموطوء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الخلاف فی إلحاقهما بغیر المأکول </w:t>
      </w:r>
      <w:r>
        <w:rPr>
          <w:rStyle w:val="FootnoteAnchor"/>
          <w:rtl w:val="true"/>
        </w:rPr>
        <w:footnoteReference w:id="17"/>
      </w:r>
      <w:r>
        <w:rPr>
          <w:rFonts w:ascii="IRNazanin" w:hAnsi="IRNazanin" w:eastAsia="IRNazanin"/>
          <w:color w:val="111111"/>
          <w:sz w:val="28"/>
          <w:sz w:val="28"/>
          <w:szCs w:val="28"/>
          <w:rtl w:val="true"/>
          <w:lang w:bidi="fa-IR"/>
        </w:rPr>
        <w:t xml:space="preserve">و عن ظاهر الذخیرة </w:t>
      </w:r>
      <w:r>
        <w:rPr>
          <w:rStyle w:val="FootnoteAnchor"/>
          <w:rtl w:val="true"/>
        </w:rPr>
        <w:footnoteReference w:id="18"/>
      </w:r>
      <w:r>
        <w:rPr>
          <w:rFonts w:ascii="IRNazanin" w:hAnsi="IRNazanin" w:eastAsia="IRNazanin"/>
          <w:color w:val="111111"/>
          <w:sz w:val="28"/>
          <w:sz w:val="28"/>
          <w:szCs w:val="28"/>
          <w:rtl w:val="true"/>
          <w:lang w:bidi="fa-IR"/>
        </w:rPr>
        <w:t xml:space="preserve">و الدلائل </w:t>
      </w:r>
      <w:r>
        <w:rPr>
          <w:rStyle w:val="FootnoteAnchor"/>
          <w:rtl w:val="true"/>
        </w:rPr>
        <w:footnoteReference w:id="19"/>
      </w:r>
      <w:r>
        <w:rPr>
          <w:rFonts w:ascii="IRNazanin" w:hAnsi="IRNazanin" w:eastAsia="IRNazanin"/>
          <w:color w:val="111111"/>
          <w:sz w:val="28"/>
          <w:sz w:val="28"/>
          <w:szCs w:val="28"/>
          <w:rtl w:val="true"/>
          <w:lang w:bidi="fa-IR"/>
        </w:rPr>
        <w:t xml:space="preserve">و صریح المفاتیح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جماع علی إلحاق خصوص الجلّال </w:t>
      </w:r>
      <w:r>
        <w:rPr>
          <w:rStyle w:val="FootnoteAnchor"/>
          <w:rtl w:val="true"/>
        </w:rPr>
        <w:footnoteReference w:id="21"/>
      </w:r>
      <w:r>
        <w:rPr>
          <w:rFonts w:ascii="IRNazanin" w:hAnsi="IRNazanin" w:eastAsia="IRNazanin"/>
          <w:color w:val="111111"/>
          <w:sz w:val="28"/>
          <w:sz w:val="28"/>
          <w:szCs w:val="28"/>
          <w:rtl w:val="true"/>
          <w:lang w:bidi="fa-IR"/>
        </w:rPr>
        <w:t xml:space="preserve">، و تبعه جماعة فی خصوص الدجاج من الطیر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یتوهّم التعارض بین ما دلّ علی نجاسة بول ما لا یؤکل الشامل لبول الجلّال و الموطوء، و ما دلّ علی طهارة ما یؤکل بالذات کالإبل و الغنم و البقر و نحو ذلک من العنوانات الواردة فی النصوص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فلا إشکال فی التعمیم المذکور، و إنّما الإشکال فی عموم الحکم لغیر المأکول من الطیر و اختصاصه بغیرها </w:t>
      </w:r>
      <w:r>
        <w:rPr>
          <w:rStyle w:val="FootnoteAnchor"/>
          <w:rtl w:val="true"/>
        </w:rPr>
        <w:footnoteReference w:id="23"/>
      </w:r>
      <w:r>
        <w:rPr>
          <w:rFonts w:ascii="IRNazanin" w:hAnsi="IRNazanin" w:eastAsia="IRNazanin"/>
          <w:color w:val="111111"/>
          <w:sz w:val="28"/>
          <w:sz w:val="28"/>
          <w:szCs w:val="28"/>
          <w:rtl w:val="true"/>
          <w:lang w:bidi="fa-IR"/>
        </w:rPr>
        <w:t xml:space="preserve">، فالمشهور علی الأوّل، بل ربّما یدّعی دخوله فی إطلاق دعوی المعتبر </w:t>
      </w:r>
      <w:r>
        <w:rPr>
          <w:rStyle w:val="FootnoteAnchor"/>
          <w:rtl w:val="true"/>
        </w:rPr>
        <w:footnoteReference w:id="24"/>
      </w:r>
      <w:r>
        <w:rPr>
          <w:rFonts w:ascii="IRNazanin" w:hAnsi="IRNazanin" w:eastAsia="IRNazanin"/>
          <w:color w:val="111111"/>
          <w:sz w:val="28"/>
          <w:sz w:val="28"/>
          <w:szCs w:val="28"/>
          <w:rtl w:val="true"/>
          <w:lang w:bidi="fa-IR"/>
        </w:rPr>
        <w:t xml:space="preserve">و المنتهی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علماء</w:t>
      </w:r>
    </w:p>
    <w:p>
      <w:pPr>
        <w:pStyle w:val="BookText"/>
        <w:rPr/>
      </w:pPr>
      <w:r>
        <w:rPr>
          <w:rFonts w:ascii="IRNazanin" w:hAnsi="IRNazanin" w:eastAsia="IRNazanin"/>
          <w:color w:val="111111"/>
          <w:sz w:val="28"/>
          <w:sz w:val="28"/>
          <w:szCs w:val="28"/>
          <w:rtl w:val="true"/>
          <w:lang w:bidi="fa-IR"/>
        </w:rPr>
        <w:t>الإسلام علی نجاسة البول و الغائط مما لا یؤکل لحمه،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بول ما لا یؤکل لحمه و خرؤه بلا خلاف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کونه ظاهراً فی غیر رجیع الطیر کما عن کشف اللثام </w:t>
      </w:r>
      <w:r>
        <w:rPr>
          <w:rStyle w:val="FootnoteAnchor"/>
          <w:rtl w:val="true"/>
        </w:rPr>
        <w:footnoteReference w:id="27"/>
      </w:r>
      <w:r>
        <w:rPr>
          <w:rFonts w:ascii="Amiri" w:hAnsi="Amiri" w:eastAsia="Amiri" w:cs="Amiri"/>
          <w:color w:val="111111"/>
          <w:sz w:val="28"/>
          <w:sz w:val="28"/>
          <w:szCs w:val="28"/>
          <w:rtl w:val="true"/>
          <w:lang w:bidi="ar-SA"/>
        </w:rPr>
        <w:t>فی غیر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الجامعیّة فی شرح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أجمع الکل علی نجاسة البول و الغائط من کلّ حیوان محرّم أکله، إنساناً کان أو طیراً أو غیرهما من الحیوانات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الحلیّ فی السرائر فی باب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اتّفقنا علی نجاسة ذرق غیر المأکول من سائر الطیور، و قد رویت روایة شاذّة لا یعوّل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ذرق الطائر طاهر، سواء کان مأکول اللحم أو غیر ماکوله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المعوّل عند محقّقی أصحابنا و المحصّلین منهم خلاف هذه الروایة؛ لأنّه هو الذی یقتضیه أخبارهم المجمع علیها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علی نجاسة البول و الغائط،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الشیخ بطهارة ذرق ما لا یؤکل لحکمه من الطیور لروایة أبی بصیر ضعیف؛ لأنّه لم یعمل بها أحد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بول ما لا یؤکل لحمه و خرءه نجس بلا خلاف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العمانی و الجعفی </w:t>
      </w:r>
      <w:r>
        <w:rPr>
          <w:rStyle w:val="FootnoteAnchor"/>
          <w:rtl w:val="true"/>
        </w:rPr>
        <w:footnoteReference w:id="32"/>
      </w:r>
      <w:r>
        <w:rPr>
          <w:rFonts w:ascii="IRNazanin" w:hAnsi="IRNazanin" w:eastAsia="IRNazanin"/>
          <w:color w:val="111111"/>
          <w:sz w:val="28"/>
          <w:sz w:val="28"/>
          <w:szCs w:val="28"/>
          <w:rtl w:val="true"/>
          <w:lang w:bidi="fa-IR"/>
        </w:rPr>
        <w:t xml:space="preserve">و ظاهر الفقیه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بالطهارة، و وافقهم الشیخ فی المبسوط فی غیر الخفّاش </w:t>
      </w:r>
      <w:r>
        <w:rPr>
          <w:rStyle w:val="FootnoteAnchor"/>
          <w:rtl w:val="true"/>
        </w:rPr>
        <w:footnoteReference w:id="34"/>
      </w:r>
      <w:r>
        <w:rPr>
          <w:rFonts w:ascii="IRNazanin" w:hAnsi="IRNazanin" w:eastAsia="IRNazanin"/>
          <w:color w:val="111111"/>
          <w:sz w:val="28"/>
          <w:sz w:val="28"/>
          <w:szCs w:val="28"/>
          <w:rtl w:val="true"/>
          <w:lang w:bidi="fa-IR"/>
        </w:rPr>
        <w:t xml:space="preserve">، و تبعهم المصنّف فی المنتهی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المدارک </w:t>
      </w:r>
      <w:r>
        <w:rPr>
          <w:rStyle w:val="FootnoteAnchor"/>
          <w:rtl w:val="true"/>
        </w:rPr>
        <w:footnoteReference w:id="36"/>
      </w:r>
      <w:r>
        <w:rPr>
          <w:rFonts w:ascii="IRNazanin" w:hAnsi="IRNazanin" w:eastAsia="IRNazanin"/>
          <w:color w:val="111111"/>
          <w:sz w:val="28"/>
          <w:sz w:val="28"/>
          <w:szCs w:val="28"/>
          <w:rtl w:val="true"/>
          <w:lang w:bidi="fa-IR"/>
        </w:rPr>
        <w:t xml:space="preserve">و الذخیرة </w:t>
      </w:r>
      <w:r>
        <w:rPr>
          <w:rStyle w:val="FootnoteAnchor"/>
          <w:rtl w:val="true"/>
        </w:rPr>
        <w:footnoteReference w:id="37"/>
      </w:r>
      <w:r>
        <w:rPr>
          <w:rFonts w:ascii="IRNazanin" w:hAnsi="IRNazanin" w:eastAsia="IRNazanin"/>
          <w:color w:val="111111"/>
          <w:sz w:val="28"/>
          <w:sz w:val="28"/>
          <w:szCs w:val="28"/>
          <w:rtl w:val="true"/>
          <w:lang w:bidi="fa-IR"/>
        </w:rPr>
        <w:t xml:space="preserve">و البحار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بطهارة الذرق مع التردّد فی البول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شارح الدروس </w:t>
      </w:r>
      <w:r>
        <w:rPr>
          <w:rStyle w:val="FootnoteAnchor"/>
          <w:rtl w:val="true"/>
        </w:rPr>
        <w:footnoteReference w:id="39"/>
      </w:r>
      <w:r>
        <w:rPr>
          <w:rFonts w:ascii="IRNazanin" w:hAnsi="IRNazanin" w:eastAsia="IRNazanin"/>
          <w:color w:val="111111"/>
          <w:sz w:val="28"/>
          <w:sz w:val="28"/>
          <w:szCs w:val="28"/>
          <w:rtl w:val="true"/>
          <w:lang w:bidi="fa-IR"/>
        </w:rPr>
        <w:t xml:space="preserve">و کاشفی اللثام </w:t>
      </w:r>
      <w:r>
        <w:rPr>
          <w:rStyle w:val="FootnoteAnchor"/>
          <w:rtl w:val="true"/>
        </w:rPr>
        <w:footnoteReference w:id="40"/>
      </w:r>
      <w:r>
        <w:rPr>
          <w:rFonts w:ascii="IRNazanin" w:hAnsi="IRNazanin" w:eastAsia="IRNazanin"/>
          <w:color w:val="111111"/>
          <w:sz w:val="28"/>
          <w:sz w:val="28"/>
          <w:szCs w:val="28"/>
          <w:rtl w:val="true"/>
          <w:lang w:bidi="fa-IR"/>
        </w:rPr>
        <w:t xml:space="preserve">و الأسرار </w:t>
      </w:r>
      <w:r>
        <w:rPr>
          <w:rStyle w:val="FootnoteAnchor"/>
          <w:rtl w:val="true"/>
        </w:rPr>
        <w:footnoteReference w:id="41"/>
      </w:r>
      <w:r>
        <w:rPr>
          <w:rFonts w:ascii="IRNazanin" w:hAnsi="IRNazanin" w:eastAsia="IRNazanin"/>
          <w:color w:val="111111"/>
          <w:sz w:val="28"/>
          <w:sz w:val="28"/>
          <w:szCs w:val="28"/>
          <w:rtl w:val="true"/>
          <w:lang w:bidi="fa-IR"/>
        </w:rPr>
        <w:t xml:space="preserve">و الفخریة </w:t>
      </w:r>
      <w:r>
        <w:rPr>
          <w:rStyle w:val="FootnoteAnchor"/>
          <w:rtl w:val="true"/>
        </w:rPr>
        <w:footnoteReference w:id="42"/>
      </w:r>
      <w:r>
        <w:rPr>
          <w:rFonts w:ascii="IRNazanin" w:hAnsi="IRNazanin" w:eastAsia="IRNazanin"/>
          <w:color w:val="111111"/>
          <w:sz w:val="28"/>
          <w:sz w:val="28"/>
          <w:szCs w:val="28"/>
          <w:rtl w:val="true"/>
          <w:lang w:bidi="fa-IR"/>
        </w:rPr>
        <w:t xml:space="preserve">و شرحها </w:t>
      </w:r>
      <w:r>
        <w:rPr>
          <w:rStyle w:val="FootnoteAnchor"/>
          <w:rtl w:val="true"/>
        </w:rPr>
        <w:footnoteReference w:id="43"/>
      </w:r>
      <w:r>
        <w:rPr>
          <w:rFonts w:ascii="IRNazanin" w:hAnsi="IRNazanin" w:eastAsia="IRNazanin"/>
          <w:color w:val="111111"/>
          <w:sz w:val="28"/>
          <w:sz w:val="28"/>
          <w:szCs w:val="28"/>
          <w:rtl w:val="true"/>
          <w:lang w:bidi="fa-IR"/>
        </w:rPr>
        <w:t xml:space="preserve">و شرح الفقیه للمجلسی </w:t>
      </w:r>
      <w:r>
        <w:rPr>
          <w:rStyle w:val="FootnoteAnchor"/>
          <w:rtl w:val="true"/>
        </w:rPr>
        <w:footnoteReference w:id="44"/>
      </w:r>
      <w:r>
        <w:rPr>
          <w:rFonts w:ascii="IRNazanin" w:hAnsi="IRNazanin" w:eastAsia="IRNazanin"/>
          <w:color w:val="111111"/>
          <w:sz w:val="28"/>
          <w:sz w:val="28"/>
          <w:szCs w:val="28"/>
          <w:rtl w:val="true"/>
          <w:lang w:bidi="fa-IR"/>
        </w:rPr>
        <w:t xml:space="preserve">و حدیقته </w:t>
      </w:r>
      <w:r>
        <w:rPr>
          <w:rStyle w:val="FootnoteAnchor"/>
          <w:rtl w:val="true"/>
        </w:rPr>
        <w:footnoteReference w:id="45"/>
      </w:r>
      <w:r>
        <w:rPr>
          <w:rFonts w:ascii="IRNazanin" w:hAnsi="IRNazanin" w:eastAsia="IRNazanin"/>
          <w:color w:val="111111"/>
          <w:sz w:val="28"/>
          <w:sz w:val="28"/>
          <w:szCs w:val="28"/>
          <w:rtl w:val="true"/>
          <w:lang w:bidi="fa-IR"/>
        </w:rPr>
        <w:t xml:space="preserve">و المفاتیح </w:t>
      </w:r>
      <w:r>
        <w:rPr>
          <w:rStyle w:val="FootnoteAnchor"/>
          <w:rtl w:val="true"/>
        </w:rPr>
        <w:footnoteReference w:id="46"/>
      </w:r>
      <w:r>
        <w:rPr>
          <w:rFonts w:ascii="IRNazanin" w:hAnsi="IRNazanin" w:eastAsia="IRNazanin"/>
          <w:color w:val="111111"/>
          <w:sz w:val="28"/>
          <w:sz w:val="28"/>
          <w:szCs w:val="28"/>
          <w:rtl w:val="true"/>
          <w:lang w:bidi="fa-IR"/>
        </w:rPr>
        <w:t xml:space="preserve">و الحدائق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موافقة الأوّلین؛ للأصل، و اختصاص العذرة فی الأخبار وضعاً أو انصرافاً بعذرة الإنسان أو مطلق البهیمة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ترادف العذرة و الخرء کما فی المعتبر </w:t>
      </w:r>
      <w:r>
        <w:rPr>
          <w:rStyle w:val="FootnoteAnchor"/>
          <w:rtl w:val="true"/>
        </w:rPr>
        <w:footnoteReference w:id="48"/>
      </w:r>
      <w:r>
        <w:rPr>
          <w:rFonts w:ascii="IRNazanin" w:hAnsi="IRNazanin" w:eastAsia="IRNazanin"/>
          <w:color w:val="111111"/>
          <w:sz w:val="28"/>
          <w:sz w:val="28"/>
          <w:szCs w:val="28"/>
          <w:rtl w:val="true"/>
          <w:lang w:bidi="fa-IR"/>
        </w:rPr>
        <w:t xml:space="preserve">ممنوعةٌ، کعموم صحیحة ابن سنان المتقدّمة </w:t>
      </w:r>
      <w:r>
        <w:rPr>
          <w:rStyle w:val="FootnoteAnchor"/>
          <w:rtl w:val="true"/>
        </w:rPr>
        <w:footnoteReference w:id="49"/>
      </w:r>
      <w:r>
        <w:rPr>
          <w:rFonts w:ascii="IRNazanin" w:hAnsi="IRNazanin" w:eastAsia="IRNazanin"/>
          <w:color w:val="111111"/>
          <w:sz w:val="28"/>
          <w:sz w:val="28"/>
          <w:szCs w:val="28"/>
          <w:rtl w:val="true"/>
          <w:lang w:bidi="fa-IR"/>
        </w:rPr>
        <w:t xml:space="preserve">و إخوتها </w:t>
      </w:r>
      <w:r>
        <w:rPr>
          <w:rStyle w:val="FootnoteAnchor"/>
          <w:rtl w:val="true"/>
        </w:rPr>
        <w:footnoteReference w:id="50"/>
      </w:r>
      <w:r>
        <w:rPr>
          <w:rFonts w:ascii="IRNazanin" w:hAnsi="IRNazanin" w:eastAsia="IRNazanin"/>
          <w:color w:val="111111"/>
          <w:sz w:val="28"/>
          <w:sz w:val="28"/>
          <w:szCs w:val="28"/>
          <w:rtl w:val="true"/>
          <w:lang w:bidi="fa-IR"/>
        </w:rPr>
        <w:t xml:space="preserve">للطیر؛ لعدم البول للطیر أو لندرة إصابته للثوب بناءً علی وجوده له، کما یظهر من توحید المفضّل المروی عن الصادق علیه السلام </w:t>
      </w:r>
      <w:r>
        <w:rPr>
          <w:rStyle w:val="FootnoteAnchor"/>
          <w:rtl w:val="true"/>
        </w:rPr>
        <w:footnoteReference w:id="51"/>
      </w:r>
      <w:r>
        <w:rPr>
          <w:rFonts w:ascii="IRNazanin" w:hAnsi="IRNazanin" w:eastAsia="IRNazanin"/>
          <w:color w:val="111111"/>
          <w:sz w:val="28"/>
          <w:sz w:val="28"/>
          <w:szCs w:val="28"/>
          <w:rtl w:val="true"/>
          <w:lang w:bidi="fa-IR"/>
        </w:rPr>
        <w:t xml:space="preserve">و روایة أبی بصیر الآتیة </w:t>
      </w:r>
      <w:r>
        <w:rPr>
          <w:rStyle w:val="FootnoteAnchor"/>
          <w:rtl w:val="true"/>
        </w:rPr>
        <w:footnoteReference w:id="52"/>
      </w:r>
      <w:r>
        <w:rPr>
          <w:rFonts w:ascii="IRNazanin" w:hAnsi="IRNazanin" w:eastAsia="IRNazanin"/>
          <w:color w:val="111111"/>
          <w:sz w:val="28"/>
          <w:sz w:val="28"/>
          <w:szCs w:val="28"/>
          <w:rtl w:val="true"/>
          <w:lang w:bidi="fa-IR"/>
        </w:rPr>
        <w:t>، مع ضعف دلالة ما عدا الصحیحة؛ لمنع العموم فی المفهوم فی مثل المقام الذی لا یبعد کون الکلام فیه مسوقاً لبیان ضابط الطهارة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یبق إلّا إلا جماع، و هو غیر متحقّق، و المنقول منه فی عبارتی المعتبر </w:t>
      </w:r>
      <w:r>
        <w:rPr>
          <w:rStyle w:val="FootnoteAnchor"/>
          <w:rtl w:val="true"/>
        </w:rPr>
        <w:footnoteReference w:id="53"/>
      </w:r>
      <w:r>
        <w:rPr>
          <w:rFonts w:ascii="IRNazanin" w:hAnsi="IRNazanin" w:eastAsia="IRNazanin"/>
          <w:color w:val="111111"/>
          <w:sz w:val="28"/>
          <w:sz w:val="28"/>
          <w:szCs w:val="28"/>
          <w:rtl w:val="true"/>
          <w:lang w:bidi="fa-IR"/>
        </w:rPr>
        <w:t xml:space="preserve">و المنتهی </w:t>
      </w:r>
      <w:r>
        <w:rPr>
          <w:rStyle w:val="FootnoteAnchor"/>
          <w:rtl w:val="true"/>
        </w:rPr>
        <w:footnoteReference w:id="54"/>
      </w:r>
      <w:r>
        <w:rPr>
          <w:rFonts w:ascii="IRNazanin" w:hAnsi="IRNazanin" w:eastAsia="IRNazanin"/>
          <w:color w:val="111111"/>
          <w:sz w:val="28"/>
          <w:sz w:val="28"/>
          <w:szCs w:val="28"/>
          <w:rtl w:val="true"/>
          <w:lang w:bidi="fa-IR"/>
        </w:rPr>
        <w:t xml:space="preserve">لا یشمل الطیر قطعاً؛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رجیع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معنونٌ فی کلامهما بعد ذلک </w:t>
      </w:r>
      <w:r>
        <w:rPr>
          <w:rStyle w:val="FootnoteAnchor"/>
          <w:rtl w:val="true"/>
        </w:rPr>
        <w:footnoteReference w:id="55"/>
      </w:r>
      <w:r>
        <w:rPr>
          <w:rFonts w:ascii="IRNazanin" w:hAnsi="IRNazanin" w:eastAsia="IRNazanin"/>
          <w:color w:val="111111"/>
          <w:sz w:val="28"/>
          <w:sz w:val="28"/>
          <w:szCs w:val="28"/>
          <w:rtl w:val="true"/>
          <w:lang w:bidi="fa-IR"/>
        </w:rPr>
        <w:t>، فلاحظ الکتابین یتّضح لک ما ذکرنا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عن شرح الألفیّة </w:t>
      </w:r>
      <w:r>
        <w:rPr>
          <w:rStyle w:val="FootnoteAnchor"/>
          <w:rtl w:val="true"/>
        </w:rPr>
        <w:footnoteReference w:id="56"/>
      </w:r>
      <w:r>
        <w:rPr>
          <w:rFonts w:ascii="IRNazanin" w:hAnsi="IRNazanin" w:eastAsia="IRNazanin"/>
          <w:color w:val="111111"/>
          <w:sz w:val="28"/>
          <w:sz w:val="28"/>
          <w:szCs w:val="28"/>
          <w:rtl w:val="true"/>
          <w:lang w:bidi="fa-IR"/>
        </w:rPr>
        <w:t>فلوهنه فی المقام لوجود المخالف، و لم یدّع الإجماع المصطلح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یقدح فیه مخالفة معلوم النسب، و فرق</w:t>
      </w:r>
    </w:p>
    <w:p>
      <w:pPr>
        <w:pStyle w:val="BookText"/>
        <w:rPr/>
      </w:pPr>
      <w:r>
        <w:rPr>
          <w:rFonts w:ascii="Amiri" w:hAnsi="Amiri" w:eastAsia="Amiri" w:cs="Amiri"/>
          <w:color w:val="111111"/>
          <w:sz w:val="28"/>
          <w:sz w:val="28"/>
          <w:szCs w:val="28"/>
          <w:rtl w:val="true"/>
          <w:lang w:bidi="ar-SA"/>
        </w:rPr>
        <w:t xml:space="preserve">بیّنٌ </w:t>
      </w:r>
      <w:r>
        <w:rPr>
          <w:rStyle w:val="FootnoteAnchor"/>
          <w:rtl w:val="true"/>
        </w:rPr>
        <w:footnoteReference w:id="57"/>
      </w:r>
      <w:r>
        <w:rPr>
          <w:rFonts w:ascii="IRNazanin" w:hAnsi="IRNazanin" w:eastAsia="IRNazanin"/>
          <w:color w:val="111111"/>
          <w:sz w:val="28"/>
          <w:sz w:val="28"/>
          <w:szCs w:val="28"/>
          <w:rtl w:val="true"/>
          <w:lang w:bidi="fa-IR"/>
        </w:rPr>
        <w:t>بین دعوی الإجماع المصطلح المتضمّنة للإخبار بقول الإمام أو رضائه لیصیر بمنزلة الإخبار عن السنّة نظیر أخبار الرواة و لا یناقضه وجود المخالف واحداً أو أکثر، و بین دعوی اتّفاق العلماء الذی یعلم أنّ المراد منه اتّفاق أهل الفتوی و إن علمنا بأنّ مثل هذا الاتّفاق کاشف لمدّعیه عن قول الإمام علیه السلام أو رضاه إلّا أنّه لم یخبر عنه بهذا الکلام، فلا یکون إخباراً عن السنّة و یناقضه وجود المخالف، ففیه الوهن من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ما فی دعوی الحلیّ من الاتّفاق </w:t>
      </w:r>
      <w:r>
        <w:rPr>
          <w:rStyle w:val="FootnoteAnchor"/>
          <w:rtl w:val="true"/>
        </w:rPr>
        <w:footnoteReference w:id="58"/>
      </w:r>
      <w:r>
        <w:rPr>
          <w:rFonts w:ascii="IRNazanin" w:hAnsi="IRNazanin" w:eastAsia="IRNazanin"/>
          <w:color w:val="111111"/>
          <w:sz w:val="28"/>
          <w:sz w:val="28"/>
          <w:szCs w:val="28"/>
          <w:rtl w:val="true"/>
          <w:lang w:bidi="fa-IR"/>
        </w:rPr>
        <w:t>، مضافاً إلی أنّ الظاهر من ذیل کلامه أنّه إنّما استنبط هذا الاتفاق من دلالة الأخبار، و معلومٌ أنّه لیس فی الأخبار إلّا بعض الإطلاقات القابلة لدعوی الاختصاص وضعاً أو انصرافاً بغیر محلّ النزاع، فتأمّل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نحوهما فی الوهن عبارة التذکرة </w:t>
      </w:r>
      <w:r>
        <w:rPr>
          <w:rStyle w:val="FootnoteAnchor"/>
          <w:rtl w:val="true"/>
        </w:rPr>
        <w:footnoteReference w:id="59"/>
      </w:r>
      <w:r>
        <w:rPr>
          <w:rFonts w:ascii="IRNazanin" w:hAnsi="IRNazanin" w:eastAsia="IRNazanin"/>
          <w:color w:val="111111"/>
          <w:sz w:val="28"/>
          <w:sz w:val="28"/>
          <w:szCs w:val="28"/>
          <w:rtl w:val="true"/>
          <w:lang w:bidi="fa-IR"/>
        </w:rPr>
        <w:t xml:space="preserve">، و یکفی فی وهنه تصریح المحقّق فی المعتبر </w:t>
      </w:r>
      <w:r>
        <w:rPr>
          <w:rStyle w:val="FootnoteAnchor"/>
          <w:rtl w:val="true"/>
        </w:rPr>
        <w:footnoteReference w:id="60"/>
      </w:r>
      <w:r>
        <w:rPr>
          <w:rFonts w:ascii="IRNazanin" w:hAnsi="IRNazanin" w:eastAsia="IRNazanin"/>
          <w:color w:val="111111"/>
          <w:sz w:val="28"/>
          <w:sz w:val="28"/>
          <w:szCs w:val="28"/>
          <w:rtl w:val="true"/>
          <w:lang w:bidi="fa-IR"/>
        </w:rPr>
        <w:t>بعد إیراد روایة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هذه الروایة حسنةٌ لکنّ العامل بها قلیل </w:t>
      </w:r>
      <w:r>
        <w:rPr>
          <w:rStyle w:val="FootnoteAnchor"/>
          <w:rtl w:val="true"/>
        </w:rPr>
        <w:footnoteReference w:id="61"/>
      </w:r>
      <w:r>
        <w:rPr>
          <w:rFonts w:ascii="IRNazanin" w:hAnsi="IRNazanin" w:eastAsia="IRNazanin"/>
          <w:color w:val="111111"/>
          <w:sz w:val="28"/>
          <w:sz w:val="28"/>
          <w:szCs w:val="28"/>
          <w:rtl w:val="true"/>
          <w:lang w:bidi="fa-IR"/>
        </w:rPr>
        <w:t xml:space="preserve">، بل یکفی فی وهنه میله فی المنتهی إلی العمل بهذه الروایة </w:t>
      </w:r>
      <w:r>
        <w:rPr>
          <w:rStyle w:val="FootnoteAnchor"/>
          <w:rtl w:val="true"/>
        </w:rPr>
        <w:footnoteReference w:id="62"/>
      </w:r>
      <w:r>
        <w:rPr>
          <w:rFonts w:ascii="IRNazanin" w:hAnsi="IRNazanin" w:eastAsia="IRNazanin"/>
          <w:color w:val="111111"/>
          <w:sz w:val="28"/>
          <w:sz w:val="28"/>
          <w:szCs w:val="28"/>
          <w:rtl w:val="true"/>
          <w:lang w:bidi="fa-IR"/>
        </w:rPr>
        <w:t>، و لعلّ المراد بما فی التذکرة بیان وهن الروایة بأنّه لم یعمل أحدٌ بظاهرها، بناءً علی ما عن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الإجماع علی نجاسة بول الخُفّاش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دعوی الزائد عن الشهرة فی المسألة لا تخلو عن شائبة الجزاف، کمنع عموم صحیحة ابن سنان المتقدّمة </w:t>
      </w:r>
      <w:r>
        <w:rPr>
          <w:rStyle w:val="FootnoteAnchor"/>
          <w:rtl w:val="true"/>
        </w:rPr>
        <w:footnoteReference w:id="64"/>
      </w:r>
      <w:r>
        <w:rPr>
          <w:rFonts w:ascii="IRNazanin" w:hAnsi="IRNazanin" w:eastAsia="IRNazanin"/>
          <w:color w:val="111111"/>
          <w:sz w:val="28"/>
          <w:sz w:val="28"/>
          <w:szCs w:val="28"/>
          <w:rtl w:val="true"/>
          <w:lang w:bidi="fa-IR"/>
        </w:rPr>
        <w:t>، فهی عموم معتضد بالشهرة، لکن بإزائها عموم آخر معتضد بالأصل و هی روایة أبی بصیر، بل صحیحته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یطیر لا بأس بخرئه و بوله</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مصحّحة علی بن جعفر عن أخیه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یری فی ثوبه خرء الطیر، هل یحکّه و هو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النسبة بینهما و بین صحیحة ابن سنان عموم من وجه، إلّا أنّ رجحان الثانی مما لا یخفی؛ لأنّ ظاهر الصحیحة بیان کون نفس الطیران عنواناً أخصّ من حرمة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التعارض، فترجیح أحدهما بالشهرة محلّ نظر بل منع؛ لأنّ شهرة الفتوی لا یمکن أن تصیر قرینة لترجیح أحد العامّین و ارتکاب التخصیص فی الآخر، فلا بدّ من الحکم بإجمال العامّین بالنسبة إلی محل التعارض، فیجب الرجوع إلی الأصل إن لم یوجد هنا عموم یدلّ علی نجاسة البول و الخرء بقول مطلق، و إلّا فیجب الرجوع إلیه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یتوهّم أنّ مثل هذا العام بعد تخصیصه بما دلّ علی طهارة بول المأکول یصیر کصحیحة ابن سنان معارضاً مع روایة أبی بصیر بالعموم من وجه لکنّ الإشکال فی ثبوت هذا العام؛ لما عرفت من قوّة انصراف مطلقات البول و العذرة إلی غیر محلّ الکلام، فالمسألة لا تخلو عن الإشکال،</w:t>
      </w:r>
    </w:p>
    <w:p>
      <w:pPr>
        <w:pStyle w:val="BookText"/>
        <w:rPr/>
      </w:pPr>
      <w:r>
        <w:rPr>
          <w:rFonts w:ascii="IRNazanin" w:hAnsi="IRNazanin" w:eastAsia="IRNazanin"/>
          <w:color w:val="111111"/>
          <w:sz w:val="28"/>
          <w:sz w:val="28"/>
          <w:szCs w:val="28"/>
          <w:rtl w:val="true"/>
          <w:lang w:bidi="fa-IR"/>
        </w:rPr>
        <w:t>إلّا أنّ العمل علی المشهور؛ لموثّقة عمّار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خرء الخُطّاف لا بأس به، و هو مما یؤکل</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حیث علّل الطهارة بأکل اللحم لا بالطیران، و ضعفه إن کان منجبرٌ 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الخشّاف، فالمتعیّن فیه مذهب المشهور، بل عن المختلف دعوی الإجماع علیه </w:t>
      </w:r>
      <w:r>
        <w:rPr>
          <w:rStyle w:val="FootnoteAnchor"/>
          <w:rtl w:val="true"/>
        </w:rPr>
        <w:footnoteReference w:id="68"/>
      </w:r>
      <w:r>
        <w:rPr>
          <w:rFonts w:ascii="IRNazanin" w:hAnsi="IRNazanin" w:eastAsia="IRNazanin"/>
          <w:color w:val="111111"/>
          <w:sz w:val="28"/>
          <w:sz w:val="28"/>
          <w:szCs w:val="28"/>
          <w:rtl w:val="true"/>
          <w:lang w:bidi="fa-IR"/>
        </w:rPr>
        <w:t>، فتأمّل و راجع کلامه؛ إذ الظاهر أنّه أراد اتّفاق الخصم دون المعنی المصطلح، و یدلّ علیه روایة داود الرقیّ،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بول الخشاشیف یصل ثوبی فأطلبه و لا أجده؟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ثوبک</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و رواها فی محکیّ السرائر عن کتاب محمّد بن علی بن محبوب الذی هو أحد الکتب المعتبرة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یعارضها روایة غیاث التبری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بدم البراغیث و البقّ و بول الخشاشیف</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و نحوها المروی عن أمیر المؤمنین علیه السلام </w:t>
      </w:r>
      <w:r>
        <w:rPr>
          <w:rStyle w:val="FootnoteAnchor"/>
          <w:rtl w:val="true"/>
        </w:rPr>
        <w:footnoteReference w:id="72"/>
      </w:r>
      <w:r>
        <w:rPr>
          <w:rFonts w:ascii="IRNazanin" w:hAnsi="IRNazanin" w:eastAsia="IRNazanin"/>
          <w:color w:val="111111"/>
          <w:sz w:val="28"/>
          <w:sz w:val="28"/>
          <w:szCs w:val="28"/>
          <w:rtl w:val="true"/>
          <w:lang w:bidi="fa-IR"/>
        </w:rPr>
        <w:t xml:space="preserve">لوهنهما بالشهرة و الإجماع المحکی </w:t>
      </w:r>
      <w:r>
        <w:rPr>
          <w:rStyle w:val="FootnoteAnchor"/>
          <w:rtl w:val="true"/>
        </w:rPr>
        <w:footnoteReference w:id="73"/>
      </w:r>
      <w:r>
        <w:rPr>
          <w:rFonts w:ascii="IRNazanin" w:hAnsi="IRNazanin" w:eastAsia="IRNazanin"/>
          <w:color w:val="111111"/>
          <w:sz w:val="28"/>
          <w:sz w:val="28"/>
          <w:szCs w:val="28"/>
          <w:rtl w:val="true"/>
          <w:lang w:bidi="fa-IR"/>
        </w:rPr>
        <w:t xml:space="preserve">و شهادة الشیخ بأنّها روایة شاذّة یجوز أن تکون وردت للتقیّة </w:t>
      </w:r>
      <w:r>
        <w:rPr>
          <w:rStyle w:val="FootnoteAnchor"/>
          <w:rtl w:val="true"/>
        </w:rPr>
        <w:footnoteReference w:id="74"/>
      </w:r>
      <w:r>
        <w:rPr>
          <w:rFonts w:ascii="IRNazanin" w:hAnsi="IRNazanin" w:eastAsia="IRNazanin"/>
          <w:color w:val="111111"/>
          <w:sz w:val="28"/>
          <w:sz w:val="28"/>
          <w:szCs w:val="28"/>
          <w:rtl w:val="true"/>
          <w:lang w:bidi="fa-IR"/>
        </w:rPr>
        <w:t xml:space="preserve">، و قد عرفت إمکان تنزیل عبارة التذکرة المتقدّمة </w:t>
      </w:r>
      <w:r>
        <w:rPr>
          <w:rStyle w:val="FootnoteAnchor"/>
          <w:rtl w:val="true"/>
        </w:rPr>
        <w:footnoteReference w:id="75"/>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فلعلّه اطّلع علی اختصاص کلام القائلین بطهارة خرء الطیر مطلقاً بما عدا الخشّاف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خرؤه، فالظاهر عدم القائل بالفرق بینه و بین البول، کما عن الناصریّات </w:t>
      </w:r>
      <w:r>
        <w:rPr>
          <w:rStyle w:val="FootnoteAnchor"/>
          <w:rtl w:val="true"/>
        </w:rPr>
        <w:footnoteReference w:id="76"/>
      </w:r>
      <w:r>
        <w:rPr>
          <w:rFonts w:ascii="IRNazanin" w:hAnsi="IRNazanin" w:eastAsia="IRNazanin"/>
          <w:color w:val="111111"/>
          <w:sz w:val="28"/>
          <w:sz w:val="28"/>
          <w:szCs w:val="28"/>
          <w:rtl w:val="true"/>
          <w:lang w:bidi="fa-IR"/>
        </w:rPr>
        <w:t xml:space="preserve">و الروض </w:t>
      </w:r>
      <w:r>
        <w:rPr>
          <w:rStyle w:val="FootnoteAnchor"/>
          <w:rtl w:val="true"/>
        </w:rPr>
        <w:footnoteReference w:id="77"/>
      </w:r>
      <w:r>
        <w:rPr>
          <w:rFonts w:ascii="IRNazanin" w:hAnsi="IRNazanin" w:eastAsia="IRNazanin"/>
          <w:color w:val="111111"/>
          <w:sz w:val="28"/>
          <w:sz w:val="28"/>
          <w:szCs w:val="28"/>
          <w:rtl w:val="true"/>
          <w:lang w:bidi="fa-IR"/>
        </w:rPr>
        <w:t xml:space="preserve">و المدارک </w:t>
      </w:r>
      <w:r>
        <w:rPr>
          <w:rStyle w:val="FootnoteAnchor"/>
          <w:rtl w:val="true"/>
        </w:rPr>
        <w:footnoteReference w:id="78"/>
      </w:r>
      <w:r>
        <w:rPr>
          <w:rFonts w:ascii="IRNazanin" w:hAnsi="IRNazanin" w:eastAsia="IRNazanin"/>
          <w:color w:val="111111"/>
          <w:sz w:val="28"/>
          <w:sz w:val="28"/>
          <w:szCs w:val="28"/>
          <w:rtl w:val="true"/>
          <w:lang w:bidi="fa-IR"/>
        </w:rPr>
        <w:t xml:space="preserve">و الذخیرة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الأرواث و الأبوال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بول الخُطّاف و خرؤه، فالأقوی طهارتهما؛ بناءً علی حلّیة أکله و إن کره، کما هو المشهور سیّما بین المتأخّرین، بل نسب إلی عامّتهم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القول بحرمته أمکن القول بطهارة ما یخرج منه؛ لما رواه فی المختلف عن کتاب عمّار عنه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خرء الخُطّاف لا بأس به، هو مما یؤکل، و إنّما کره أکله لأنّه استجار بک و آوی إلی منزلک، فکلّ طیر یستجیر بک فأجره</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بناءً علی إرادة الحرمة من لفظ الکراهة، و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أکله من جهة الاستجارة لا بالذات حتّی یوجب نجاسة الخرء، فلا یوجب نجاسة خرئه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من أدلة حلّیة الخُطّاف، فتدلّ علی أنّ کراهة أکله لا یوجب نجاسة الخرء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المحکی عن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بول الصبی؛ لما دلّ علی أنّه لا یغسل منه الثوب </w:t>
      </w:r>
      <w:r>
        <w:rPr>
          <w:rStyle w:val="FootnoteAnchor"/>
          <w:rtl w:val="true"/>
        </w:rPr>
        <w:footnoteReference w:id="81"/>
      </w:r>
      <w:r>
        <w:rPr>
          <w:rFonts w:ascii="IRNazanin" w:hAnsi="IRNazanin" w:eastAsia="IRNazanin"/>
          <w:color w:val="111111"/>
          <w:sz w:val="28"/>
          <w:sz w:val="28"/>
          <w:szCs w:val="28"/>
          <w:rtl w:val="true"/>
          <w:lang w:bidi="fa-IR"/>
        </w:rPr>
        <w:t>، و هو نادر و مستنده قاصر، و عن السیّدین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 نجاسة بول الصبی بالخصوص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خرج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نفس له؛ فإنّ المشهور شهرة محقّقة عدم نجاسة بوله و خرئه، بل لم نعثر علی قائلٍ بالنجاسة و لا حاکٍ لهذا القول، بل عن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الخلاف عنه صریحاً </w:t>
      </w:r>
      <w:r>
        <w:rPr>
          <w:rStyle w:val="FootnoteAnchor"/>
          <w:rtl w:val="true"/>
        </w:rPr>
        <w:footnoteReference w:id="83"/>
      </w:r>
      <w:r>
        <w:rPr>
          <w:rFonts w:ascii="Amiri" w:hAnsi="Amiri" w:eastAsia="Amiri" w:cs="Amiri"/>
          <w:color w:val="111111"/>
          <w:sz w:val="28"/>
          <w:sz w:val="28"/>
          <w:szCs w:val="28"/>
          <w:rtl w:val="true"/>
          <w:lang w:bidi="ar-SA"/>
        </w:rPr>
        <w:t xml:space="preserve">، إلّا أنّ المحقّق قد تردّد فیه أوّلًا و أفتی ثانیاً بالطهارة </w:t>
      </w:r>
      <w:r>
        <w:rPr>
          <w:rStyle w:val="FootnoteAnchor"/>
          <w:rtl w:val="true"/>
        </w:rPr>
        <w:footnoteReference w:id="84"/>
      </w:r>
      <w:r>
        <w:rPr>
          <w:rFonts w:ascii="IRNazanin" w:hAnsi="IRNazanin" w:eastAsia="IRNazanin"/>
          <w:color w:val="111111"/>
          <w:sz w:val="28"/>
          <w:sz w:val="28"/>
          <w:szCs w:val="28"/>
          <w:rtl w:val="true"/>
          <w:lang w:bidi="fa-IR"/>
        </w:rPr>
        <w:t>، و لعلّ منشأ التردّد عدم مخصِّص صریح للعمومات المتقدّمة، و ما ذکره وجهاً للطهارة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میتته و منیّه و لعابه طاهر فاشتبهت </w:t>
      </w:r>
      <w:r>
        <w:rPr>
          <w:rStyle w:val="FootnoteAnchor"/>
          <w:rtl w:val="true"/>
        </w:rPr>
        <w:footnoteReference w:id="85"/>
      </w:r>
      <w:r>
        <w:rPr>
          <w:rFonts w:ascii="IRNazanin" w:hAnsi="IRNazanin" w:eastAsia="IRNazanin"/>
          <w:color w:val="111111"/>
          <w:sz w:val="28"/>
          <w:sz w:val="28"/>
          <w:szCs w:val="28"/>
          <w:rtl w:val="true"/>
          <w:lang w:bidi="fa-IR"/>
        </w:rPr>
        <w:t>فضلاته عصارة النبات، ضعیف جدّاً، کدعوی عدم شمول العمومات له أو انصراف الإطلاقات إلیه، فالعمدة إلا جماع لو ثبت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أضعف من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بنجاسة ذرق الدجاجة مع ما عرفت من العمومات المعتضدة بالشهرة و عدم الخلاف إلّا عن الشیخ </w:t>
      </w:r>
      <w:r>
        <w:rPr>
          <w:rStyle w:val="FootnoteAnchor"/>
          <w:rtl w:val="true"/>
        </w:rPr>
        <w:footnoteReference w:id="86"/>
      </w:r>
      <w:r>
        <w:rPr>
          <w:rFonts w:ascii="IRNazanin" w:hAnsi="IRNazanin" w:eastAsia="IRNazanin"/>
          <w:color w:val="111111"/>
          <w:sz w:val="28"/>
          <w:sz w:val="28"/>
          <w:szCs w:val="28"/>
          <w:rtl w:val="true"/>
          <w:lang w:bidi="fa-IR"/>
        </w:rPr>
        <w:t xml:space="preserve">و المفید </w:t>
      </w:r>
      <w:r>
        <w:rPr>
          <w:rStyle w:val="FootnoteAnchor"/>
          <w:rtl w:val="true"/>
        </w:rPr>
        <w:footnoteReference w:id="87"/>
      </w:r>
      <w:r>
        <w:rPr>
          <w:rFonts w:ascii="IRNazanin" w:hAnsi="IRNazanin" w:eastAsia="IRNazanin"/>
          <w:color w:val="111111"/>
          <w:sz w:val="28"/>
          <w:sz w:val="28"/>
          <w:szCs w:val="28"/>
          <w:rtl w:val="true"/>
          <w:lang w:bidi="fa-IR"/>
        </w:rPr>
        <w:t xml:space="preserve">، و قد رجع الأوّل فی کتاب الخلاف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خرج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حلّ أکله؛ فإنّ بوله و خرءه طاهران بالاتّفاق، کما فی المعتبر </w:t>
      </w:r>
      <w:r>
        <w:rPr>
          <w:rStyle w:val="FootnoteAnchor"/>
          <w:rtl w:val="true"/>
        </w:rPr>
        <w:footnoteReference w:id="89"/>
      </w:r>
      <w:r>
        <w:rPr>
          <w:rFonts w:ascii="IRNazanin" w:hAnsi="IRNazanin" w:eastAsia="IRNazanin"/>
          <w:color w:val="111111"/>
          <w:sz w:val="28"/>
          <w:sz w:val="28"/>
          <w:szCs w:val="28"/>
          <w:rtl w:val="true"/>
          <w:lang w:bidi="fa-IR"/>
        </w:rPr>
        <w:t xml:space="preserve">و المنتهی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وقع الخلاف فیما یکره أکله، أعنی الخیل و البغال و الحمیر؛ فإنّ المحکیّ عن جماعة کما یظهر من المنتهی </w:t>
      </w:r>
      <w:r>
        <w:rPr>
          <w:rStyle w:val="FootnoteAnchor"/>
          <w:rtl w:val="true"/>
        </w:rPr>
        <w:footnoteReference w:id="91"/>
      </w:r>
      <w:r>
        <w:rPr>
          <w:rFonts w:ascii="IRNazanin" w:hAnsi="IRNazanin" w:eastAsia="IRNazanin"/>
          <w:color w:val="111111"/>
          <w:sz w:val="28"/>
          <w:sz w:val="28"/>
          <w:szCs w:val="28"/>
          <w:rtl w:val="true"/>
          <w:lang w:bidi="fa-IR"/>
        </w:rPr>
        <w:t xml:space="preserve">منهم الإسکافی </w:t>
      </w:r>
      <w:r>
        <w:rPr>
          <w:rStyle w:val="FootnoteAnchor"/>
          <w:rtl w:val="true"/>
        </w:rPr>
        <w:footnoteReference w:id="92"/>
      </w:r>
      <w:r>
        <w:rPr>
          <w:rFonts w:ascii="IRNazanin" w:hAnsi="IRNazanin" w:eastAsia="IRNazanin"/>
          <w:color w:val="111111"/>
          <w:sz w:val="28"/>
          <w:sz w:val="28"/>
          <w:szCs w:val="28"/>
          <w:rtl w:val="true"/>
          <w:lang w:bidi="fa-IR"/>
        </w:rPr>
        <w:t xml:space="preserve">و الشیخ فی النهایة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النجاسة، و تبعهما جماعة من متأخّری المتأخّرین، کالأردبیلی </w:t>
      </w:r>
      <w:r>
        <w:rPr>
          <w:rStyle w:val="FootnoteAnchor"/>
          <w:rtl w:val="true"/>
        </w:rPr>
        <w:footnoteReference w:id="94"/>
      </w:r>
      <w:r>
        <w:rPr>
          <w:rFonts w:ascii="IRNazanin" w:hAnsi="IRNazanin" w:eastAsia="IRNazanin"/>
          <w:color w:val="111111"/>
          <w:sz w:val="28"/>
          <w:sz w:val="28"/>
          <w:szCs w:val="28"/>
          <w:rtl w:val="true"/>
          <w:lang w:bidi="fa-IR"/>
        </w:rPr>
        <w:t xml:space="preserve">و صاحبی المعالم </w:t>
      </w:r>
      <w:r>
        <w:rPr>
          <w:rStyle w:val="FootnoteAnchor"/>
          <w:rtl w:val="true"/>
        </w:rPr>
        <w:footnoteReference w:id="95"/>
      </w:r>
      <w:r>
        <w:rPr>
          <w:rFonts w:ascii="IRNazanin" w:hAnsi="IRNazanin" w:eastAsia="IRNazanin"/>
          <w:color w:val="111111"/>
          <w:sz w:val="28"/>
          <w:sz w:val="28"/>
          <w:szCs w:val="28"/>
          <w:rtl w:val="true"/>
          <w:lang w:bidi="fa-IR"/>
        </w:rPr>
        <w:t xml:space="preserve">و المدارک </w:t>
      </w:r>
      <w:r>
        <w:rPr>
          <w:rStyle w:val="FootnoteAnchor"/>
          <w:rtl w:val="true"/>
        </w:rPr>
        <w:footnoteReference w:id="96"/>
      </w:r>
      <w:r>
        <w:rPr>
          <w:rFonts w:ascii="IRNazanin" w:hAnsi="IRNazanin" w:eastAsia="IRNazanin"/>
          <w:color w:val="111111"/>
          <w:sz w:val="28"/>
          <w:sz w:val="28"/>
          <w:szCs w:val="28"/>
          <w:rtl w:val="true"/>
          <w:lang w:bidi="fa-IR"/>
        </w:rPr>
        <w:t xml:space="preserve">و غیرهم </w:t>
      </w:r>
      <w:r>
        <w:rPr>
          <w:rStyle w:val="FootnoteAnchor"/>
          <w:rtl w:val="true"/>
        </w:rPr>
        <w:footnoteReference w:id="97"/>
      </w:r>
      <w:r>
        <w:rPr>
          <w:rFonts w:ascii="IRNazanin" w:hAnsi="IRNazanin" w:eastAsia="IRNazanin"/>
          <w:color w:val="111111"/>
          <w:sz w:val="28"/>
          <w:sz w:val="28"/>
          <w:szCs w:val="28"/>
          <w:rtl w:val="true"/>
          <w:lang w:bidi="fa-IR"/>
        </w:rPr>
        <w:t>لمضمرة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بول الکلب و السنَّور و الحمار و الفرس؟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کأبوال الإنسان</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دلّت علی نجاسة بول البغل بالإجماع المرکّب و الأولویّة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موثّقة عبد الرحمن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رجل یمسّه بعض أبوال البهائم، أ یغسله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بول الفرس و الحمار و البغل، و أمّا الشاة و کلّ ما یؤکل لحمه فلا بأس ببوله</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أبوال الخیل و البغال؟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ما أصابک منه</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حسنة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فإن لم یعلم مکانه فاغسل الثوب کلّه، و إن شککت فأنفخه</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علی بن جعفر المروی عن کتابه عن أخیه،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الثوب یوضع فی مربط الدابة علی بولها أو روثها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علق به شی‌ءٌ فلتغسله و إن کان جافّاً فلا بأس</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الماء الذی یبول فیه الدواب إن تغیّر بها فلا یجوز التوضؤ به </w:t>
      </w:r>
      <w:r>
        <w:rPr>
          <w:rStyle w:val="FootnoteAnchor"/>
          <w:rtl w:val="true"/>
        </w:rPr>
        <w:footnoteReference w:id="103"/>
      </w:r>
      <w:r>
        <w:rPr>
          <w:rFonts w:ascii="IRNazanin" w:hAnsi="IRNazanin" w:eastAsia="IRNazanin"/>
          <w:color w:val="111111"/>
          <w:sz w:val="28"/>
          <w:sz w:val="28"/>
          <w:szCs w:val="28"/>
          <w:rtl w:val="true"/>
          <w:lang w:bidi="fa-IR"/>
        </w:rPr>
        <w:t>، بل فی روایة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کرٍّ من ماء مررت به و أنا فی سفر قد بال فیه حمار أو بغل أو إنسان؟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تتوضأ منه و لا تشرب</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بناءً علی حملها علی صورة التغیّر أو حمل الکرّ علی ما یقرب منه و یصل إلیه تقریباً لا تحقیقاً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زرارة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أبوال الدواب تصیب الثوب فکرهه،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لحومها حلالًا؟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لیس مما جعله اللّٰه للأکل</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یجمع بین الأخبار المذکورة و بین ما تقدّم من الأخبار فی طهارة بول کلّ ما یؤکل، بحمل تلک الأخبار علی ما جعله الشارع للأکل دون ما جعله للرکوب و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ما یؤکل لحمه قسیماً للدواب الثلاث فی موثّقة عبد الرحمن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 هذا کلّه، فالأقوی الطهارة وفاقاً للمشهور، بل ربّما یدّعی عموم إطلاق إجماعی المعتبر و المنتهی </w:t>
      </w:r>
      <w:r>
        <w:rPr>
          <w:rStyle w:val="FootnoteAnchor"/>
          <w:rtl w:val="true"/>
        </w:rPr>
        <w:footnoteReference w:id="107"/>
      </w:r>
      <w:r>
        <w:rPr>
          <w:rFonts w:ascii="IRNazanin" w:hAnsi="IRNazanin" w:eastAsia="IRNazanin"/>
          <w:color w:val="111111"/>
          <w:sz w:val="28"/>
          <w:sz w:val="28"/>
          <w:szCs w:val="28"/>
          <w:rtl w:val="true"/>
          <w:lang w:bidi="fa-IR"/>
        </w:rPr>
        <w:t>لما نحن فیه، و فیه نظرٌ یظهر لمن نظر فی الکتابین؛ للأخبار الکثیرة الصارفة لما عدا الأوّل من الأخبار المذکورة عن ظاهرها إلی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کروایة أبی الأغرّ النحاس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أُعالج الدواب فربّما خرجت باللیل و قد بالت و راثت، فیضرب أحدها برجله فینضح علی ثیابی فأصبح فأری أثره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شی‌ء</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المعلّی بن خنیس و عبد اللّٰه بن أبی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فی جنازة و قدّامنا حمار فجاءت الریح ببوله حتّی صکّت وجوهنا و ثیابنا، فدخلنا علی أبی عبد اللّٰه علیه السلام فأخبرناه،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علیکم بأس</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 الصلاة فی جلودها صحیحة باتّفاق من لم یحرّم أکلها فکذا فی بولها و روثها؛ للموثّقة لزرارة فی باب لباس المصلی المقسِّمة للحیوانات إلی</w:t>
      </w:r>
    </w:p>
    <w:p>
      <w:pPr>
        <w:pStyle w:val="BookText"/>
        <w:rPr/>
      </w:pPr>
      <w:r>
        <w:rPr>
          <w:rFonts w:ascii="IRNazanin" w:hAnsi="IRNazanin" w:eastAsia="IRNazanin"/>
          <w:color w:val="111111"/>
          <w:sz w:val="28"/>
          <w:sz w:val="28"/>
          <w:szCs w:val="28"/>
          <w:rtl w:val="true"/>
          <w:lang w:bidi="fa-IR"/>
        </w:rPr>
        <w:t xml:space="preserve">محرّم الأکل و غیره، و التصریح بجواز الصلاة فی بول القسم الثانی و روثه و کلّ شی‌ءٍ منه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کلّه مضافاً إلی الأخبار المستفیضة الدالّة علی طهارة أرواثها </w:t>
      </w:r>
      <w:r>
        <w:rPr>
          <w:rStyle w:val="FootnoteAnchor"/>
          <w:rtl w:val="true"/>
        </w:rPr>
        <w:footnoteReference w:id="111"/>
      </w:r>
      <w:r>
        <w:rPr>
          <w:rFonts w:ascii="IRNazanin" w:hAnsi="IRNazanin" w:eastAsia="IRNazanin"/>
          <w:color w:val="111111"/>
          <w:sz w:val="28"/>
          <w:sz w:val="28"/>
          <w:szCs w:val="28"/>
          <w:rtl w:val="true"/>
          <w:lang w:bidi="fa-IR"/>
        </w:rPr>
        <w:t xml:space="preserve">، بناءً علی نفی القول بالفرق، کما عن المنتقی </w:t>
      </w:r>
      <w:r>
        <w:rPr>
          <w:rStyle w:val="FootnoteAnchor"/>
          <w:rtl w:val="true"/>
        </w:rPr>
        <w:footnoteReference w:id="112"/>
      </w:r>
      <w:r>
        <w:rPr>
          <w:rFonts w:ascii="IRNazanin" w:hAnsi="IRNazanin" w:eastAsia="IRNazanin"/>
          <w:color w:val="111111"/>
          <w:sz w:val="28"/>
          <w:sz w:val="28"/>
          <w:szCs w:val="28"/>
          <w:rtl w:val="true"/>
          <w:lang w:bidi="fa-IR"/>
        </w:rPr>
        <w:t xml:space="preserve">و الذخیرة </w:t>
      </w:r>
      <w:r>
        <w:rPr>
          <w:rStyle w:val="FootnoteAnchor"/>
          <w:rtl w:val="true"/>
        </w:rPr>
        <w:footnoteReference w:id="113"/>
      </w: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114"/>
      </w:r>
      <w:r>
        <w:rPr>
          <w:rFonts w:ascii="IRNazanin" w:hAnsi="IRNazanin" w:eastAsia="IRNazanin"/>
          <w:color w:val="111111"/>
          <w:sz w:val="28"/>
          <w:sz w:val="28"/>
          <w:szCs w:val="28"/>
          <w:rtl w:val="true"/>
          <w:lang w:bidi="fa-IR"/>
        </w:rPr>
        <w:t xml:space="preserve">و غیرها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فرض تساقط ما ذکرنا من أخبار الطرفین بالمعارضة، فیجب الرجوع إلی عمومات طهارة ما یخرج ممّا یؤکل لحمه </w:t>
      </w:r>
      <w:r>
        <w:rPr>
          <w:rStyle w:val="FootnoteAnchor"/>
          <w:rtl w:val="true"/>
        </w:rPr>
        <w:footnoteReference w:id="116"/>
      </w:r>
      <w:r>
        <w:rPr>
          <w:rFonts w:ascii="IRNazanin" w:hAnsi="IRNazanin" w:eastAsia="IRNazanin"/>
          <w:color w:val="111111"/>
          <w:sz w:val="28"/>
          <w:sz w:val="28"/>
          <w:szCs w:val="28"/>
          <w:rtl w:val="true"/>
          <w:lang w:bidi="fa-IR"/>
        </w:rPr>
        <w:t>الشامل لمکروه الأکل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ذکرنا من روایة زرارة </w:t>
      </w:r>
      <w:r>
        <w:rPr>
          <w:rStyle w:val="FootnoteAnchor"/>
          <w:rtl w:val="true"/>
        </w:rPr>
        <w:footnoteReference w:id="117"/>
      </w:r>
      <w:r>
        <w:rPr>
          <w:rFonts w:ascii="IRNazanin" w:hAnsi="IRNazanin" w:eastAsia="IRNazanin"/>
          <w:color w:val="111111"/>
          <w:sz w:val="28"/>
          <w:sz w:val="28"/>
          <w:szCs w:val="28"/>
          <w:rtl w:val="true"/>
          <w:lang w:bidi="fa-IR"/>
        </w:rPr>
        <w:t xml:space="preserve">شاهداً علی 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للأکل، ففیه مع عدم جریانه فی موثّقة زرارة الواردة فی لباس المصلی </w:t>
      </w:r>
      <w:r>
        <w:rPr>
          <w:rStyle w:val="FootnoteAnchor"/>
          <w:rtl w:val="true"/>
        </w:rPr>
        <w:footnoteReference w:id="118"/>
      </w:r>
      <w:r>
        <w:rPr>
          <w:rFonts w:ascii="IRNazanin" w:hAnsi="IRNazanin" w:eastAsia="IRNazanin"/>
          <w:color w:val="111111"/>
          <w:sz w:val="28"/>
          <w:sz w:val="28"/>
          <w:szCs w:val="28"/>
          <w:rtl w:val="true"/>
          <w:lang w:bidi="fa-IR"/>
        </w:rPr>
        <w:t xml:space="preserve">کما لا یخفی، و مع قوّة احتمال أن یکون وجهاً لکراهة ما یخرج من هذه الدواب کما یشعر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بروایة عمّار المتقدّمة فی</w:t>
      </w:r>
    </w:p>
    <w:p>
      <w:pPr>
        <w:pStyle w:val="BookText"/>
        <w:rPr/>
      </w:pPr>
      <w:r>
        <w:rPr>
          <w:rFonts w:ascii="Amiri" w:hAnsi="Amiri" w:eastAsia="Amiri" w:cs="Amiri"/>
          <w:color w:val="111111"/>
          <w:sz w:val="28"/>
          <w:sz w:val="28"/>
          <w:szCs w:val="28"/>
          <w:rtl w:val="true"/>
          <w:lang w:bidi="ar-SA"/>
        </w:rPr>
        <w:t xml:space="preserve">الخُطّاف </w:t>
      </w:r>
      <w:r>
        <w:rPr>
          <w:rStyle w:val="FootnoteAnchor"/>
          <w:rtl w:val="true"/>
        </w:rPr>
        <w:footnoteReference w:id="119"/>
      </w:r>
      <w:r>
        <w:rPr>
          <w:rFonts w:ascii="IRNazanin" w:hAnsi="IRNazanin" w:eastAsia="IRNazanin"/>
          <w:color w:val="111111"/>
          <w:sz w:val="28"/>
          <w:sz w:val="28"/>
          <w:szCs w:val="28"/>
          <w:rtl w:val="true"/>
          <w:lang w:bidi="fa-IR"/>
        </w:rPr>
        <w:t>حیث یظهر منها أنّ مجرّد عدم حرمة الأکل کاف فی طهارة ما یخرج منه و إن کان مما لم یخلق للأکل، کما هو الحال فی الخُطّاف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الجواب عن الموثّقة الاولی </w:t>
      </w:r>
      <w:r>
        <w:rPr>
          <w:rStyle w:val="FootnoteAnchor"/>
          <w:rtl w:val="true"/>
        </w:rPr>
        <w:footnoteReference w:id="120"/>
      </w:r>
      <w:r>
        <w:rPr>
          <w:rFonts w:ascii="IRNazanin" w:hAnsi="IRNazanin" w:eastAsia="IRNazanin"/>
          <w:color w:val="111111"/>
          <w:sz w:val="28"/>
          <w:sz w:val="28"/>
          <w:szCs w:val="28"/>
          <w:rtl w:val="true"/>
          <w:lang w:bidi="fa-IR"/>
        </w:rPr>
        <w:t>و إن لم تقبل الحمل علی الاستحباب، بل لا یبعد أیضاً حملها علی الاستحباب،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استحباب المعاملة معها کأبوال الإنسان فی الاحتراز، لا أنّها کأبوال الإنسان عند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التفصیل بین أبوالها و أرواثها ممّا یشعر بکون الحکم استحبابیّاً لا إلزامیّاً،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الأعلی بن أعین،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الصادق علیه السلام عن أبوال الخیل و البغال؟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ثوبک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فأرواثها؟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أکثر من ذلک</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و فی روایة أبی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أبوالها فاغسل ما أصابک، و أمّا أرواثها فهی أکثر من ذلک</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فإنّ الظاهر عند المتأمّل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لرفع تأکّد الاستحباب لا لرفع الإیجاب،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الأرواث أکثر من أن یلتزم الإنسان بالاجتناب عنها لا من أن یلزم الشارع به، کما یتوهّم أحیاناً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فالظاهر أنّه لا ینبغی الإشکال فی طهارة الأرواث؛ للأخبار القریبة من التواتر، و أمّا الأبوال فالأقوی کونها کذلک، إلّا أنّ الاحتیاط لا ینبغی أن یترک</w:t>
      </w:r>
      <w:r>
        <w:rPr>
          <w:rFonts w:eastAsia="IRNazanin" w:cs="IRNazanin"/>
          <w:color w:val="111111"/>
          <w:sz w:val="28"/>
          <w:szCs w:val="28"/>
          <w:rtl w:val="true"/>
          <w:lang w:bidi="fa-IR"/>
        </w:rPr>
        <w:t>.</w:t>
      </w:r>
      <w:bookmarkStart w:id="32" w:name="pg16911_259485"/>
    </w:p>
    <w:p>
      <w:pPr>
        <w:pStyle w:val="Heading5"/>
        <w:numPr>
          <w:ilvl w:val="4"/>
          <w:numId w:val="1"/>
        </w:numPr>
        <w:rPr/>
      </w:pPr>
      <w:bookmarkStart w:id="33" w:name="__RefHeading___Toc6618636_3224264995"/>
      <w:bookmarkStart w:id="34" w:name="_Toc13"/>
      <w:bookmarkEnd w:id="32"/>
      <w:bookmarkEnd w:id="33"/>
      <w:r>
        <w:rPr>
          <w:rtl w:val="true"/>
        </w:rPr>
        <w:t>[</w:t>
      </w:r>
      <w:r>
        <w:rPr>
          <w:rtl w:val="true"/>
        </w:rPr>
        <w:t>الثالث المنی</w:t>
      </w:r>
      <w:r>
        <w:rPr>
          <w:rtl w:val="true"/>
        </w:rPr>
        <w:t>]</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المنی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المنی من کلّ حیوان ذی نفس سائلة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بالإجماع المحقّق و المستفیض </w:t>
      </w:r>
      <w:r>
        <w:rPr>
          <w:rStyle w:val="FootnoteAnchor"/>
          <w:rtl w:val="true"/>
        </w:rPr>
        <w:footnoteReference w:id="124"/>
      </w:r>
      <w:r>
        <w:rPr>
          <w:rFonts w:ascii="IRNazanin" w:hAnsi="IRNazanin" w:eastAsia="IRNazanin"/>
          <w:color w:val="111111"/>
          <w:sz w:val="28"/>
          <w:sz w:val="28"/>
          <w:szCs w:val="28"/>
          <w:rtl w:val="true"/>
          <w:lang w:bidi="fa-IR"/>
        </w:rPr>
        <w:t xml:space="preserve">، و هو المعتمد فی إطلاق الحکم، دون إطلاقات الأخبار؛ لانصرافها إلی منیّ الإنسان، و لیس کذلک إطلاق معاقد الإجماع؛ للقطع بإرادة المطلق عنها، مع أنّ المحکی عن التذکرة </w:t>
      </w:r>
      <w:r>
        <w:rPr>
          <w:rStyle w:val="FootnoteAnchor"/>
          <w:rtl w:val="true"/>
        </w:rPr>
        <w:footnoteReference w:id="125"/>
      </w: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بالعموم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لا الإجماع لأشکل تعمیم الحکم لمطلق غیر المأکول، فضلًا عن مطلق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مأکول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سیّما مع عموم قوله علیه السلام فی 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ما أُکل لحمه فلا بأس بما یخرج منه</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 قوله علیه السلام</w:t>
      </w:r>
    </w:p>
    <w:p>
      <w:pPr>
        <w:pStyle w:val="BookText"/>
        <w:rPr/>
      </w:pPr>
      <w:r>
        <w:rPr>
          <w:rFonts w:ascii="IRNazanin" w:hAnsi="IRNazanin" w:eastAsia="IRNazanin"/>
          <w:color w:val="111111"/>
          <w:sz w:val="28"/>
          <w:sz w:val="28"/>
          <w:szCs w:val="28"/>
          <w:rtl w:val="true"/>
          <w:lang w:bidi="fa-IR"/>
        </w:rPr>
        <w:t>فی موثّقة زرارة الواردة فی لباس المصلی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منه ممّا أحلّ اللّٰه أکله فالصلاة فی شعره و وبره و بوله و روثه وکل شی‌ءٍ منه جائز</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ذکرنا یعلم الوجه فی الحکم بطهارة المنی من غیر ذی النفس؛ لفقد عمومٍ فی الأدلّة اللفظیّة، و عدم ثبوت الإجماع إلّا فی منّی ذی النفس، بل الظاهر عدم الخلاف فی طهارة غیره، و إن أشعر بعض العبائر کعبارة المنتهی </w:t>
      </w:r>
      <w:r>
        <w:rPr>
          <w:rStyle w:val="FootnoteAnchor"/>
          <w:rtl w:val="true"/>
        </w:rPr>
        <w:footnoteReference w:id="130"/>
      </w:r>
      <w:r>
        <w:rPr>
          <w:rFonts w:ascii="IRNazanin" w:hAnsi="IRNazanin" w:eastAsia="IRNazanin"/>
          <w:color w:val="111111"/>
          <w:sz w:val="28"/>
          <w:sz w:val="28"/>
          <w:szCs w:val="28"/>
          <w:rtl w:val="true"/>
          <w:lang w:bidi="fa-IR"/>
        </w:rPr>
        <w:t>بوجود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ربّما یقوّی التردّد فیه قوّة التردّد فیما تقدّم فی بول غیر ذی النفس و خرئه؛ من جهة عدم مخصِّص صریح للعمومات، بناءً علی أنّ المنی أشدّ من البول کما فی الروایة </w:t>
      </w:r>
      <w:r>
        <w:rPr>
          <w:rStyle w:val="FootnoteAnchor"/>
          <w:rtl w:val="true"/>
        </w:rPr>
        <w:footnoteReference w:id="131"/>
      </w:r>
      <w:r>
        <w:rPr>
          <w:rFonts w:ascii="IRNazanin" w:hAnsi="IRNazanin" w:eastAsia="IRNazanin"/>
          <w:color w:val="111111"/>
          <w:sz w:val="28"/>
          <w:sz w:val="28"/>
          <w:szCs w:val="28"/>
          <w:rtl w:val="true"/>
          <w:lang w:bidi="fa-IR"/>
        </w:rPr>
        <w:t xml:space="preserve">فکلّ حیوان نجس البول نجس المنی، و کل ما لیس نجس المنی لیس بنجس البول، إلّا أنّ المسهِّل للخطب هو عدم العثور علی الخلاف فی المسألتین من الأصحاب، بل ظاهر الأردبیلی أنّ مسألة المنی مظنّة إلا جماع </w:t>
      </w:r>
      <w:r>
        <w:rPr>
          <w:rStyle w:val="FootnoteAnchor"/>
          <w:rtl w:val="true"/>
        </w:rPr>
        <w:footnoteReference w:id="132"/>
      </w:r>
      <w:r>
        <w:rPr>
          <w:rFonts w:ascii="IRNazanin" w:hAnsi="IRNazanin" w:eastAsia="IRNazanin"/>
          <w:color w:val="111111"/>
          <w:sz w:val="28"/>
          <w:sz w:val="28"/>
          <w:szCs w:val="28"/>
          <w:rtl w:val="true"/>
          <w:lang w:bidi="fa-IR"/>
        </w:rPr>
        <w:t xml:space="preserve">، و کذا ظاهر الریاض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الاحتیاط ممّا لا یترک فی المقامین، فقد تردّد المحقّق فی الشرائع </w:t>
      </w:r>
      <w:r>
        <w:rPr>
          <w:rStyle w:val="FootnoteAnchor"/>
          <w:rtl w:val="true"/>
        </w:rPr>
        <w:footnoteReference w:id="134"/>
      </w:r>
      <w:r>
        <w:rPr>
          <w:rFonts w:ascii="IRNazanin" w:hAnsi="IRNazanin" w:eastAsia="IRNazanin"/>
          <w:color w:val="111111"/>
          <w:sz w:val="28"/>
          <w:sz w:val="28"/>
          <w:szCs w:val="28"/>
          <w:rtl w:val="true"/>
          <w:lang w:bidi="fa-IR"/>
        </w:rPr>
        <w:t xml:space="preserve">و المعتبر </w:t>
      </w:r>
      <w:r>
        <w:rPr>
          <w:rStyle w:val="FootnoteAnchor"/>
          <w:rtl w:val="true"/>
        </w:rPr>
        <w:footnoteReference w:id="135"/>
      </w:r>
      <w:r>
        <w:rPr>
          <w:rFonts w:ascii="IRNazanin" w:hAnsi="IRNazanin" w:eastAsia="IRNazanin"/>
          <w:color w:val="111111"/>
          <w:sz w:val="28"/>
          <w:sz w:val="28"/>
          <w:szCs w:val="28"/>
          <w:rtl w:val="true"/>
          <w:lang w:bidi="fa-IR"/>
        </w:rPr>
        <w:t xml:space="preserve">و المصنّف فی المنتهی، و إن رجّح کالمحقّق الطهارة أخیراً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المعروف من مذهب الأصحاب طهارة سائر الرطوبات الخارجة عن المخرجین عدا البول و الغائط و المنی و الدم حتّی المذی، و هو کما عن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یخرج عقیب الملاعبة و الملامسة </w:t>
      </w:r>
      <w:r>
        <w:rPr>
          <w:rStyle w:val="FootnoteAnchor"/>
          <w:rtl w:val="true"/>
        </w:rPr>
        <w:footnoteReference w:id="137"/>
      </w:r>
      <w:r>
        <w:rPr>
          <w:rFonts w:ascii="IRNazanin" w:hAnsi="IRNazanin" w:eastAsia="IRNazanin"/>
          <w:color w:val="111111"/>
          <w:sz w:val="28"/>
          <w:sz w:val="28"/>
          <w:szCs w:val="28"/>
          <w:rtl w:val="true"/>
          <w:lang w:bidi="fa-IR"/>
        </w:rPr>
        <w:t>، و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لزج یخرج عقیب الشهوة علی طرف الذکر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المستفیضة </w:t>
      </w:r>
      <w:r>
        <w:rPr>
          <w:rStyle w:val="FootnoteAnchor"/>
          <w:rtl w:val="true"/>
        </w:rPr>
        <w:footnoteReference w:id="139"/>
      </w:r>
      <w:r>
        <w:rPr>
          <w:rFonts w:ascii="IRNazanin" w:hAnsi="IRNazanin" w:eastAsia="IRNazanin"/>
          <w:color w:val="111111"/>
          <w:sz w:val="28"/>
          <w:sz w:val="28"/>
          <w:szCs w:val="28"/>
          <w:rtl w:val="true"/>
          <w:lang w:bidi="fa-IR"/>
        </w:rPr>
        <w:t>، و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ینقض الوضوء و لا یغسل منه الثوب، إنّما هو بمنزلة النخامة و المخاط</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فی روایة ابن أبی العلاء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المذی یصیب 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عرفت مکانه فاغسله، و إن لم تعرف مکانه فاغسل الثوب کلّه</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لکنّه مع معارضتها بالأخبار الکثیرة معارضة بروایته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رددنا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تنضحه بالماء</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و الأمر بالنضح وارد فی غیرها أیضاً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فقول الإسکافی بنجاسة ما یخرج منه عن شهوة </w:t>
      </w:r>
      <w:r>
        <w:rPr>
          <w:rStyle w:val="FootnoteAnchor"/>
          <w:rtl w:val="true"/>
        </w:rPr>
        <w:footnoteReference w:id="143"/>
      </w:r>
      <w:r>
        <w:rPr>
          <w:rFonts w:ascii="IRNazanin" w:hAnsi="IRNazanin" w:eastAsia="IRNazanin"/>
          <w:color w:val="111111"/>
          <w:sz w:val="28"/>
          <w:sz w:val="28"/>
          <w:szCs w:val="28"/>
          <w:rtl w:val="true"/>
          <w:lang w:bidi="fa-IR"/>
        </w:rPr>
        <w:t>شاذٌّ، کما صرّح به فی المختلف،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إجماع الإمامیّة علی طهارته، و خلاف ابن الجنید لا یعتدّ به؛ لما ذکره الشیخ فی فهرسته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أصحابنا</w:t>
      </w:r>
    </w:p>
    <w:p>
      <w:pPr>
        <w:pStyle w:val="BookText"/>
        <w:rPr/>
      </w:pPr>
      <w:r>
        <w:rPr>
          <w:rFonts w:ascii="IRNazanin" w:hAnsi="IRNazanin" w:eastAsia="IRNazanin"/>
          <w:color w:val="111111"/>
          <w:sz w:val="28"/>
          <w:sz w:val="28"/>
          <w:szCs w:val="28"/>
          <w:rtl w:val="true"/>
          <w:lang w:bidi="fa-IR"/>
        </w:rPr>
        <w:t xml:space="preserve">ترکوا خلافه؛ لأنّه کان یقول بالقیاس </w:t>
      </w:r>
      <w:r>
        <w:rPr>
          <w:rStyle w:val="FootnoteAnchor"/>
          <w:rtl w:val="true"/>
        </w:rPr>
        <w:footnoteReference w:id="14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من تفصیل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المذی قد یخرج لا عن شهوة، و ظاهر ما تقدّم عن المعتبر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خروجه عقیب الشهوة </w:t>
      </w:r>
      <w:r>
        <w:rPr>
          <w:rStyle w:val="FootnoteAnchor"/>
          <w:rtl w:val="true"/>
        </w:rPr>
        <w:footnoteReference w:id="145"/>
      </w:r>
      <w:r>
        <w:rPr>
          <w:rFonts w:ascii="IRNazanin" w:hAnsi="IRNazanin" w:eastAsia="IRNazanin"/>
          <w:color w:val="111111"/>
          <w:sz w:val="28"/>
          <w:sz w:val="28"/>
          <w:szCs w:val="28"/>
          <w:rtl w:val="true"/>
          <w:lang w:bidi="fa-IR"/>
        </w:rPr>
        <w:t>، و هو الظاهر من مرسلة ابن رباط،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المذی فهو الذی یخرج من الشهوة، و الودی من البول، و الوذی من الارواء </w:t>
      </w:r>
      <w:r>
        <w:rPr>
          <w:rStyle w:val="FootnoteAnchor"/>
          <w:rtl w:val="true"/>
        </w:rPr>
        <w:footnoteReference w:id="146"/>
      </w:r>
      <w:r>
        <w:rPr>
          <w:rFonts w:ascii="IRNazanin" w:hAnsi="IRNazanin" w:eastAsia="IRNazanin"/>
          <w:color w:val="111111"/>
          <w:sz w:val="28"/>
          <w:sz w:val="28"/>
          <w:szCs w:val="28"/>
          <w:rtl w:val="true"/>
          <w:lang w:bidi="fa-IR"/>
        </w:rPr>
        <w:t>و لا شی‌ء فیه</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و الأمر سهل بعد طهارته مطلقاً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الودی، و هو بسکون الدال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أبیض یخرج عقیب البول</w:t>
      </w:r>
      <w:r>
        <w:rPr>
          <w:rFonts w:eastAsia="IRNazanin" w:cs="IRNazanin"/>
          <w:color w:val="111111"/>
          <w:sz w:val="28"/>
          <w:szCs w:val="28"/>
          <w:rtl w:val="true"/>
          <w:lang w:bidi="fa-IR"/>
        </w:rPr>
        <w:t>.</w:t>
      </w:r>
      <w:bookmarkStart w:id="35" w:name="pg16911_259489"/>
    </w:p>
    <w:p>
      <w:pPr>
        <w:pStyle w:val="Heading5"/>
        <w:numPr>
          <w:ilvl w:val="4"/>
          <w:numId w:val="1"/>
        </w:numPr>
        <w:rPr/>
      </w:pPr>
      <w:bookmarkStart w:id="36" w:name="__RefHeading___Toc6618638_3224264995"/>
      <w:bookmarkStart w:id="37" w:name="_Toc14"/>
      <w:bookmarkEnd w:id="35"/>
      <w:bookmarkEnd w:id="36"/>
      <w:r>
        <w:rPr>
          <w:rtl w:val="true"/>
        </w:rPr>
        <w:t>[</w:t>
      </w:r>
      <w:r>
        <w:rPr>
          <w:rtl w:val="true"/>
        </w:rPr>
        <w:t>الرابع المیتة</w:t>
      </w:r>
      <w:r>
        <w:rPr>
          <w:rtl w:val="true"/>
        </w:rPr>
        <w:t>]</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 المیتة </w:t>
      </w:r>
      <w:r>
        <w:rPr>
          <w:rStyle w:val="FootnoteAnchor"/>
          <w:rtl w:val="true"/>
        </w:rPr>
        <w:footnoteReference w:id="1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المیتة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النفس السائلة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إنساناً کان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الآدمی، فتدلّ علی نجاسته مضافاً إلی دعوی الاتّفاق علیه بالخصوص فی المعتبر </w:t>
      </w:r>
      <w:r>
        <w:rPr>
          <w:rStyle w:val="FootnoteAnchor"/>
          <w:rtl w:val="true"/>
        </w:rPr>
        <w:footnoteReference w:id="150"/>
      </w:r>
      <w:r>
        <w:rPr>
          <w:rFonts w:ascii="IRNazanin" w:hAnsi="IRNazanin" w:eastAsia="IRNazanin"/>
          <w:color w:val="111111"/>
          <w:sz w:val="28"/>
          <w:sz w:val="28"/>
          <w:szCs w:val="28"/>
          <w:rtl w:val="true"/>
          <w:lang w:bidi="fa-IR"/>
        </w:rPr>
        <w:t xml:space="preserve">و المنتهی </w:t>
      </w:r>
      <w:r>
        <w:rPr>
          <w:rStyle w:val="FootnoteAnchor"/>
          <w:rtl w:val="true"/>
        </w:rPr>
        <w:footnoteReference w:id="151"/>
      </w:r>
      <w:r>
        <w:rPr>
          <w:rFonts w:ascii="IRNazanin" w:hAnsi="IRNazanin" w:eastAsia="IRNazanin"/>
          <w:color w:val="111111"/>
          <w:sz w:val="28"/>
          <w:sz w:val="28"/>
          <w:szCs w:val="28"/>
          <w:rtl w:val="true"/>
          <w:lang w:bidi="fa-IR"/>
        </w:rPr>
        <w:t xml:space="preserve">، کما عن الخلاف </w:t>
      </w:r>
      <w:r>
        <w:rPr>
          <w:rStyle w:val="FootnoteAnchor"/>
          <w:rtl w:val="true"/>
        </w:rPr>
        <w:footnoteReference w:id="152"/>
      </w:r>
      <w:r>
        <w:rPr>
          <w:rFonts w:ascii="IRNazanin" w:hAnsi="IRNazanin" w:eastAsia="IRNazanin"/>
          <w:color w:val="111111"/>
          <w:sz w:val="28"/>
          <w:sz w:val="28"/>
          <w:szCs w:val="28"/>
          <w:rtl w:val="true"/>
          <w:lang w:bidi="fa-IR"/>
        </w:rPr>
        <w:t xml:space="preserve">و غیره </w:t>
      </w:r>
      <w:r>
        <w:rPr>
          <w:rStyle w:val="FootnoteAnchor"/>
          <w:rtl w:val="true"/>
        </w:rPr>
        <w:footnoteReference w:id="153"/>
      </w:r>
      <w:r>
        <w:rPr>
          <w:rFonts w:ascii="IRNazanin" w:hAnsi="IRNazanin" w:eastAsia="IRNazanin"/>
          <w:color w:val="111111"/>
          <w:sz w:val="28"/>
          <w:sz w:val="28"/>
          <w:szCs w:val="28"/>
          <w:rtl w:val="true"/>
          <w:lang w:bidi="fa-IR"/>
        </w:rPr>
        <w:t>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یصیب ثوبه جسد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أصاب الثوب منه</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إبراهیم بن میمون،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الرجل یقع ثوبه علی جسد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غسل المیت فلا تغسل</w:t>
      </w:r>
    </w:p>
    <w:p>
      <w:pPr>
        <w:pStyle w:val="BookText"/>
        <w:rPr/>
      </w:pPr>
      <w:r>
        <w:rPr>
          <w:rFonts w:ascii="IRNazanin" w:hAnsi="IRNazanin" w:eastAsia="IRNazanin"/>
          <w:color w:val="111111"/>
          <w:sz w:val="28"/>
          <w:sz w:val="28"/>
          <w:szCs w:val="28"/>
          <w:rtl w:val="true"/>
          <w:lang w:bidi="fa-IR"/>
        </w:rPr>
        <w:t xml:space="preserve">ما أصاب ثوبک منه و إن کان لم یغسل فاغسل ما أصابک </w:t>
      </w:r>
      <w:r>
        <w:rPr>
          <w:rStyle w:val="FootnoteAnchor"/>
          <w:rtl w:val="true"/>
        </w:rPr>
        <w:footnoteReference w:id="155"/>
      </w:r>
      <w:r>
        <w:rPr>
          <w:rFonts w:ascii="IRNazanin" w:hAnsi="IRNazanin" w:eastAsia="IRNazanin"/>
          <w:color w:val="111111"/>
          <w:sz w:val="28"/>
          <w:sz w:val="28"/>
          <w:szCs w:val="28"/>
          <w:rtl w:val="true"/>
          <w:lang w:bidi="fa-IR"/>
        </w:rPr>
        <w:t>ثوبک منه،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البرد</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المروی من الاحتجاج عن مولانا القائم عجّل اللّٰه فرجه ما کتب إلیه الحمیری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روی لنا عن العالم علیه السلام أنّه سئل عن إمام قوم صلّی بهم بعض صلاة و حدثت علیه حادثة، فکیف یعمل من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 بعضهم و یتقدّم بعضهم و یتمّ صلاتهم و یغتسل من مسّه، فکتب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من نحّاه إلّا غسل الید</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روی عن العالم علیه السلام أنّ من مسّ میّتاً بحرارته غسل یده، و من مسّه ببرد فعلیه الغسل، و هذا المیّت فی هذه الحالة لا یکون إلّا بحرارته، فالعمل فی ذلک علی ما هو؟ و لعلّه ینحّیه بثیابه و لا یمسّه، فکیف یجب علیه الغسل؟ 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مسّه علی هذه الحالة لم یکن علیه إلّا غسل یده</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یؤیّدها ما ورد فی وقوع الإنسان فی البئر </w:t>
      </w:r>
      <w:r>
        <w:rPr>
          <w:rStyle w:val="FootnoteAnchor"/>
          <w:rtl w:val="true"/>
        </w:rPr>
        <w:footnoteReference w:id="159"/>
      </w:r>
      <w:r>
        <w:rPr>
          <w:rFonts w:ascii="Amiri" w:hAnsi="Amiri" w:eastAsia="Amiri" w:cs="Amiri"/>
          <w:color w:val="111111"/>
          <w:sz w:val="28"/>
          <w:sz w:val="28"/>
          <w:szCs w:val="28"/>
          <w:rtl w:val="true"/>
          <w:lang w:bidi="ar-SA"/>
        </w:rPr>
        <w:t xml:space="preserve">، و ما تقدّم من الأخبار الواردة فی غسل المیّت الدالّة علی أنّ المغسِّل یغسل یدیه أوّلًا ثم یکفّن المیّت </w:t>
      </w:r>
      <w:r>
        <w:rPr>
          <w:rStyle w:val="FootnoteAnchor"/>
          <w:rtl w:val="true"/>
        </w:rPr>
        <w:footnoteReference w:id="16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الروایتین وجوب غسل ما لاقی الثوب مع رطوبة متعدّیة من المیّت إلیه، فلا یجب غسل ما لاقاه مع یبوستها؛ للأصل السلیم عما یدلّ علی التعدّی من دون رطوبة فی أحد المتلاقیین، عدا ما تخیّله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إطلاق هاتین الروایتین </w:t>
      </w:r>
      <w:r>
        <w:rPr>
          <w:rStyle w:val="FootnoteAnchor"/>
          <w:rtl w:val="true"/>
        </w:rPr>
        <w:footnoteReference w:id="161"/>
      </w:r>
      <w:r>
        <w:rPr>
          <w:rFonts w:ascii="IRNazanin" w:hAnsi="IRNazanin" w:eastAsia="IRNazanin"/>
          <w:color w:val="111111"/>
          <w:sz w:val="28"/>
          <w:sz w:val="28"/>
          <w:szCs w:val="28"/>
          <w:rtl w:val="true"/>
          <w:lang w:bidi="fa-IR"/>
        </w:rPr>
        <w:t>، اللتین عرفت ظهورهما فی اکتساب الثوب رطوبة من جسد المیّت، مع أنّه لو سلّم الإطلاق فیهما کالثالث فهو مقیّدٌ بما هو مرکوز فی أذهان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الرطوبة فی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ضعف ما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غسل ما لاقاه یابساً </w:t>
      </w:r>
      <w:r>
        <w:rPr>
          <w:rStyle w:val="FootnoteAnchor"/>
          <w:rtl w:val="true"/>
        </w:rPr>
        <w:footnoteReference w:id="162"/>
      </w:r>
      <w:r>
        <w:rPr>
          <w:rFonts w:ascii="IRNazanin" w:hAnsi="IRNazanin" w:eastAsia="IRNazanin"/>
          <w:color w:val="111111"/>
          <w:sz w:val="28"/>
          <w:sz w:val="28"/>
          <w:szCs w:val="28"/>
          <w:rtl w:val="true"/>
          <w:lang w:bidi="fa-IR"/>
        </w:rPr>
        <w:t>، مضافاً إلی 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یابس ذکیّ</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بل عن الحلیّ اختیار عدم السرایة مع الرطوبة أیضاً، و قال فیما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نجاسات حکمیّات و لیست عینیّات،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خلاف بین الأُمّة کافةً أنّ المساجد یجب أن تجتنب النجاسات العینیّة، و أجمعنا بغیر خلاف أنّ من غسل میّتاً، له أن یدخل المسجد و یجلس فیه، فلو کان نجس العین لما جاز ذلک، و لأنّ الماء المستعمل فی الطهارة الکبری طاهر بغیر خلاف، و من جملة الأغسال غسل من مسّ میّتاً، و لو کان ما لاقی المیّت نجساً لما کان الماء الذی یغتسل به طاهراً </w:t>
      </w:r>
      <w:r>
        <w:rPr>
          <w:rStyle w:val="FootnoteAnchor"/>
          <w:rtl w:val="true"/>
        </w:rPr>
        <w:footnoteReference w:id="16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المحقّق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جواز دخول من مسّ میّتاً المسجد، کما یمنع من علی جسده 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بالتزام نجاسة الماء إذا لم یغسل یده قبل الاغتسال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یردّ الحلیّ مضافاً إلی الإجماعات المستفیضة </w:t>
      </w:r>
      <w:r>
        <w:rPr>
          <w:rStyle w:val="FootnoteAnchor"/>
          <w:rtl w:val="true"/>
        </w:rPr>
        <w:footnoteReference w:id="166"/>
      </w:r>
      <w:r>
        <w:rPr>
          <w:rFonts w:ascii="IRNazanin" w:hAnsi="IRNazanin" w:eastAsia="IRNazanin"/>
          <w:color w:val="111111"/>
          <w:sz w:val="28"/>
          <w:sz w:val="28"/>
          <w:szCs w:val="28"/>
          <w:rtl w:val="true"/>
          <w:lang w:bidi="fa-IR"/>
        </w:rPr>
        <w:t xml:space="preserve">علی النجاسة التی من حکمها التعدّی مع الرطوبة إلی ما لاقاه بوسائط، بل ادّعی فی المعتبر إطباق الإمامیّة علی نجاسته نجاسةً عینیّة کغیرها من المیتات </w:t>
      </w:r>
      <w:r>
        <w:rPr>
          <w:rStyle w:val="FootnoteAnchor"/>
          <w:rtl w:val="true"/>
        </w:rPr>
        <w:footnoteReference w:id="167"/>
      </w:r>
      <w:r>
        <w:rPr>
          <w:rFonts w:ascii="IRNazanin" w:hAnsi="IRNazanin" w:eastAsia="IRNazanin"/>
          <w:color w:val="111111"/>
          <w:sz w:val="28"/>
          <w:sz w:val="28"/>
          <w:szCs w:val="28"/>
          <w:rtl w:val="true"/>
          <w:lang w:bidi="fa-IR"/>
        </w:rPr>
        <w:t xml:space="preserve">بل الحلیّ بنفسه حکی عنه دعوی عدم الخلاف بین المحصّلین فی نجاسة اللبن فی ضرع المیتة؛ لأنّه مائع لاقی المیّت </w:t>
      </w:r>
      <w:r>
        <w:rPr>
          <w:rStyle w:val="FootnoteAnchor"/>
          <w:rtl w:val="true"/>
        </w:rPr>
        <w:footnoteReference w:id="168"/>
      </w:r>
      <w:r>
        <w:rPr>
          <w:rFonts w:ascii="IRNazanin" w:hAnsi="IRNazanin" w:eastAsia="IRNazanin"/>
          <w:color w:val="111111"/>
          <w:sz w:val="28"/>
          <w:sz w:val="28"/>
          <w:szCs w:val="28"/>
          <w:rtl w:val="true"/>
          <w:lang w:bidi="fa-IR"/>
        </w:rPr>
        <w:t>إلّا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کلامه هنا الاختصاص بالآدمی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بغسل الملاقی ممّا یفهم منه النجاسة فی عرف المتشرّعة، فضلًا عمّن لاحظ الأخبار الکثیرة المکنیّة عن النجاسة بوجوب غسل الملاقی </w:t>
      </w:r>
      <w:r>
        <w:rPr>
          <w:rStyle w:val="FootnoteAnchor"/>
          <w:rtl w:val="true"/>
        </w:rPr>
        <w:footnoteReference w:id="169"/>
      </w:r>
      <w:r>
        <w:rPr>
          <w:rFonts w:ascii="IRNazanin" w:hAnsi="IRNazanin" w:eastAsia="IRNazanin"/>
          <w:color w:val="111111"/>
          <w:sz w:val="28"/>
          <w:sz w:val="28"/>
          <w:szCs w:val="28"/>
          <w:rtl w:val="true"/>
          <w:lang w:bidi="fa-IR"/>
        </w:rPr>
        <w:t xml:space="preserve">، مع أنّه لو لم نحکم بنجاسة الملاقی بنجاسة حقیقیّة لزم جواز استصحابه فی الصلاة و جواز التطهّر لو کان ماءً، و حینئذٍ فیجب غسل الثوب الملاقی له و یجوز استعمال الماء الملاقی له، فیلزم أن یکون ملاقاته مؤثّرة فی الثوب منعاً و غسلًا غیر مؤثر فی الماء القلیل، و هو باطل، کما فی المعتبر </w:t>
      </w:r>
      <w:r>
        <w:rPr>
          <w:rStyle w:val="FootnoteAnchor"/>
          <w:rtl w:val="true"/>
        </w:rPr>
        <w:footnoteReference w:id="17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أبعد ما بین هذا القول و ما عن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نجاسة المیّت نجاسة عینیّة و لو مع الیبوسة </w:t>
      </w:r>
      <w:r>
        <w:rPr>
          <w:rStyle w:val="FootnoteAnchor"/>
          <w:rtl w:val="true"/>
        </w:rPr>
        <w:footnoteReference w:id="171"/>
      </w:r>
      <w:r>
        <w:rPr>
          <w:rFonts w:ascii="IRNazanin" w:hAnsi="IRNazanin" w:eastAsia="IRNazanin"/>
          <w:color w:val="111111"/>
          <w:sz w:val="28"/>
          <w:sz w:val="28"/>
          <w:szCs w:val="28"/>
          <w:rtl w:val="true"/>
          <w:lang w:bidi="fa-IR"/>
        </w:rPr>
        <w:t xml:space="preserve">و هو المحکیّ عن البیان </w:t>
      </w:r>
      <w:r>
        <w:rPr>
          <w:rStyle w:val="FootnoteAnchor"/>
          <w:rtl w:val="true"/>
        </w:rPr>
        <w:footnoteReference w:id="172"/>
      </w:r>
      <w:r>
        <w:rPr>
          <w:rFonts w:ascii="IRNazanin" w:hAnsi="IRNazanin" w:eastAsia="IRNazanin"/>
          <w:color w:val="111111"/>
          <w:sz w:val="28"/>
          <w:sz w:val="28"/>
          <w:szCs w:val="28"/>
          <w:rtl w:val="true"/>
          <w:lang w:bidi="fa-IR"/>
        </w:rPr>
        <w:t xml:space="preserve">و فوائد القواعد </w:t>
      </w:r>
      <w:r>
        <w:rPr>
          <w:rStyle w:val="FootnoteAnchor"/>
          <w:rtl w:val="true"/>
        </w:rPr>
        <w:footnoteReference w:id="173"/>
      </w:r>
      <w:r>
        <w:rPr>
          <w:rFonts w:ascii="IRNazanin" w:hAnsi="IRNazanin" w:eastAsia="IRNazanin"/>
          <w:color w:val="111111"/>
          <w:sz w:val="28"/>
          <w:sz w:val="28"/>
          <w:szCs w:val="28"/>
          <w:rtl w:val="true"/>
          <w:lang w:bidi="fa-IR"/>
        </w:rPr>
        <w:t xml:space="preserve">، بل عن التذکرة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 نهایة الإحکام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ظاهر الأصحاب، و عن کشف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المحکی عن جماعة </w:t>
      </w:r>
      <w:r>
        <w:rPr>
          <w:rStyle w:val="FootnoteAnchor"/>
          <w:rtl w:val="true"/>
        </w:rPr>
        <w:footnoteReference w:id="177"/>
      </w:r>
      <w:r>
        <w:rPr>
          <w:rFonts w:ascii="IRNazanin" w:hAnsi="IRNazanin" w:eastAsia="IRNazanin"/>
          <w:color w:val="111111"/>
          <w:sz w:val="28"/>
          <w:sz w:val="28"/>
          <w:szCs w:val="28"/>
          <w:rtl w:val="true"/>
          <w:lang w:bidi="fa-IR"/>
        </w:rPr>
        <w:t>نسبة القول بنجاسته الحکمیة إلی السیّد، مع أنّ عبارته المحکیّة فی شرح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المیّت من الناس نجس العین و مطهِّره الغسل </w:t>
      </w:r>
      <w:r>
        <w:rPr>
          <w:rStyle w:val="FootnoteAnchor"/>
          <w:rtl w:val="true"/>
        </w:rPr>
        <w:footnoteReference w:id="17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منشأ هذه النسبة هو حکمه بعدم وجوب غسل المسّ، ففیه ما لا یخفی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فهل تخصّ نجاسته بما بعد البرد، کما هو ظاهر أوّل المحقّقین </w:t>
      </w:r>
      <w:r>
        <w:rPr>
          <w:rStyle w:val="FootnoteAnchor"/>
          <w:rtl w:val="true"/>
        </w:rPr>
        <w:footnoteReference w:id="179"/>
      </w:r>
      <w:r>
        <w:rPr>
          <w:rFonts w:ascii="IRNazanin" w:hAnsi="IRNazanin" w:eastAsia="IRNazanin"/>
          <w:color w:val="111111"/>
          <w:sz w:val="28"/>
          <w:sz w:val="28"/>
          <w:szCs w:val="28"/>
          <w:rtl w:val="true"/>
          <w:lang w:bidi="fa-IR"/>
        </w:rPr>
        <w:t xml:space="preserve">و صریح ثانیهما </w:t>
      </w:r>
      <w:r>
        <w:rPr>
          <w:rStyle w:val="FootnoteAnchor"/>
          <w:rtl w:val="true"/>
        </w:rPr>
        <w:footnoteReference w:id="180"/>
      </w:r>
      <w:r>
        <w:rPr>
          <w:rFonts w:ascii="IRNazanin" w:hAnsi="IRNazanin" w:eastAsia="IRNazanin"/>
          <w:color w:val="111111"/>
          <w:sz w:val="28"/>
          <w:sz w:val="28"/>
          <w:szCs w:val="28"/>
          <w:rtl w:val="true"/>
          <w:lang w:bidi="fa-IR"/>
        </w:rPr>
        <w:t xml:space="preserve">کأوّل الشهیدین </w:t>
      </w:r>
      <w:r>
        <w:rPr>
          <w:rStyle w:val="FootnoteAnchor"/>
          <w:rtl w:val="true"/>
        </w:rPr>
        <w:footnoteReference w:id="181"/>
      </w:r>
      <w:r>
        <w:rPr>
          <w:rFonts w:ascii="IRNazanin" w:hAnsi="IRNazanin" w:eastAsia="IRNazanin"/>
          <w:color w:val="111111"/>
          <w:sz w:val="28"/>
          <w:sz w:val="28"/>
          <w:szCs w:val="28"/>
          <w:rtl w:val="true"/>
          <w:lang w:bidi="fa-IR"/>
        </w:rPr>
        <w:t xml:space="preserve">و حکی عن ابن سعید </w:t>
      </w:r>
      <w:r>
        <w:rPr>
          <w:rStyle w:val="FootnoteAnchor"/>
          <w:rtl w:val="true"/>
        </w:rPr>
        <w:footnoteReference w:id="182"/>
      </w:r>
      <w:r>
        <w:rPr>
          <w:rFonts w:ascii="IRNazanin" w:hAnsi="IRNazanin" w:eastAsia="IRNazanin"/>
          <w:color w:val="111111"/>
          <w:sz w:val="28"/>
          <w:sz w:val="28"/>
          <w:szCs w:val="28"/>
          <w:rtl w:val="true"/>
          <w:lang w:bidi="fa-IR"/>
        </w:rPr>
        <w:t xml:space="preserve">و المصنّف فی النهایة </w:t>
      </w:r>
      <w:r>
        <w:rPr>
          <w:rStyle w:val="FootnoteAnchor"/>
          <w:rtl w:val="true"/>
        </w:rPr>
        <w:footnoteReference w:id="183"/>
      </w:r>
      <w:r>
        <w:rPr>
          <w:rFonts w:ascii="IRNazanin" w:hAnsi="IRNazanin" w:eastAsia="IRNazanin"/>
          <w:color w:val="111111"/>
          <w:sz w:val="28"/>
          <w:sz w:val="28"/>
          <w:szCs w:val="28"/>
          <w:rtl w:val="true"/>
          <w:lang w:bidi="fa-IR"/>
        </w:rPr>
        <w:t xml:space="preserve">و کاشف الالتباس </w:t>
      </w:r>
      <w:r>
        <w:rPr>
          <w:rStyle w:val="FootnoteAnchor"/>
          <w:rtl w:val="true"/>
        </w:rPr>
        <w:footnoteReference w:id="184"/>
      </w:r>
      <w:r>
        <w:rPr>
          <w:rFonts w:ascii="IRNazanin" w:hAnsi="IRNazanin" w:eastAsia="IRNazanin"/>
          <w:color w:val="111111"/>
          <w:sz w:val="28"/>
          <w:sz w:val="28"/>
          <w:szCs w:val="28"/>
          <w:rtl w:val="true"/>
          <w:lang w:bidi="fa-IR"/>
        </w:rPr>
        <w:t xml:space="preserve">و المیسی </w:t>
      </w:r>
      <w:r>
        <w:rPr>
          <w:rStyle w:val="FootnoteAnchor"/>
          <w:rtl w:val="true"/>
        </w:rPr>
        <w:footnoteReference w:id="185"/>
      </w:r>
      <w:r>
        <w:rPr>
          <w:rFonts w:ascii="IRNazanin" w:hAnsi="IRNazanin" w:eastAsia="IRNazanin"/>
          <w:color w:val="111111"/>
          <w:sz w:val="28"/>
          <w:sz w:val="28"/>
          <w:szCs w:val="28"/>
          <w:rtl w:val="true"/>
          <w:lang w:bidi="fa-IR"/>
        </w:rPr>
        <w:t xml:space="preserve">و الذخیرة </w:t>
      </w:r>
      <w:r>
        <w:rPr>
          <w:rStyle w:val="FootnoteAnchor"/>
          <w:rtl w:val="true"/>
        </w:rPr>
        <w:footnoteReference w:id="18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نجس بمجرّد الموت، کما هو ظاهر المصنّف قدّس سرّه فی القواعد </w:t>
      </w:r>
      <w:r>
        <w:rPr>
          <w:rStyle w:val="FootnoteAnchor"/>
          <w:rtl w:val="true"/>
        </w:rPr>
        <w:footnoteReference w:id="187"/>
      </w:r>
      <w:r>
        <w:rPr>
          <w:rFonts w:ascii="IRNazanin" w:hAnsi="IRNazanin" w:eastAsia="IRNazanin"/>
          <w:color w:val="111111"/>
          <w:sz w:val="28"/>
          <w:sz w:val="28"/>
          <w:szCs w:val="28"/>
          <w:rtl w:val="true"/>
          <w:lang w:bidi="fa-IR"/>
        </w:rPr>
        <w:t xml:space="preserve">و محکیّ التذکرة </w:t>
      </w:r>
      <w:r>
        <w:rPr>
          <w:rStyle w:val="FootnoteAnchor"/>
          <w:rtl w:val="true"/>
        </w:rPr>
        <w:footnoteReference w:id="188"/>
      </w:r>
      <w:r>
        <w:rPr>
          <w:rFonts w:ascii="IRNazanin" w:hAnsi="IRNazanin" w:eastAsia="IRNazanin"/>
          <w:color w:val="111111"/>
          <w:sz w:val="28"/>
          <w:sz w:val="28"/>
          <w:szCs w:val="28"/>
          <w:rtl w:val="true"/>
          <w:lang w:bidi="fa-IR"/>
        </w:rPr>
        <w:t xml:space="preserve">و الشهید الثانی </w:t>
      </w:r>
      <w:r>
        <w:rPr>
          <w:rStyle w:val="FootnoteAnchor"/>
          <w:rtl w:val="true"/>
        </w:rPr>
        <w:footnoteReference w:id="189"/>
      </w:r>
      <w:r>
        <w:rPr>
          <w:rFonts w:ascii="IRNazanin" w:hAnsi="IRNazanin" w:eastAsia="IRNazanin"/>
          <w:color w:val="111111"/>
          <w:sz w:val="28"/>
          <w:sz w:val="28"/>
          <w:szCs w:val="28"/>
          <w:rtl w:val="true"/>
          <w:lang w:bidi="fa-IR"/>
        </w:rPr>
        <w:t xml:space="preserve">و کاشف اللثام </w:t>
      </w:r>
      <w:r>
        <w:rPr>
          <w:rStyle w:val="FootnoteAnchor"/>
          <w:rtl w:val="true"/>
        </w:rPr>
        <w:footnoteReference w:id="190"/>
      </w:r>
      <w:r>
        <w:rPr>
          <w:rFonts w:ascii="IRNazanin" w:hAnsi="IRNazanin" w:eastAsia="IRNazanin"/>
          <w:color w:val="111111"/>
          <w:sz w:val="28"/>
          <w:sz w:val="28"/>
          <w:szCs w:val="28"/>
          <w:rtl w:val="true"/>
          <w:lang w:bidi="fa-IR"/>
        </w:rPr>
        <w:t xml:space="preserve">و صاحب الریاض </w:t>
      </w:r>
      <w:r>
        <w:rPr>
          <w:rStyle w:val="FootnoteAnchor"/>
          <w:rtl w:val="true"/>
        </w:rPr>
        <w:footnoteReference w:id="191"/>
      </w:r>
      <w:r>
        <w:rPr>
          <w:rFonts w:ascii="IRNazanin" w:hAnsi="IRNazanin" w:eastAsia="IRNazanin"/>
          <w:color w:val="111111"/>
          <w:sz w:val="28"/>
          <w:sz w:val="28"/>
          <w:szCs w:val="28"/>
          <w:rtl w:val="true"/>
          <w:lang w:bidi="fa-IR"/>
        </w:rPr>
        <w:t xml:space="preserve">، و حکی عن المبسوط </w:t>
      </w:r>
      <w:r>
        <w:rPr>
          <w:rStyle w:val="FootnoteAnchor"/>
          <w:rtl w:val="true"/>
        </w:rPr>
        <w:footnoteReference w:id="192"/>
      </w:r>
      <w:r>
        <w:rPr>
          <w:rFonts w:ascii="IRNazanin" w:hAnsi="IRNazanin" w:eastAsia="IRNazanin"/>
          <w:color w:val="111111"/>
          <w:sz w:val="28"/>
          <w:sz w:val="28"/>
          <w:szCs w:val="28"/>
          <w:rtl w:val="true"/>
          <w:lang w:bidi="fa-IR"/>
        </w:rPr>
        <w:t xml:space="preserve">و المدارک </w:t>
      </w:r>
      <w:r>
        <w:rPr>
          <w:rStyle w:val="FootnoteAnchor"/>
          <w:rtl w:val="true"/>
        </w:rPr>
        <w:footnoteReference w:id="193"/>
      </w:r>
      <w:r>
        <w:rPr>
          <w:rFonts w:ascii="IRNazanin" w:hAnsi="IRNazanin" w:eastAsia="IRNazanin"/>
          <w:color w:val="111111"/>
          <w:sz w:val="28"/>
          <w:sz w:val="28"/>
          <w:szCs w:val="28"/>
          <w:rtl w:val="true"/>
          <w:lang w:bidi="fa-IR"/>
        </w:rPr>
        <w:t xml:space="preserve">و الکفایة </w:t>
      </w:r>
      <w:r>
        <w:rPr>
          <w:rStyle w:val="FootnoteAnchor"/>
          <w:rtl w:val="true"/>
        </w:rPr>
        <w:footnoteReference w:id="194"/>
      </w:r>
      <w:r>
        <w:rPr>
          <w:rFonts w:ascii="IRNazanin" w:hAnsi="IRNazanin" w:eastAsia="IRNazanin"/>
          <w:color w:val="111111"/>
          <w:sz w:val="28"/>
          <w:sz w:val="28"/>
          <w:szCs w:val="28"/>
          <w:rtl w:val="true"/>
          <w:lang w:bidi="fa-IR"/>
        </w:rPr>
        <w:t xml:space="preserve">، بل نسبه فی الریاض إلی ظاهر الأصحاب </w:t>
      </w:r>
      <w:r>
        <w:rPr>
          <w:rStyle w:val="FootnoteAnchor"/>
          <w:rtl w:val="true"/>
        </w:rPr>
        <w:footnoteReference w:id="195"/>
      </w:r>
      <w:r>
        <w:rPr>
          <w:rFonts w:ascii="IRNazanin" w:hAnsi="IRNazanin" w:eastAsia="IRNazanin"/>
          <w:color w:val="111111"/>
          <w:sz w:val="28"/>
          <w:sz w:val="28"/>
          <w:szCs w:val="28"/>
          <w:rtl w:val="true"/>
          <w:lang w:bidi="fa-IR"/>
        </w:rPr>
        <w:t xml:space="preserve">، و قریب منه فی مفتاح الکرامة </w:t>
      </w:r>
      <w:r>
        <w:rPr>
          <w:rStyle w:val="FootnoteAnchor"/>
          <w:rtl w:val="true"/>
        </w:rPr>
        <w:footnoteReference w:id="19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لأنّ الأصحاب لیس فی کلامهم ما یظهر منه الإطلاق عدا إطلاق فتاواهم أو معاقد إجماعهم، أمّا الفتاوی فهی مختلفة کما عرفت، و أمّا معاقد الإجماع فلا ینفع إطلاقها بعد ذهاب مدّعیها إلی العدم، فإنّ منهم المحقّق و المصنّف و الشهید، و قد عرفت أنّ ظاهرهما کالمحکیّ عن نهایة المصنّف التقیید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التمسّک بإطلاق روایتی الحلبی و الاحتجاج المتقدّمتین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 إطلاق الرضوی المتقدّم </w:t>
      </w:r>
      <w:r>
        <w:rPr>
          <w:rStyle w:val="FootnoteAnchor"/>
          <w:rtl w:val="true"/>
        </w:rPr>
        <w:footnoteReference w:id="198"/>
      </w:r>
      <w:r>
        <w:rPr>
          <w:rFonts w:ascii="IRNazanin" w:hAnsi="IRNazanin" w:eastAsia="IRNazanin"/>
          <w:color w:val="111111"/>
          <w:sz w:val="28"/>
          <w:sz w:val="28"/>
          <w:szCs w:val="28"/>
          <w:rtl w:val="true"/>
          <w:lang w:bidi="fa-IR"/>
        </w:rPr>
        <w:t>، و ما فی ذیل روایة ابن میمون من التفسیر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بعد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199"/>
      </w:r>
      <w:r>
        <w:rPr>
          <w:rFonts w:ascii="IRNazanin" w:hAnsi="IRNazanin" w:eastAsia="IRNazanin"/>
          <w:color w:val="111111"/>
          <w:sz w:val="28"/>
          <w:sz w:val="28"/>
          <w:szCs w:val="28"/>
          <w:rtl w:val="true"/>
          <w:lang w:bidi="fa-IR"/>
        </w:rPr>
        <w:t>لا یصلح لتقیید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یوهن فیه ما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الجزم بالموت مع الحرارة </w:t>
      </w:r>
      <w:r>
        <w:rPr>
          <w:rStyle w:val="FootnoteAnchor"/>
          <w:rtl w:val="true"/>
        </w:rPr>
        <w:footnoteReference w:id="200"/>
      </w:r>
      <w:r>
        <w:rPr>
          <w:rFonts w:ascii="IRNazanin" w:hAnsi="IRNazanin" w:eastAsia="IRNazanin"/>
          <w:color w:val="111111"/>
          <w:sz w:val="28"/>
          <w:sz w:val="28"/>
          <w:szCs w:val="28"/>
          <w:rtl w:val="true"/>
          <w:lang w:bidi="fa-IR"/>
        </w:rPr>
        <w:t>، و لا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لم ینقطع عنه تعلّق الروح بالکلّیة؛ لضعف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المفروض تحقّق موته لغةً و عرفاً؛ و لذا لم یقل أحد کما فی الروض بعدم جواز دفنه قبل البرد </w:t>
      </w:r>
      <w:r>
        <w:rPr>
          <w:rStyle w:val="FootnoteAnchor"/>
          <w:rtl w:val="true"/>
        </w:rPr>
        <w:footnoteReference w:id="201"/>
      </w:r>
      <w:r>
        <w:rPr>
          <w:rFonts w:ascii="IRNazanin" w:hAnsi="IRNazanin" w:eastAsia="IRNazanin"/>
          <w:color w:val="111111"/>
          <w:sz w:val="28"/>
          <w:sz w:val="28"/>
          <w:szCs w:val="28"/>
          <w:rtl w:val="true"/>
          <w:lang w:bidi="fa-IR"/>
        </w:rPr>
        <w:t>،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منوط بالموت، لا انقطاع تعلّق الروح بالکلّیة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میتة غیر الآدمی، فهی أیضاً نجسة بإجماع علمائنا علی الظاهر المصرَّح به فی محکیّ کثیرٍ من العبائر، کظاهر الطبریّات </w:t>
      </w:r>
      <w:r>
        <w:rPr>
          <w:rStyle w:val="FootnoteAnchor"/>
          <w:rtl w:val="true"/>
        </w:rPr>
        <w:footnoteReference w:id="202"/>
      </w:r>
      <w:r>
        <w:rPr>
          <w:rFonts w:ascii="IRNazanin" w:hAnsi="IRNazanin" w:eastAsia="IRNazanin"/>
          <w:color w:val="111111"/>
          <w:sz w:val="28"/>
          <w:sz w:val="28"/>
          <w:szCs w:val="28"/>
          <w:rtl w:val="true"/>
          <w:lang w:bidi="fa-IR"/>
        </w:rPr>
        <w:t xml:space="preserve">و صریح الغنیة </w:t>
      </w:r>
      <w:r>
        <w:rPr>
          <w:rStyle w:val="FootnoteAnchor"/>
          <w:rtl w:val="true"/>
        </w:rPr>
        <w:footnoteReference w:id="203"/>
      </w:r>
      <w:r>
        <w:rPr>
          <w:rFonts w:ascii="IRNazanin" w:hAnsi="IRNazanin" w:eastAsia="IRNazanin"/>
          <w:color w:val="111111"/>
          <w:sz w:val="28"/>
          <w:sz w:val="28"/>
          <w:szCs w:val="28"/>
          <w:rtl w:val="true"/>
          <w:lang w:bidi="fa-IR"/>
        </w:rPr>
        <w:t xml:space="preserve">و المعتبر </w:t>
      </w:r>
      <w:r>
        <w:rPr>
          <w:rStyle w:val="FootnoteAnchor"/>
          <w:rtl w:val="true"/>
        </w:rPr>
        <w:footnoteReference w:id="204"/>
      </w:r>
      <w:r>
        <w:rPr>
          <w:rFonts w:ascii="IRNazanin" w:hAnsi="IRNazanin" w:eastAsia="IRNazanin"/>
          <w:color w:val="111111"/>
          <w:sz w:val="28"/>
          <w:sz w:val="28"/>
          <w:szCs w:val="28"/>
          <w:rtl w:val="true"/>
          <w:lang w:bidi="fa-IR"/>
        </w:rPr>
        <w:t xml:space="preserve">و المنتهی </w:t>
      </w:r>
      <w:r>
        <w:rPr>
          <w:rStyle w:val="FootnoteAnchor"/>
          <w:rtl w:val="true"/>
        </w:rPr>
        <w:footnoteReference w:id="205"/>
      </w:r>
      <w:r>
        <w:rPr>
          <w:rFonts w:ascii="IRNazanin" w:hAnsi="IRNazanin" w:eastAsia="IRNazanin"/>
          <w:color w:val="111111"/>
          <w:sz w:val="28"/>
          <w:sz w:val="28"/>
          <w:szCs w:val="28"/>
          <w:rtl w:val="true"/>
          <w:lang w:bidi="fa-IR"/>
        </w:rPr>
        <w:t xml:space="preserve">و التذکرة </w:t>
      </w:r>
      <w:r>
        <w:rPr>
          <w:rStyle w:val="FootnoteAnchor"/>
          <w:rtl w:val="true"/>
        </w:rPr>
        <w:footnoteReference w:id="206"/>
      </w:r>
      <w:r>
        <w:rPr>
          <w:rFonts w:ascii="IRNazanin" w:hAnsi="IRNazanin" w:eastAsia="IRNazanin"/>
          <w:color w:val="111111"/>
          <w:sz w:val="28"/>
          <w:sz w:val="28"/>
          <w:szCs w:val="28"/>
          <w:rtl w:val="true"/>
          <w:lang w:bidi="fa-IR"/>
        </w:rPr>
        <w:t xml:space="preserve">و الذکری </w:t>
      </w:r>
      <w:r>
        <w:rPr>
          <w:rStyle w:val="FootnoteAnchor"/>
          <w:rtl w:val="true"/>
        </w:rPr>
        <w:footnoteReference w:id="207"/>
      </w:r>
      <w:r>
        <w:rPr>
          <w:rFonts w:ascii="IRNazanin" w:hAnsi="IRNazanin" w:eastAsia="IRNazanin"/>
          <w:color w:val="111111"/>
          <w:sz w:val="28"/>
          <w:sz w:val="28"/>
          <w:szCs w:val="28"/>
          <w:rtl w:val="true"/>
          <w:lang w:bidi="fa-IR"/>
        </w:rPr>
        <w:t xml:space="preserve">و کشف الالتباس </w:t>
      </w:r>
      <w:r>
        <w:rPr>
          <w:rStyle w:val="FootnoteAnchor"/>
          <w:rtl w:val="true"/>
        </w:rPr>
        <w:footnoteReference w:id="208"/>
      </w:r>
      <w:r>
        <w:rPr>
          <w:rFonts w:ascii="IRNazanin" w:hAnsi="IRNazanin" w:eastAsia="IRNazanin"/>
          <w:color w:val="111111"/>
          <w:sz w:val="28"/>
          <w:sz w:val="28"/>
          <w:szCs w:val="28"/>
          <w:rtl w:val="true"/>
          <w:lang w:bidi="fa-IR"/>
        </w:rPr>
        <w:t xml:space="preserve">و الروض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210"/>
      </w:r>
      <w:r>
        <w:rPr>
          <w:rFonts w:ascii="IRNazanin" w:hAnsi="IRNazanin" w:eastAsia="IRNazanin"/>
          <w:color w:val="111111"/>
          <w:sz w:val="28"/>
          <w:sz w:val="28"/>
          <w:szCs w:val="28"/>
          <w:rtl w:val="true"/>
          <w:lang w:bidi="fa-IR"/>
        </w:rPr>
        <w:t xml:space="preserve">و الدلائل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الأصل فی ذلک الکتاب و السنّة، قال اللّٰه تبارک و تعالی إِلّٰا أَنْ یَکُونَ مَیْتَةً أَوْ دَماً مَسْفُوحاً أَوْ لَحْمَ خِنزِیرٍ فَإِنَّهُ رِجْسٌ </w:t>
      </w:r>
      <w:r>
        <w:rPr>
          <w:rStyle w:val="FootnoteAnchor"/>
          <w:rtl w:val="true"/>
        </w:rPr>
        <w:footnoteReference w:id="212"/>
      </w:r>
      <w:r>
        <w:rPr>
          <w:rFonts w:ascii="IRNazanin" w:hAnsi="IRNazanin" w:eastAsia="IRNazanin"/>
          <w:color w:val="111111"/>
          <w:sz w:val="28"/>
          <w:sz w:val="28"/>
          <w:szCs w:val="28"/>
          <w:rtl w:val="true"/>
          <w:lang w:bidi="fa-IR"/>
        </w:rPr>
        <w:t>بناءً علی عود الضمیر إلی کلّ واحدٍ من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المیتة نجسة و لو دبغت</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عمّار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الخنفساء و الذباب و الجراد و النملة و ما أشبه ذلک یموت فی البئر و الزیت و السمن و شبهه؟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لیس له دم فلا بأس</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ابن مسکان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یقع فی البئر لیس له دم مثل العقرب و الخنافس و أشباه ذلک فلا بأس</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ظاهرهما سیّما الثانیة تنویع المیتة علی قسمین مختلفین فی الحکم، لا مجرّد بیان ضابطة کلّیة فی طرف المنطوق فقط، نظیر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فهما مسوقان سیاق قوله علیه السلام فی موثّقة غیاث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یفسد الماء إلّا ما کان له نفس سائلة</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الأخبار المتفرّقة فی مسائل الماء المتغیّر و البئر و الماء القلیل و غیر ذلک، ففی روایة القمّاط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یمرّ بالماء النقیع فیه المیتة و الجیفة؟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قد تغیّر ریحه أو طعمه فلا تشرب منه و لا تتوضأ</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و نحوها ما ورد فی نجاسة الماء المتغیّر بالجیفة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یونس بن یعقوب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العقرب تخرج من الماء میتة؟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 منها عشر 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فغیرها من الجِیَف؟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الجِیَف کلّها سواء إلّا جیفة قد أُجیفت، فإن کان </w:t>
      </w:r>
      <w:r>
        <w:rPr>
          <w:rStyle w:val="FootnoteAnchor"/>
          <w:rtl w:val="true"/>
        </w:rPr>
        <w:footnoteReference w:id="220"/>
      </w:r>
      <w:r>
        <w:rPr>
          <w:rFonts w:ascii="IRNazanin" w:hAnsi="IRNazanin" w:eastAsia="IRNazanin"/>
          <w:color w:val="111111"/>
          <w:sz w:val="28"/>
          <w:sz w:val="28"/>
          <w:szCs w:val="28"/>
          <w:rtl w:val="true"/>
          <w:lang w:bidi="fa-IR"/>
        </w:rPr>
        <w:t>جیفة قد أُجیفت فاستق منها مائة دلو، فإن غلب علیها الریح بعد مائة دلو فانزحها کلّها</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دلّت علی وجوب نزح الکلّ لکلّ جیفة تغیّر بها ماء البئر، إلی غیر ذلک ممّا تقف علیها فی مسألة البئر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طهارة عشرة أشیاء من المیتة </w:t>
      </w:r>
      <w:r>
        <w:rPr>
          <w:rStyle w:val="FootnoteAnchor"/>
          <w:rtl w:val="true"/>
        </w:rPr>
        <w:footnoteReference w:id="223"/>
      </w:r>
      <w:r>
        <w:rPr>
          <w:rFonts w:ascii="Amiri" w:hAnsi="Amiri" w:eastAsia="Amiri" w:cs="Amiri"/>
          <w:color w:val="111111"/>
          <w:sz w:val="28"/>
          <w:sz w:val="28"/>
          <w:szCs w:val="28"/>
          <w:rtl w:val="true"/>
          <w:lang w:bidi="ar-SA"/>
        </w:rPr>
        <w:t>فإنّ ظاهره نجاسة ما عداها من الأجزاء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ما ورد من المستفیضة فی القِطَع المبانة من الحیّ معلّلًا بأنّها میتة </w:t>
      </w:r>
      <w:r>
        <w:rPr>
          <w:rStyle w:val="FootnoteAnchor"/>
          <w:rtl w:val="true"/>
        </w:rPr>
        <w:footnoteReference w:id="224"/>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هذه الأخبار کمعاقد الإجماع شمول الحکم للمیّت من الحیوان المائی، بل 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میتة ذی النفس من المائی نجسة عندنا </w:t>
      </w:r>
      <w:r>
        <w:rPr>
          <w:rStyle w:val="FootnoteAnchor"/>
          <w:rtl w:val="true"/>
        </w:rPr>
        <w:footnoteReference w:id="225"/>
      </w:r>
      <w:r>
        <w:rPr>
          <w:rFonts w:ascii="IRNazanin" w:hAnsi="IRNazanin" w:eastAsia="IRNazanin"/>
          <w:color w:val="111111"/>
          <w:sz w:val="28"/>
          <w:sz w:val="28"/>
          <w:szCs w:val="28"/>
          <w:rtl w:val="true"/>
          <w:lang w:bidi="fa-IR"/>
        </w:rPr>
        <w:t>، فما یحکی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بطهارتها </w:t>
      </w:r>
      <w:r>
        <w:rPr>
          <w:rStyle w:val="FootnoteAnchor"/>
          <w:rtl w:val="true"/>
        </w:rPr>
        <w:footnoteReference w:id="226"/>
      </w:r>
      <w:r>
        <w:rPr>
          <w:rFonts w:ascii="IRNazanin" w:hAnsi="IRNazanin" w:eastAsia="IRNazanin"/>
          <w:color w:val="111111"/>
          <w:sz w:val="28"/>
          <w:sz w:val="28"/>
          <w:szCs w:val="28"/>
          <w:rtl w:val="true"/>
          <w:lang w:bidi="fa-IR"/>
        </w:rPr>
        <w:t>،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التأمّل فی أصل المسألة و حکایة الطهارة عن الصدوق؛ نظراً إلی ذکره روایة ظاهرة فی الخلاف، و ضمانه فی أوّل کتابه صحّة جمیع ما یورده و أنّه حجة بینه و بین ربّه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أنت تعلم أنّ التتبّع فی روایات الفقیه یشهد برجوعه عمّا التزم به فی أوّل کتابه، کما حکی عن المجلسی فی شرح الفقیه </w:t>
      </w:r>
      <w:r>
        <w:rPr>
          <w:rStyle w:val="FootnoteAnchor"/>
          <w:rtl w:val="true"/>
        </w:rPr>
        <w:footnoteReference w:id="228"/>
      </w:r>
      <w:r>
        <w:rPr>
          <w:rFonts w:ascii="IRNazanin" w:hAnsi="IRNazanin" w:eastAsia="IRNazanin"/>
          <w:color w:val="111111"/>
          <w:sz w:val="28"/>
          <w:sz w:val="28"/>
          <w:szCs w:val="28"/>
          <w:rtl w:val="true"/>
          <w:lang w:bidi="fa-IR"/>
        </w:rPr>
        <w:t xml:space="preserve">، و عن بعضٍ دعوی عدم الشکّ فی ذلک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إمکان حمل المیتة فی الروایة علی میتة ما لا نفس له، فقد جرت عادة الأعراب بوضع السمن و الزیت فی جلود بعض هذه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بأس أن یتوضأ بالماء إذا کان فی زقّ المیتة </w:t>
      </w:r>
      <w:r>
        <w:rPr>
          <w:rStyle w:val="FootnoteAnchor"/>
          <w:rtl w:val="true"/>
        </w:rPr>
        <w:footnoteReference w:id="230"/>
      </w:r>
      <w:r>
        <w:rPr>
          <w:rFonts w:ascii="IRNazanin" w:hAnsi="IRNazanin" w:eastAsia="IRNazanin"/>
          <w:color w:val="111111"/>
          <w:sz w:val="28"/>
          <w:sz w:val="28"/>
          <w:szCs w:val="28"/>
          <w:rtl w:val="true"/>
          <w:lang w:bidi="fa-IR"/>
        </w:rPr>
        <w:t xml:space="preserve">، لکنّه لو لم یؤوّل کالروایة شاذٌّ جدّاً، یکفی فی ضعفه استفاضة دعوی الإجماع بل تواترها کالأخبار، بل دعوی ضرورة المذهب کما عن شرح المفاتیح </w:t>
      </w:r>
      <w:r>
        <w:rPr>
          <w:rStyle w:val="FootnoteAnchor"/>
          <w:rtl w:val="true"/>
        </w:rPr>
        <w:footnoteReference w:id="231"/>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بطلان قول ابن الجنید </w:t>
      </w:r>
      <w:r>
        <w:rPr>
          <w:rStyle w:val="FootnoteAnchor"/>
          <w:rtl w:val="true"/>
        </w:rPr>
        <w:footnoteReference w:id="232"/>
      </w:r>
      <w:r>
        <w:rPr>
          <w:rFonts w:ascii="IRNazanin" w:hAnsi="IRNazanin" w:eastAsia="IRNazanin"/>
          <w:color w:val="111111"/>
          <w:sz w:val="28"/>
          <w:sz w:val="28"/>
          <w:szCs w:val="28"/>
          <w:rtl w:val="true"/>
          <w:lang w:bidi="fa-IR"/>
        </w:rPr>
        <w:t>بطهارة جلد المیتة بالدبغ؛ لظاهر بعض الأخبار المصروفة عن ظاهرها و فراراً عن الطرح المرغوب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ما عن المحدّث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میله إلی ذلک المذهب معلّلًا بأنّ عدم جواز الانتفاع کما فی الأخبار لا یدلّ علی النجاسة مع ورود بعض الأخبار بجوازه فی الجملة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لا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أنّ فی حکم المیتة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أجزاءها، سواء أُبینت من حیٍّ أو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المنفصلة عنها بعد الموت عدا المستثنیات الآتیة فهو واضح؛ إذ دعوی اعتبار الانضمام فی نجاستها ممّا یقطع العوام بفسادها، فضلًا عن الخبیر بالفتاوی و النصوص، فلا یعلم وجهٌ لتردّد صاحب المدارک لولا الإجماع و فهم حصر الدلیل فی الاستصحاب </w:t>
      </w:r>
      <w:r>
        <w:rPr>
          <w:rStyle w:val="FootnoteAnchor"/>
          <w:rtl w:val="true"/>
        </w:rPr>
        <w:footnoteReference w:id="234"/>
      </w:r>
      <w:r>
        <w:rPr>
          <w:rFonts w:ascii="IRNazanin" w:hAnsi="IRNazanin" w:eastAsia="IRNazanin"/>
          <w:color w:val="111111"/>
          <w:sz w:val="28"/>
          <w:sz w:val="28"/>
          <w:szCs w:val="28"/>
          <w:rtl w:val="true"/>
          <w:lang w:bidi="fa-IR"/>
        </w:rPr>
        <w:t xml:space="preserve">، مع أنّه حکم بنجاسة أجزاء الکلب المنفصلة بنفس أدلّة نجاسة الکلب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الأجزاء المبانة من الحیّ، فالظاهر أیضاً عدم الخلاف فی کونها میتة أو بحکم المیتة، کما استظهره فی الحدائق </w:t>
      </w:r>
      <w:r>
        <w:rPr>
          <w:rStyle w:val="FootnoteAnchor"/>
          <w:rtl w:val="true"/>
        </w:rPr>
        <w:footnoteReference w:id="236"/>
      </w:r>
      <w:r>
        <w:rPr>
          <w:rFonts w:ascii="IRNazanin" w:hAnsi="IRNazanin" w:eastAsia="IRNazanin"/>
          <w:color w:val="111111"/>
          <w:sz w:val="28"/>
          <w:sz w:val="28"/>
          <w:szCs w:val="28"/>
          <w:rtl w:val="true"/>
          <w:lang w:bidi="fa-IR"/>
        </w:rPr>
        <w:t xml:space="preserve">و حکی عن المعالم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اتّفاق الفقهاء و إن الظاهر کونه إجماعاً و أنّ علیه عمل</w:t>
      </w:r>
    </w:p>
    <w:p>
      <w:pPr>
        <w:pStyle w:val="BookText"/>
        <w:rPr/>
      </w:pPr>
      <w:r>
        <w:rPr>
          <w:rFonts w:ascii="IRNazanin" w:hAnsi="IRNazanin" w:eastAsia="IRNazanin"/>
          <w:color w:val="111111"/>
          <w:sz w:val="28"/>
          <w:sz w:val="28"/>
          <w:szCs w:val="28"/>
          <w:rtl w:val="true"/>
          <w:lang w:bidi="fa-IR"/>
        </w:rPr>
        <w:t xml:space="preserve">الشیعة فی الأعصار </w:t>
      </w:r>
      <w:r>
        <w:rPr>
          <w:rStyle w:val="FootnoteAnchor"/>
          <w:rtl w:val="true"/>
        </w:rPr>
        <w:footnoteReference w:id="238"/>
      </w:r>
      <w:r>
        <w:rPr>
          <w:rFonts w:ascii="IRNazanin" w:hAnsi="IRNazanin" w:eastAsia="IRNazanin"/>
          <w:color w:val="111111"/>
          <w:sz w:val="28"/>
          <w:sz w:val="28"/>
          <w:szCs w:val="28"/>
          <w:rtl w:val="true"/>
          <w:lang w:bidi="fa-IR"/>
        </w:rPr>
        <w:t>، سواء کان من الآدمی أم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مقطوع به بین الأصحاب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کأنّها إجماعیّة،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الإجماع لم نقل بها؛ لضعف الأدلّة </w:t>
      </w:r>
      <w:r>
        <w:rPr>
          <w:rStyle w:val="FootnoteAnchor"/>
          <w:rtl w:val="true"/>
        </w:rPr>
        <w:footnoteReference w:id="240"/>
      </w:r>
      <w:r>
        <w:rPr>
          <w:rFonts w:ascii="IRNazanin" w:hAnsi="IRNazanin" w:eastAsia="IRNazanin"/>
          <w:color w:val="111111"/>
          <w:sz w:val="28"/>
          <w:sz w:val="28"/>
          <w:szCs w:val="28"/>
          <w:rtl w:val="true"/>
          <w:lang w:bidi="fa-IR"/>
        </w:rPr>
        <w:t xml:space="preserve">، و تبع فی ذلک شیخه فی المدارک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کل ما أُبین من الحیّ ممّا تحلّه الحیاة فهو میّت، فإن کان من آدمیٍّ فهو نجس عندنا خلافاً للشافعی </w:t>
      </w:r>
      <w:r>
        <w:rPr>
          <w:rStyle w:val="FootnoteAnchor"/>
          <w:rtl w:val="true"/>
        </w:rPr>
        <w:footnoteReference w:id="24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فی غیر الآدمی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باب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قطعت الحبالة فهو میّت </w:t>
      </w:r>
      <w:r>
        <w:rPr>
          <w:rStyle w:val="FootnoteAnchor"/>
          <w:rtl w:val="true"/>
        </w:rPr>
        <w:footnoteReference w:id="243"/>
      </w:r>
      <w:r>
        <w:rPr>
          <w:rFonts w:ascii="IRNazanin" w:hAnsi="IRNazanin" w:eastAsia="IRNazanin"/>
          <w:color w:val="111111"/>
          <w:sz w:val="28"/>
          <w:sz w:val="28"/>
          <w:szCs w:val="28"/>
          <w:rtl w:val="true"/>
          <w:lang w:bidi="fa-IR"/>
        </w:rPr>
        <w:t xml:space="preserve">، و ما ورد فی باب الأطعمة فی ألیات الغنم المبانة منها فی حال الحیاة و أنّها میتة </w:t>
      </w:r>
      <w:r>
        <w:rPr>
          <w:rStyle w:val="FootnoteAnchor"/>
          <w:rtl w:val="true"/>
        </w:rPr>
        <w:footnoteReference w:id="244"/>
      </w:r>
      <w:r>
        <w:rPr>
          <w:rFonts w:ascii="IRNazanin" w:hAnsi="IRNazanin" w:eastAsia="IRNazanin"/>
          <w:color w:val="111111"/>
          <w:sz w:val="28"/>
          <w:sz w:val="28"/>
          <w:szCs w:val="28"/>
          <w:rtl w:val="true"/>
          <w:lang w:bidi="fa-IR"/>
        </w:rPr>
        <w:t>لا یجوز الاستصباح بها، و فی بعضها تعلیل منع الاستصباح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یصیب الید و الثوب و هو حرام </w:t>
      </w:r>
      <w:r>
        <w:rPr>
          <w:rStyle w:val="FootnoteAnchor"/>
          <w:rtl w:val="true"/>
        </w:rPr>
        <w:footnoteReference w:id="245"/>
      </w:r>
      <w:r>
        <w:rPr>
          <w:rFonts w:ascii="IRNazanin" w:hAnsi="IRNazanin" w:eastAsia="IRNazanin"/>
          <w:color w:val="111111"/>
          <w:sz w:val="28"/>
          <w:sz w:val="28"/>
          <w:szCs w:val="28"/>
          <w:rtl w:val="true"/>
          <w:lang w:bidi="fa-IR"/>
        </w:rPr>
        <w:t>، و الظاهر الإشارة بذلک إلی نجاستها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مفهوم التعلیل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الصوف لیس فیه روح</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أیّوب بن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قطع من الرجل قطعة فهی میتة، فإذا مسّها إنسان فکلّ ما کان فیه عظم فقد وجب علی من مسّه</w:t>
      </w:r>
    </w:p>
    <w:p>
      <w:pPr>
        <w:pStyle w:val="BookText"/>
        <w:rPr/>
      </w:pPr>
      <w:r>
        <w:rPr>
          <w:rFonts w:ascii="IRNazanin" w:hAnsi="IRNazanin" w:eastAsia="IRNazanin"/>
          <w:color w:val="111111"/>
          <w:sz w:val="28"/>
          <w:sz w:val="28"/>
          <w:szCs w:val="28"/>
          <w:rtl w:val="true"/>
          <w:lang w:bidi="fa-IR"/>
        </w:rPr>
        <w:t>الغسل، فإن لم یکن فیه عظم فلا غسل علیها</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لشمولها للمبانة من الحیّ و المیّت، بل لا یبعد دعوی اختصاصه </w:t>
      </w:r>
      <w:r>
        <w:rPr>
          <w:rStyle w:val="FootnoteAnchor"/>
          <w:rtl w:val="true"/>
        </w:rPr>
        <w:footnoteReference w:id="248"/>
      </w:r>
      <w:r>
        <w:rPr>
          <w:rFonts w:ascii="IRNazanin" w:hAnsi="IRNazanin" w:eastAsia="IRNazanin"/>
          <w:color w:val="111111"/>
          <w:sz w:val="28"/>
          <w:sz w:val="28"/>
          <w:szCs w:val="28"/>
          <w:rtl w:val="true"/>
          <w:lang w:bidi="fa-IR"/>
        </w:rPr>
        <w:t xml:space="preserve">بالمبانة من الحی کما اعترف به بعض </w:t>
      </w:r>
      <w:r>
        <w:rPr>
          <w:rStyle w:val="FootnoteAnchor"/>
          <w:rtl w:val="true"/>
        </w:rPr>
        <w:footnoteReference w:id="249"/>
      </w:r>
      <w:r>
        <w:rPr>
          <w:rFonts w:ascii="IRNazanin" w:hAnsi="IRNazanin" w:eastAsia="IRNazanin"/>
          <w:color w:val="111111"/>
          <w:sz w:val="28"/>
          <w:sz w:val="28"/>
          <w:szCs w:val="28"/>
          <w:rtl w:val="true"/>
          <w:lang w:bidi="fa-IR"/>
        </w:rPr>
        <w:t xml:space="preserve">فمن العجب بعد ذلک تأمّل صاحب </w:t>
      </w:r>
      <w:r>
        <w:rPr>
          <w:rStyle w:val="FootnoteAnchor"/>
          <w:rtl w:val="true"/>
        </w:rPr>
        <w:footnoteReference w:id="250"/>
      </w:r>
      <w:r>
        <w:rPr>
          <w:rFonts w:ascii="IRNazanin" w:hAnsi="IRNazanin" w:eastAsia="IRNazanin"/>
          <w:color w:val="111111"/>
          <w:sz w:val="28"/>
          <w:sz w:val="28"/>
          <w:szCs w:val="28"/>
          <w:rtl w:val="true"/>
          <w:lang w:bidi="fa-IR"/>
        </w:rPr>
        <w:t xml:space="preserve">المدارک </w:t>
      </w:r>
      <w:r>
        <w:rPr>
          <w:rStyle w:val="FootnoteAnchor"/>
          <w:rtl w:val="true"/>
        </w:rPr>
        <w:footnoteReference w:id="251"/>
      </w:r>
      <w:r>
        <w:rPr>
          <w:rFonts w:ascii="IRNazanin" w:hAnsi="IRNazanin" w:eastAsia="IRNazanin"/>
          <w:color w:val="111111"/>
          <w:sz w:val="28"/>
          <w:sz w:val="28"/>
          <w:szCs w:val="28"/>
          <w:rtl w:val="true"/>
          <w:lang w:bidi="fa-IR"/>
        </w:rPr>
        <w:t xml:space="preserve">و الذخیرة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الإغماض عن الأخبار المذکورة و الاستناد فی هذا الحکم إلی تحقّق الموت فی العضو المبان ضعیف جدّاً؛ لأنّ الموت و الحیاة من صفات نفس الحیوان فلا یتّصف بهما أجزاؤه إلّا تبعاً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إطلاق المرسلة بین ما خرج عنه الروح بالقطع و بین ما خرج عنه قبله، و دعوی انصراف الإطلاق إلی الأوّل ممنوعة، إلّا أنّ ما خرج عنه الروح لا دلیل علی نجاسته مع کونه جزءً من الإنسان، و قد عرفت أنّه لا یصدق علیه المیتة؛ لأنّ الموت لا یتّصف به حقیقةً إلّا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جعل الشارع الأجزاء المبانة من الحیّ بمنزلة المیتة فلا دلیل علی التنزیل قبل الإبانة، مضافاً إلی روایة علی بن جعفر الآتیة </w:t>
      </w:r>
      <w:r>
        <w:rPr>
          <w:rStyle w:val="FootnoteAnchor"/>
          <w:rtl w:val="true"/>
        </w:rPr>
        <w:footnoteReference w:id="253"/>
      </w:r>
      <w:r>
        <w:rPr>
          <w:rFonts w:ascii="IRNazanin" w:hAnsi="IRNazanin" w:eastAsia="IRNazanin"/>
          <w:color w:val="111111"/>
          <w:sz w:val="28"/>
          <w:sz w:val="28"/>
          <w:szCs w:val="28"/>
          <w:rtl w:val="true"/>
          <w:lang w:bidi="fa-IR"/>
        </w:rPr>
        <w:t>الشاملة لصورة موت الثالول أو یعمّ الجرح أو بعضها متّصلًا بالبدن، مع أنّه نقل الإجماع علی طهارتها حال الاتّصال شارح الوسائل و نفی الریب فی بطلان القول</w:t>
      </w:r>
    </w:p>
    <w:p>
      <w:pPr>
        <w:pStyle w:val="BookText"/>
        <w:rPr/>
      </w:pPr>
      <w:r>
        <w:rPr>
          <w:rFonts w:ascii="IRNazanin" w:hAnsi="IRNazanin" w:eastAsia="IRNazanin"/>
          <w:color w:val="111111"/>
          <w:sz w:val="28"/>
          <w:sz w:val="28"/>
          <w:szCs w:val="28"/>
          <w:rtl w:val="true"/>
          <w:lang w:bidi="fa-IR"/>
        </w:rPr>
        <w:t xml:space="preserve">بنجاستها عن المعالم </w:t>
      </w:r>
      <w:r>
        <w:rPr>
          <w:rStyle w:val="FootnoteAnchor"/>
          <w:rtl w:val="true"/>
        </w:rPr>
        <w:footnoteReference w:id="254"/>
      </w:r>
      <w:r>
        <w:rPr>
          <w:rFonts w:ascii="IRNazanin" w:hAnsi="IRNazanin" w:eastAsia="IRNazanin"/>
          <w:color w:val="111111"/>
          <w:sz w:val="28"/>
          <w:sz w:val="28"/>
          <w:szCs w:val="28"/>
          <w:rtl w:val="true"/>
          <w:lang w:bidi="fa-IR"/>
        </w:rPr>
        <w:t>، و فی 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الضرورة علی عدم التزام الناس بقطعها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فظهر ممّا ذکرنا ضعف التردّد فی الأجزاء الکبیرة التی تعرّض لها الموت حال الاتّصال، کما عن شارح الدروس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اتّصالها ضعیفاً بحیث یعدّ منفصلًا عرفاً فلا یبعد الحکم بنجاستها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من الروایة بحکم التبادر اختصاص الحکم بما یعدّ جزءاً من بشرة الإنسان، فما یعدّ عرفاً کالخارج الأجنبی مثل القشور، فحکمها حکم الشعر و الظفر، لا یحکم بنجاستها بعد الانفصال، تمسّکاً بأصالة طهارتها الثابتة قبل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الأجزاء الصغار من اللحم کالثالول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فمقتضی الروایة الحکم بنجاستها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انصراف القطعة إلی غیر الأجزاء الصغار، ناشئة عن الخلط بین التشکیک الابتدائی کانصراف الماء إلی الصافی، و بین التشکیک المستقرّ کانصراف الدرهم و الدینار إلی الرائج؛ و لذا تمسّک بعض کالمصنّف فی المنتهی علی عدم نجاستها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بلزوم الحرج لولاه، فإنّه اعترف بعموم أدلّة النجاسة و قیام المقتضی لها لولا دلیل العفو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یضاف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بروایة علی بن جعفر عن أخیه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یکون به الثالول و الجراح، هل یصلح له أن یقطع</w:t>
      </w:r>
    </w:p>
    <w:p>
      <w:pPr>
        <w:pStyle w:val="BookText"/>
        <w:rPr/>
      </w:pPr>
      <w:r>
        <w:rPr>
          <w:rFonts w:ascii="IRNazanin" w:hAnsi="IRNazanin" w:eastAsia="IRNazanin"/>
          <w:color w:val="111111"/>
          <w:sz w:val="28"/>
          <w:sz w:val="28"/>
          <w:szCs w:val="28"/>
          <w:rtl w:val="true"/>
          <w:lang w:bidi="fa-IR"/>
        </w:rPr>
        <w:t>الثالول و هو فی صلاته أو ینتف بعض لحمه من ذلک الجرح و یطرحه؟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یتخوّف أن یسیل الدم فلا بأس، و إن تخوّف أن یسیل الدم فلا یفعلها</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دلالتها نظرٌ؛ من حیث إنّ قطع الثالول أو نتف اللحم لا یستلزم حمله آناً ما فی الصلاة و لا مسّه برطوبة حتی یجب علی تقدیر النجاسة تقیید الإمام علیه السلام له بصورة عدم لزوم حمل الجزء أو مسّه بالرطوبة، فالحکم بنفی البأس مبنیٌّ علی رفع توهّم کونه فعلًا کثیراً منافیاً، کما یشهد به سیاق الأسئلة التی ذکر هذا السؤال فی جملتها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الإنصاف بقرینة اشتراط عدم خوف سیلان الدم الذی لا دخل له بالفعل الکثیر یقضی أنّ الإمام علیه السلام فی مقام الترخیص الفعلی من جمیع الجهات، فکان ینبغی تقییده علی تقدیر نجاسة المقطوع بصورة عدم الحمل أو المسّ برطوبة، مع غلبة عدم انفکاک القطع عن أحدهما، فالاستدلال به حسن کما عن نهایة الإحکام </w:t>
      </w:r>
      <w:r>
        <w:rPr>
          <w:rStyle w:val="FootnoteAnchor"/>
          <w:rtl w:val="true"/>
        </w:rPr>
        <w:footnoteReference w:id="259"/>
      </w:r>
      <w:r>
        <w:rPr>
          <w:rFonts w:ascii="IRNazanin" w:hAnsi="IRNazanin" w:eastAsia="IRNazanin"/>
          <w:color w:val="111111"/>
          <w:sz w:val="28"/>
          <w:sz w:val="28"/>
          <w:szCs w:val="28"/>
          <w:rtl w:val="true"/>
          <w:lang w:bidi="fa-IR"/>
        </w:rPr>
        <w:t xml:space="preserve">و المعالم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عدم وجدان قائل بالنجاسة عدا ما عن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المیل إلی القول بالنجاسة </w:t>
      </w:r>
      <w:r>
        <w:rPr>
          <w:rStyle w:val="FootnoteAnchor"/>
          <w:rtl w:val="true"/>
        </w:rPr>
        <w:footnoteReference w:id="261"/>
      </w:r>
      <w:r>
        <w:rPr>
          <w:rFonts w:ascii="IRNazanin" w:hAnsi="IRNazanin" w:eastAsia="IRNazanin"/>
          <w:color w:val="111111"/>
          <w:sz w:val="28"/>
          <w:sz w:val="28"/>
          <w:szCs w:val="28"/>
          <w:rtl w:val="true"/>
          <w:lang w:bidi="fa-IR"/>
        </w:rPr>
        <w:t xml:space="preserve">، لکنّه ضعیف مخالف للمشهور بین المتأخّرین المصرّح به فی المنتهی </w:t>
      </w:r>
      <w:r>
        <w:rPr>
          <w:rStyle w:val="FootnoteAnchor"/>
          <w:rtl w:val="true"/>
        </w:rPr>
        <w:footnoteReference w:id="262"/>
      </w: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 xml:space="preserve">الفائدة </w:t>
      </w:r>
      <w:r>
        <w:rPr>
          <w:rStyle w:val="FootnoteAnchor"/>
          <w:rtl w:val="true"/>
        </w:rPr>
        <w:footnoteReference w:id="263"/>
      </w:r>
      <w:r>
        <w:rPr>
          <w:rFonts w:ascii="IRNazanin" w:hAnsi="IRNazanin" w:eastAsia="IRNazanin"/>
          <w:color w:val="111111"/>
          <w:sz w:val="28"/>
          <w:sz w:val="28"/>
          <w:szCs w:val="28"/>
          <w:rtl w:val="true"/>
          <w:lang w:bidi="fa-IR"/>
        </w:rPr>
        <w:t xml:space="preserve">و المعالم </w:t>
      </w:r>
      <w:r>
        <w:rPr>
          <w:rStyle w:val="FootnoteAnchor"/>
          <w:rtl w:val="true"/>
        </w:rPr>
        <w:footnoteReference w:id="264"/>
      </w:r>
      <w:r>
        <w:rPr>
          <w:rFonts w:ascii="IRNazanin" w:hAnsi="IRNazanin" w:eastAsia="IRNazanin"/>
          <w:color w:val="111111"/>
          <w:sz w:val="28"/>
          <w:sz w:val="28"/>
          <w:szCs w:val="28"/>
          <w:rtl w:val="true"/>
          <w:lang w:bidi="fa-IR"/>
        </w:rPr>
        <w:t xml:space="preserve">و شرحی الدروس </w:t>
      </w:r>
      <w:r>
        <w:rPr>
          <w:rStyle w:val="FootnoteAnchor"/>
          <w:rtl w:val="true"/>
        </w:rPr>
        <w:footnoteReference w:id="265"/>
      </w:r>
      <w:r>
        <w:rPr>
          <w:rFonts w:ascii="IRNazanin" w:hAnsi="IRNazanin" w:eastAsia="IRNazanin"/>
          <w:color w:val="111111"/>
          <w:sz w:val="28"/>
          <w:sz w:val="28"/>
          <w:szCs w:val="28"/>
          <w:rtl w:val="true"/>
          <w:lang w:bidi="fa-IR"/>
        </w:rPr>
        <w:t xml:space="preserve">و المفاتیح </w:t>
      </w:r>
      <w:r>
        <w:rPr>
          <w:rStyle w:val="FootnoteAnchor"/>
          <w:rtl w:val="true"/>
        </w:rPr>
        <w:footnoteReference w:id="266"/>
      </w:r>
      <w:r>
        <w:rPr>
          <w:rFonts w:ascii="IRNazanin" w:hAnsi="IRNazanin" w:eastAsia="IRNazanin"/>
          <w:color w:val="111111"/>
          <w:sz w:val="28"/>
          <w:sz w:val="28"/>
          <w:szCs w:val="28"/>
          <w:rtl w:val="true"/>
          <w:lang w:bidi="fa-IR"/>
        </w:rPr>
        <w:t xml:space="preserve">و الموجز فی خصوص البثور و الثالول </w:t>
      </w:r>
      <w:r>
        <w:rPr>
          <w:rStyle w:val="FootnoteAnchor"/>
          <w:rtl w:val="true"/>
        </w:rPr>
        <w:footnoteReference w:id="267"/>
      </w:r>
      <w:r>
        <w:rPr>
          <w:rFonts w:ascii="IRNazanin" w:hAnsi="IRNazanin" w:eastAsia="IRNazanin"/>
          <w:color w:val="111111"/>
          <w:sz w:val="28"/>
          <w:sz w:val="28"/>
          <w:szCs w:val="28"/>
          <w:rtl w:val="true"/>
          <w:lang w:bidi="fa-IR"/>
        </w:rPr>
        <w:t xml:space="preserve">، و کشف الالتباس </w:t>
      </w:r>
      <w:r>
        <w:rPr>
          <w:rStyle w:val="FootnoteAnchor"/>
          <w:rtl w:val="true"/>
        </w:rPr>
        <w:footnoteReference w:id="268"/>
      </w:r>
      <w:r>
        <w:rPr>
          <w:rFonts w:ascii="IRNazanin" w:hAnsi="IRNazanin" w:eastAsia="IRNazanin"/>
          <w:color w:val="111111"/>
          <w:sz w:val="28"/>
          <w:sz w:val="28"/>
          <w:szCs w:val="28"/>
          <w:rtl w:val="true"/>
          <w:lang w:bidi="fa-IR"/>
        </w:rPr>
        <w:t xml:space="preserve">و الذخیرة </w:t>
      </w:r>
      <w:r>
        <w:rPr>
          <w:rStyle w:val="FootnoteAnchor"/>
          <w:rtl w:val="true"/>
        </w:rPr>
        <w:footnoteReference w:id="269"/>
      </w:r>
      <w:r>
        <w:rPr>
          <w:rFonts w:ascii="IRNazanin" w:hAnsi="IRNazanin" w:eastAsia="IRNazanin"/>
          <w:color w:val="111111"/>
          <w:sz w:val="28"/>
          <w:sz w:val="28"/>
          <w:szCs w:val="28"/>
          <w:rtl w:val="true"/>
          <w:lang w:bidi="fa-IR"/>
        </w:rPr>
        <w:t xml:space="preserve">و البحار </w:t>
      </w:r>
      <w:r>
        <w:rPr>
          <w:rStyle w:val="FootnoteAnchor"/>
          <w:rtl w:val="true"/>
        </w:rPr>
        <w:footnoteReference w:id="270"/>
      </w:r>
      <w:r>
        <w:rPr>
          <w:rFonts w:ascii="IRNazanin" w:hAnsi="IRNazanin" w:eastAsia="IRNazanin"/>
          <w:color w:val="111111"/>
          <w:sz w:val="28"/>
          <w:sz w:val="28"/>
          <w:szCs w:val="28"/>
          <w:rtl w:val="true"/>
          <w:lang w:bidi="fa-IR"/>
        </w:rPr>
        <w:t>علی ما حکی عن أکثرهم، بل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لا خلاف فیه منهم </w:t>
      </w:r>
      <w:r>
        <w:rPr>
          <w:rStyle w:val="FootnoteAnchor"/>
          <w:rtl w:val="true"/>
        </w:rPr>
        <w:footnoteReference w:id="27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طهارة البثور و الثالول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محل إشکال، و الاحتیاط لا ینبغی أن یترک فی غیر ما یعدّ من قبیل القشور شیئاً زائداً علی البدن أجنبیّا عنها، کقشور الرّجل و الشفة و الجرح و اللحم الزائد فی الجروح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عدم الخلاف فی طهارة المسک، ففی المنتهی </w:t>
      </w:r>
      <w:r>
        <w:rPr>
          <w:rStyle w:val="FootnoteAnchor"/>
          <w:rtl w:val="true"/>
        </w:rPr>
        <w:footnoteReference w:id="272"/>
      </w:r>
      <w:r>
        <w:rPr>
          <w:rFonts w:ascii="IRNazanin" w:hAnsi="IRNazanin" w:eastAsia="IRNazanin"/>
          <w:color w:val="111111"/>
          <w:sz w:val="28"/>
          <w:sz w:val="28"/>
          <w:szCs w:val="28"/>
          <w:rtl w:val="true"/>
          <w:lang w:bidi="fa-IR"/>
        </w:rPr>
        <w:t xml:space="preserve">و عن التذکرة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جماع علیه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المسلمین فی استعمالها، بل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کان یحبّه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هذا المسک المتعارف هو بعض أقسامه، و إلّا فلا إشکال فی نجاسة الباقی، فقد ذکر فی 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للمسک أقساماً أربعة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 الترکی، و هو دم یقذفه الظبی بطریق الحیض أو البواسیر فینجمد علی الأحجار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الهندی، و لونه 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ذبح الظبی المعجون مع روثه و کبده و لونه أشقر، و هذان ممّا لا إشکال فی نجاستهما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یجتمع فی سرّة الظبی بعد صیده، یحصل من شقّ موضع الفأرة و تغمیز أطراف السرّة حتّی یجتمع الدم فیجمد، و لونه أسود، و هو طاهر مع تذکیة الظبی، نجس لا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 الفأرة، و هو دم یجتمع فی أطراف سرّته ثم یعرض للموضع حکّة تسقط بسببها الدم مع جلدةٍ هی وعاءٌ له، و هذا و إن کان مقتضی القاعدة نجاسته؛ لأنّه دم ذی نفس، إلّا أنّ إلا جماع دلّ علی خروجه عن هذا العموم؛ إمّا لخروج موضوعه بدعوی استحالة الدم أو بدعوی التخصیص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إشکال فی طهارة هذا الذی یتعاطاه المسلمون و إن کان خالیاً عن الفأرة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فأرته و هی الجلدة، ففی التذکرة </w:t>
      </w:r>
      <w:r>
        <w:rPr>
          <w:rStyle w:val="FootnoteAnchor"/>
          <w:rtl w:val="true"/>
        </w:rPr>
        <w:footnoteReference w:id="276"/>
      </w:r>
      <w:r>
        <w:rPr>
          <w:rFonts w:ascii="IRNazanin" w:hAnsi="IRNazanin" w:eastAsia="IRNazanin"/>
          <w:color w:val="111111"/>
          <w:sz w:val="28"/>
          <w:sz w:val="28"/>
          <w:szCs w:val="28"/>
          <w:rtl w:val="true"/>
          <w:lang w:bidi="fa-IR"/>
        </w:rPr>
        <w:t xml:space="preserve">و الذکری </w:t>
      </w:r>
      <w:r>
        <w:rPr>
          <w:rStyle w:val="FootnoteAnchor"/>
          <w:rtl w:val="true"/>
        </w:rPr>
        <w:footnoteReference w:id="277"/>
      </w:r>
      <w:r>
        <w:rPr>
          <w:rFonts w:ascii="IRNazanin" w:hAnsi="IRNazanin" w:eastAsia="IRNazanin"/>
          <w:color w:val="111111"/>
          <w:sz w:val="28"/>
          <w:sz w:val="28"/>
          <w:szCs w:val="28"/>
          <w:rtl w:val="true"/>
          <w:lang w:bidi="fa-IR"/>
        </w:rPr>
        <w:t xml:space="preserve">و الموجز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القول بطهارتها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المنتهی </w:t>
      </w:r>
      <w:r>
        <w:rPr>
          <w:rStyle w:val="FootnoteAnchor"/>
          <w:rtl w:val="true"/>
        </w:rPr>
        <w:footnoteReference w:id="279"/>
      </w:r>
      <w:r>
        <w:rPr>
          <w:rFonts w:ascii="IRNazanin" w:hAnsi="IRNazanin" w:eastAsia="IRNazanin"/>
          <w:color w:val="111111"/>
          <w:sz w:val="28"/>
          <w:sz w:val="28"/>
          <w:szCs w:val="28"/>
          <w:rtl w:val="true"/>
          <w:lang w:bidi="fa-IR"/>
        </w:rPr>
        <w:t xml:space="preserve">کما عن کشف الالتباس </w:t>
      </w:r>
      <w:r>
        <w:rPr>
          <w:rStyle w:val="FootnoteAnchor"/>
          <w:rtl w:val="true"/>
        </w:rPr>
        <w:footnoteReference w:id="280"/>
      </w:r>
      <w:r>
        <w:rPr>
          <w:rFonts w:ascii="IRNazanin" w:hAnsi="IRNazanin" w:eastAsia="IRNazanin"/>
          <w:color w:val="111111"/>
          <w:sz w:val="28"/>
          <w:sz w:val="28"/>
          <w:szCs w:val="28"/>
          <w:rtl w:val="true"/>
          <w:lang w:bidi="fa-IR"/>
        </w:rPr>
        <w:t>تقییده بما إذا انفصل من الحیّ أو أُخذ من المذکّی، و صرّح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إن أُخذت من میتة فالأقرب نجاستها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المحصّل من إطلاق کلامه فی المسک و تقییده فی فأرته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طهارة المسک لا ینافی نجاسة فأرته، کما صرّح به فی النهایة،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 طاهر و إن قلنا بنجاسة فأرته المأخوذة من المیتة کالإنفحة، و لم یتنجّس بنجاسة الظرف؛ للحرج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الحرج یندفع بالأخذ من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ادّعی انجماد الدم قبل زمان الحکم بنجاسة الفأرة، تعارض أصالة عدم الملاقاة حین الرطوبة مع أصالة بقاء الجفاف حین الملاقاة، لکنّ الانجماد عادةً لا یحصل حین الموت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فالقول بنجاسة المسک المعلوم کونه فی الفأرة المأخوذة من المیتة لا یخلو عن قوّة، و الروایة الواردة بجواز استصحابه فی الصلاة </w:t>
      </w:r>
      <w:r>
        <w:rPr>
          <w:rStyle w:val="FootnoteAnchor"/>
          <w:rtl w:val="true"/>
        </w:rPr>
        <w:footnoteReference w:id="283"/>
      </w:r>
      <w:r>
        <w:rPr>
          <w:rFonts w:ascii="IRNazanin" w:hAnsi="IRNazanin" w:eastAsia="IRNazanin"/>
          <w:color w:val="111111"/>
          <w:sz w:val="28"/>
          <w:sz w:val="28"/>
          <w:szCs w:val="28"/>
          <w:rtl w:val="true"/>
          <w:lang w:bidi="fa-IR"/>
        </w:rPr>
        <w:t xml:space="preserve">مع عدم دلالته علی الطهارة الواقعیّة، بل یکفی الحکم </w:t>
      </w:r>
      <w:r>
        <w:rPr>
          <w:rStyle w:val="FootnoteAnchor"/>
          <w:rtl w:val="true"/>
        </w:rPr>
        <w:footnoteReference w:id="284"/>
      </w:r>
      <w:r>
        <w:rPr>
          <w:rFonts w:ascii="IRNazanin" w:hAnsi="IRNazanin" w:eastAsia="IRNazanin"/>
          <w:color w:val="111111"/>
          <w:sz w:val="28"/>
          <w:sz w:val="28"/>
          <w:szCs w:val="28"/>
          <w:rtl w:val="true"/>
          <w:lang w:bidi="fa-IR"/>
        </w:rPr>
        <w:t>بطهارتها أخذها من مسلم معارضة بروایةٍ أُخری علّق الجواز فیها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ذکیّاً</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الجلدة جزءاً تحلّه الحیاة من الظبی غیر معلوم؛ و لهذا لا یحکم بنجاسة المنفصل، فلعلّه شی‌ءٌ کالبیض للدجاج، و مجرّد کونه جلداً لا یستلزم کونه محلّاً للروح، فیتّجه حینئذٍ الحکم بطهارته و عدم الفرق بین المنفصل من الحیّ و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انفصاله من الحیّ علامة استقلاله و خروجه عن جزئیّة البدن، بخلاف أخذه منه میتة؛ فإنّه جزءٌ مقطوع منه، و سیأتی فی حکم ما لا تحلّه الحیاة قوله علیه السلام فی حسنة الحلبی </w:t>
      </w:r>
      <w:r>
        <w:rPr>
          <w:rStyle w:val="FootnoteAnchor"/>
          <w:rtl w:val="true"/>
        </w:rPr>
        <w:footnoteReference w:id="286"/>
      </w:r>
      <w:r>
        <w:rPr>
          <w:rFonts w:ascii="IRNazanin" w:hAnsi="IRNazanin" w:eastAsia="IRNazanin"/>
          <w:color w:val="111111"/>
          <w:sz w:val="28"/>
          <w:sz w:val="28"/>
          <w:szCs w:val="28"/>
          <w:rtl w:val="true"/>
          <w:lang w:bidi="fa-IR"/>
        </w:rPr>
        <w:t>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ینفصل من الشاة و الدابّة فهو 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تکون الفأرة فی الظبیة المیتة مشرفة علی الانفصال، بحیث لم یحتج فی انفصاله إلی قوّة دافعة لیست للمیّت، فهی کالمنفصلة عن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المذکور مبنیٌّ علی الغالب، و بهذا یندفع ما أورده کاشف اللثام علی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الفرق بین انفصالها عنه حیّاً و أخذها منه بعد الموت من غیر تذکیة غریبٌ لم أعرف له وجهاً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ما ذکرنا فی توجیه کلام العلّامة أولی ممّا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النصوص و الأخبار منصرفة إلی المأخوذة من الحیّ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فیهوّن الخطب تعاطیها بأیدی المسلمین و أسواقهم، و إلّا فلا دلیل علی الخروج عن عموم نجاسة جمیع أجزاء المیتة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ما لا تحلّه الحیاة، کالصوف و الشعر و الوبر و الظفر و العظم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عدم الخلاف فی</w:t>
      </w:r>
    </w:p>
    <w:p>
      <w:pPr>
        <w:pStyle w:val="BookText"/>
        <w:rPr/>
      </w:pPr>
      <w:r>
        <w:rPr>
          <w:rFonts w:ascii="IRNazanin" w:hAnsi="IRNazanin" w:eastAsia="IRNazanin"/>
          <w:color w:val="111111"/>
          <w:sz w:val="28"/>
          <w:sz w:val="28"/>
          <w:szCs w:val="28"/>
          <w:rtl w:val="true"/>
          <w:lang w:bidi="fa-IR"/>
        </w:rPr>
        <w:t xml:space="preserve">طهارتها، کما عن کاشف اللثام </w:t>
      </w:r>
      <w:r>
        <w:rPr>
          <w:rStyle w:val="FootnoteAnchor"/>
          <w:rtl w:val="true"/>
        </w:rPr>
        <w:footnoteReference w:id="290"/>
      </w:r>
      <w:r>
        <w:rPr>
          <w:rFonts w:ascii="IRNazanin" w:hAnsi="IRNazanin" w:eastAsia="IRNazanin"/>
          <w:color w:val="111111"/>
          <w:sz w:val="28"/>
          <w:sz w:val="28"/>
          <w:szCs w:val="28"/>
          <w:rtl w:val="true"/>
          <w:lang w:bidi="fa-IR"/>
        </w:rPr>
        <w:t xml:space="preserve">و شرح المفاتیح </w:t>
      </w:r>
      <w:r>
        <w:rPr>
          <w:rStyle w:val="FootnoteAnchor"/>
          <w:rtl w:val="true"/>
        </w:rPr>
        <w:footnoteReference w:id="291"/>
      </w:r>
      <w:r>
        <w:rPr>
          <w:rFonts w:ascii="IRNazanin" w:hAnsi="IRNazanin" w:eastAsia="IRNazanin"/>
          <w:color w:val="111111"/>
          <w:sz w:val="28"/>
          <w:sz w:val="28"/>
          <w:szCs w:val="28"/>
          <w:rtl w:val="true"/>
          <w:lang w:bidi="fa-IR"/>
        </w:rPr>
        <w:t xml:space="preserve">و الحدائق </w:t>
      </w:r>
      <w:r>
        <w:rPr>
          <w:rStyle w:val="FootnoteAnchor"/>
          <w:rtl w:val="true"/>
        </w:rPr>
        <w:footnoteReference w:id="292"/>
      </w:r>
      <w:r>
        <w:rPr>
          <w:rFonts w:ascii="IRNazanin" w:hAnsi="IRNazanin" w:eastAsia="IRNazanin"/>
          <w:color w:val="111111"/>
          <w:sz w:val="28"/>
          <w:sz w:val="28"/>
          <w:szCs w:val="28"/>
          <w:rtl w:val="true"/>
          <w:lang w:bidi="fa-IR"/>
        </w:rPr>
        <w:t xml:space="preserve">و غیرها </w:t>
      </w:r>
      <w:r>
        <w:rPr>
          <w:rStyle w:val="FootnoteAnchor"/>
          <w:rtl w:val="true"/>
        </w:rPr>
        <w:footnoteReference w:id="293"/>
      </w:r>
      <w:r>
        <w:rPr>
          <w:rFonts w:ascii="Amiri" w:hAnsi="Amiri" w:eastAsia="Amiri" w:cs="Amiri"/>
          <w:color w:val="111111"/>
          <w:sz w:val="28"/>
          <w:sz w:val="28"/>
          <w:szCs w:val="28"/>
          <w:rtl w:val="true"/>
          <w:lang w:bidi="ar-SA"/>
        </w:rPr>
        <w:t xml:space="preserve">، إلّا أنّ المحکی عن الشیخ تقیید الأربعة الأُولی بما إذا أُخذت جزّاً لا قلعاً </w:t>
      </w:r>
      <w:r>
        <w:rPr>
          <w:rStyle w:val="FootnoteAnchor"/>
          <w:rtl w:val="true"/>
        </w:rPr>
        <w:footnoteReference w:id="294"/>
      </w:r>
      <w:r>
        <w:rPr>
          <w:rFonts w:ascii="IRNazanin" w:hAnsi="IRNazanin" w:eastAsia="IRNazanin"/>
          <w:color w:val="111111"/>
          <w:sz w:val="28"/>
          <w:sz w:val="28"/>
          <w:szCs w:val="28"/>
          <w:rtl w:val="true"/>
          <w:lang w:bidi="fa-IR"/>
        </w:rPr>
        <w:t>، و هو ضعیف أو محمول علی عدم جواز الانتفاع بالمقلوع قبل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اقتصار المصنّف علی الخمسة من باب المثال للکلّیة المستثناة، فیدخل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و السن و الریش و الحافر و أشباه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أُشیر إلی الکلّیة المذکورة، بل صرّح بها فی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بالصلاة فیما کان من صوف المیتة؛ إنّ الصوف لیس له روح</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قتیبة بن محمد المرویّة عن مکارم الأخلاق عن أبی عبد اللّٰه علیه السلام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نلبس الطیالسة البربریّة و صوفها 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الصوف روح، أ لا تری أنّه یجزّ و یباع و هو حی</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أُخری یعلِّل طهارة الإنفحة من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لیس لها عِرْق و لا دم و لا عظم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یعدّ من أعضاء المیّت التی تحلّها الحیاة المشتملة علی العرق و الدم أو العظم؛ لأنّ ما تحلّه الحیاة یعنی الحسّ لا یخلو عن شی‌ءٍ من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لیست بعضاً للحیوان؛</w:t>
      </w:r>
    </w:p>
    <w:p>
      <w:pPr>
        <w:pStyle w:val="BookText"/>
        <w:rPr/>
      </w:pPr>
      <w:r>
        <w:rPr>
          <w:rFonts w:ascii="IRNazanin" w:hAnsi="IRNazanin" w:eastAsia="IRNazanin"/>
          <w:color w:val="111111"/>
          <w:sz w:val="28"/>
          <w:sz w:val="28"/>
          <w:szCs w:val="28"/>
          <w:rtl w:val="true"/>
          <w:lang w:bidi="fa-IR"/>
        </w:rPr>
        <w:t>لعدم سرایة دمه أو عروقه فیه، و لا عظم فیه لیکون من أعضاء الحیوان، فهی شی‌ءٌ مستقلّ مخلوق فیه؛ و لهذا قال علیه السلام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بمنزلة بیضة خرجت من دجاجة میّتة</w:t>
      </w:r>
      <w:r>
        <w:rPr>
          <w:rFonts w:eastAsia="IRNazanin" w:cs="IRNazanin"/>
          <w:color w:val="111111"/>
          <w:sz w:val="28"/>
          <w:szCs w:val="28"/>
          <w:rtl w:val="true"/>
          <w:lang w:bidi="fa-IR"/>
        </w:rPr>
        <w:t xml:space="preserve">» </w:t>
      </w:r>
      <w:r>
        <w:rPr>
          <w:rStyle w:val="FootnoteAnchor"/>
          <w:rtl w:val="true"/>
        </w:rPr>
        <w:footnoteReference w:id="298"/>
      </w:r>
      <w:r>
        <w:rPr>
          <w:rFonts w:ascii="Amiri" w:hAnsi="Amiri" w:eastAsia="Amiri" w:cs="Amiri"/>
          <w:color w:val="111111"/>
          <w:sz w:val="28"/>
          <w:sz w:val="28"/>
          <w:szCs w:val="28"/>
          <w:rtl w:val="true"/>
          <w:lang w:bidi="ar-SA"/>
        </w:rPr>
        <w:t>فحاصل التعلیل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کلّ شی‌ءٍ لا یُعدّ من أعضاء الحیوان، بل هو شی‌ء مستقلٌّ فیه یکون طاهراً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حسنة حریز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الصادق علیه السلام لزرارة و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و اللبأ و البیضة و الشعر و الصوف و القرن و الناب و الحافر و کلّ شی‌ءٍ ینفصل من الشاة و الدابّة فهو ذکی، و إن أخذته منه بعد أن یموت فاغسله و صلّ فیه</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الأمر بالغسل فیها نجاسة موضع الاتّصال بالمیتة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من ظاهرها وجوب الغسل و إن لم یتّصل بالمیتة، کما لو أُخذ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غسل الشی‌ء للصلاة فیه لیس إلّا لنجاسته، و قد دلّت النصوص علی طهارة ما لا تحلّه الحیاة بالذات </w:t>
      </w:r>
      <w:r>
        <w:rPr>
          <w:rStyle w:val="FootnoteAnchor"/>
          <w:rtl w:val="true"/>
        </w:rPr>
        <w:footnoteReference w:id="300"/>
      </w:r>
      <w:r>
        <w:rPr>
          <w:rFonts w:ascii="IRNazanin" w:hAnsi="IRNazanin" w:eastAsia="IRNazanin"/>
          <w:color w:val="111111"/>
          <w:sz w:val="28"/>
          <w:sz w:val="28"/>
          <w:szCs w:val="28"/>
          <w:rtl w:val="true"/>
          <w:lang w:bidi="fa-IR"/>
        </w:rPr>
        <w:t>، فالغسل لا یکون إلّا للنجاسة العرضیة الحاصلة بالملاقاة الذی لا یکون بالجزّ</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أضعف من هذا ما عن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طهارة ما یؤخذ قلعاً </w:t>
      </w:r>
      <w:r>
        <w:rPr>
          <w:rStyle w:val="FootnoteAnchor"/>
          <w:rtl w:val="true"/>
        </w:rPr>
        <w:footnoteReference w:id="301"/>
      </w:r>
      <w:r>
        <w:rPr>
          <w:rFonts w:ascii="IRNazanin" w:hAnsi="IRNazanin" w:eastAsia="IRNazanin"/>
          <w:color w:val="111111"/>
          <w:sz w:val="28"/>
          <w:sz w:val="28"/>
          <w:szCs w:val="28"/>
          <w:rtl w:val="true"/>
          <w:lang w:bidi="fa-IR"/>
        </w:rPr>
        <w:t>، حیث حکی عن بعض أنّه نقل عنه تعلیل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أُصولها المتّصلة باللحم من جملة أجزائه، و إنّما یستکمل استحالتها إلی أحد المذکورات بعد تجاوزها عنه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یردّ قوله بإطلاق الأخبار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المعنی لا تردّه الأخبار الدالّة علی طهارة الأشیاء المعهودة من حیث عدم الروح فیها؛ لأنّها لا تنافی نجاستها باتّصال جزءٍ من المیتة بها، إلّا أن یتمسّک بسکوتها مع اقتضاء المقام لبیان کیفیّة الأخذ،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ردّه بمنع کون أُصول الشعر الداخلة فی اللحم جزءاً من اللحم، بل هو شی‌ءٌ لا تحلّه الحیاة من الفضلات المستعدّة للشعریّة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لم یکن لحماً إلّا أنّه ینقلع معه جزءٌ لطیف من اللحم لا ینفک عنه إلّا بالجزّ، ممنوعة؛ فإنّا لا نحس فی أصل الشعر المقلوع إلّا جزءاً لطیفاً أبیض لا یشبه اللحم فی شی‌ء، و لا سبیل إلی الحکم بنجاسته حتّی مع الشکّ فی حلول الحیاة فیه، فضلًا عن صورة القطع أو الظنّ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استقرب المصنّف قدّس سرّه فی المنتهی نجاسة البیض من الدجاجة الجلّالة و ممّا لا یؤکل لحمه ممّا له نفس سائلة </w:t>
      </w:r>
      <w:r>
        <w:rPr>
          <w:rStyle w:val="FootnoteAnchor"/>
          <w:rtl w:val="true"/>
        </w:rPr>
        <w:footnoteReference w:id="303"/>
      </w:r>
      <w:r>
        <w:rPr>
          <w:rFonts w:ascii="IRNazanin" w:hAnsi="IRNazanin" w:eastAsia="IRNazanin"/>
          <w:color w:val="111111"/>
          <w:sz w:val="28"/>
          <w:sz w:val="28"/>
          <w:szCs w:val="28"/>
          <w:rtl w:val="true"/>
          <w:lang w:bidi="fa-IR"/>
        </w:rPr>
        <w:t xml:space="preserve">، و نحوه المحکی عن نهایته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نری له وجهاً و لا نعرف له موافقاً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أیّ تقدیرٍ، فالظاهر اتّفاق الأصحاب کما عن المدارک </w:t>
      </w:r>
      <w:r>
        <w:rPr>
          <w:rStyle w:val="FootnoteAnchor"/>
          <w:rtl w:val="true"/>
        </w:rPr>
        <w:footnoteReference w:id="306"/>
      </w:r>
      <w:r>
        <w:rPr>
          <w:rFonts w:ascii="IRNazanin" w:hAnsi="IRNazanin" w:eastAsia="IRNazanin"/>
          <w:color w:val="111111"/>
          <w:sz w:val="28"/>
          <w:sz w:val="28"/>
          <w:szCs w:val="28"/>
          <w:rtl w:val="true"/>
          <w:lang w:bidi="fa-IR"/>
        </w:rPr>
        <w:t xml:space="preserve">و الحدائق </w:t>
      </w:r>
      <w:r>
        <w:rPr>
          <w:rStyle w:val="FootnoteAnchor"/>
          <w:rtl w:val="true"/>
        </w:rPr>
        <w:footnoteReference w:id="307"/>
      </w:r>
      <w:r>
        <w:rPr>
          <w:rFonts w:ascii="IRNazanin" w:hAnsi="IRNazanin" w:eastAsia="IRNazanin"/>
          <w:color w:val="111111"/>
          <w:sz w:val="28"/>
          <w:sz w:val="28"/>
          <w:szCs w:val="28"/>
          <w:rtl w:val="true"/>
          <w:lang w:bidi="fa-IR"/>
        </w:rPr>
        <w:t>علی اعتبار اکتساء القشر الأعلی فی طهارة البیض و إن اختلفوا</w:t>
      </w:r>
    </w:p>
    <w:p>
      <w:pPr>
        <w:pStyle w:val="BookText"/>
        <w:rPr/>
      </w:pPr>
      <w:r>
        <w:rPr>
          <w:rFonts w:ascii="IRNazanin" w:hAnsi="IRNazanin" w:eastAsia="IRNazanin"/>
          <w:color w:val="111111"/>
          <w:sz w:val="28"/>
          <w:sz w:val="28"/>
          <w:szCs w:val="28"/>
          <w:rtl w:val="true"/>
          <w:lang w:bidi="fa-IR"/>
        </w:rPr>
        <w:t xml:space="preserve">بین من عبّر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 الفوقانی</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و من عبّر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القشر الأعلی</w:t>
      </w:r>
      <w:r>
        <w:rPr>
          <w:rFonts w:eastAsia="IRNazanin" w:cs="IRNazanin"/>
          <w:color w:val="111111"/>
          <w:sz w:val="28"/>
          <w:szCs w:val="28"/>
          <w:rtl w:val="true"/>
          <w:lang w:bidi="fa-IR"/>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و من عبّر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الصلابة</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و من عبّر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 الغلیظ</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تبعاً لروایة غیاث بن إبراهیم التی هی مستند الحکم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اکتست الجلد الغلیظ فلا بأس بها</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و الظاهر أنّ مراد الجمیع واحد، و هو الجلد الذی لا جلد فوقه، و الظاهر أنّه یعتبر غلظته لا صلابته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خلاف ظاهراً کما فی الکفایة فی طهارة الإنفحة من المیتة </w:t>
      </w:r>
      <w:r>
        <w:rPr>
          <w:rStyle w:val="FootnoteAnchor"/>
          <w:rtl w:val="true"/>
        </w:rPr>
        <w:footnoteReference w:id="313"/>
      </w:r>
      <w:r>
        <w:rPr>
          <w:rFonts w:ascii="IRNazanin" w:hAnsi="IRNazanin" w:eastAsia="IRNazanin"/>
          <w:color w:val="111111"/>
          <w:sz w:val="28"/>
          <w:sz w:val="28"/>
          <w:szCs w:val="28"/>
          <w:rtl w:val="true"/>
          <w:lang w:bidi="fa-IR"/>
        </w:rPr>
        <w:t xml:space="preserve">، بکسر الهمزة و تشدید الحاء کما عن القاموس </w:t>
      </w:r>
      <w:r>
        <w:rPr>
          <w:rStyle w:val="FootnoteAnchor"/>
          <w:rtl w:val="true"/>
        </w:rPr>
        <w:footnoteReference w:id="314"/>
      </w:r>
      <w:r>
        <w:rPr>
          <w:rFonts w:ascii="IRNazanin" w:hAnsi="IRNazanin" w:eastAsia="IRNazanin"/>
          <w:color w:val="111111"/>
          <w:sz w:val="28"/>
          <w:sz w:val="28"/>
          <w:szCs w:val="28"/>
          <w:rtl w:val="true"/>
          <w:lang w:bidi="fa-IR"/>
        </w:rPr>
        <w:t xml:space="preserve">، أو بتخفیفها کما فی المجمع </w:t>
      </w:r>
      <w:r>
        <w:rPr>
          <w:rStyle w:val="FootnoteAnchor"/>
          <w:rtl w:val="true"/>
        </w:rPr>
        <w:footnoteReference w:id="315"/>
      </w:r>
      <w:r>
        <w:rPr>
          <w:rFonts w:ascii="IRNazanin" w:hAnsi="IRNazanin" w:eastAsia="IRNazanin"/>
          <w:color w:val="111111"/>
          <w:sz w:val="28"/>
          <w:sz w:val="28"/>
          <w:szCs w:val="28"/>
          <w:rtl w:val="true"/>
          <w:lang w:bidi="fa-IR"/>
        </w:rPr>
        <w:t xml:space="preserve">، أو بالتخفیف و التشدید کما عن المغرب </w:t>
      </w:r>
      <w:r>
        <w:rPr>
          <w:rStyle w:val="FootnoteAnchor"/>
          <w:rtl w:val="true"/>
        </w:rPr>
        <w:footnoteReference w:id="316"/>
      </w:r>
      <w:r>
        <w:rPr>
          <w:rFonts w:ascii="IRNazanin" w:hAnsi="IRNazanin" w:eastAsia="IRNazanin"/>
          <w:color w:val="111111"/>
          <w:sz w:val="28"/>
          <w:sz w:val="28"/>
          <w:szCs w:val="28"/>
          <w:rtl w:val="true"/>
          <w:lang w:bidi="fa-IR"/>
        </w:rPr>
        <w:t>، و عن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التشدید أکثر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الحکم نسبه فی المنتهی إلی علمائنا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الغنیة </w:t>
      </w:r>
      <w:r>
        <w:rPr>
          <w:rStyle w:val="FootnoteAnchor"/>
          <w:rtl w:val="true"/>
        </w:rPr>
        <w:footnoteReference w:id="319"/>
      </w: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 شرحی الإرشاد </w:t>
      </w:r>
      <w:r>
        <w:rPr>
          <w:rStyle w:val="FootnoteAnchor"/>
          <w:rtl w:val="true"/>
        </w:rPr>
        <w:footnoteReference w:id="321"/>
      </w:r>
      <w:r>
        <w:rPr>
          <w:rFonts w:ascii="IRNazanin" w:hAnsi="IRNazanin" w:eastAsia="IRNazanin"/>
          <w:color w:val="111111"/>
          <w:sz w:val="28"/>
          <w:sz w:val="28"/>
          <w:szCs w:val="28"/>
          <w:rtl w:val="true"/>
          <w:lang w:bidi="fa-IR"/>
        </w:rPr>
        <w:t xml:space="preserve">و المفاتیح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المدارک </w:t>
      </w:r>
      <w:r>
        <w:rPr>
          <w:rStyle w:val="FootnoteAnchor"/>
          <w:rtl w:val="true"/>
        </w:rPr>
        <w:footnoteReference w:id="323"/>
      </w:r>
      <w:r>
        <w:rPr>
          <w:rFonts w:ascii="IRNazanin" w:hAnsi="IRNazanin" w:eastAsia="IRNazanin"/>
          <w:color w:val="111111"/>
          <w:sz w:val="28"/>
          <w:sz w:val="28"/>
          <w:szCs w:val="28"/>
          <w:rtl w:val="true"/>
          <w:lang w:bidi="fa-IR"/>
        </w:rPr>
        <w:t xml:space="preserve">کما عن غیره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ممّا قطع به الأصحاب، و الأخبار به مع ذلک مستفیضة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وقع الخلاف بین العلماء تبعاً لأهل اللغة فی معنی الإنفحة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الجوهری حاکیاً عن أبی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کرش الجدی و الحمل ما لم یأکل، فإذا أکل فهی کرش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شی‌ءٌ یستخرج من بطن الجدی الرضیع أصفر، یعصر فی صوفة مبتلّة فیغلظ کالجبن، فإذا أکل الجدی فهی کرش، و تفسیر الجوهری الإنفحة بالکرش سهوٌ </w:t>
      </w:r>
      <w:r>
        <w:rPr>
          <w:rStyle w:val="FootnoteAnchor"/>
          <w:rtl w:val="true"/>
        </w:rPr>
        <w:footnoteReference w:id="32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یقرب من التفسیر المذکور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حکی عن بعض أنّه لا یکون الإنفحة إلّا لکلّ ذی کرش، و هو شی‌ء یستخرج من بطنه أصفر یعصر فی خرقة مبتلّة یغلظ کالجبن، و لا یسمّی إنفحة إلّا و هو رضیع، فإذا رعی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استکرش، أی صارت إنفحته کرشاً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التفسیر الأوّل محکیٌّ عن السرائر </w:t>
      </w:r>
      <w:r>
        <w:rPr>
          <w:rStyle w:val="FootnoteAnchor"/>
          <w:rtl w:val="true"/>
        </w:rPr>
        <w:footnoteReference w:id="330"/>
      </w:r>
      <w:r>
        <w:rPr>
          <w:rFonts w:ascii="IRNazanin" w:hAnsi="IRNazanin" w:eastAsia="IRNazanin"/>
          <w:color w:val="111111"/>
          <w:sz w:val="28"/>
          <w:sz w:val="28"/>
          <w:szCs w:val="28"/>
          <w:rtl w:val="true"/>
          <w:lang w:bidi="fa-IR"/>
        </w:rPr>
        <w:t xml:space="preserve">و التنقیح </w:t>
      </w:r>
      <w:r>
        <w:rPr>
          <w:rStyle w:val="FootnoteAnchor"/>
          <w:rtl w:val="true"/>
        </w:rPr>
        <w:footnoteReference w:id="331"/>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332"/>
      </w:r>
      <w:r>
        <w:rPr>
          <w:rFonts w:ascii="Amiri" w:hAnsi="Amiri" w:eastAsia="Amiri" w:cs="Amiri"/>
          <w:color w:val="111111"/>
          <w:sz w:val="28"/>
          <w:sz w:val="28"/>
          <w:szCs w:val="28"/>
          <w:rtl w:val="true"/>
          <w:lang w:bidi="ar-SA"/>
        </w:rPr>
        <w:t xml:space="preserve">و الروضة </w:t>
      </w:r>
      <w:r>
        <w:rPr>
          <w:rStyle w:val="FootnoteAnchor"/>
          <w:rtl w:val="true"/>
        </w:rPr>
        <w:footnoteReference w:id="333"/>
      </w: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334"/>
      </w:r>
      <w:r>
        <w:rPr>
          <w:rFonts w:ascii="IRNazanin" w:hAnsi="IRNazanin" w:eastAsia="IRNazanin"/>
          <w:color w:val="111111"/>
          <w:sz w:val="28"/>
          <w:sz w:val="28"/>
          <w:szCs w:val="28"/>
          <w:rtl w:val="true"/>
          <w:lang w:bidi="fa-IR"/>
        </w:rPr>
        <w:t xml:space="preserve">و شرح المفاتیح </w:t>
      </w:r>
      <w:r>
        <w:rPr>
          <w:rStyle w:val="FootnoteAnchor"/>
          <w:rtl w:val="true"/>
        </w:rPr>
        <w:footnoteReference w:id="335"/>
      </w:r>
      <w:r>
        <w:rPr>
          <w:rFonts w:ascii="IRNazanin" w:hAnsi="IRNazanin" w:eastAsia="IRNazanin"/>
          <w:color w:val="111111"/>
          <w:sz w:val="28"/>
          <w:sz w:val="28"/>
          <w:szCs w:val="28"/>
          <w:rtl w:val="true"/>
          <w:lang w:bidi="fa-IR"/>
        </w:rPr>
        <w:t xml:space="preserve">و الدلائل </w:t>
      </w:r>
      <w:r>
        <w:rPr>
          <w:rStyle w:val="FootnoteAnchor"/>
          <w:rtl w:val="true"/>
        </w:rPr>
        <w:footnoteReference w:id="336"/>
      </w:r>
      <w:r>
        <w:rPr>
          <w:rFonts w:ascii="IRNazanin" w:hAnsi="IRNazanin" w:eastAsia="IRNazanin"/>
          <w:color w:val="111111"/>
          <w:sz w:val="28"/>
          <w:sz w:val="28"/>
          <w:szCs w:val="28"/>
          <w:rtl w:val="true"/>
          <w:lang w:bidi="fa-IR"/>
        </w:rPr>
        <w:t xml:space="preserve">، و قد یستظهر من الذکری؛ حیث جعل الأولی غسل ظاهرها لملاقاة المیتة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الثانی ظاهر المصنّف قدّس سرّه فی القواعد </w:t>
      </w:r>
      <w:r>
        <w:rPr>
          <w:rStyle w:val="FootnoteAnchor"/>
          <w:rtl w:val="true"/>
        </w:rPr>
        <w:footnoteReference w:id="338"/>
      </w:r>
      <w:r>
        <w:rPr>
          <w:rFonts w:ascii="IRNazanin" w:hAnsi="IRNazanin" w:eastAsia="IRNazanin"/>
          <w:color w:val="111111"/>
          <w:sz w:val="28"/>
          <w:sz w:val="28"/>
          <w:szCs w:val="28"/>
          <w:rtl w:val="true"/>
          <w:lang w:bidi="fa-IR"/>
        </w:rPr>
        <w:t xml:space="preserve">کما عن کشف الالتباس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 عن 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تفسیره باللبن هو المعروف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قوله علیه السلام فی الروایة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أی الإنفحة تخرج من بین فرث و دم</w:t>
      </w:r>
      <w:r>
        <w:rPr>
          <w:rFonts w:eastAsia="IRNazanin" w:cs="IRNazanin"/>
          <w:color w:val="111111"/>
          <w:sz w:val="28"/>
          <w:szCs w:val="28"/>
          <w:rtl w:val="true"/>
          <w:lang w:bidi="fa-IR"/>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و فیه إشارة إلی قوله تعالی نُسْقِیکُمْ مِمّٰا فِی بُطُونِهِ مِنْ بَیْنِ فَرْثٍ وَ دَمٍ لَبَناً خٰالِصاً سٰائِغاً لِلشّٰارِبِینَ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أصل الإنفحة حیث کانت فی بطن المرضعة لبناً بین الفرث و الدم، بناءً علی ظاهر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العلف المستقرّ فی جوف الحیوان یصیر أعلاه دماً و أسفله ثُفلًا ما بینهما لبناً، فجری الدم إلی العروق و اللبن إلی الضرع و یبقی الثفل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السؤال عن الجبن یجعل فیه إنفحة المیتة </w:t>
      </w:r>
      <w:r>
        <w:rPr>
          <w:rStyle w:val="FootnoteAnchor"/>
          <w:rtl w:val="true"/>
        </w:rPr>
        <w:footnoteReference w:id="344"/>
      </w:r>
      <w:r>
        <w:rPr>
          <w:rFonts w:ascii="IRNazanin" w:hAnsi="IRNazanin" w:eastAsia="IRNazanin"/>
          <w:color w:val="111111"/>
          <w:sz w:val="28"/>
          <w:sz w:val="28"/>
          <w:szCs w:val="28"/>
          <w:rtl w:val="true"/>
          <w:lang w:bidi="fa-IR"/>
        </w:rPr>
        <w:t>، فإنّ الظاهر أنّ الجبن إنّما یصنع من الشی‌ء الذی فی جوف السخلة مثل اللبن، و الظاهر أنّ الکرش محلّها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فالمستفاد من محکیّ القاموس و المصباح، بل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الإنفحة هی التی تصیر کرشاً بعد الرعی </w:t>
      </w:r>
      <w:r>
        <w:rPr>
          <w:rStyle w:val="FootnoteAnchor"/>
          <w:rtl w:val="true"/>
        </w:rPr>
        <w:footnoteReference w:id="345"/>
      </w:r>
      <w:r>
        <w:rPr>
          <w:rFonts w:ascii="IRNazanin" w:hAnsi="IRNazanin" w:eastAsia="IRNazanin"/>
          <w:color w:val="111111"/>
          <w:sz w:val="28"/>
          <w:sz w:val="28"/>
          <w:szCs w:val="28"/>
          <w:rtl w:val="true"/>
          <w:lang w:bidi="fa-IR"/>
        </w:rPr>
        <w:t xml:space="preserve">، و لا یظهر مخالفة ذلک لما عن الصحاح </w:t>
      </w:r>
      <w:r>
        <w:rPr>
          <w:rStyle w:val="FootnoteAnchor"/>
          <w:rtl w:val="true"/>
        </w:rPr>
        <w:footnoteReference w:id="346"/>
      </w:r>
      <w:r>
        <w:rPr>
          <w:rFonts w:ascii="Amiri" w:hAnsi="Amiri" w:eastAsia="Amiri" w:cs="Amiri"/>
          <w:color w:val="111111"/>
          <w:sz w:val="28"/>
          <w:sz w:val="28"/>
          <w:szCs w:val="28"/>
          <w:rtl w:val="true"/>
          <w:lang w:bidi="ar-SA"/>
        </w:rPr>
        <w:t xml:space="preserve">و الجمهرة </w:t>
      </w:r>
      <w:r>
        <w:rPr>
          <w:rStyle w:val="FootnoteAnchor"/>
          <w:rtl w:val="true"/>
        </w:rPr>
        <w:footnoteReference w:id="347"/>
      </w:r>
      <w:r>
        <w:rPr>
          <w:rFonts w:ascii="IRNazanin" w:hAnsi="IRNazanin" w:eastAsia="IRNazanin"/>
          <w:color w:val="111111"/>
          <w:sz w:val="28"/>
          <w:sz w:val="28"/>
          <w:szCs w:val="28"/>
          <w:rtl w:val="true"/>
          <w:lang w:bidi="fa-IR"/>
        </w:rPr>
        <w:t xml:space="preserve">، فتشخّص الفرق بین القولین حتّی أنّه نسب فی القاموس تفسیر الجوهری إلی السهو </w:t>
      </w:r>
      <w:r>
        <w:rPr>
          <w:rStyle w:val="FootnoteAnchor"/>
          <w:rtl w:val="true"/>
        </w:rPr>
        <w:footnoteReference w:id="348"/>
      </w:r>
      <w:r>
        <w:rPr>
          <w:rFonts w:ascii="IRNazanin" w:hAnsi="IRNazanin" w:eastAsia="IRNazanin"/>
          <w:color w:val="111111"/>
          <w:sz w:val="28"/>
          <w:sz w:val="28"/>
          <w:szCs w:val="28"/>
          <w:rtl w:val="true"/>
          <w:lang w:bidi="fa-IR"/>
        </w:rPr>
        <w:t>لا یخلو عن إشکال،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کلام الجوهری أنّ للسخلة کرشاً قبل الرعی، و هو محلّ لبنه الذی یشربه یسمّی إنفحة، و بعد الرعی لا تصدق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تخطئتهم فی ذلک من جهة أن لا کرش للسخلة إلّا بعد الرعی، فیصیر الشی‌ء الأصفر بعد الرعی</w:t>
      </w:r>
    </w:p>
    <w:p>
      <w:pPr>
        <w:pStyle w:val="BookText"/>
        <w:rPr/>
      </w:pPr>
      <w:r>
        <w:rPr>
          <w:rFonts w:ascii="IRNazanin" w:hAnsi="IRNazanin" w:eastAsia="IRNazanin"/>
          <w:color w:val="111111"/>
          <w:sz w:val="28"/>
          <w:sz w:val="28"/>
          <w:szCs w:val="28"/>
          <w:rtl w:val="true"/>
          <w:lang w:bidi="fa-IR"/>
        </w:rPr>
        <w:t xml:space="preserve">مستحیلًا إلی الکرش، فإن کانت الإنفحة هی اللبن المستحیل فلا إشکال فی طهارته ذاتاً لکونه ممّا لا تحلّه الحیاة، و عَرَضاً لأنّ الحکم بطهارته مع کونه مائعاً یستلزم الحکم بعدم تأثیرها بملاقاة المیتة، و إن کانت هی الکرش فلا إشکال أیضاً فی طهارة ذاته و إن کان ممّا تحلّه الحیاة کما فی الروضة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وجوب غسل ظاهرها لملاقاتها للمیتة کالصوف المقلوع وجهٌ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ظاهر الروایات اختصاص الإنفحة بما کان من مأکول اللحم؛ و لذا تردّد صاحب المعالم فیما کان من غیره </w:t>
      </w:r>
      <w:r>
        <w:rPr>
          <w:rStyle w:val="FootnoteAnchor"/>
          <w:rtl w:val="true"/>
        </w:rPr>
        <w:footnoteReference w:id="350"/>
      </w:r>
      <w:r>
        <w:rPr>
          <w:rFonts w:ascii="IRNazanin" w:hAnsi="IRNazanin" w:eastAsia="IRNazanin"/>
          <w:color w:val="111111"/>
          <w:sz w:val="28"/>
          <w:sz w:val="28"/>
          <w:szCs w:val="28"/>
          <w:rtl w:val="true"/>
          <w:lang w:bidi="fa-IR"/>
        </w:rPr>
        <w:t xml:space="preserve">، إلّا أنّ ما ورد من التعلیل فی بعض الأخبار المتقدّمة بعلّة أنّه لیس لها دم و لا عرق و لا عظم </w:t>
      </w:r>
      <w:r>
        <w:rPr>
          <w:rStyle w:val="FootnoteAnchor"/>
          <w:rtl w:val="true"/>
        </w:rPr>
        <w:footnoteReference w:id="351"/>
      </w:r>
      <w:r>
        <w:rPr>
          <w:rFonts w:ascii="IRNazanin" w:hAnsi="IRNazanin" w:eastAsia="IRNazanin"/>
          <w:color w:val="111111"/>
          <w:sz w:val="28"/>
          <w:sz w:val="28"/>
          <w:szCs w:val="28"/>
          <w:rtl w:val="true"/>
          <w:lang w:bidi="fa-IR"/>
        </w:rPr>
        <w:t xml:space="preserve">و أنّها بمنزلة البیضة </w:t>
      </w:r>
      <w:r>
        <w:rPr>
          <w:rStyle w:val="FootnoteAnchor"/>
          <w:rtl w:val="true"/>
        </w:rPr>
        <w:footnoteReference w:id="352"/>
      </w:r>
      <w:r>
        <w:rPr>
          <w:rFonts w:ascii="IRNazanin" w:hAnsi="IRNazanin" w:eastAsia="IRNazanin"/>
          <w:color w:val="111111"/>
          <w:sz w:val="28"/>
          <w:sz w:val="28"/>
          <w:szCs w:val="28"/>
          <w:rtl w:val="true"/>
          <w:lang w:bidi="fa-IR"/>
        </w:rPr>
        <w:t>ربّما یفید العموم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اللبن، فالأقوی أیضاً طهارته، وفاقاً للمحکیّ عن الکلینی </w:t>
      </w:r>
      <w:r>
        <w:rPr>
          <w:rStyle w:val="FootnoteAnchor"/>
          <w:rtl w:val="true"/>
        </w:rPr>
        <w:footnoteReference w:id="353"/>
      </w:r>
      <w:r>
        <w:rPr>
          <w:rFonts w:ascii="IRNazanin" w:hAnsi="IRNazanin" w:eastAsia="IRNazanin"/>
          <w:color w:val="111111"/>
          <w:sz w:val="28"/>
          <w:sz w:val="28"/>
          <w:szCs w:val="28"/>
          <w:rtl w:val="true"/>
          <w:lang w:bidi="fa-IR"/>
        </w:rPr>
        <w:t xml:space="preserve">و الصدوق </w:t>
      </w:r>
      <w:r>
        <w:rPr>
          <w:rStyle w:val="FootnoteAnchor"/>
          <w:rtl w:val="true"/>
        </w:rPr>
        <w:footnoteReference w:id="354"/>
      </w:r>
      <w:r>
        <w:rPr>
          <w:rFonts w:ascii="IRNazanin" w:hAnsi="IRNazanin" w:eastAsia="IRNazanin"/>
          <w:color w:val="111111"/>
          <w:sz w:val="28"/>
          <w:sz w:val="28"/>
          <w:szCs w:val="28"/>
          <w:rtl w:val="true"/>
          <w:lang w:bidi="fa-IR"/>
        </w:rPr>
        <w:t xml:space="preserve">و الشیخین </w:t>
      </w:r>
      <w:r>
        <w:rPr>
          <w:rStyle w:val="FootnoteAnchor"/>
          <w:rtl w:val="true"/>
        </w:rPr>
        <w:footnoteReference w:id="355"/>
      </w:r>
      <w:r>
        <w:rPr>
          <w:rFonts w:ascii="IRNazanin" w:hAnsi="IRNazanin" w:eastAsia="IRNazanin"/>
          <w:color w:val="111111"/>
          <w:sz w:val="28"/>
          <w:sz w:val="28"/>
          <w:szCs w:val="28"/>
          <w:rtl w:val="true"/>
          <w:lang w:bidi="fa-IR"/>
        </w:rPr>
        <w:t xml:space="preserve">و القاضی </w:t>
      </w:r>
      <w:r>
        <w:rPr>
          <w:rStyle w:val="FootnoteAnchor"/>
          <w:rtl w:val="true"/>
        </w:rPr>
        <w:footnoteReference w:id="356"/>
      </w:r>
      <w:r>
        <w:rPr>
          <w:rFonts w:ascii="Amiri" w:hAnsi="Amiri" w:eastAsia="Amiri" w:cs="Amiri"/>
          <w:color w:val="111111"/>
          <w:sz w:val="28"/>
          <w:sz w:val="28"/>
          <w:szCs w:val="28"/>
          <w:rtl w:val="true"/>
          <w:lang w:bidi="ar-SA"/>
        </w:rPr>
        <w:t xml:space="preserve">و ابن زهرة </w:t>
      </w:r>
      <w:r>
        <w:rPr>
          <w:rStyle w:val="FootnoteAnchor"/>
          <w:rtl w:val="true"/>
        </w:rPr>
        <w:footnoteReference w:id="357"/>
      </w:r>
      <w:r>
        <w:rPr>
          <w:rFonts w:ascii="Amiri" w:hAnsi="Amiri" w:eastAsia="Amiri" w:cs="Amiri"/>
          <w:color w:val="111111"/>
          <w:sz w:val="28"/>
          <w:sz w:val="28"/>
          <w:szCs w:val="28"/>
          <w:rtl w:val="true"/>
          <w:lang w:bidi="ar-SA"/>
        </w:rPr>
        <w:t xml:space="preserve">و ابن حمزة </w:t>
      </w:r>
      <w:r>
        <w:rPr>
          <w:rStyle w:val="FootnoteAnchor"/>
          <w:rtl w:val="true"/>
        </w:rPr>
        <w:footnoteReference w:id="358"/>
      </w:r>
      <w:r>
        <w:rPr>
          <w:rFonts w:ascii="IRNazanin" w:hAnsi="IRNazanin" w:eastAsia="IRNazanin"/>
          <w:color w:val="111111"/>
          <w:sz w:val="28"/>
          <w:sz w:val="28"/>
          <w:szCs w:val="28"/>
          <w:rtl w:val="true"/>
          <w:lang w:bidi="fa-IR"/>
        </w:rPr>
        <w:t>و الشهیدین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الدروس </w:t>
      </w:r>
      <w:r>
        <w:rPr>
          <w:rStyle w:val="FootnoteAnchor"/>
          <w:rtl w:val="true"/>
        </w:rPr>
        <w:footnoteReference w:id="359"/>
      </w:r>
      <w:r>
        <w:rPr>
          <w:rFonts w:ascii="IRNazanin" w:hAnsi="IRNazanin" w:eastAsia="IRNazanin"/>
          <w:color w:val="111111"/>
          <w:sz w:val="28"/>
          <w:sz w:val="28"/>
          <w:szCs w:val="28"/>
          <w:rtl w:val="true"/>
          <w:lang w:bidi="fa-IR"/>
        </w:rPr>
        <w:t xml:space="preserve">و المسالک </w:t>
      </w:r>
      <w:r>
        <w:rPr>
          <w:rStyle w:val="FootnoteAnchor"/>
          <w:rtl w:val="true"/>
        </w:rPr>
        <w:footnoteReference w:id="360"/>
      </w:r>
      <w:r>
        <w:rPr>
          <w:rFonts w:ascii="IRNazanin" w:hAnsi="IRNazanin" w:eastAsia="IRNazanin"/>
          <w:color w:val="111111"/>
          <w:sz w:val="28"/>
          <w:sz w:val="28"/>
          <w:szCs w:val="28"/>
          <w:rtl w:val="true"/>
          <w:lang w:bidi="fa-IR"/>
        </w:rPr>
        <w:t>و جماعة من المتأخّرین،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المدارک </w:t>
      </w:r>
      <w:r>
        <w:rPr>
          <w:rStyle w:val="FootnoteAnchor"/>
          <w:rtl w:val="true"/>
        </w:rPr>
        <w:footnoteReference w:id="361"/>
      </w:r>
      <w:r>
        <w:rPr>
          <w:rFonts w:ascii="IRNazanin" w:hAnsi="IRNazanin" w:eastAsia="IRNazanin"/>
          <w:color w:val="111111"/>
          <w:sz w:val="28"/>
          <w:sz w:val="28"/>
          <w:szCs w:val="28"/>
          <w:rtl w:val="true"/>
          <w:lang w:bidi="fa-IR"/>
        </w:rPr>
        <w:t xml:space="preserve">و الکفایة </w:t>
      </w:r>
      <w:r>
        <w:rPr>
          <w:rStyle w:val="FootnoteAnchor"/>
          <w:rtl w:val="true"/>
        </w:rPr>
        <w:footnoteReference w:id="362"/>
      </w: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363"/>
      </w:r>
      <w:r>
        <w:rPr>
          <w:rFonts w:ascii="IRNazanin" w:hAnsi="IRNazanin" w:eastAsia="IRNazanin"/>
          <w:color w:val="111111"/>
          <w:sz w:val="28"/>
          <w:sz w:val="28"/>
          <w:szCs w:val="28"/>
          <w:rtl w:val="true"/>
          <w:lang w:bidi="fa-IR"/>
        </w:rPr>
        <w:t xml:space="preserve">و المشارق </w:t>
      </w:r>
      <w:r>
        <w:rPr>
          <w:rStyle w:val="FootnoteAnchor"/>
          <w:rtl w:val="true"/>
        </w:rPr>
        <w:footnoteReference w:id="364"/>
      </w:r>
      <w:r>
        <w:rPr>
          <w:rFonts w:ascii="IRNazanin" w:hAnsi="IRNazanin" w:eastAsia="IRNazanin"/>
          <w:color w:val="111111"/>
          <w:sz w:val="28"/>
          <w:sz w:val="28"/>
          <w:szCs w:val="28"/>
          <w:rtl w:val="true"/>
          <w:lang w:bidi="fa-IR"/>
        </w:rPr>
        <w:t xml:space="preserve">و الریاض </w:t>
      </w:r>
      <w:r>
        <w:rPr>
          <w:rStyle w:val="FootnoteAnchor"/>
          <w:rtl w:val="true"/>
        </w:rPr>
        <w:footnoteReference w:id="365"/>
      </w:r>
      <w:r>
        <w:rPr>
          <w:rFonts w:ascii="IRNazanin" w:hAnsi="IRNazanin" w:eastAsia="IRNazanin"/>
          <w:color w:val="111111"/>
          <w:sz w:val="28"/>
          <w:sz w:val="28"/>
          <w:szCs w:val="28"/>
          <w:rtl w:val="true"/>
          <w:lang w:bidi="fa-IR"/>
        </w:rPr>
        <w:t xml:space="preserve">و الحدائق </w:t>
      </w:r>
      <w:r>
        <w:rPr>
          <w:rStyle w:val="FootnoteAnchor"/>
          <w:rtl w:val="true"/>
        </w:rPr>
        <w:footnoteReference w:id="366"/>
      </w:r>
      <w:r>
        <w:rPr>
          <w:rFonts w:ascii="IRNazanin" w:hAnsi="IRNazanin" w:eastAsia="IRNazanin"/>
          <w:color w:val="111111"/>
          <w:sz w:val="28"/>
          <w:sz w:val="28"/>
          <w:szCs w:val="28"/>
          <w:rtl w:val="true"/>
          <w:lang w:bidi="fa-IR"/>
        </w:rPr>
        <w:t xml:space="preserve">و المفاتیح </w:t>
      </w:r>
      <w:r>
        <w:rPr>
          <w:rStyle w:val="FootnoteAnchor"/>
          <w:rtl w:val="true"/>
        </w:rPr>
        <w:footnoteReference w:id="367"/>
      </w:r>
      <w:r>
        <w:rPr>
          <w:rFonts w:ascii="IRNazanin" w:hAnsi="IRNazanin" w:eastAsia="IRNazanin"/>
          <w:color w:val="111111"/>
          <w:sz w:val="28"/>
          <w:sz w:val="28"/>
          <w:szCs w:val="28"/>
          <w:rtl w:val="true"/>
          <w:lang w:bidi="fa-IR"/>
        </w:rPr>
        <w:t xml:space="preserve">و المستند </w:t>
      </w:r>
      <w:r>
        <w:rPr>
          <w:rStyle w:val="FootnoteAnchor"/>
          <w:rtl w:val="true"/>
        </w:rPr>
        <w:footnoteReference w:id="368"/>
      </w:r>
      <w:r>
        <w:rPr>
          <w:rFonts w:ascii="IRNazanin" w:hAnsi="IRNazanin" w:eastAsia="IRNazanin"/>
          <w:color w:val="111111"/>
          <w:sz w:val="28"/>
          <w:sz w:val="28"/>
          <w:szCs w:val="28"/>
          <w:rtl w:val="true"/>
          <w:lang w:bidi="fa-IR"/>
        </w:rPr>
        <w:t xml:space="preserve">و الجواهر </w:t>
      </w:r>
      <w:r>
        <w:rPr>
          <w:rStyle w:val="FootnoteAnchor"/>
          <w:rtl w:val="true"/>
        </w:rPr>
        <w:footnoteReference w:id="369"/>
      </w:r>
      <w:r>
        <w:rPr>
          <w:rFonts w:ascii="IRNazanin" w:hAnsi="IRNazanin" w:eastAsia="IRNazanin"/>
          <w:color w:val="111111"/>
          <w:sz w:val="28"/>
          <w:sz w:val="28"/>
          <w:szCs w:val="28"/>
          <w:rtl w:val="true"/>
          <w:lang w:bidi="fa-IR"/>
        </w:rPr>
        <w:t xml:space="preserve">و غیرهم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المشهور بین الأصحاب کما فی اللمعة </w:t>
      </w:r>
      <w:r>
        <w:rPr>
          <w:rStyle w:val="FootnoteAnchor"/>
          <w:rtl w:val="true"/>
        </w:rPr>
        <w:footnoteReference w:id="371"/>
      </w:r>
      <w:r>
        <w:rPr>
          <w:rFonts w:ascii="IRNazanin" w:hAnsi="IRNazanin" w:eastAsia="IRNazanin"/>
          <w:color w:val="111111"/>
          <w:sz w:val="28"/>
          <w:sz w:val="28"/>
          <w:szCs w:val="28"/>
          <w:rtl w:val="true"/>
          <w:lang w:bidi="fa-IR"/>
        </w:rPr>
        <w:t xml:space="preserve">و عن البیان </w:t>
      </w:r>
      <w:r>
        <w:rPr>
          <w:rStyle w:val="FootnoteAnchor"/>
          <w:rtl w:val="true"/>
        </w:rPr>
        <w:footnoteReference w:id="372"/>
      </w:r>
      <w:r>
        <w:rPr>
          <w:rFonts w:ascii="IRNazanin" w:hAnsi="IRNazanin" w:eastAsia="IRNazanin"/>
          <w:color w:val="111111"/>
          <w:sz w:val="28"/>
          <w:sz w:val="28"/>
          <w:szCs w:val="28"/>
          <w:rtl w:val="true"/>
          <w:lang w:bidi="fa-IR"/>
        </w:rPr>
        <w:t>، کما عن أطعمة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مذهب أکثر المتقدّمین و جمعٍ من متأخری المتأخّرین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ندرة القائل بخلافه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الخلاف </w:t>
      </w:r>
      <w:r>
        <w:rPr>
          <w:rStyle w:val="FootnoteAnchor"/>
          <w:rtl w:val="true"/>
        </w:rPr>
        <w:footnoteReference w:id="375"/>
      </w:r>
      <w:r>
        <w:rPr>
          <w:rFonts w:ascii="IRNazanin" w:hAnsi="IRNazanin" w:eastAsia="IRNazanin"/>
          <w:color w:val="111111"/>
          <w:sz w:val="28"/>
          <w:sz w:val="28"/>
          <w:szCs w:val="28"/>
          <w:rtl w:val="true"/>
          <w:lang w:bidi="fa-IR"/>
        </w:rPr>
        <w:t xml:space="preserve">و الغنیة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المرویّة عن الفقیه و التهذیب،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الإنفحة تخرج من بطن الجدی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یکون فی ضرع الشاة و قد ماتت؟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الصوف و الشعر و عظام الفیل و البیض یخرج من الدجاجة؟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لا بأس</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الحسین بن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أبی عند الصادق علیه السلام و أبی یسأله عن السنّ من المیتة و اللبن من المیتة و البیضة من المیتة و إنفحة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هذا ذکی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نحوهما مرسلة الفقیه المسندة فی الخصال إلی ابن أبی عمیر المرفوعة منه إلی الصادق علیه السلام </w:t>
      </w:r>
      <w:r>
        <w:rPr>
          <w:rStyle w:val="FootnoteAnchor"/>
          <w:rtl w:val="true"/>
        </w:rPr>
        <w:footnoteReference w:id="379"/>
      </w:r>
      <w:r>
        <w:rPr>
          <w:rFonts w:ascii="IRNazanin" w:hAnsi="IRNazanin" w:eastAsia="IRNazanin"/>
          <w:color w:val="111111"/>
          <w:sz w:val="28"/>
          <w:sz w:val="28"/>
          <w:szCs w:val="28"/>
          <w:rtl w:val="true"/>
          <w:lang w:bidi="fa-IR"/>
        </w:rPr>
        <w:t xml:space="preserve">، و ربّما یستدلّ بحسنة حریز المتقدّمة </w:t>
      </w:r>
      <w:r>
        <w:rPr>
          <w:rStyle w:val="FootnoteAnchor"/>
          <w:rtl w:val="true"/>
        </w:rPr>
        <w:footnoteReference w:id="380"/>
      </w:r>
      <w:r>
        <w:rPr>
          <w:rFonts w:ascii="IRNazanin" w:hAnsi="IRNazanin" w:eastAsia="IRNazanin"/>
          <w:color w:val="111111"/>
          <w:sz w:val="28"/>
          <w:sz w:val="28"/>
          <w:szCs w:val="28"/>
          <w:rtl w:val="true"/>
          <w:lang w:bidi="fa-IR"/>
        </w:rPr>
        <w:t>، و فیه نظر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للمحکیّ عن سلّار </w:t>
      </w:r>
      <w:r>
        <w:rPr>
          <w:rStyle w:val="FootnoteAnchor"/>
          <w:rtl w:val="true"/>
        </w:rPr>
        <w:footnoteReference w:id="381"/>
      </w:r>
      <w:r>
        <w:rPr>
          <w:rFonts w:ascii="Amiri" w:hAnsi="Amiri" w:eastAsia="Amiri" w:cs="Amiri"/>
          <w:color w:val="111111"/>
          <w:sz w:val="28"/>
          <w:sz w:val="28"/>
          <w:szCs w:val="28"/>
          <w:rtl w:val="true"/>
          <w:lang w:bidi="ar-SA"/>
        </w:rPr>
        <w:t xml:space="preserve">و الحلیّ </w:t>
      </w:r>
      <w:r>
        <w:rPr>
          <w:rStyle w:val="FootnoteAnchor"/>
          <w:rtl w:val="true"/>
        </w:rPr>
        <w:footnoteReference w:id="382"/>
      </w:r>
      <w:r>
        <w:rPr>
          <w:rFonts w:ascii="Amiri" w:hAnsi="Amiri" w:eastAsia="Amiri" w:cs="Amiri"/>
          <w:color w:val="111111"/>
          <w:sz w:val="28"/>
          <w:sz w:val="28"/>
          <w:szCs w:val="28"/>
          <w:rtl w:val="true"/>
          <w:lang w:bidi="ar-SA"/>
        </w:rPr>
        <w:t xml:space="preserve">و المحقّق </w:t>
      </w:r>
      <w:r>
        <w:rPr>
          <w:rStyle w:val="FootnoteAnchor"/>
          <w:rtl w:val="true"/>
        </w:rPr>
        <w:footnoteReference w:id="383"/>
      </w:r>
      <w:r>
        <w:rPr>
          <w:rFonts w:ascii="Amiri" w:hAnsi="Amiri" w:eastAsia="Amiri" w:cs="Amiri"/>
          <w:color w:val="111111"/>
          <w:sz w:val="28"/>
          <w:sz w:val="28"/>
          <w:szCs w:val="28"/>
          <w:rtl w:val="true"/>
          <w:lang w:bidi="ar-SA"/>
        </w:rPr>
        <w:t>و المصنّف فی کثیرٍ من</w:t>
      </w:r>
    </w:p>
    <w:p>
      <w:pPr>
        <w:pStyle w:val="BookText"/>
        <w:rPr/>
      </w:pPr>
      <w:r>
        <w:rPr>
          <w:rFonts w:ascii="IRNazanin" w:hAnsi="IRNazanin" w:eastAsia="IRNazanin"/>
          <w:color w:val="111111"/>
          <w:sz w:val="28"/>
          <w:sz w:val="28"/>
          <w:szCs w:val="28"/>
          <w:rtl w:val="true"/>
          <w:lang w:bidi="fa-IR"/>
        </w:rPr>
        <w:t xml:space="preserve">کتبه </w:t>
      </w:r>
      <w:r>
        <w:rPr>
          <w:rStyle w:val="FootnoteAnchor"/>
          <w:rtl w:val="true"/>
        </w:rPr>
        <w:footnoteReference w:id="384"/>
      </w:r>
      <w:r>
        <w:rPr>
          <w:rFonts w:ascii="IRNazanin" w:hAnsi="IRNazanin" w:eastAsia="IRNazanin"/>
          <w:color w:val="111111"/>
          <w:sz w:val="28"/>
          <w:sz w:val="28"/>
          <w:szCs w:val="28"/>
          <w:rtl w:val="true"/>
          <w:lang w:bidi="fa-IR"/>
        </w:rPr>
        <w:t xml:space="preserve">و أبی العباس </w:t>
      </w:r>
      <w:r>
        <w:rPr>
          <w:rStyle w:val="FootnoteAnchor"/>
          <w:rtl w:val="true"/>
        </w:rPr>
        <w:footnoteReference w:id="385"/>
      </w:r>
      <w:r>
        <w:rPr>
          <w:rFonts w:ascii="IRNazanin" w:hAnsi="IRNazanin" w:eastAsia="IRNazanin"/>
          <w:color w:val="111111"/>
          <w:sz w:val="28"/>
          <w:sz w:val="28"/>
          <w:szCs w:val="28"/>
          <w:rtl w:val="true"/>
          <w:lang w:bidi="fa-IR"/>
        </w:rPr>
        <w:t xml:space="preserve">و الفاضل المقداد فی أطعمة التنقیح </w:t>
      </w:r>
      <w:r>
        <w:rPr>
          <w:rStyle w:val="FootnoteAnchor"/>
          <w:rtl w:val="true"/>
        </w:rPr>
        <w:footnoteReference w:id="386"/>
      </w:r>
      <w:r>
        <w:rPr>
          <w:rFonts w:ascii="IRNazanin" w:hAnsi="IRNazanin" w:eastAsia="IRNazanin"/>
          <w:color w:val="111111"/>
          <w:sz w:val="28"/>
          <w:sz w:val="28"/>
          <w:szCs w:val="28"/>
          <w:rtl w:val="true"/>
          <w:lang w:bidi="fa-IR"/>
        </w:rPr>
        <w:t xml:space="preserve">و الصیمری </w:t>
      </w:r>
      <w:r>
        <w:rPr>
          <w:rStyle w:val="FootnoteAnchor"/>
          <w:rtl w:val="true"/>
        </w:rPr>
        <w:footnoteReference w:id="387"/>
      </w:r>
      <w:r>
        <w:rPr>
          <w:rFonts w:ascii="IRNazanin" w:hAnsi="IRNazanin" w:eastAsia="IRNazanin"/>
          <w:color w:val="111111"/>
          <w:sz w:val="28"/>
          <w:sz w:val="28"/>
          <w:szCs w:val="28"/>
          <w:rtl w:val="true"/>
          <w:lang w:bidi="fa-IR"/>
        </w:rPr>
        <w:t xml:space="preserve">و المحقّق الکرکی فی جامع المقاصد </w:t>
      </w:r>
      <w:r>
        <w:rPr>
          <w:rStyle w:val="FootnoteAnchor"/>
          <w:rtl w:val="true"/>
        </w:rPr>
        <w:footnoteReference w:id="388"/>
      </w:r>
      <w:r>
        <w:rPr>
          <w:rFonts w:ascii="IRNazanin" w:hAnsi="IRNazanin" w:eastAsia="IRNazanin"/>
          <w:color w:val="111111"/>
          <w:sz w:val="28"/>
          <w:sz w:val="28"/>
          <w:szCs w:val="28"/>
          <w:rtl w:val="true"/>
          <w:lang w:bidi="fa-IR"/>
        </w:rPr>
        <w:t xml:space="preserve">، بل فیه و فی المنتهی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 و عن أطعمة 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مذهب المتأخّرین </w:t>
      </w:r>
      <w:r>
        <w:rPr>
          <w:rStyle w:val="FootnoteAnchor"/>
          <w:rtl w:val="true"/>
        </w:rPr>
        <w:footnoteReference w:id="390"/>
      </w:r>
      <w:r>
        <w:rPr>
          <w:rFonts w:ascii="IRNazanin" w:hAnsi="IRNazanin" w:eastAsia="IRNazanin"/>
          <w:color w:val="111111"/>
          <w:sz w:val="28"/>
          <w:sz w:val="28"/>
          <w:szCs w:val="28"/>
          <w:rtl w:val="true"/>
          <w:lang w:bidi="fa-IR"/>
        </w:rPr>
        <w:t>، بل عن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خلاف فیه بین المحصّلین </w:t>
      </w:r>
      <w:r>
        <w:rPr>
          <w:rStyle w:val="FootnoteAnchor"/>
          <w:rtl w:val="true"/>
        </w:rPr>
        <w:footnoteReference w:id="391"/>
      </w:r>
      <w:r>
        <w:rPr>
          <w:rFonts w:ascii="IRNazanin" w:hAnsi="IRNazanin" w:eastAsia="IRNazanin"/>
          <w:color w:val="111111"/>
          <w:sz w:val="28"/>
          <w:sz w:val="28"/>
          <w:szCs w:val="28"/>
          <w:rtl w:val="true"/>
          <w:lang w:bidi="fa-IR"/>
        </w:rPr>
        <w:t>، و إن اعترضه کاشف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الشیخین مخالفان و المرتضی و أتباعه لم یتعرّضوا للمسألة، فلا أعرف من بقی معه من المحصّلین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لهم علی ذلک مضافاً إلی القاعدة المجمع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وهب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 السلام سئل عن شاةٍ ماتت فحلب منها لبن؟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الحرام محضاً</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و الروایة و إن کانت ضعیفة السند بمن هو من </w:t>
      </w:r>
      <w:r>
        <w:rPr>
          <w:rStyle w:val="FootnoteAnchor"/>
          <w:rtl w:val="true"/>
        </w:rPr>
        <w:footnoteReference w:id="394"/>
      </w:r>
      <w:r>
        <w:rPr>
          <w:rFonts w:ascii="IRNazanin" w:hAnsi="IRNazanin" w:eastAsia="IRNazanin"/>
          <w:color w:val="111111"/>
          <w:sz w:val="28"/>
          <w:sz w:val="28"/>
          <w:szCs w:val="28"/>
          <w:rtl w:val="true"/>
          <w:lang w:bidi="fa-IR"/>
        </w:rPr>
        <w:t>أکذب</w:t>
      </w:r>
    </w:p>
    <w:p>
      <w:pPr>
        <w:pStyle w:val="BookText"/>
        <w:rPr/>
      </w:pPr>
      <w:r>
        <w:rPr>
          <w:rFonts w:ascii="Amiri" w:hAnsi="Amiri" w:eastAsia="Amiri" w:cs="Amiri"/>
          <w:color w:val="111111"/>
          <w:sz w:val="28"/>
          <w:sz w:val="28"/>
          <w:szCs w:val="28"/>
          <w:rtl w:val="true"/>
          <w:lang w:bidi="ar-SA"/>
        </w:rPr>
        <w:t xml:space="preserve">البریّة </w:t>
      </w:r>
      <w:r>
        <w:rPr>
          <w:rStyle w:val="FootnoteAnchor"/>
          <w:rtl w:val="true"/>
        </w:rPr>
        <w:footnoteReference w:id="395"/>
      </w:r>
      <w:r>
        <w:rPr>
          <w:rFonts w:ascii="IRNazanin" w:hAnsi="IRNazanin" w:eastAsia="IRNazanin"/>
          <w:color w:val="111111"/>
          <w:sz w:val="28"/>
          <w:sz w:val="28"/>
          <w:szCs w:val="28"/>
          <w:rtl w:val="true"/>
          <w:lang w:bidi="fa-IR"/>
        </w:rPr>
        <w:t xml:space="preserve">، موافقةً لمذهب العامّة کما عن الشیخ </w:t>
      </w:r>
      <w:r>
        <w:rPr>
          <w:rStyle w:val="FootnoteAnchor"/>
          <w:rtl w:val="true"/>
        </w:rPr>
        <w:footnoteReference w:id="396"/>
      </w:r>
      <w:r>
        <w:rPr>
          <w:rFonts w:ascii="IRNazanin" w:hAnsi="IRNazanin" w:eastAsia="IRNazanin"/>
          <w:color w:val="111111"/>
          <w:sz w:val="28"/>
          <w:sz w:val="28"/>
          <w:szCs w:val="28"/>
          <w:rtl w:val="true"/>
          <w:lang w:bidi="fa-IR"/>
        </w:rPr>
        <w:t>، إلّا أنّها منجبرة بالقاعدة، کما أنّ روایات الطهارة و إن کانت صحیحة، إلّا أنّها مخالفة للقاعدة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الأخبار الصحیحة المخالفة لأُصول المذهب غیر عزیز، إلّا أن تعضد بفتوی الأصحاب کما فی الإنفحة، أو بشهرة عظیمة توجب شذوذ المخالف، و ما نحن فیه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القول بالطهارة، ینبغی الاقتصار علی لبن المأکول؛ لأنّه المنصوص من الحکم المخالف، و لازم کلام المصنّف فی المنتهی </w:t>
      </w:r>
      <w:r>
        <w:rPr>
          <w:rStyle w:val="FootnoteAnchor"/>
          <w:rtl w:val="true"/>
        </w:rPr>
        <w:footnoteReference w:id="397"/>
      </w:r>
      <w:r>
        <w:rPr>
          <w:rFonts w:ascii="IRNazanin" w:hAnsi="IRNazanin" w:eastAsia="IRNazanin"/>
          <w:color w:val="111111"/>
          <w:sz w:val="28"/>
          <w:sz w:val="28"/>
          <w:szCs w:val="28"/>
          <w:rtl w:val="true"/>
          <w:lang w:bidi="fa-IR"/>
        </w:rPr>
        <w:t xml:space="preserve">و النهایة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تقیید البیضة بما کان من المأکول، ثبوت هذا التقیید هنا بطریقٍ أولی، و کذا لازم صاحب المعالم حیث تردّد فی إنفحة غیر المأکول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فالاحتیاط ممّا لا ینبغی ترکه و إن کان روایة الحسین بن زرارة المتقدّمة </w:t>
      </w:r>
      <w:r>
        <w:rPr>
          <w:rStyle w:val="FootnoteAnchor"/>
          <w:rtl w:val="true"/>
        </w:rPr>
        <w:footnoteReference w:id="400"/>
      </w:r>
      <w:r>
        <w:rPr>
          <w:rFonts w:ascii="IRNazanin" w:hAnsi="IRNazanin" w:eastAsia="IRNazanin"/>
          <w:color w:val="111111"/>
          <w:sz w:val="28"/>
          <w:sz w:val="28"/>
          <w:szCs w:val="28"/>
          <w:rtl w:val="true"/>
          <w:lang w:bidi="fa-IR"/>
        </w:rPr>
        <w:t>مطلقة، إلّا أنّ دعوی الانصراف غیر بعیدة؛ من جهة أنّ الظاهر کون السؤال من جهة الشرب فلا یعم غیر المأکول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الجنین فی بطن الحیوان حِلٌّ بذکاة امّه إن کان طاهراً حلالًا، و إلّا فهو محرّمٌ نجس کما صرّح به فی الذکری </w:t>
      </w:r>
      <w:r>
        <w:rPr>
          <w:rStyle w:val="FootnoteAnchor"/>
          <w:rtl w:val="true"/>
        </w:rPr>
        <w:footnoteReference w:id="401"/>
      </w:r>
      <w:r>
        <w:rPr>
          <w:rFonts w:ascii="IRNazanin" w:hAnsi="IRNazanin" w:eastAsia="IRNazanin"/>
          <w:color w:val="111111"/>
          <w:sz w:val="28"/>
          <w:sz w:val="28"/>
          <w:szCs w:val="28"/>
          <w:rtl w:val="true"/>
          <w:lang w:bidi="fa-IR"/>
        </w:rPr>
        <w:t xml:space="preserve">و کشف الغطاء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شرح</w:t>
      </w:r>
    </w:p>
    <w:p>
      <w:pPr>
        <w:pStyle w:val="BookText"/>
        <w:rPr/>
      </w:pP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اتّفاق الفقهاء علیه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الخلاف فیه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کأنّه لعموم ما دلّ علی نجاسة الأجزاء المنفصلة من الحیّ و المیتة ممّا تحلّه الحیاة، فإنّ الظاهر حلول حیاة الأُمّ فیه و عدم استقلاله ما لم تلجه الروح، فهو کباقی ما فی الأحشاء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ذکاة الجنین ذکاة أُمّه</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فإنّه دالّ علی أنّ مطلق الجنین و إن لم یلجه الروح محتاج إلی التذکیة، إلّا أنّ تذکیته یحصل بتذکیة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اختصاصه بما حلّ فیه الروح، مدفوعٌ بالإجماع علی شموله لما لم تحلّ فیه مع تمام خلقته، بل خصّ الروایة جماعةٌ </w:t>
      </w:r>
      <w:r>
        <w:rPr>
          <w:rStyle w:val="FootnoteAnchor"/>
          <w:rtl w:val="true"/>
        </w:rPr>
        <w:footnoteReference w:id="406"/>
      </w:r>
      <w:r>
        <w:rPr>
          <w:rFonts w:ascii="IRNazanin" w:hAnsi="IRNazanin" w:eastAsia="IRNazanin"/>
          <w:color w:val="111111"/>
          <w:sz w:val="28"/>
          <w:sz w:val="28"/>
          <w:szCs w:val="28"/>
          <w:rtl w:val="true"/>
          <w:lang w:bidi="fa-IR"/>
        </w:rPr>
        <w:t>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فالروایة صریحة فی عدم ذکاة الجنین من المیتة، فهو منها نجس، و کلّ ما کان نجساً ذاتاً من المیتة فهو نجس العین إذا انفصل من الحی،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بعض ما ذکرنا یظهر الوجه فی نجاسة ما یخرج مع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لحم أو شبهه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إشکال فیما ذکره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الاستثناء من طهارة ما ینفصل من المیتة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نجس العین، کالکلب و الخنزیر و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حاجة إلی ذکره؛ لأنّ الکلام فیما ینجس بالموت، لا ما کان نجساً حال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الحیاة أیضاً، بل قد یخلّ ذکره؛ بناء علی أنّ سائر أجزاء الکلب و أخویه تنجس بالموت، مضافاً إلی نجاسته العینیّة؛ بناءً علی عروض النجاسة العینیّة لنجس العین کالمتنجّس، و لا ینجس به ما لا تحلّه الحیاة، بل یکون علی نجاستها الأوّلیة، فافهم</w:t>
      </w:r>
      <w:r>
        <w:rPr>
          <w:rFonts w:eastAsia="IRNazanin" w:cs="IRNazanin"/>
          <w:color w:val="111111"/>
          <w:sz w:val="28"/>
          <w:szCs w:val="28"/>
          <w:rtl w:val="true"/>
          <w:lang w:bidi="fa-IR"/>
        </w:rPr>
        <w:t>.</w:t>
      </w:r>
      <w:bookmarkStart w:id="38" w:name="pg16911_259522"/>
    </w:p>
    <w:p>
      <w:pPr>
        <w:pStyle w:val="Heading5"/>
        <w:numPr>
          <w:ilvl w:val="4"/>
          <w:numId w:val="1"/>
        </w:numPr>
        <w:rPr/>
      </w:pPr>
      <w:bookmarkStart w:id="39" w:name="__RefHeading___Toc6618640_3224264995"/>
      <w:bookmarkStart w:id="40" w:name="_Toc15"/>
      <w:bookmarkEnd w:id="38"/>
      <w:bookmarkEnd w:id="39"/>
      <w:r>
        <w:rPr>
          <w:rtl w:val="true"/>
        </w:rPr>
        <w:t>[</w:t>
      </w:r>
      <w:r>
        <w:rPr>
          <w:rtl w:val="true"/>
        </w:rPr>
        <w:t>الخامس الدم</w:t>
      </w:r>
      <w:r>
        <w:rPr>
          <w:rtl w:val="true"/>
        </w:rPr>
        <w:t>]</w:t>
      </w:r>
      <w:bookmarkEnd w:id="4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الخامس من النجاسات الدم </w:t>
      </w:r>
      <w:r>
        <w:rPr>
          <w:rStyle w:val="FootnoteAnchor"/>
          <w:rtl w:val="true"/>
        </w:rPr>
        <w:footnoteReference w:id="4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من النجاسات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المسفوح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النفس السائلة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بإجماع علمائنا کما فی المعتبر </w:t>
      </w:r>
      <w:r>
        <w:rPr>
          <w:rStyle w:val="FootnoteAnchor"/>
          <w:rtl w:val="true"/>
        </w:rPr>
        <w:footnoteReference w:id="409"/>
      </w:r>
      <w:r>
        <w:rPr>
          <w:rFonts w:ascii="IRNazanin" w:hAnsi="IRNazanin" w:eastAsia="IRNazanin"/>
          <w:color w:val="111111"/>
          <w:sz w:val="28"/>
          <w:sz w:val="28"/>
          <w:szCs w:val="28"/>
          <w:rtl w:val="true"/>
          <w:lang w:bidi="fa-IR"/>
        </w:rPr>
        <w:t xml:space="preserve">و المنتهی </w:t>
      </w:r>
      <w:r>
        <w:rPr>
          <w:rStyle w:val="FootnoteAnchor"/>
          <w:rtl w:val="true"/>
        </w:rPr>
        <w:footnoteReference w:id="410"/>
      </w:r>
      <w:r>
        <w:rPr>
          <w:rFonts w:ascii="IRNazanin" w:hAnsi="IRNazanin" w:eastAsia="IRNazanin"/>
          <w:color w:val="111111"/>
          <w:sz w:val="28"/>
          <w:sz w:val="28"/>
          <w:szCs w:val="28"/>
          <w:rtl w:val="true"/>
          <w:lang w:bidi="fa-IR"/>
        </w:rPr>
        <w:t xml:space="preserve">، مع استثناء ابن الجنید فی الأوّل فی نجاسة ما دون الدرهم، لکنّه خلافٌ من حیث مقدار الدم، فلا یقدح فیما نحن فیه، بل فی المنتهی </w:t>
      </w:r>
      <w:r>
        <w:rPr>
          <w:rStyle w:val="FootnoteAnchor"/>
          <w:rtl w:val="true"/>
        </w:rPr>
        <w:footnoteReference w:id="411"/>
      </w:r>
      <w:r>
        <w:rPr>
          <w:rFonts w:ascii="IRNazanin" w:hAnsi="IRNazanin" w:eastAsia="IRNazanin"/>
          <w:color w:val="111111"/>
          <w:sz w:val="28"/>
          <w:sz w:val="28"/>
          <w:szCs w:val="28"/>
          <w:rtl w:val="true"/>
          <w:lang w:bidi="fa-IR"/>
        </w:rPr>
        <w:t xml:space="preserve">کما عن الغنیة </w:t>
      </w:r>
      <w:r>
        <w:rPr>
          <w:rStyle w:val="FootnoteAnchor"/>
          <w:rtl w:val="true"/>
        </w:rPr>
        <w:footnoteReference w:id="412"/>
      </w:r>
      <w:r>
        <w:rPr>
          <w:rFonts w:ascii="IRNazanin" w:hAnsi="IRNazanin" w:eastAsia="IRNazanin"/>
          <w:color w:val="111111"/>
          <w:sz w:val="28"/>
          <w:sz w:val="28"/>
          <w:szCs w:val="28"/>
          <w:rtl w:val="true"/>
          <w:lang w:bidi="fa-IR"/>
        </w:rPr>
        <w:t>و ظاهر</w:t>
      </w:r>
    </w:p>
    <w:p>
      <w:pPr>
        <w:pStyle w:val="BookText"/>
        <w:rPr/>
      </w:pPr>
      <w:r>
        <w:rPr>
          <w:rFonts w:ascii="IRNazanin" w:hAnsi="IRNazanin" w:eastAsia="IRNazanin"/>
          <w:color w:val="111111"/>
          <w:sz w:val="28"/>
          <w:sz w:val="28"/>
          <w:szCs w:val="28"/>
          <w:rtl w:val="true"/>
          <w:lang w:bidi="fa-IR"/>
        </w:rPr>
        <w:t xml:space="preserve">التذکرة </w:t>
      </w:r>
      <w:r>
        <w:rPr>
          <w:rStyle w:val="FootnoteAnchor"/>
          <w:rtl w:val="true"/>
        </w:rPr>
        <w:footnoteReference w:id="413"/>
      </w: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414"/>
      </w:r>
      <w:r>
        <w:rPr>
          <w:rFonts w:ascii="IRNazanin" w:hAnsi="IRNazanin" w:eastAsia="IRNazanin"/>
          <w:color w:val="111111"/>
          <w:sz w:val="28"/>
          <w:sz w:val="28"/>
          <w:szCs w:val="28"/>
          <w:rtl w:val="true"/>
          <w:lang w:bidi="fa-IR"/>
        </w:rPr>
        <w:t>اتّفاق المسلمین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علیه قبل الإجماع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یَکُونَ مَیْتَةً أَوْ دَماً مَسْفُوحاً أَوْ لَحْمَ خِنزِیرٍ فَإِنَّهُ رِجْسٌ</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بناءً علی أنّ إرجاع الضمیر إلی ما تکون میتةً أو دماً أو لحم 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الثوب من المنی و الدم و البول</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و فی 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من الطیر یتوضّأ بما یشرب منه إلّا أن تری فی منقاره دماً، فإن رأیت فی منقاره دماً فلا تشرب و لا تتوضأ</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 إلی غیر ذلک من الأخبار الواردة فی الدماء الخاصّة علی وجهٍ یعلم کون نجاستها مفروغاً عنها، کدم الرعاف </w:t>
      </w:r>
      <w:r>
        <w:rPr>
          <w:rStyle w:val="FootnoteAnchor"/>
          <w:rtl w:val="true"/>
        </w:rPr>
        <w:footnoteReference w:id="418"/>
      </w:r>
      <w:r>
        <w:rPr>
          <w:rFonts w:ascii="Amiri" w:hAnsi="Amiri" w:eastAsia="Amiri" w:cs="Amiri"/>
          <w:color w:val="111111"/>
          <w:sz w:val="28"/>
          <w:sz w:val="28"/>
          <w:szCs w:val="28"/>
          <w:rtl w:val="true"/>
          <w:lang w:bidi="ar-SA"/>
        </w:rPr>
        <w:t xml:space="preserve">و الدماء الثلاثة </w:t>
      </w:r>
      <w:r>
        <w:rPr>
          <w:rStyle w:val="FootnoteAnchor"/>
          <w:rtl w:val="true"/>
        </w:rPr>
        <w:footnoteReference w:id="419"/>
      </w:r>
      <w:r>
        <w:rPr>
          <w:rFonts w:ascii="IRNazanin" w:hAnsi="IRNazanin" w:eastAsia="IRNazanin"/>
          <w:color w:val="111111"/>
          <w:sz w:val="28"/>
          <w:sz w:val="28"/>
          <w:szCs w:val="28"/>
          <w:rtl w:val="true"/>
          <w:lang w:bidi="fa-IR"/>
        </w:rPr>
        <w:t xml:space="preserve">و دم القروح و الجروح </w:t>
      </w:r>
      <w:r>
        <w:rPr>
          <w:rStyle w:val="FootnoteAnchor"/>
          <w:rtl w:val="true"/>
        </w:rPr>
        <w:footnoteReference w:id="420"/>
      </w:r>
      <w:r>
        <w:rPr>
          <w:rFonts w:ascii="IRNazanin" w:hAnsi="IRNazanin" w:eastAsia="IRNazanin"/>
          <w:color w:val="111111"/>
          <w:sz w:val="28"/>
          <w:sz w:val="28"/>
          <w:szCs w:val="28"/>
          <w:rtl w:val="true"/>
          <w:lang w:bidi="fa-IR"/>
        </w:rPr>
        <w:t xml:space="preserve">و دم حکّة الجلد </w:t>
      </w:r>
      <w:r>
        <w:rPr>
          <w:rStyle w:val="FootnoteAnchor"/>
          <w:rtl w:val="true"/>
        </w:rPr>
        <w:footnoteReference w:id="421"/>
      </w:r>
      <w:r>
        <w:rPr>
          <w:rFonts w:ascii="IRNazanin" w:hAnsi="IRNazanin" w:eastAsia="IRNazanin"/>
          <w:color w:val="111111"/>
          <w:sz w:val="28"/>
          <w:sz w:val="28"/>
          <w:szCs w:val="28"/>
          <w:rtl w:val="true"/>
          <w:lang w:bidi="fa-IR"/>
        </w:rPr>
        <w:t xml:space="preserve">و دم الأسنان </w:t>
      </w:r>
      <w:r>
        <w:rPr>
          <w:rStyle w:val="FootnoteAnchor"/>
          <w:rtl w:val="true"/>
        </w:rPr>
        <w:footnoteReference w:id="422"/>
      </w:r>
      <w:r>
        <w:rPr>
          <w:rFonts w:ascii="IRNazanin" w:hAnsi="IRNazanin" w:eastAsia="IRNazanin"/>
          <w:color w:val="111111"/>
          <w:sz w:val="28"/>
          <w:sz w:val="28"/>
          <w:szCs w:val="28"/>
          <w:rtl w:val="true"/>
          <w:lang w:bidi="fa-IR"/>
        </w:rPr>
        <w:t xml:space="preserve">و نحو ذلک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یستدلّ فی المقام بإطلاقات أجوبةٍ مسوقةٍ لبیان حکمٍ آخر،</w:t>
      </w:r>
    </w:p>
    <w:p>
      <w:pPr>
        <w:pStyle w:val="BookText"/>
        <w:rPr/>
      </w:pPr>
      <w:r>
        <w:rPr>
          <w:rFonts w:ascii="IRNazanin" w:hAnsi="IRNazanin" w:eastAsia="IRNazanin"/>
          <w:color w:val="111111"/>
          <w:sz w:val="28"/>
          <w:sz w:val="28"/>
          <w:szCs w:val="28"/>
          <w:rtl w:val="true"/>
          <w:lang w:bidi="fa-IR"/>
        </w:rPr>
        <w:t xml:space="preserve">نظیر ما ورد جواباً عن السؤال عن حکم الدم إذا وجده بعد الصلاة </w:t>
      </w:r>
      <w:r>
        <w:rPr>
          <w:rStyle w:val="FootnoteAnchor"/>
          <w:rtl w:val="true"/>
        </w:rPr>
        <w:footnoteReference w:id="424"/>
      </w:r>
      <w:r>
        <w:rPr>
          <w:rFonts w:ascii="IRNazanin" w:hAnsi="IRNazanin" w:eastAsia="IRNazanin"/>
          <w:color w:val="111111"/>
          <w:sz w:val="28"/>
          <w:sz w:val="28"/>
          <w:szCs w:val="28"/>
          <w:rtl w:val="true"/>
          <w:lang w:bidi="fa-IR"/>
        </w:rPr>
        <w:t xml:space="preserve">أو وقع فی ماءٍ قلیل </w:t>
      </w:r>
      <w:r>
        <w:rPr>
          <w:rStyle w:val="FootnoteAnchor"/>
          <w:rtl w:val="true"/>
        </w:rPr>
        <w:footnoteReference w:id="425"/>
      </w:r>
      <w:r>
        <w:rPr>
          <w:rFonts w:ascii="IRNazanin" w:hAnsi="IRNazanin" w:eastAsia="IRNazanin"/>
          <w:color w:val="111111"/>
          <w:sz w:val="28"/>
          <w:sz w:val="28"/>
          <w:szCs w:val="28"/>
          <w:rtl w:val="true"/>
          <w:lang w:bidi="fa-IR"/>
        </w:rPr>
        <w:t xml:space="preserve">أو بئر </w:t>
      </w:r>
      <w:r>
        <w:rPr>
          <w:rStyle w:val="FootnoteAnchor"/>
          <w:rtl w:val="true"/>
        </w:rPr>
        <w:footnoteReference w:id="426"/>
      </w:r>
      <w:r>
        <w:rPr>
          <w:rFonts w:ascii="Amiri" w:hAnsi="Amiri" w:eastAsia="Amiri" w:cs="Amiri"/>
          <w:color w:val="111111"/>
          <w:sz w:val="28"/>
          <w:sz w:val="28"/>
          <w:szCs w:val="28"/>
          <w:rtl w:val="true"/>
          <w:lang w:bidi="ar-SA"/>
        </w:rPr>
        <w:t xml:space="preserve">أو کرٍّ </w:t>
      </w:r>
      <w:r>
        <w:rPr>
          <w:rStyle w:val="FootnoteAnchor"/>
          <w:rtl w:val="true"/>
        </w:rPr>
        <w:footnoteReference w:id="427"/>
      </w:r>
      <w:r>
        <w:rPr>
          <w:rFonts w:ascii="IRNazanin" w:hAnsi="IRNazanin" w:eastAsia="IRNazanin"/>
          <w:color w:val="111111"/>
          <w:sz w:val="28"/>
          <w:sz w:val="28"/>
          <w:szCs w:val="28"/>
          <w:rtl w:val="true"/>
          <w:lang w:bidi="fa-IR"/>
        </w:rPr>
        <w:t xml:space="preserve">، و غیر ذلک من أشباه ذلک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کلام المصنّف هنا و فی المنتهی </w:t>
      </w:r>
      <w:r>
        <w:rPr>
          <w:rStyle w:val="FootnoteAnchor"/>
          <w:rtl w:val="true"/>
        </w:rPr>
        <w:footnoteReference w:id="429"/>
      </w:r>
      <w:r>
        <w:rPr>
          <w:rFonts w:ascii="IRNazanin" w:hAnsi="IRNazanin" w:eastAsia="IRNazanin"/>
          <w:color w:val="111111"/>
          <w:sz w:val="28"/>
          <w:sz w:val="28"/>
          <w:szCs w:val="28"/>
          <w:rtl w:val="true"/>
          <w:lang w:bidi="fa-IR"/>
        </w:rPr>
        <w:t xml:space="preserve">و إن اختصّ کمعقد إجماع الغنیة </w:t>
      </w:r>
      <w:r>
        <w:rPr>
          <w:rStyle w:val="FootnoteAnchor"/>
          <w:rtl w:val="true"/>
        </w:rPr>
        <w:footnoteReference w:id="430"/>
      </w:r>
      <w:r>
        <w:rPr>
          <w:rFonts w:ascii="IRNazanin" w:hAnsi="IRNazanin" w:eastAsia="IRNazanin"/>
          <w:color w:val="111111"/>
          <w:sz w:val="28"/>
          <w:sz w:val="28"/>
          <w:szCs w:val="28"/>
          <w:rtl w:val="true"/>
          <w:lang w:bidi="fa-IR"/>
        </w:rPr>
        <w:t xml:space="preserve">و المنتهی </w:t>
      </w:r>
      <w:r>
        <w:rPr>
          <w:rStyle w:val="FootnoteAnchor"/>
          <w:rtl w:val="true"/>
        </w:rPr>
        <w:footnoteReference w:id="431"/>
      </w: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432"/>
      </w:r>
      <w:r>
        <w:rPr>
          <w:rFonts w:ascii="IRNazanin" w:hAnsi="IRNazanin" w:eastAsia="IRNazanin"/>
          <w:color w:val="111111"/>
          <w:sz w:val="28"/>
          <w:sz w:val="28"/>
          <w:szCs w:val="28"/>
          <w:rtl w:val="true"/>
          <w:lang w:bidi="fa-IR"/>
        </w:rPr>
        <w:t xml:space="preserve">بالمسفوح، و هو لغةً کما فی الحدائق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انصبّ من العرق، بل ربّما أشعر بنفی الحکم من غیره استدلال المصنّف فی المنتهی </w:t>
      </w:r>
      <w:r>
        <w:rPr>
          <w:rStyle w:val="FootnoteAnchor"/>
          <w:rtl w:val="true"/>
        </w:rPr>
        <w:footnoteReference w:id="434"/>
      </w:r>
      <w:r>
        <w:rPr>
          <w:rFonts w:ascii="IRNazanin" w:hAnsi="IRNazanin" w:eastAsia="IRNazanin"/>
          <w:color w:val="111111"/>
          <w:sz w:val="28"/>
          <w:sz w:val="28"/>
          <w:szCs w:val="28"/>
          <w:rtl w:val="true"/>
          <w:lang w:bidi="fa-IR"/>
        </w:rPr>
        <w:t xml:space="preserve">کالحلیّ فی محکیّ السرائر </w:t>
      </w:r>
      <w:r>
        <w:rPr>
          <w:rStyle w:val="FootnoteAnchor"/>
          <w:rtl w:val="true"/>
        </w:rPr>
        <w:footnoteReference w:id="435"/>
      </w:r>
      <w:r>
        <w:rPr>
          <w:rFonts w:ascii="IRNazanin" w:hAnsi="IRNazanin" w:eastAsia="IRNazanin"/>
          <w:color w:val="111111"/>
          <w:sz w:val="28"/>
          <w:sz w:val="28"/>
          <w:szCs w:val="28"/>
          <w:rtl w:val="true"/>
          <w:lang w:bidi="fa-IR"/>
        </w:rPr>
        <w:t>علی طهارة دم 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لیس بمسفوح، و استدلال جامع المقاصد </w:t>
      </w:r>
      <w:r>
        <w:rPr>
          <w:rStyle w:val="FootnoteAnchor"/>
          <w:rtl w:val="true"/>
        </w:rPr>
        <w:footnoteReference w:id="436"/>
      </w:r>
      <w:r>
        <w:rPr>
          <w:rFonts w:ascii="IRNazanin" w:hAnsi="IRNazanin" w:eastAsia="IRNazanin"/>
          <w:color w:val="111111"/>
          <w:sz w:val="28"/>
          <w:sz w:val="28"/>
          <w:szCs w:val="28"/>
          <w:rtl w:val="true"/>
          <w:lang w:bidi="fa-IR"/>
        </w:rPr>
        <w:t xml:space="preserve">و کاشف اللثام </w:t>
      </w:r>
      <w:r>
        <w:rPr>
          <w:rStyle w:val="FootnoteAnchor"/>
          <w:rtl w:val="true"/>
        </w:rPr>
        <w:footnoteReference w:id="437"/>
      </w:r>
      <w:r>
        <w:rPr>
          <w:rFonts w:ascii="IRNazanin" w:hAnsi="IRNazanin" w:eastAsia="IRNazanin"/>
          <w:color w:val="111111"/>
          <w:sz w:val="28"/>
          <w:sz w:val="28"/>
          <w:szCs w:val="28"/>
          <w:rtl w:val="true"/>
          <w:lang w:bidi="fa-IR"/>
        </w:rPr>
        <w:t>علی طهارة المتخلّف</w:t>
      </w:r>
    </w:p>
    <w:p>
      <w:pPr>
        <w:pStyle w:val="BookText"/>
        <w:rPr/>
      </w:pPr>
      <w:r>
        <w:rPr>
          <w:rFonts w:ascii="IRNazanin" w:hAnsi="IRNazanin" w:eastAsia="IRNazanin"/>
          <w:color w:val="111111"/>
          <w:sz w:val="28"/>
          <w:sz w:val="28"/>
          <w:szCs w:val="28"/>
          <w:rtl w:val="true"/>
          <w:lang w:bidi="fa-IR"/>
        </w:rPr>
        <w:t xml:space="preserve">فی الذبیحة بذلک، کالمصنّف فی المنتهی </w:t>
      </w:r>
      <w:r>
        <w:rPr>
          <w:rStyle w:val="FootnoteAnchor"/>
          <w:rtl w:val="true"/>
        </w:rPr>
        <w:footnoteReference w:id="438"/>
      </w:r>
      <w:r>
        <w:rPr>
          <w:rFonts w:ascii="IRNazanin" w:hAnsi="IRNazanin" w:eastAsia="IRNazanin"/>
          <w:color w:val="111111"/>
          <w:sz w:val="28"/>
          <w:sz w:val="28"/>
          <w:szCs w:val="28"/>
          <w:rtl w:val="true"/>
          <w:lang w:bidi="fa-IR"/>
        </w:rPr>
        <w:t xml:space="preserve">و المختلف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اعترف بإیهام هذه العبائر ذلک فی محکیّ البحار </w:t>
      </w:r>
      <w:r>
        <w:rPr>
          <w:rStyle w:val="FootnoteAnchor"/>
          <w:rtl w:val="true"/>
        </w:rPr>
        <w:footnoteReference w:id="440"/>
      </w:r>
      <w:r>
        <w:rPr>
          <w:rFonts w:ascii="IRNazanin" w:hAnsi="IRNazanin" w:eastAsia="IRNazanin"/>
          <w:color w:val="111111"/>
          <w:sz w:val="28"/>
          <w:sz w:val="28"/>
          <w:szCs w:val="28"/>
          <w:rtl w:val="true"/>
          <w:lang w:bidi="fa-IR"/>
        </w:rPr>
        <w:t xml:space="preserve">و الحدائق </w:t>
      </w:r>
      <w:r>
        <w:rPr>
          <w:rStyle w:val="FootnoteAnchor"/>
          <w:rtl w:val="true"/>
        </w:rPr>
        <w:footnoteReference w:id="441"/>
      </w:r>
      <w:r>
        <w:rPr>
          <w:rFonts w:ascii="IRNazanin" w:hAnsi="IRNazanin" w:eastAsia="IRNazanin"/>
          <w:color w:val="111111"/>
          <w:sz w:val="28"/>
          <w:sz w:val="28"/>
          <w:szCs w:val="28"/>
          <w:rtl w:val="true"/>
          <w:lang w:bidi="fa-IR"/>
        </w:rPr>
        <w:t xml:space="preserve">علی طهارة المتخلّف فی الذبیحة </w:t>
      </w:r>
      <w:r>
        <w:rPr>
          <w:rStyle w:val="FootnoteAnchor"/>
          <w:rtl w:val="true"/>
        </w:rPr>
        <w:footnoteReference w:id="442"/>
      </w:r>
      <w:r>
        <w:rPr>
          <w:rFonts w:ascii="IRNazanin" w:hAnsi="IRNazanin" w:eastAsia="IRNazanin"/>
          <w:color w:val="111111"/>
          <w:sz w:val="28"/>
          <w:sz w:val="28"/>
          <w:szCs w:val="28"/>
          <w:rtl w:val="true"/>
          <w:lang w:bidi="fa-IR"/>
        </w:rPr>
        <w:t>، بل ربّما دلّ ظاهر الآیة المتقدّمة علی حلّ ما عدا المسفوح الملازم لطهارته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لا ینبغی الإشکال فی نجاسة مطلق الدم عدا المتخلّف فی الذبیحة المأکولة و ما لیس له نفس سائلة، کما هو معقد اتّفاق المعتبر </w:t>
      </w:r>
      <w:r>
        <w:rPr>
          <w:rStyle w:val="FootnoteAnchor"/>
          <w:rtl w:val="true"/>
        </w:rPr>
        <w:footnoteReference w:id="443"/>
      </w:r>
      <w:r>
        <w:rPr>
          <w:rFonts w:ascii="IRNazanin" w:hAnsi="IRNazanin" w:eastAsia="IRNazanin"/>
          <w:color w:val="111111"/>
          <w:sz w:val="28"/>
          <w:sz w:val="28"/>
          <w:szCs w:val="28"/>
          <w:rtl w:val="true"/>
          <w:lang w:bidi="fa-IR"/>
        </w:rPr>
        <w:t xml:space="preserve">و التذکرة </w:t>
      </w:r>
      <w:r>
        <w:rPr>
          <w:rStyle w:val="FootnoteAnchor"/>
          <w:rtl w:val="true"/>
        </w:rPr>
        <w:footnoteReference w:id="444"/>
      </w:r>
      <w:r>
        <w:rPr>
          <w:rFonts w:ascii="IRNazanin" w:hAnsi="IRNazanin" w:eastAsia="IRNazanin"/>
          <w:color w:val="111111"/>
          <w:sz w:val="28"/>
          <w:sz w:val="28"/>
          <w:szCs w:val="28"/>
          <w:rtl w:val="true"/>
          <w:lang w:bidi="fa-IR"/>
        </w:rPr>
        <w:t xml:space="preserve">و استظهره جماعة، کأصحاب المعالم </w:t>
      </w:r>
      <w:r>
        <w:rPr>
          <w:rStyle w:val="FootnoteAnchor"/>
          <w:rtl w:val="true"/>
        </w:rPr>
        <w:footnoteReference w:id="445"/>
      </w:r>
      <w:r>
        <w:rPr>
          <w:rFonts w:ascii="IRNazanin" w:hAnsi="IRNazanin" w:eastAsia="IRNazanin"/>
          <w:color w:val="111111"/>
          <w:sz w:val="28"/>
          <w:sz w:val="28"/>
          <w:szCs w:val="28"/>
          <w:rtl w:val="true"/>
          <w:lang w:bidi="fa-IR"/>
        </w:rPr>
        <w:t xml:space="preserve">و البحار </w:t>
      </w:r>
      <w:r>
        <w:rPr>
          <w:rStyle w:val="FootnoteAnchor"/>
          <w:rtl w:val="true"/>
        </w:rPr>
        <w:footnoteReference w:id="446"/>
      </w:r>
      <w:r>
        <w:rPr>
          <w:rFonts w:ascii="IRNazanin" w:hAnsi="IRNazanin" w:eastAsia="IRNazanin"/>
          <w:color w:val="111111"/>
          <w:sz w:val="28"/>
          <w:sz w:val="28"/>
          <w:szCs w:val="28"/>
          <w:rtl w:val="true"/>
          <w:lang w:bidi="fa-IR"/>
        </w:rPr>
        <w:t xml:space="preserve">و الحدائق </w:t>
      </w:r>
      <w:r>
        <w:rPr>
          <w:rStyle w:val="FootnoteAnchor"/>
          <w:rtl w:val="true"/>
        </w:rPr>
        <w:footnoteReference w:id="447"/>
      </w:r>
      <w:r>
        <w:rPr>
          <w:rFonts w:ascii="IRNazanin" w:hAnsi="IRNazanin" w:eastAsia="IRNazanin"/>
          <w:color w:val="111111"/>
          <w:sz w:val="28"/>
          <w:sz w:val="28"/>
          <w:szCs w:val="28"/>
          <w:rtl w:val="true"/>
          <w:lang w:bidi="fa-IR"/>
        </w:rPr>
        <w:t xml:space="preserve">و شارح المفاتیح </w:t>
      </w:r>
      <w:r>
        <w:rPr>
          <w:rStyle w:val="FootnoteAnchor"/>
          <w:rtl w:val="true"/>
        </w:rPr>
        <w:footnoteReference w:id="448"/>
      </w:r>
      <w:r>
        <w:rPr>
          <w:rFonts w:ascii="IRNazanin" w:hAnsi="IRNazanin" w:eastAsia="IRNazanin"/>
          <w:color w:val="111111"/>
          <w:sz w:val="28"/>
          <w:sz w:val="28"/>
          <w:szCs w:val="28"/>
          <w:rtl w:val="true"/>
          <w:lang w:bidi="fa-IR"/>
        </w:rPr>
        <w:t xml:space="preserve">و غیرهم </w:t>
      </w:r>
      <w:r>
        <w:rPr>
          <w:rStyle w:val="FootnoteAnchor"/>
          <w:rtl w:val="true"/>
        </w:rPr>
        <w:footnoteReference w:id="449"/>
      </w:r>
      <w:r>
        <w:rPr>
          <w:rFonts w:ascii="IRNazanin" w:hAnsi="IRNazanin" w:eastAsia="IRNazanin"/>
          <w:color w:val="111111"/>
          <w:sz w:val="28"/>
          <w:sz w:val="28"/>
          <w:szCs w:val="28"/>
          <w:rtl w:val="true"/>
          <w:lang w:bidi="fa-IR"/>
        </w:rPr>
        <w:t xml:space="preserve">و مدلول النبوی و الموثّقة و غیرها من الأخبار فی الموارد الخاصّة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مراد المصنّف و غیره من المسفوح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 شأنه ذلک، لیخرج دم ما لا نفس له و الدم المتخلّف فی الذبیحة؛ إذ لیس من شأنهما أن یسفحا، بخلاف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دم الحیوان النجاسة إلّا ما خرج بالدلیل، و الخارج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المتخلّف فی الذبیحة بعد خروج ما تعارف خروجه من مثلها، بلا خلاف، کما عن الذخیرة </w:t>
      </w:r>
      <w:r>
        <w:rPr>
          <w:rStyle w:val="FootnoteAnchor"/>
          <w:rtl w:val="true"/>
        </w:rPr>
        <w:footnoteReference w:id="452"/>
      </w:r>
      <w:r>
        <w:rPr>
          <w:rFonts w:ascii="IRNazanin" w:hAnsi="IRNazanin" w:eastAsia="IRNazanin"/>
          <w:color w:val="111111"/>
          <w:sz w:val="28"/>
          <w:sz w:val="28"/>
          <w:szCs w:val="28"/>
          <w:rtl w:val="true"/>
          <w:lang w:bidi="fa-IR"/>
        </w:rPr>
        <w:t xml:space="preserve">و البحار </w:t>
      </w:r>
      <w:r>
        <w:rPr>
          <w:rStyle w:val="FootnoteAnchor"/>
          <w:rtl w:val="true"/>
        </w:rPr>
        <w:footnoteReference w:id="453"/>
      </w: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454"/>
      </w:r>
      <w:r>
        <w:rPr>
          <w:rFonts w:ascii="IRNazanin" w:hAnsi="IRNazanin" w:eastAsia="IRNazanin"/>
          <w:color w:val="111111"/>
          <w:sz w:val="28"/>
          <w:sz w:val="28"/>
          <w:szCs w:val="28"/>
          <w:rtl w:val="true"/>
          <w:lang w:bidi="fa-IR"/>
        </w:rPr>
        <w:t xml:space="preserve">و غیرهما </w:t>
      </w:r>
      <w:r>
        <w:rPr>
          <w:rStyle w:val="FootnoteAnchor"/>
          <w:rtl w:val="true"/>
        </w:rPr>
        <w:footnoteReference w:id="455"/>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المتخلّف فی عروق الحیوان المأکول اللحم سائغ، و هو طاهر لا یجب غسل اللحم منه إجماعاً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مع ذلک ظاهر الآیة المتقدّمة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المتخلّف فی ذبیحة غیر المأکول اللحم، فمقتضی الأصل المتقدّم نجاسته، و عن الذخیرة </w:t>
      </w:r>
      <w:r>
        <w:rPr>
          <w:rStyle w:val="FootnoteAnchor"/>
          <w:rtl w:val="true"/>
        </w:rPr>
        <w:footnoteReference w:id="458"/>
      </w:r>
      <w:r>
        <w:rPr>
          <w:rFonts w:ascii="IRNazanin" w:hAnsi="IRNazanin" w:eastAsia="IRNazanin"/>
          <w:color w:val="111111"/>
          <w:sz w:val="28"/>
          <w:sz w:val="28"/>
          <w:szCs w:val="28"/>
          <w:rtl w:val="true"/>
          <w:lang w:bidi="fa-IR"/>
        </w:rPr>
        <w:t xml:space="preserve">و البحار </w:t>
      </w:r>
      <w:r>
        <w:rPr>
          <w:rStyle w:val="FootnoteAnchor"/>
          <w:rtl w:val="true"/>
        </w:rPr>
        <w:footnoteReference w:id="459"/>
      </w:r>
      <w:r>
        <w:rPr>
          <w:rFonts w:ascii="IRNazanin" w:hAnsi="IRNazanin" w:eastAsia="IRNazanin"/>
          <w:color w:val="111111"/>
          <w:sz w:val="28"/>
          <w:sz w:val="28"/>
          <w:szCs w:val="28"/>
          <w:rtl w:val="true"/>
          <w:lang w:bidi="fa-IR"/>
        </w:rPr>
        <w:t xml:space="preserve">و شرح الدروس </w:t>
      </w:r>
      <w:r>
        <w:rPr>
          <w:rStyle w:val="FootnoteAnchor"/>
          <w:rtl w:val="true"/>
        </w:rPr>
        <w:footnoteReference w:id="460"/>
      </w:r>
      <w:r>
        <w:rPr>
          <w:rFonts w:ascii="IRNazanin" w:hAnsi="IRNazanin" w:eastAsia="IRNazanin"/>
          <w:color w:val="111111"/>
          <w:sz w:val="28"/>
          <w:sz w:val="28"/>
          <w:szCs w:val="28"/>
          <w:rtl w:val="true"/>
          <w:lang w:bidi="fa-IR"/>
        </w:rPr>
        <w:t xml:space="preserve">و شرح المفاتیح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أنّ الظاهر اتّفاق الأصحاب علیه، و هو ظاهر المحکیّ عن المعالم أیضاً؛ حیث إنّه بعد أن ذکر عن بعض معاصریه التردّد فی المسألة،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الأصحاب الحکم بنجاسة الدم مدّعین الاتّفاق علیه، و من ظاهر قوله تعالی أَوْ دَماً مَسْفُوحاً فإنّه یقتضی حِلّ غیر المسفوح، و هو یدلّ علی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ظاهرهم الإطباق علی نجاسة الدم سوی الدم المتخلّف فی الذبیحة، و 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المتبادر من الذبیحة المأکول،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فی رد دلالة الآیة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دم غیر المأکول حرام قطعاً، فلا یشمله الحلّ فی الآیة قطعاً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ظاهر 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التردّد، بل المیل إلی الطهارة بعد ملاحظة حکمه فی مسألة العلقة بعدم عمومٍ فی أدلّة نجاسة الدم </w:t>
      </w:r>
      <w:r>
        <w:rPr>
          <w:rStyle w:val="FootnoteAnchor"/>
          <w:rtl w:val="true"/>
        </w:rPr>
        <w:footnoteReference w:id="463"/>
      </w:r>
      <w:r>
        <w:rPr>
          <w:rFonts w:ascii="IRNazanin" w:hAnsi="IRNazanin" w:eastAsia="IRNazanin"/>
          <w:color w:val="111111"/>
          <w:sz w:val="28"/>
          <w:sz w:val="28"/>
          <w:szCs w:val="28"/>
          <w:rtl w:val="true"/>
          <w:lang w:bidi="fa-IR"/>
        </w:rPr>
        <w:t>حیث إنّه بعد شرح قول المصنّف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المتخلّف فی اللحم ممّا لا یقذفه المذبوح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فی المذبوح بین المأکول و غیره کما یقتضیه الإطلاق، و یحتمل الاختصاص بالمأکول؛ لعموم الأخبار بنجاسة الدم، و الإجماع إنّما ثبت علی طهارة المتخلّف فی المأکول؛ للإجماع علی أکل لحمه الذی لا ینفکّ عنه </w:t>
      </w:r>
      <w:r>
        <w:rPr>
          <w:rStyle w:val="FootnoteAnchor"/>
          <w:rtl w:val="true"/>
        </w:rPr>
        <w:footnoteReference w:id="46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یؤیّد الطهارة بإطلاق ما دلّ علی طهارة الحیوان بالتذکیة الشامل لجمیع أجزائه حتّی الدم، مضافاً إلی الحرج فی الاجتناب عنه إذا أُرید أخذ جلده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 نظر، فالأقرب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المتخلّف فی الجزء الغیر المأکول من الذبیحة المأکولة کدم الطحال طاهر أم لا؟ ظاهر الاتّفاقات المتقدّمة طهارته، و ظاهر استدلالهم بالآیة عدم شمول الحکم له؛ لأنّه غیر حلال کنفس العضو، إلّا أنّ الأظهر فی کلماتهم طهارته؛ لکونه غیر مسفوح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ینسب إلی المحقّق و الشهید الثانیین نجاسته </w:t>
      </w:r>
      <w:r>
        <w:rPr>
          <w:rStyle w:val="FootnoteAnchor"/>
          <w:rtl w:val="true"/>
        </w:rPr>
        <w:footnoteReference w:id="465"/>
      </w:r>
      <w:r>
        <w:rPr>
          <w:rFonts w:ascii="IRNazanin" w:hAnsi="IRNazanin" w:eastAsia="IRNazanin"/>
          <w:color w:val="111111"/>
          <w:sz w:val="28"/>
          <w:sz w:val="28"/>
          <w:szCs w:val="28"/>
          <w:rtl w:val="true"/>
          <w:lang w:bidi="fa-IR"/>
        </w:rPr>
        <w:t>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الدم المتخلّف فی الذبیحة طاهر حلال إذا کان جزءً من مأکول </w:t>
      </w:r>
      <w:r>
        <w:rPr>
          <w:rStyle w:val="FootnoteAnchor"/>
          <w:rtl w:val="true"/>
        </w:rPr>
        <w:footnoteReference w:id="46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الظرف فی کلامهما قیدٌ للحلّیة لا لها و للطهارة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ما ینسب إلی العلّامة الطباطبائی فی منظومته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بطهارة المتخلّف فی ذبیحة الحیوان الغیر المأکول،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الدم فی المأکول بعد قذف ما یقذف طهر قد أُحلّ فی الدماء و الأقرب التطهیر فیما یحرم من المذکّی و علیه المعظم </w:t>
      </w:r>
      <w:r>
        <w:rPr>
          <w:rStyle w:val="FootnoteAnchor"/>
          <w:rtl w:val="true"/>
        </w:rPr>
        <w:footnoteReference w:id="467"/>
      </w:r>
      <w:r>
        <w:rPr>
          <w:rFonts w:ascii="IRNazanin" w:hAnsi="IRNazanin" w:eastAsia="IRNazanin"/>
          <w:color w:val="111111"/>
          <w:sz w:val="28"/>
          <w:sz w:val="28"/>
          <w:szCs w:val="28"/>
          <w:rtl w:val="true"/>
          <w:lang w:bidi="fa-IR"/>
        </w:rPr>
        <w:t>إذ یحتمل أن یراد بالموصول العضو المحرّم من المذکی المأکول، و یحتمل أن یراد بالموصول الحیوان، إلّا أنّ المراد بالطهر وجوب تطهیره و إزالة الدم عنه، فیکون قولًا بالنجاسة، کما هو قول 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یؤیَّد ما ذکرنا من عموم نجاسة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بنجاسة العلقة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علیه فی محکیّ الخلاف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بإجماع الفرقة علی نجاسته،</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دلّ علی نجاسة الدم یدلّ علی نجاستها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محکی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العلقة التی تستحیل إلیها نطفة الآدمی نجسة،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دم حیوان ذی نفس فیکون نجسة </w:t>
      </w:r>
      <w:r>
        <w:rPr>
          <w:rStyle w:val="FootnoteAnchor"/>
          <w:rtl w:val="true"/>
        </w:rPr>
        <w:footnoteReference w:id="46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المحکیّ عن المبسوط </w:t>
      </w:r>
      <w:r>
        <w:rPr>
          <w:rStyle w:val="FootnoteAnchor"/>
          <w:rtl w:val="true"/>
        </w:rPr>
        <w:footnoteReference w:id="470"/>
      </w:r>
      <w:r>
        <w:rPr>
          <w:rFonts w:ascii="IRNazanin" w:hAnsi="IRNazanin" w:eastAsia="IRNazanin"/>
          <w:color w:val="111111"/>
          <w:sz w:val="28"/>
          <w:sz w:val="28"/>
          <w:szCs w:val="28"/>
          <w:rtl w:val="true"/>
          <w:lang w:bidi="fa-IR"/>
        </w:rPr>
        <w:t xml:space="preserve">و السرائر </w:t>
      </w:r>
      <w:r>
        <w:rPr>
          <w:rStyle w:val="FootnoteAnchor"/>
          <w:rtl w:val="true"/>
        </w:rPr>
        <w:footnoteReference w:id="471"/>
      </w:r>
      <w:r>
        <w:rPr>
          <w:rFonts w:ascii="IRNazanin" w:hAnsi="IRNazanin" w:eastAsia="IRNazanin"/>
          <w:color w:val="111111"/>
          <w:sz w:val="28"/>
          <w:sz w:val="28"/>
          <w:szCs w:val="28"/>
          <w:rtl w:val="true"/>
          <w:lang w:bidi="fa-IR"/>
        </w:rPr>
        <w:t xml:space="preserve">و الجامع </w:t>
      </w:r>
      <w:r>
        <w:rPr>
          <w:rStyle w:val="FootnoteAnchor"/>
          <w:rtl w:val="true"/>
        </w:rPr>
        <w:footnoteReference w:id="472"/>
      </w:r>
      <w:r>
        <w:rPr>
          <w:rFonts w:ascii="IRNazanin" w:hAnsi="IRNazanin" w:eastAsia="IRNazanin"/>
          <w:color w:val="111111"/>
          <w:sz w:val="28"/>
          <w:sz w:val="28"/>
          <w:szCs w:val="28"/>
          <w:rtl w:val="true"/>
          <w:lang w:bidi="fa-IR"/>
        </w:rPr>
        <w:t xml:space="preserve">و المصنّف فی التذکرة </w:t>
      </w:r>
      <w:r>
        <w:rPr>
          <w:rStyle w:val="FootnoteAnchor"/>
          <w:rtl w:val="true"/>
        </w:rPr>
        <w:footnoteReference w:id="473"/>
      </w:r>
      <w:r>
        <w:rPr>
          <w:rFonts w:ascii="IRNazanin" w:hAnsi="IRNazanin" w:eastAsia="IRNazanin"/>
          <w:color w:val="111111"/>
          <w:sz w:val="28"/>
          <w:sz w:val="28"/>
          <w:szCs w:val="28"/>
          <w:rtl w:val="true"/>
          <w:lang w:bidi="fa-IR"/>
        </w:rPr>
        <w:t xml:space="preserve">و القواعد </w:t>
      </w:r>
      <w:r>
        <w:rPr>
          <w:rStyle w:val="FootnoteAnchor"/>
          <w:rtl w:val="true"/>
        </w:rPr>
        <w:footnoteReference w:id="474"/>
      </w:r>
      <w:r>
        <w:rPr>
          <w:rFonts w:ascii="IRNazanin" w:hAnsi="IRNazanin" w:eastAsia="IRNazanin"/>
          <w:color w:val="111111"/>
          <w:sz w:val="28"/>
          <w:sz w:val="28"/>
          <w:szCs w:val="28"/>
          <w:rtl w:val="true"/>
          <w:lang w:bidi="fa-IR"/>
        </w:rPr>
        <w:t xml:space="preserve">و المحقّق الثانی فی شرحه </w:t>
      </w:r>
      <w:r>
        <w:rPr>
          <w:rStyle w:val="FootnoteAnchor"/>
          <w:rtl w:val="true"/>
        </w:rPr>
        <w:footnoteReference w:id="475"/>
      </w:r>
      <w:r>
        <w:rPr>
          <w:rFonts w:ascii="IRNazanin" w:hAnsi="IRNazanin" w:eastAsia="IRNazanin"/>
          <w:color w:val="111111"/>
          <w:sz w:val="28"/>
          <w:sz w:val="28"/>
          <w:szCs w:val="28"/>
          <w:rtl w:val="true"/>
          <w:lang w:bidi="fa-IR"/>
        </w:rPr>
        <w:t>و عن القاضی فی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الذی یقتضیه المذهب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إشکال فی ذلک؛ لما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دم ذی نفس، مضافاً إلی إجماع الخلاف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العلقة التی توجد فی البیضة، فألحقها المحقّق فی المعتبر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 المصنّف قدّس سرّه فی التذکرة </w:t>
      </w:r>
      <w:r>
        <w:rPr>
          <w:rStyle w:val="FootnoteAnchor"/>
          <w:rtl w:val="true"/>
        </w:rPr>
        <w:footnoteReference w:id="479"/>
      </w:r>
      <w:r>
        <w:rPr>
          <w:rFonts w:ascii="IRNazanin" w:hAnsi="IRNazanin" w:eastAsia="IRNazanin"/>
          <w:color w:val="111111"/>
          <w:sz w:val="28"/>
          <w:sz w:val="28"/>
          <w:szCs w:val="28"/>
          <w:rtl w:val="true"/>
          <w:lang w:bidi="fa-IR"/>
        </w:rPr>
        <w:t xml:space="preserve">و القواعد </w:t>
      </w:r>
      <w:r>
        <w:rPr>
          <w:rStyle w:val="FootnoteAnchor"/>
          <w:rtl w:val="true"/>
        </w:rPr>
        <w:footnoteReference w:id="480"/>
      </w:r>
      <w:r>
        <w:rPr>
          <w:rFonts w:ascii="IRNazanin" w:hAnsi="IRNazanin" w:eastAsia="IRNazanin"/>
          <w:color w:val="111111"/>
          <w:sz w:val="28"/>
          <w:sz w:val="28"/>
          <w:szCs w:val="28"/>
          <w:rtl w:val="true"/>
          <w:lang w:bidi="fa-IR"/>
        </w:rPr>
        <w:t xml:space="preserve">و ابن سعید فی الجامع </w:t>
      </w:r>
      <w:r>
        <w:rPr>
          <w:rStyle w:val="FootnoteAnchor"/>
          <w:rtl w:val="true"/>
        </w:rPr>
        <w:footnoteReference w:id="481"/>
      </w:r>
      <w:r>
        <w:rPr>
          <w:rFonts w:ascii="IRNazanin" w:hAnsi="IRNazanin" w:eastAsia="IRNazanin"/>
          <w:color w:val="111111"/>
          <w:sz w:val="28"/>
          <w:sz w:val="28"/>
          <w:szCs w:val="28"/>
          <w:rtl w:val="true"/>
          <w:lang w:bidi="fa-IR"/>
        </w:rPr>
        <w:t>لما ذکر من کونه دم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إشکال؛ لأنّ تکوّنه فی الحیوان لا یستلزم کونه جزءً منه، و المتبادر من معاقد الإجماع هو ما کان جزءً من الحیوان کاللحم و العظم و نحوهما، لا ما یکون فی شی‌ءٍ خارج کالأجنبی من الحیوان، و من البیّن </w:t>
      </w:r>
      <w:r>
        <w:rPr>
          <w:rStyle w:val="FootnoteAnchor"/>
          <w:rtl w:val="true"/>
        </w:rPr>
        <w:footnoteReference w:id="482"/>
      </w:r>
      <w:r>
        <w:rPr>
          <w:rFonts w:ascii="IRNazanin" w:hAnsi="IRNazanin" w:eastAsia="IRNazanin"/>
          <w:color w:val="111111"/>
          <w:sz w:val="28"/>
          <w:sz w:val="28"/>
          <w:szCs w:val="28"/>
          <w:rtl w:val="true"/>
          <w:lang w:bidi="fa-IR"/>
        </w:rPr>
        <w:t>الفرق بین ما فی البیضة و بین العلقة التی تستحیل إلیها النطفة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علم کون علقة البیضة دماً و اعتمدنا فی نجاسة الدم علی إطلاق الدم فی الأخبار، لا مناص عن القول بنجاسته؛ لأنّ انصراف إطلاقات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یکون جزءً بالفعل من حیوان، لیس ممّا یعتنی به، کما لو فرضنا أنّ بعض رطوبات الحیوان استحال دماً بعد خروجه منه، إلّا أن یمنع کونه دماً، کما حکاه کاشف اللثام عن بعض </w:t>
      </w:r>
      <w:r>
        <w:rPr>
          <w:rStyle w:val="FootnoteAnchor"/>
          <w:rtl w:val="true"/>
        </w:rPr>
        <w:footnoteReference w:id="483"/>
      </w:r>
      <w:r>
        <w:rPr>
          <w:rFonts w:ascii="IRNazanin" w:hAnsi="IRNazanin" w:eastAsia="IRNazanin"/>
          <w:color w:val="111111"/>
          <w:sz w:val="28"/>
          <w:sz w:val="28"/>
          <w:szCs w:val="28"/>
          <w:rtl w:val="true"/>
          <w:lang w:bidi="fa-IR"/>
        </w:rPr>
        <w:t xml:space="preserve">، و لعلّه صاحب المعالم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المعتمد فی ذلک إطلاق إلا جماعات المنقولة، فالمسألة فی غایة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انصراف الإطلاق فیها إلی دم الحیوان، و هو ما کان عند تلبّسه بکونه دماً جزءً من حیوان، لا ما صار کذلک بعد خروجه عن الجزئیّة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أنّ غیر واحدٍ من نقلة الاتّفاق کالمحقّق </w:t>
      </w:r>
      <w:r>
        <w:rPr>
          <w:rStyle w:val="FootnoteAnchor"/>
          <w:rtl w:val="true"/>
        </w:rPr>
        <w:footnoteReference w:id="485"/>
      </w:r>
      <w:r>
        <w:rPr>
          <w:rFonts w:ascii="Amiri" w:hAnsi="Amiri" w:eastAsia="Amiri" w:cs="Amiri"/>
          <w:color w:val="111111"/>
          <w:sz w:val="28"/>
          <w:sz w:val="28"/>
          <w:szCs w:val="28"/>
          <w:rtl w:val="true"/>
          <w:lang w:bidi="ar-SA"/>
        </w:rPr>
        <w:t xml:space="preserve">و المصنّف </w:t>
      </w:r>
      <w:r>
        <w:rPr>
          <w:rStyle w:val="FootnoteAnchor"/>
          <w:rtl w:val="true"/>
        </w:rPr>
        <w:footnoteReference w:id="486"/>
      </w:r>
      <w:r>
        <w:rPr>
          <w:rFonts w:ascii="IRNazanin" w:hAnsi="IRNazanin" w:eastAsia="IRNazanin"/>
          <w:color w:val="111111"/>
          <w:sz w:val="28"/>
          <w:sz w:val="28"/>
          <w:szCs w:val="28"/>
          <w:rtl w:val="true"/>
          <w:lang w:bidi="fa-IR"/>
        </w:rPr>
        <w:t>حکم بنجاسته لکونه دماً، فیکشف ذلک عن عموم معاقد إجماعهم لمثل ذلک، مع أنّه لم یعتبر فی معقد إجماع المعتبر إضافة الدم إلی الحیوان،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کلّه نجس عدا دم ما لا نفس له سائلة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المسألة لا تصفو عن الإشکال، بل ربّما استشکل جماعة کالمحقّق الأردبیلی </w:t>
      </w:r>
      <w:r>
        <w:rPr>
          <w:rStyle w:val="FootnoteAnchor"/>
          <w:rtl w:val="true"/>
        </w:rPr>
        <w:footnoteReference w:id="488"/>
      </w:r>
      <w:r>
        <w:rPr>
          <w:rFonts w:ascii="IRNazanin" w:hAnsi="IRNazanin" w:eastAsia="IRNazanin"/>
          <w:color w:val="111111"/>
          <w:sz w:val="28"/>
          <w:sz w:val="28"/>
          <w:szCs w:val="28"/>
          <w:rtl w:val="true"/>
          <w:lang w:bidi="fa-IR"/>
        </w:rPr>
        <w:t xml:space="preserve">و صاحب المعالم </w:t>
      </w:r>
      <w:r>
        <w:rPr>
          <w:rStyle w:val="FootnoteAnchor"/>
          <w:rtl w:val="true"/>
        </w:rPr>
        <w:footnoteReference w:id="489"/>
      </w:r>
      <w:r>
        <w:rPr>
          <w:rFonts w:ascii="IRNazanin" w:hAnsi="IRNazanin" w:eastAsia="IRNazanin"/>
          <w:color w:val="111111"/>
          <w:sz w:val="28"/>
          <w:sz w:val="28"/>
          <w:szCs w:val="28"/>
          <w:rtl w:val="true"/>
          <w:lang w:bidi="fa-IR"/>
        </w:rPr>
        <w:t xml:space="preserve">و کاشف اللثام </w:t>
      </w:r>
      <w:r>
        <w:rPr>
          <w:rStyle w:val="FootnoteAnchor"/>
          <w:rtl w:val="true"/>
        </w:rPr>
        <w:footnoteReference w:id="490"/>
      </w:r>
      <w:r>
        <w:rPr>
          <w:rFonts w:ascii="IRNazanin" w:hAnsi="IRNazanin" w:eastAsia="IRNazanin"/>
          <w:color w:val="111111"/>
          <w:sz w:val="28"/>
          <w:sz w:val="28"/>
          <w:szCs w:val="28"/>
          <w:rtl w:val="true"/>
          <w:lang w:bidi="fa-IR"/>
        </w:rPr>
        <w:t xml:space="preserve">و صاحب الحدائق فی العلقة التی تستحیل إلیها النطفة </w:t>
      </w:r>
      <w:r>
        <w:rPr>
          <w:rStyle w:val="FootnoteAnchor"/>
          <w:rtl w:val="true"/>
        </w:rPr>
        <w:footnoteReference w:id="491"/>
      </w:r>
      <w:r>
        <w:rPr>
          <w:rFonts w:ascii="IRNazanin" w:hAnsi="IRNazanin" w:eastAsia="IRNazanin"/>
          <w:color w:val="111111"/>
          <w:sz w:val="28"/>
          <w:sz w:val="28"/>
          <w:szCs w:val="28"/>
          <w:rtl w:val="true"/>
          <w:lang w:bidi="fa-IR"/>
        </w:rPr>
        <w:t xml:space="preserve">، تبعاً للشهید فی الذکری </w:t>
      </w:r>
      <w:r>
        <w:rPr>
          <w:rStyle w:val="FootnoteAnchor"/>
          <w:rtl w:val="true"/>
        </w:rPr>
        <w:footnoteReference w:id="492"/>
      </w:r>
      <w:r>
        <w:rPr>
          <w:rFonts w:ascii="IRNazanin" w:hAnsi="IRNazanin" w:eastAsia="IRNazanin"/>
          <w:color w:val="111111"/>
          <w:sz w:val="28"/>
          <w:sz w:val="28"/>
          <w:szCs w:val="28"/>
          <w:rtl w:val="true"/>
          <w:lang w:bidi="fa-IR"/>
        </w:rPr>
        <w:t>حیث إنّه بعد ذکر استدلال المعتبر علی نجاسة العلقة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دم حیوان لها نفس و کذا علقة المضغة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الدلیل منع، و تکوّنها فی الحیوان لا یدل علی أنّها منه،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ضعف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 ما حکاه کاشف اللثام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کونها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تردّد هو فی ذلک لو لم یتمّ الإجماع؛ من جهة الأصل و منع عموم نجاسة الدم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أیضاً کفایة بعض الأخبار و إطلاقات </w:t>
      </w:r>
      <w:r>
        <w:rPr>
          <w:rStyle w:val="FootnoteAnchor"/>
          <w:rtl w:val="true"/>
        </w:rPr>
        <w:footnoteReference w:id="494"/>
      </w:r>
      <w:r>
        <w:rPr>
          <w:rFonts w:ascii="IRNazanin" w:hAnsi="IRNazanin" w:eastAsia="IRNazanin"/>
          <w:color w:val="111111"/>
          <w:sz w:val="28"/>
          <w:sz w:val="28"/>
          <w:szCs w:val="28"/>
          <w:rtl w:val="true"/>
          <w:lang w:bidi="fa-IR"/>
        </w:rPr>
        <w:t>إلا جماعات المحکیّة</w:t>
      </w:r>
    </w:p>
    <w:p>
      <w:pPr>
        <w:pStyle w:val="BookText"/>
        <w:rPr/>
      </w:pPr>
      <w:r>
        <w:rPr>
          <w:rFonts w:ascii="IRNazanin" w:hAnsi="IRNazanin" w:eastAsia="IRNazanin"/>
          <w:color w:val="111111"/>
          <w:sz w:val="28"/>
          <w:sz w:val="28"/>
          <w:szCs w:val="28"/>
          <w:rtl w:val="true"/>
          <w:lang w:bidi="fa-IR"/>
        </w:rPr>
        <w:t>فی عموم نجاسة الدم إلّا ما خرج، و هو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الدم المتخلّف فی الذبیحة المأکولة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ما لا نفس له، فإنّه لا إشکال فی طهارته و لا خلاف، بل عن السیّد </w:t>
      </w:r>
      <w:r>
        <w:rPr>
          <w:rStyle w:val="FootnoteAnchor"/>
          <w:rtl w:val="true"/>
        </w:rPr>
        <w:footnoteReference w:id="496"/>
      </w:r>
      <w:r>
        <w:rPr>
          <w:rFonts w:ascii="IRNazanin" w:hAnsi="IRNazanin" w:eastAsia="IRNazanin"/>
          <w:color w:val="111111"/>
          <w:sz w:val="28"/>
          <w:sz w:val="28"/>
          <w:szCs w:val="28"/>
          <w:rtl w:val="true"/>
          <w:lang w:bidi="fa-IR"/>
        </w:rPr>
        <w:t xml:space="preserve">و الشیخ </w:t>
      </w:r>
      <w:r>
        <w:rPr>
          <w:rStyle w:val="FootnoteAnchor"/>
          <w:rtl w:val="true"/>
        </w:rPr>
        <w:footnoteReference w:id="497"/>
      </w:r>
      <w:r>
        <w:rPr>
          <w:rFonts w:ascii="Amiri" w:hAnsi="Amiri" w:eastAsia="Amiri" w:cs="Amiri"/>
          <w:color w:val="111111"/>
          <w:sz w:val="28"/>
          <w:sz w:val="28"/>
          <w:szCs w:val="28"/>
          <w:rtl w:val="true"/>
          <w:lang w:bidi="ar-SA"/>
        </w:rPr>
        <w:t xml:space="preserve">و ابن زهرة </w:t>
      </w:r>
      <w:r>
        <w:rPr>
          <w:rStyle w:val="FootnoteAnchor"/>
          <w:rtl w:val="true"/>
        </w:rPr>
        <w:footnoteReference w:id="498"/>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499"/>
      </w:r>
      <w:r>
        <w:rPr>
          <w:rFonts w:ascii="Amiri" w:hAnsi="Amiri" w:eastAsia="Amiri" w:cs="Amiri"/>
          <w:color w:val="111111"/>
          <w:sz w:val="28"/>
          <w:sz w:val="28"/>
          <w:szCs w:val="28"/>
          <w:rtl w:val="true"/>
          <w:lang w:bidi="ar-SA"/>
        </w:rPr>
        <w:t xml:space="preserve">و المحقّق </w:t>
      </w:r>
      <w:r>
        <w:rPr>
          <w:rStyle w:val="FootnoteAnchor"/>
          <w:rtl w:val="true"/>
        </w:rPr>
        <w:footnoteReference w:id="500"/>
      </w:r>
      <w:r>
        <w:rPr>
          <w:rFonts w:ascii="Amiri" w:hAnsi="Amiri" w:eastAsia="Amiri" w:cs="Amiri"/>
          <w:color w:val="111111"/>
          <w:sz w:val="28"/>
          <w:sz w:val="28"/>
          <w:szCs w:val="28"/>
          <w:rtl w:val="true"/>
          <w:lang w:bidi="ar-SA"/>
        </w:rPr>
        <w:t xml:space="preserve">و المصنّف </w:t>
      </w:r>
      <w:r>
        <w:rPr>
          <w:rStyle w:val="FootnoteAnchor"/>
          <w:rtl w:val="true"/>
        </w:rPr>
        <w:footnoteReference w:id="501"/>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502"/>
      </w:r>
      <w:r>
        <w:rPr>
          <w:rFonts w:ascii="IRNazanin" w:hAnsi="IRNazanin" w:eastAsia="IRNazanin"/>
          <w:color w:val="111111"/>
          <w:sz w:val="28"/>
          <w:sz w:val="28"/>
          <w:szCs w:val="28"/>
          <w:rtl w:val="true"/>
          <w:lang w:bidi="fa-IR"/>
        </w:rPr>
        <w:t xml:space="preserve">و غیرهم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بها </w:t>
      </w:r>
      <w:r>
        <w:rPr>
          <w:rStyle w:val="FootnoteAnchor"/>
          <w:rtl w:val="true"/>
        </w:rPr>
        <w:footnoteReference w:id="504"/>
      </w:r>
      <w:r>
        <w:rPr>
          <w:rFonts w:ascii="IRNazanin" w:hAnsi="IRNazanin" w:eastAsia="IRNazanin"/>
          <w:color w:val="111111"/>
          <w:sz w:val="28"/>
          <w:sz w:val="28"/>
          <w:szCs w:val="28"/>
          <w:rtl w:val="true"/>
          <w:lang w:bidi="fa-IR"/>
        </w:rPr>
        <w:t>حجّة، مضافاً إلی روایة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بدم ما لم یذک</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عن المبسوط </w:t>
      </w:r>
      <w:r>
        <w:rPr>
          <w:rStyle w:val="FootnoteAnchor"/>
          <w:rtl w:val="true"/>
        </w:rPr>
        <w:footnoteReference w:id="506"/>
      </w:r>
      <w:r>
        <w:rPr>
          <w:rFonts w:ascii="IRNazanin" w:hAnsi="IRNazanin" w:eastAsia="IRNazanin"/>
          <w:color w:val="111111"/>
          <w:sz w:val="28"/>
          <w:sz w:val="28"/>
          <w:szCs w:val="28"/>
          <w:rtl w:val="true"/>
          <w:lang w:bidi="fa-IR"/>
        </w:rPr>
        <w:t xml:space="preserve">و الجمل </w:t>
      </w:r>
      <w:r>
        <w:rPr>
          <w:rStyle w:val="FootnoteAnchor"/>
          <w:rtl w:val="true"/>
        </w:rPr>
        <w:footnoteReference w:id="507"/>
      </w:r>
      <w:r>
        <w:rPr>
          <w:rFonts w:ascii="IRNazanin" w:hAnsi="IRNazanin" w:eastAsia="IRNazanin"/>
          <w:color w:val="111111"/>
          <w:sz w:val="28"/>
          <w:sz w:val="28"/>
          <w:szCs w:val="28"/>
          <w:rtl w:val="true"/>
          <w:lang w:bidi="fa-IR"/>
        </w:rPr>
        <w:t xml:space="preserve">و المراسم </w:t>
      </w:r>
      <w:r>
        <w:rPr>
          <w:rStyle w:val="FootnoteAnchor"/>
          <w:rtl w:val="true"/>
        </w:rPr>
        <w:footnoteReference w:id="508"/>
      </w:r>
      <w:r>
        <w:rPr>
          <w:rFonts w:ascii="IRNazanin" w:hAnsi="IRNazanin" w:eastAsia="IRNazanin"/>
          <w:color w:val="111111"/>
          <w:sz w:val="28"/>
          <w:sz w:val="28"/>
          <w:szCs w:val="28"/>
          <w:rtl w:val="true"/>
          <w:lang w:bidi="fa-IR"/>
        </w:rPr>
        <w:t xml:space="preserve">و الوسیلة </w:t>
      </w:r>
      <w:r>
        <w:rPr>
          <w:rStyle w:val="FootnoteAnchor"/>
          <w:rtl w:val="true"/>
        </w:rPr>
        <w:footnoteReference w:id="509"/>
      </w:r>
      <w:r>
        <w:rPr>
          <w:rFonts w:ascii="IRNazanin" w:hAnsi="IRNazanin" w:eastAsia="IRNazanin"/>
          <w:color w:val="111111"/>
          <w:sz w:val="28"/>
          <w:sz w:val="28"/>
          <w:szCs w:val="28"/>
          <w:rtl w:val="true"/>
          <w:lang w:bidi="fa-IR"/>
        </w:rPr>
        <w:t>ما یوهم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عبرة بالوهم و لا بالموهوم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الإشکال فی الدم الغیر المضاف إلی الحیوان، کالدم المخلوق آیةً لموسی بن عمران علیه السلام </w:t>
      </w:r>
      <w:r>
        <w:rPr>
          <w:rStyle w:val="FootnoteAnchor"/>
          <w:rtl w:val="true"/>
        </w:rPr>
        <w:footnoteReference w:id="510"/>
      </w:r>
      <w:r>
        <w:rPr>
          <w:rFonts w:ascii="IRNazanin" w:hAnsi="IRNazanin" w:eastAsia="IRNazanin"/>
          <w:color w:val="111111"/>
          <w:sz w:val="28"/>
          <w:sz w:val="28"/>
          <w:szCs w:val="28"/>
          <w:rtl w:val="true"/>
          <w:lang w:bidi="fa-IR"/>
        </w:rPr>
        <w:t xml:space="preserve">و المتکوّن لمصیبة سیّد شباب أهل الجنان </w:t>
      </w:r>
      <w:r>
        <w:rPr>
          <w:rStyle w:val="FootnoteAnchor"/>
          <w:rtl w:val="true"/>
        </w:rPr>
        <w:footnoteReference w:id="511"/>
      </w:r>
      <w:r>
        <w:rPr>
          <w:rFonts w:ascii="IRNazanin" w:hAnsi="IRNazanin" w:eastAsia="IRNazanin"/>
          <w:color w:val="111111"/>
          <w:sz w:val="28"/>
          <w:sz w:val="28"/>
          <w:szCs w:val="28"/>
          <w:rtl w:val="true"/>
          <w:lang w:bidi="fa-IR"/>
        </w:rPr>
        <w:t xml:space="preserve">، و الظاهر عدم نجاستها </w:t>
      </w:r>
      <w:r>
        <w:rPr>
          <w:rStyle w:val="FootnoteAnchor"/>
          <w:rtl w:val="true"/>
        </w:rPr>
        <w:footnoteReference w:id="512"/>
      </w:r>
      <w:r>
        <w:rPr>
          <w:rFonts w:ascii="IRNazanin" w:hAnsi="IRNazanin" w:eastAsia="IRNazanin"/>
          <w:color w:val="111111"/>
          <w:sz w:val="28"/>
          <w:sz w:val="28"/>
          <w:szCs w:val="28"/>
          <w:rtl w:val="true"/>
          <w:lang w:bidi="fa-IR"/>
        </w:rPr>
        <w:t>و إن قلنا بإطلاقات الدم من الأخبار؛ لانصرافها إلی ما کان من أجزاء الحیوان و فضلاته و لو فی الأصل، کعلقة البیضة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 ذلک ما یعصر من الأشجار شبیه الدم، و لا عبرة بإطلاق الدم علیه من العوام و ضعفة الإدراکات، کما لا یخفی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اشتبه الفرد المحکوم بطهارته من الدم بالمحکوم بنجاسته کالدم المرئی فی بدن الإنسان أو ثوبه المردّد بین دم البراغیث و دم الجلد، فالأقوی الحکم بطهارته، وفاقا للمحکیّ عن النهایة </w:t>
      </w:r>
      <w:r>
        <w:rPr>
          <w:rStyle w:val="FootnoteAnchor"/>
          <w:rtl w:val="true"/>
        </w:rPr>
        <w:footnoteReference w:id="513"/>
      </w:r>
      <w:r>
        <w:rPr>
          <w:rFonts w:ascii="IRNazanin" w:hAnsi="IRNazanin" w:eastAsia="IRNazanin"/>
          <w:color w:val="111111"/>
          <w:sz w:val="28"/>
          <w:sz w:val="28"/>
          <w:szCs w:val="28"/>
          <w:rtl w:val="true"/>
          <w:lang w:bidi="fa-IR"/>
        </w:rPr>
        <w:t xml:space="preserve">و الذکری </w:t>
      </w:r>
      <w:r>
        <w:rPr>
          <w:rStyle w:val="FootnoteAnchor"/>
          <w:rtl w:val="true"/>
        </w:rPr>
        <w:footnoteReference w:id="514"/>
      </w:r>
      <w:r>
        <w:rPr>
          <w:rFonts w:ascii="IRNazanin" w:hAnsi="IRNazanin" w:eastAsia="IRNazanin"/>
          <w:color w:val="111111"/>
          <w:sz w:val="28"/>
          <w:sz w:val="28"/>
          <w:szCs w:val="28"/>
          <w:rtl w:val="true"/>
          <w:lang w:bidi="fa-IR"/>
        </w:rPr>
        <w:t xml:space="preserve">و الدروس </w:t>
      </w:r>
      <w:r>
        <w:rPr>
          <w:rStyle w:val="FootnoteAnchor"/>
          <w:rtl w:val="true"/>
        </w:rPr>
        <w:footnoteReference w:id="515"/>
      </w:r>
      <w:r>
        <w:rPr>
          <w:rFonts w:ascii="IRNazanin" w:hAnsi="IRNazanin" w:eastAsia="IRNazanin"/>
          <w:color w:val="111111"/>
          <w:sz w:val="28"/>
          <w:sz w:val="28"/>
          <w:szCs w:val="28"/>
          <w:rtl w:val="true"/>
          <w:lang w:bidi="fa-IR"/>
        </w:rPr>
        <w:t xml:space="preserve">و الموجز </w:t>
      </w:r>
      <w:r>
        <w:rPr>
          <w:rStyle w:val="FootnoteAnchor"/>
          <w:rtl w:val="true"/>
        </w:rPr>
        <w:footnoteReference w:id="516"/>
      </w:r>
      <w:r>
        <w:rPr>
          <w:rFonts w:ascii="IRNazanin" w:hAnsi="IRNazanin" w:eastAsia="IRNazanin"/>
          <w:color w:val="111111"/>
          <w:sz w:val="28"/>
          <w:sz w:val="28"/>
          <w:szCs w:val="28"/>
          <w:rtl w:val="true"/>
          <w:lang w:bidi="fa-IR"/>
        </w:rPr>
        <w:t xml:space="preserve">و شرحه </w:t>
      </w:r>
      <w:r>
        <w:rPr>
          <w:rStyle w:val="FootnoteAnchor"/>
          <w:rtl w:val="true"/>
        </w:rPr>
        <w:footnoteReference w:id="517"/>
      </w:r>
      <w:r>
        <w:rPr>
          <w:rFonts w:ascii="IRNazanin" w:hAnsi="IRNazanin" w:eastAsia="IRNazanin"/>
          <w:color w:val="111111"/>
          <w:sz w:val="28"/>
          <w:sz w:val="28"/>
          <w:szCs w:val="28"/>
          <w:rtl w:val="true"/>
          <w:lang w:bidi="fa-IR"/>
        </w:rPr>
        <w:t xml:space="preserve">و المدارک </w:t>
      </w:r>
      <w:r>
        <w:rPr>
          <w:rStyle w:val="FootnoteAnchor"/>
          <w:rtl w:val="true"/>
        </w:rPr>
        <w:footnoteReference w:id="518"/>
      </w:r>
      <w:r>
        <w:rPr>
          <w:rFonts w:ascii="IRNazanin" w:hAnsi="IRNazanin" w:eastAsia="IRNazanin"/>
          <w:color w:val="111111"/>
          <w:sz w:val="28"/>
          <w:sz w:val="28"/>
          <w:szCs w:val="28"/>
          <w:rtl w:val="true"/>
          <w:lang w:bidi="fa-IR"/>
        </w:rPr>
        <w:t xml:space="preserve">و کشف الغطاء </w:t>
      </w:r>
      <w:r>
        <w:rPr>
          <w:rStyle w:val="FootnoteAnchor"/>
          <w:rtl w:val="true"/>
        </w:rPr>
        <w:footnoteReference w:id="519"/>
      </w:r>
      <w:r>
        <w:rPr>
          <w:rFonts w:ascii="IRNazanin" w:hAnsi="IRNazanin" w:eastAsia="IRNazanin"/>
          <w:color w:val="111111"/>
          <w:sz w:val="28"/>
          <w:sz w:val="28"/>
          <w:szCs w:val="28"/>
          <w:rtl w:val="true"/>
          <w:lang w:bidi="fa-IR"/>
        </w:rPr>
        <w:t>و الحدائق، بل 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خلاف فی ذلک بین الأصحاب؛ لأصالة الطهارة المتّفق علیها فی مثل المقام من الشبهة الموضوعیة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المصرّح به فی 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وجوب الاجتناب إلی الشیخ و غیره، بل یظهر منه میله </w:t>
      </w:r>
      <w:r>
        <w:rPr>
          <w:rStyle w:val="FootnoteAnchor"/>
          <w:rtl w:val="true"/>
        </w:rPr>
        <w:footnoteReference w:id="521"/>
      </w:r>
      <w:r>
        <w:rPr>
          <w:rFonts w:ascii="IRNazanin" w:hAnsi="IRNazanin" w:eastAsia="IRNazanin"/>
          <w:color w:val="111111"/>
          <w:sz w:val="28"/>
          <w:sz w:val="28"/>
          <w:szCs w:val="28"/>
          <w:rtl w:val="true"/>
          <w:lang w:bidi="fa-IR"/>
        </w:rPr>
        <w:t xml:space="preserve">، و لا أعرف له وجها عدا الموثّقة الآتیة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یتوهّم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أدلّة نجاسة الدم و وجوب الاقتصار علی ما علم خروجه من ذلک،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عمومات النجاسة کما أنّها تشمل کلّ قسم من الدم إلّا ما خرج بالدلیل، کذلک یشمل الدم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فإنّ شمول العمومات لجمیع أفراد الدم إنّما هو من باب أصالة الحقیقة؛ إذ لو أُرید من العام ما عدا هذا الفرد لوجب البیان و قبح علیه ترکه و تأخیره، و لیس کذلک الفرد المشتبه المردّد بین کونه مصداقاً للنوع المقطوع دخوله و بین کونه مصداقاً للنوع المقطوع بخروجه، فإنّ الحکم بکونه خارجاً أو داخلًا لا یزید و لا ینقص فی مراد المتکلّم بالعام، فلا یجری أصالة الحقیقة و لا تأخیر بیان، فإذا رجعنا فی حکم هذا المشکوک إلی الأُصول الشرعیّة، فلیس فی العام المفروض ظهور لفظی یحکم به علی الأُصول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قال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نصب قرینة علی إرادة خصوص العدول و خروج الفسّاق، فشکّ فی عدالة أحدٍ منهم، فلیس فی العام المذکور ما یزیل ذلک الشک حتی یغنی من الرجوع إلی الأُصول؛ إذ لا یلزم من کونه فاسقاً مخالفةٌ لظاهر اللفظ، کما لا یلزم موافقةٌ له من کونه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الخارج هو معلوم الفسق دون الفاسق الواقعی، کان ذلک خارجاً عن الفرض؛ إذ لا تردّد هنا بین کون المشتبه من أفراد الداخل أو الخارج؛</w:t>
      </w:r>
    </w:p>
    <w:p>
      <w:pPr>
        <w:pStyle w:val="BookText"/>
        <w:rPr/>
      </w:pPr>
      <w:r>
        <w:rPr>
          <w:rFonts w:ascii="IRNazanin" w:hAnsi="IRNazanin" w:eastAsia="IRNazanin"/>
          <w:color w:val="111111"/>
          <w:sz w:val="28"/>
          <w:sz w:val="28"/>
          <w:szCs w:val="28"/>
          <w:rtl w:val="true"/>
          <w:lang w:bidi="fa-IR"/>
        </w:rPr>
        <w:t>لأنّه لیس من أفراد الخارج قطعاً، فلا إشکال فی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هنا أصل موضوعی یندرج الموضوع بواسطته تحت العنوان الداخل أو الخارج، کما لو قلنا بأصالة العدالة أو الفسق، فإنّه لا إشکال فی الدخول علی الأوّل و الخروج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نحن فیه من هذا القبیل؛ لأنّ الخارج من إطلاقات الدم دم ما لا نفس له، و الأصل فیما لم یعلم کونه ممّا لا نفس له أن لا یکون منه، و هکذا الکلام فی کل عنوان وجودی خرج عن مطلق أو عام، و 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شکّ فی کون الدم ممّا یعفی عن قلیله أو ممّا لا یعفی کالدماء الثلاثة فالأصل عدم کون المشکوک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توهّم فاسدٌ؛ لأنّ الجاری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المشتبه بالدماء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ملاقاة الثوب لدم الحیض، لا أصالة عدم کون هذا الدم دم حیض؛ لأنّه غیر مسبوق بالحالة السابقة، و حینئذٍ فإجراء أصالة عدم ملاقاة الثوب لدم ما لا نفس له لا یوجب وجوب الاجتناب عنه، بل الموجب له ملاقاته لغیر ما لا نفس له، و الأصل عدمه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أفسد من الدعوی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الظاهر أنّ الحکم بطهارة دم ما لا نفس له رخصةٌ خرج من عموم المنع، فلا بدّ من الاقتصار فیه علی المتیقّن، کما أنّه إذا استفید کون عنوان الخاص من قبیل المانع عن حکم العام و کون عنوان العام مقتضیاً له، کما لا یبعد ذلک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بعد نصب القرینة علی إخراج الفاسق، فلا بدّ من الاقتصار علی ما إذا تیقّن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ذلک یعلم ممّا قدّمنا لک منه جزءً وافیاً، و توضیحه فی الأُصول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یستدلّ علی أصالة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 قوله علیه السلام فی الموثّقة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رأیت فی منقاره دماً فلا تشرب منه</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دلّ علی أنّ مجرّد رؤیة الدم یکفی فی الاجتناب، خرج منه ما لو علم کونه دم ما لا نفس له، نظیر الحکم بالحیضیّة علی من رأت الدم مع عدم علمها بکونها استحاضة، و بالجنابة علی من رأی بللًا مشتبهاً قبل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بعد ظهور سوقها فی مقام بیان تقیید الحکم بعدم رؤیة الدم المفروغ عن نجاسته، کما یقال مثل ذلک فی البول و الغائط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ظاهرة فی الدماء النجسة؛ بقرینة کون السؤال عن سؤر الصقر و البازی و نحوهما من سباع الطیور التی تأکل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الروایة معارضة بذیلها المزید علیها فی الاستبصار و المرویّ فی الفقیه،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عن ماء شربت منه الدجاجة؟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منقارها قذر لم یتوضأ و لم یشرب، و إن لم یعلم أنّ فی منقارها قذراً فیتوضأ منه و اشرب</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 و النسبة عموم من وجه، و مع التساقط یرجع إلی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یعلم أنّه قذر</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المعتضد بالإجماع المحقّق علی هذا الأصل الأصیل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اشتبه الدم المعفوّ بغیره، فقد عرفت أنّ الأقوی العفو، بمعنی أنّ</w:t>
      </w:r>
    </w:p>
    <w:p>
      <w:pPr>
        <w:pStyle w:val="BookText"/>
        <w:rPr/>
      </w:pPr>
      <w:r>
        <w:rPr>
          <w:rFonts w:ascii="IRNazanin" w:hAnsi="IRNazanin" w:eastAsia="IRNazanin"/>
          <w:color w:val="111111"/>
          <w:sz w:val="28"/>
          <w:sz w:val="28"/>
          <w:szCs w:val="28"/>
          <w:rtl w:val="true"/>
          <w:lang w:bidi="fa-IR"/>
        </w:rPr>
        <w:t>الثوب الموجود فیه هذا الدم یصلّی فیه، لأصالة عدم تنجسه بدم الحیض و أخویه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وقع فی البئر،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وقوع دم الحیض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یعارض بأصالة عدم ملاقاة دم غیر الحیض أو عدم وقوعه؛ إذ لا یخفی أنّه لا یترتّب علی عدم وقوع دم غیر الحیض أو عدم ملاقاته حکم شرعی، و الذی یترتب علیه حکمٌ هو وقوع دم غیر الحیض لا عدم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الدماء الغیر المعفو عنها محصورة، و غیرها غیر محصورة فیلحق المشکوک بالثانی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أعرف حاصله، و یمکن إرجاعه إلی ما ذکرنا،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الشارع لم یترتّب </w:t>
      </w:r>
      <w:r>
        <w:rPr>
          <w:rStyle w:val="FootnoteAnchor"/>
          <w:rtl w:val="true"/>
        </w:rPr>
        <w:footnoteReference w:id="527"/>
      </w:r>
      <w:r>
        <w:rPr>
          <w:rFonts w:ascii="IRNazanin" w:hAnsi="IRNazanin" w:eastAsia="IRNazanin"/>
          <w:color w:val="111111"/>
          <w:sz w:val="28"/>
          <w:sz w:val="28"/>
          <w:szCs w:val="28"/>
          <w:rtl w:val="true"/>
          <w:lang w:bidi="fa-IR"/>
        </w:rPr>
        <w:t xml:space="preserve">علی الدماء الأُخر حکماً شرعیاً باعتبار عنواناتها الخاصّة الوجودیة الملحوظة کلّ واحد منها مستقلا، و إنّما حکم علیها من حیث کونها دماً، و أمّا العنوانات المحصورة فإنّما یترتب الحکم علیها باعتبار عنواناتها، فإذا نشکّ فی ثبوت بعضها، فالأصل عدم تحقّقها، فیترتّب علیها أحکام نفس المطلق، دون أحکام العنوانات الخاصّة، فتأمّل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bookmarkStart w:id="41" w:name="pg16911_259538"/>
    </w:p>
    <w:p>
      <w:pPr>
        <w:pStyle w:val="Heading5"/>
        <w:numPr>
          <w:ilvl w:val="4"/>
          <w:numId w:val="1"/>
        </w:numPr>
        <w:rPr/>
      </w:pPr>
      <w:bookmarkStart w:id="42" w:name="__RefHeading___Toc6618642_3224264995"/>
      <w:bookmarkStart w:id="43" w:name="_Toc16"/>
      <w:bookmarkEnd w:id="41"/>
      <w:bookmarkEnd w:id="42"/>
      <w:r>
        <w:rPr>
          <w:rtl w:val="true"/>
        </w:rPr>
        <w:t>[</w:t>
      </w:r>
      <w:r>
        <w:rPr>
          <w:rtl w:val="true"/>
        </w:rPr>
        <w:t>السادس و السابع الکلب و الخنزیر</w:t>
      </w:r>
      <w:r>
        <w:rPr>
          <w:rtl w:val="true"/>
        </w:rPr>
        <w:t>]</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السادس و السابع الکلب و الخنزیر </w:t>
      </w:r>
      <w:r>
        <w:rPr>
          <w:rStyle w:val="FootnoteAnchor"/>
          <w:rtl w:val="true"/>
        </w:rPr>
        <w:footnoteReference w:id="5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و السابع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الکلب و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نجسا العین بالإجماع المحقّق و المستفیض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الأصل فی ذلک قبل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إِلّٰا أَنْ یَکُونَ مَیْتَةً أَوْ دَماً مَسْفُوحاً أَوْ لَحْمَ خِنزِیرٍ فَإِنَّهُ رِجْسٌ </w:t>
      </w:r>
      <w:r>
        <w:rPr>
          <w:rStyle w:val="FootnoteAnchor"/>
          <w:rtl w:val="true"/>
        </w:rPr>
        <w:footnoteReference w:id="531"/>
      </w:r>
      <w:r>
        <w:rPr>
          <w:rFonts w:ascii="IRNazanin" w:hAnsi="IRNazanin" w:eastAsia="IRNazanin"/>
          <w:color w:val="111111"/>
          <w:sz w:val="28"/>
          <w:sz w:val="28"/>
          <w:szCs w:val="28"/>
          <w:rtl w:val="true"/>
          <w:lang w:bidi="fa-IR"/>
        </w:rPr>
        <w:t>و فی مقابلة لحم الخنزیر بالمیتة دلالة علی أنّ نجاسته لیست لأجل عدم وقوع التذکیة علیه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السنّة، فحد الاستفاضة أو التواتر، ففی روایة البقباق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رجس نجس، لا تتوضأ بفضله، و اصبب ذلک الماء و اغسله بالتراب أوّل مرة ثمّ بالماء</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معاویة بن شریح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سؤر الکلب یشرب منه أو یتوضأ؟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هو بسبع؟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إنّه نجس</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أبی سهل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لحم الکلب؟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مسخ،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هو 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نجس أُعیدها علیه ثلاث مرّات، فی کلّ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نجس</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إلی غیر ذلک من الأخبار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علی بن جعفر عن أخیه،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من خنزیر یشرب من إناء کیف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سبع مرّات</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سلمان الإسکاف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شعر الخنزیر یخرز؟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لکن یغسل یده إذا أراد أن یصلّی</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فی إطلاق الکلب بین کلب الصید و غیره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المحکیّ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أصاب ثوبه کلب جاف و لم یکن کلب صید فعلیه أن یرشّه بالماء، و إن کان رطباً فعلیه أن یغسله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کلب صید فإن کان جافّاً فلیس علیه شی‌ء، و إن کان رطباً فعلیه أن یرشّه بالماء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ضعیف مردود بإطلاق الأخبار و خصوص حسنة ابن مسلم بابن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الکلب السلوقی؟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مسسته فاغسل یدک</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إطلاق الحکم فی الأخبار بنجاسة الکلب و الخنزیر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غسل ما لاقاهما یشمل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إجزاءهما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تحلّها الحیاة، کما یظهر من روایة الإسکاف المتقدّمة </w:t>
      </w:r>
      <w:r>
        <w:rPr>
          <w:rStyle w:val="FootnoteAnchor"/>
          <w:rtl w:val="true"/>
        </w:rPr>
        <w:footnoteReference w:id="540"/>
      </w:r>
      <w:r>
        <w:rPr>
          <w:rFonts w:ascii="IRNazanin" w:hAnsi="IRNazanin" w:eastAsia="IRNazanin"/>
          <w:color w:val="111111"/>
          <w:sz w:val="28"/>
          <w:sz w:val="28"/>
          <w:szCs w:val="28"/>
          <w:rtl w:val="true"/>
          <w:lang w:bidi="fa-IR"/>
        </w:rPr>
        <w:t>المعتضدة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المرتضی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شعرهما، بل و سائر ما لا تحلّه الحیاة منها </w:t>
      </w:r>
      <w:r>
        <w:rPr>
          <w:rStyle w:val="FootnoteAnchor"/>
          <w:rtl w:val="true"/>
        </w:rPr>
        <w:footnoteReference w:id="541"/>
      </w:r>
      <w:r>
        <w:rPr>
          <w:rFonts w:ascii="IRNazanin" w:hAnsi="IRNazanin" w:eastAsia="IRNazanin"/>
          <w:color w:val="111111"/>
          <w:sz w:val="28"/>
          <w:sz w:val="28"/>
          <w:szCs w:val="28"/>
          <w:rtl w:val="true"/>
          <w:lang w:bidi="fa-IR"/>
        </w:rPr>
        <w:t>، ناسباً ذلک إلی مذهب أصحابنا، مستدلّاً علیه بالإجماع،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الشعر و الصوف من جملة الکلب و الخنزیر و هما نجسان؛ و ذلک أنّه لا یکون من جملة الحی إلّا ما تحلّه الحیاة، و ما لا تحلّه الحیاة لیس من جملته و إن کان متّصلًا به </w:t>
      </w:r>
      <w:r>
        <w:rPr>
          <w:rStyle w:val="FootnoteAnchor"/>
          <w:rtl w:val="true"/>
        </w:rPr>
        <w:footnoteReference w:id="54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 من الإجماع موهون بتفرّده به، و إن سبق إلیه جدّه الناصر علی ما یظهر من المحکی عنه </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 من الدلیل واضح الضعف، و لو لا دلالة الأدلّة علی طهارة ما لا تحلّه الحیاة من المیتة و فهم استناد النجاسة فیها إلی الموت لم یحکم بطهارة ما لا تحلّه الحیاة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یتلو هذا القول فی الضعف تعمیم العنوانین للبحری منها </w:t>
      </w:r>
      <w:r>
        <w:rPr>
          <w:rStyle w:val="FootnoteAnchor"/>
          <w:rtl w:val="true"/>
        </w:rPr>
        <w:footnoteReference w:id="544"/>
      </w:r>
      <w:r>
        <w:rPr>
          <w:rFonts w:ascii="IRNazanin" w:hAnsi="IRNazanin" w:eastAsia="IRNazanin"/>
          <w:color w:val="111111"/>
          <w:sz w:val="28"/>
          <w:sz w:val="28"/>
          <w:szCs w:val="28"/>
          <w:rtl w:val="true"/>
          <w:lang w:bidi="fa-IR"/>
        </w:rPr>
        <w:t xml:space="preserve">، کما عن الحلّی </w:t>
      </w:r>
      <w:r>
        <w:rPr>
          <w:rStyle w:val="FootnoteAnchor"/>
          <w:rtl w:val="true"/>
        </w:rPr>
        <w:footnoteReference w:id="545"/>
      </w:r>
      <w:r>
        <w:rPr>
          <w:rFonts w:ascii="IRNazanin" w:hAnsi="IRNazanin" w:eastAsia="IRNazanin"/>
          <w:color w:val="111111"/>
          <w:sz w:val="28"/>
          <w:sz w:val="28"/>
          <w:szCs w:val="28"/>
          <w:rtl w:val="true"/>
          <w:lang w:bidi="fa-IR"/>
        </w:rPr>
        <w:t xml:space="preserve">و استقر به فی المنتهی </w:t>
      </w:r>
      <w:r>
        <w:rPr>
          <w:rStyle w:val="FootnoteAnchor"/>
          <w:rtl w:val="true"/>
        </w:rPr>
        <w:footnoteReference w:id="546"/>
      </w:r>
      <w:r>
        <w:rPr>
          <w:rFonts w:ascii="IRNazanin" w:hAnsi="IRNazanin" w:eastAsia="IRNazanin"/>
          <w:color w:val="111111"/>
          <w:sz w:val="28"/>
          <w:sz w:val="28"/>
          <w:szCs w:val="28"/>
          <w:rtl w:val="true"/>
          <w:lang w:bidi="fa-IR"/>
        </w:rPr>
        <w:t xml:space="preserve">لصدق الاسم لاشتراک اللفظ، مع أنّ المحکی عن تحریره </w:t>
      </w:r>
      <w:r>
        <w:rPr>
          <w:rStyle w:val="FootnoteAnchor"/>
          <w:rtl w:val="true"/>
        </w:rPr>
        <w:footnoteReference w:id="547"/>
      </w:r>
      <w:r>
        <w:rPr>
          <w:rFonts w:ascii="IRNazanin" w:hAnsi="IRNazanin" w:eastAsia="IRNazanin"/>
          <w:color w:val="111111"/>
          <w:sz w:val="28"/>
          <w:sz w:val="28"/>
          <w:szCs w:val="28"/>
          <w:rtl w:val="true"/>
          <w:lang w:bidi="fa-IR"/>
        </w:rPr>
        <w:t xml:space="preserve">و تذکرته </w:t>
      </w:r>
      <w:r>
        <w:rPr>
          <w:rStyle w:val="FootnoteAnchor"/>
          <w:rtl w:val="true"/>
        </w:rPr>
        <w:footnoteReference w:id="548"/>
      </w:r>
      <w:r>
        <w:rPr>
          <w:rFonts w:ascii="IRNazanin" w:hAnsi="IRNazanin" w:eastAsia="IRNazanin"/>
          <w:color w:val="111111"/>
          <w:sz w:val="28"/>
          <w:sz w:val="28"/>
          <w:szCs w:val="28"/>
          <w:rtl w:val="true"/>
          <w:lang w:bidi="fa-IR"/>
        </w:rPr>
        <w:t xml:space="preserve">و نهایته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بکون الصدق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المحکیّ عن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التردّد </w:t>
      </w:r>
      <w:r>
        <w:rPr>
          <w:rStyle w:val="FootnoteAnchor"/>
          <w:rtl w:val="true"/>
        </w:rPr>
        <w:footnoteReference w:id="550"/>
      </w:r>
      <w:r>
        <w:rPr>
          <w:rFonts w:ascii="IRNazanin" w:hAnsi="IRNazanin" w:eastAsia="IRNazanin"/>
          <w:color w:val="111111"/>
          <w:sz w:val="28"/>
          <w:sz w:val="28"/>
          <w:szCs w:val="28"/>
          <w:rtl w:val="true"/>
          <w:lang w:bidi="fa-IR"/>
        </w:rPr>
        <w:t>متمسّکاً بصدق الاسم، و هو ممنوع، و علی فرض تسلیمه فانصراف الإطلاق إلی البرّی مانع عن العموم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الطهارة، بل یدلّ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الحجاج المرویّة فی الکافی فی آخر کتاب الأطعمة فی باب لبس الخزّ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عبد اللّٰه علیه السلام رجل و أنا عنده، عن جلود الخزّ؟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إنّها فی بلادی، و إنّما هی کلاب تخرج من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 إذا خرجت من الماء تعیش خارجةً من الماء؟ فقال</w:t>
      </w:r>
    </w:p>
    <w:p>
      <w:pPr>
        <w:pStyle w:val="BookText"/>
        <w:rPr/>
      </w:pP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التعلیل إشارة إلی طهارة الخنزیر البحری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المتولّد من الحیوانین إن تبع أحدهما فی الاسم، فلا إشکال فی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لو باینهما، کما فی الذکری </w:t>
      </w:r>
      <w:r>
        <w:rPr>
          <w:rStyle w:val="FootnoteAnchor"/>
          <w:rtl w:val="true"/>
        </w:rPr>
        <w:footnoteReference w:id="552"/>
      </w:r>
      <w:r>
        <w:rPr>
          <w:rFonts w:ascii="IRNazanin" w:hAnsi="IRNazanin" w:eastAsia="IRNazanin"/>
          <w:color w:val="111111"/>
          <w:sz w:val="28"/>
          <w:sz w:val="28"/>
          <w:szCs w:val="28"/>
          <w:rtl w:val="true"/>
          <w:lang w:bidi="fa-IR"/>
        </w:rPr>
        <w:t xml:space="preserve">و الروض </w:t>
      </w:r>
      <w:r>
        <w:rPr>
          <w:rStyle w:val="FootnoteAnchor"/>
          <w:rtl w:val="true"/>
        </w:rPr>
        <w:footnoteReference w:id="553"/>
      </w:r>
      <w:r>
        <w:rPr>
          <w:rFonts w:ascii="IRNazanin" w:hAnsi="IRNazanin" w:eastAsia="IRNazanin"/>
          <w:color w:val="111111"/>
          <w:sz w:val="28"/>
          <w:sz w:val="28"/>
          <w:szCs w:val="28"/>
          <w:rtl w:val="true"/>
          <w:lang w:bidi="fa-IR"/>
        </w:rPr>
        <w:t xml:space="preserve">و عن المحقّق الثانی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إطلاقهما یشمل ما لو فرض صدق اسم حیوان طاهر علیه، و هو مشکل کما عن المنتهی </w:t>
      </w:r>
      <w:r>
        <w:rPr>
          <w:rStyle w:val="FootnoteAnchor"/>
          <w:rtl w:val="true"/>
        </w:rPr>
        <w:footnoteReference w:id="555"/>
      </w:r>
      <w:r>
        <w:rPr>
          <w:rFonts w:ascii="IRNazanin" w:hAnsi="IRNazanin" w:eastAsia="IRNazanin"/>
          <w:color w:val="111111"/>
          <w:sz w:val="28"/>
          <w:sz w:val="28"/>
          <w:szCs w:val="28"/>
          <w:rtl w:val="true"/>
          <w:lang w:bidi="fa-IR"/>
        </w:rPr>
        <w:t xml:space="preserve">و النهایة </w:t>
      </w:r>
      <w:r>
        <w:rPr>
          <w:rStyle w:val="FootnoteAnchor"/>
          <w:rtl w:val="true"/>
        </w:rPr>
        <w:footnoteReference w:id="556"/>
      </w:r>
      <w:r>
        <w:rPr>
          <w:rFonts w:ascii="IRNazanin" w:hAnsi="IRNazanin" w:eastAsia="IRNazanin"/>
          <w:color w:val="111111"/>
          <w:sz w:val="28"/>
          <w:sz w:val="28"/>
          <w:szCs w:val="28"/>
          <w:rtl w:val="true"/>
          <w:lang w:bidi="fa-IR"/>
        </w:rPr>
        <w:t xml:space="preserve">و المعالم </w:t>
      </w:r>
      <w:r>
        <w:rPr>
          <w:rStyle w:val="FootnoteAnchor"/>
          <w:rtl w:val="true"/>
        </w:rPr>
        <w:footnoteReference w:id="557"/>
      </w:r>
      <w:r>
        <w:rPr>
          <w:rFonts w:ascii="IRNazanin" w:hAnsi="IRNazanin" w:eastAsia="IRNazanin"/>
          <w:color w:val="111111"/>
          <w:sz w:val="28"/>
          <w:sz w:val="28"/>
          <w:szCs w:val="28"/>
          <w:rtl w:val="true"/>
          <w:lang w:bidi="fa-IR"/>
        </w:rPr>
        <w:t xml:space="preserve">و المدارک </w:t>
      </w:r>
      <w:r>
        <w:rPr>
          <w:rStyle w:val="FootnoteAnchor"/>
          <w:rtl w:val="true"/>
        </w:rPr>
        <w:footnoteReference w:id="558"/>
      </w:r>
      <w:r>
        <w:rPr>
          <w:rFonts w:ascii="IRNazanin" w:hAnsi="IRNazanin" w:eastAsia="IRNazanin"/>
          <w:color w:val="111111"/>
          <w:sz w:val="28"/>
          <w:sz w:val="28"/>
          <w:szCs w:val="28"/>
          <w:rtl w:val="true"/>
          <w:lang w:bidi="fa-IR"/>
        </w:rPr>
        <w:t xml:space="preserve">بل الإشکال فی غیره أیضاً؛ من حیث عدم الدلیل علی النجاسة، و مجرّد کونه جزءً منهما فی زمان لا یسوّغ استصحاب نجاسة </w:t>
      </w:r>
      <w:r>
        <w:rPr>
          <w:rStyle w:val="FootnoteAnchor"/>
          <w:rtl w:val="true"/>
        </w:rPr>
        <w:footnoteReference w:id="559"/>
      </w:r>
      <w:r>
        <w:rPr>
          <w:rFonts w:ascii="IRNazanin" w:hAnsi="IRNazanin" w:eastAsia="IRNazanin"/>
          <w:color w:val="111111"/>
          <w:sz w:val="28"/>
          <w:sz w:val="28"/>
          <w:szCs w:val="28"/>
          <w:rtl w:val="true"/>
          <w:lang w:bidi="fa-IR"/>
        </w:rPr>
        <w:t>لانتفاء الموضوع، و إلّا کان اللازم الاکتفاء بتولّده من أحدهما سیّما الأُمّ، إلّا أن یدّعی تحقّق الاستصحاب من جهة بقاء الموضوع عرفاً؛ فإن الجنین فی بطن أحد الحیوانین قبل صیرورته حیواناً آخر نجس؛ لما تقدّم فی المیتة، فیستصحب نجاسته بعد ولوج الروح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وجه کفایة نجاسة الأُمّ لا الأب؛ لأنّ النطفة تستحیل، بخلاف الجنین الذی تلج فیه الروح، فإنّ ولوج الروح لا یوجب ارتفاع الموضوع عرفاً، کما أنّ خروجه لا یوجب ذلک؛ و لذا لا یحتاج فی نجاسة الکلب بعد موته إلی أدلّة نجاسة المیتة، و لا یستثنی منها ما لا تحلّه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یمنع نجاسة الجنین قبل انفصاله عن الام، فأصالة الطهارة 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إمکان التمسّک بإطلاقات طهارة الحیوان الذی یتبعه فی الاسم، إلّا أن یدّعی انصرافها إلی غیر ذلک، و لعلّه انصرافٌ ابتدائیٌّ لا یقدح، مع أنّ الأصل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لذا کان ظاهر الأصحاب کما فی شرح المفاتیح تبعیّة الولد للطاهر منهما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حینئذٍ فینبغی ذلک أیضاً فی المتولّد من نجسین لو باینهما حتّی لو کانا کلبین أو خنزیرین؛ و لذا اختار کاشف اللثام طهارة المتولّد من کلبین أو خنزیرین إذا کان هرّة مثلًا أو حیواناً غیر معروف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یدّعی القطع بعدم خروجه عن أحدهما و أنّ المباینة لهما صوریّة، و حینئذٍ فلا یقدح عدم صدق الاسم؛ لأنّ الأحکام إنّما تدور مدار الأسماء؛ لکشفها عن حقائق المسمّیات، لا لأنّ للتسمیة بمجرّدها دخلًا فی الحکم،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إن کانت حقیقة ثالثة، إلّا أنّ النجاسة إنّما جاءت من تنقیح المناط؛ إذ لا یفرّقون أهل الشرع فی النجاسة و هی القذارة الذاتیّة بین المتولّد من کلبین و بین المتولّد من کلب و خنزیر، کما سیجی‌ء فی ولد</w:t>
      </w:r>
    </w:p>
    <w:p>
      <w:pPr>
        <w:pStyle w:val="BookText"/>
        <w:rPr/>
      </w:pP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 حیوانین حکم الشارع بنجاستهما عیناً یفهم منه أهل الشرع سرایة النجاسة إلی ولدهما و إن لم یصدق علیه عنوان أحدهما، فافهم و 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فالأقوی حرمة لحمه إن کان النجس خنزیراً و إن کان الطاهر من أبویه محلّلًا؛ لفحوی النص الدالّ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الجدی الراضع من لبن خنزیر حتّی کبر و شبّ و اشتدّ عظمه، و تحریم نسله من الغنم التی استفحله فیها </w:t>
      </w:r>
      <w:r>
        <w:rPr>
          <w:rStyle w:val="FootnoteAnchor"/>
          <w:rtl w:val="true"/>
        </w:rPr>
        <w:footnoteReference w:id="562"/>
      </w:r>
      <w:r>
        <w:rPr>
          <w:rFonts w:ascii="IRNazanin" w:hAnsi="IRNazanin" w:eastAsia="IRNazanin"/>
          <w:color w:val="111111"/>
          <w:sz w:val="28"/>
          <w:sz w:val="28"/>
          <w:szCs w:val="28"/>
          <w:rtl w:val="true"/>
          <w:lang w:bidi="fa-IR"/>
        </w:rPr>
        <w:t>، بل لا یبعد تعدّی الحکم إلی ما لو کان کلباً و إن لم نقل بجریان أصل الحکم فی الکلب، إلّا أنّه لا ینافی ثبوت الأولویّة؛ فإنّ الحکم بحرمة الغنم المتکوّن نطفته من جدیٍ رضع من الخنزیر یوجب الحکم بحرمة غنم نطفته من الکلب أو سکن فی رحم الکلب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ورد فی حرمة نسل الموطوء ذکراً کان أم أُنثی </w:t>
      </w:r>
      <w:r>
        <w:rPr>
          <w:rStyle w:val="FootnoteAnchor"/>
          <w:rtl w:val="true"/>
        </w:rPr>
        <w:footnoteReference w:id="563"/>
      </w:r>
      <w:r>
        <w:rPr>
          <w:rFonts w:ascii="IRNazanin" w:hAnsi="IRNazanin" w:eastAsia="IRNazanin"/>
          <w:color w:val="111111"/>
          <w:sz w:val="28"/>
          <w:sz w:val="28"/>
          <w:szCs w:val="28"/>
          <w:rtl w:val="true"/>
          <w:lang w:bidi="fa-IR"/>
        </w:rPr>
        <w:t xml:space="preserve">و لذا احتمل کاشف الغطاء فی هذا المقام الإجماع علی حرمة کلّ ما یتفرّع عن الحرام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فیما ذکره شیخنا فی الروضة </w:t>
      </w:r>
      <w:r>
        <w:rPr>
          <w:rStyle w:val="FootnoteAnchor"/>
          <w:rtl w:val="true"/>
        </w:rPr>
        <w:footnoteReference w:id="565"/>
      </w:r>
      <w:r>
        <w:rPr>
          <w:rFonts w:ascii="IRNazanin" w:hAnsi="IRNazanin" w:eastAsia="IRNazanin"/>
          <w:color w:val="111111"/>
          <w:sz w:val="28"/>
          <w:sz w:val="28"/>
          <w:szCs w:val="28"/>
          <w:rtl w:val="true"/>
          <w:lang w:bidi="fa-IR"/>
        </w:rPr>
        <w:t xml:space="preserve">تبعاً للشیخ علی فی حاشیة الشرائع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أصالة حرمة اللحم عند الشک؛ فإنّا لم نجد لهذا الأصل مستنداً عدا أصالة عدم وقوع التذکیة علی الحیوان المشکوک فی صحّة</w:t>
      </w:r>
    </w:p>
    <w:p>
      <w:pPr>
        <w:pStyle w:val="BookText"/>
        <w:rPr/>
      </w:pPr>
      <w:r>
        <w:rPr>
          <w:rFonts w:ascii="IRNazanin" w:hAnsi="IRNazanin" w:eastAsia="IRNazanin"/>
          <w:color w:val="111111"/>
          <w:sz w:val="28"/>
          <w:sz w:val="28"/>
          <w:szCs w:val="28"/>
          <w:rtl w:val="true"/>
          <w:lang w:bidi="fa-IR"/>
        </w:rPr>
        <w:t xml:space="preserve">تذکیته، أو أصالة حرمة اللحم الثابتة حال الحیاة، أو ما ذکره شارح الروضة </w:t>
      </w:r>
      <w:r>
        <w:rPr>
          <w:rStyle w:val="FootnoteAnchor"/>
          <w:rtl w:val="true"/>
        </w:rPr>
        <w:footnoteReference w:id="567"/>
      </w:r>
      <w:r>
        <w:rPr>
          <w:rFonts w:ascii="IRNazanin" w:hAnsi="IRNazanin" w:eastAsia="IRNazanin"/>
          <w:color w:val="111111"/>
          <w:sz w:val="28"/>
          <w:sz w:val="28"/>
          <w:szCs w:val="28"/>
          <w:rtl w:val="true"/>
          <w:lang w:bidi="fa-IR"/>
        </w:rPr>
        <w:t xml:space="preserve">و حکی أیضاً عن بعض محشّیها </w:t>
      </w:r>
      <w:r>
        <w:rPr>
          <w:rStyle w:val="FootnoteAnchor"/>
          <w:rtl w:val="true"/>
        </w:rPr>
        <w:footnoteReference w:id="568"/>
      </w:r>
      <w:r>
        <w:rPr>
          <w:rFonts w:ascii="IRNazanin" w:hAnsi="IRNazanin" w:eastAsia="IRNazanin"/>
          <w:color w:val="111111"/>
          <w:sz w:val="28"/>
          <w:sz w:val="28"/>
          <w:szCs w:val="28"/>
          <w:rtl w:val="true"/>
          <w:lang w:bidi="fa-IR"/>
        </w:rPr>
        <w:t xml:space="preserve">و نقله عن تمهید القواعد </w:t>
      </w:r>
      <w:r>
        <w:rPr>
          <w:rStyle w:val="FootnoteAnchor"/>
          <w:rtl w:val="true"/>
        </w:rPr>
        <w:footnoteReference w:id="569"/>
      </w:r>
      <w:r>
        <w:rPr>
          <w:rFonts w:ascii="IRNazanin" w:hAnsi="IRNazanin" w:eastAsia="IRNazanin"/>
          <w:color w:val="111111"/>
          <w:sz w:val="28"/>
          <w:sz w:val="28"/>
          <w:szCs w:val="28"/>
          <w:rtl w:val="true"/>
          <w:lang w:bidi="fa-IR"/>
        </w:rPr>
        <w:t>،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المحلّلات محصورة و المحرّم غیر محصور، فإذا لم یدخل فی المحصورات حکم بحرمته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 نظر؛ أمّا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الأقوی أصالة وقوع التذکیة علی کلّ حیوان عدا ما خرج بالدلیل، کما قرّر فی محلّه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حرمة الأکل حال الحیاة لعدم التذکیة، فهی حرمة عرضیّة، و یرتفع بالتذکیة قطعاً، و المقصود إثبات الحرمة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یظهر له وقعٌ عدا أنّ کثرة المحرمات و غلبتها علی المحلَّل یمنع عن التمسّک بأصالة الحِلّ، فالحلیّة توقیفیّة؛ و لذا کان بناؤهم علی السؤال عن المحلَّلات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فیه ما لا یخفی؛ فإنّ أصالة الحلّ الثابتة بالکتاب فی قوله تعالی قُلْ لٰا أَجِدُ فِی مٰا أُوحِیَ إِلَیَّ مُحَرَّماً </w:t>
      </w:r>
      <w:r>
        <w:rPr>
          <w:rStyle w:val="FootnoteAnchor"/>
          <w:rtl w:val="true"/>
        </w:rPr>
        <w:footnoteReference w:id="571"/>
      </w:r>
      <w:r>
        <w:rPr>
          <w:rFonts w:ascii="Amiri" w:hAnsi="Amiri" w:eastAsia="Amiri" w:cs="Amiri"/>
          <w:color w:val="111111"/>
          <w:sz w:val="28"/>
          <w:sz w:val="28"/>
          <w:szCs w:val="28"/>
          <w:rtl w:val="true"/>
          <w:lang w:bidi="ar-SA"/>
        </w:rPr>
        <w:t xml:space="preserve">و قوله خَلَقَ لَکُمْ مٰا فِی الْأَرْضِ جَمِیعاً </w:t>
      </w:r>
      <w:r>
        <w:rPr>
          <w:rStyle w:val="FootnoteAnchor"/>
          <w:rtl w:val="true"/>
        </w:rPr>
        <w:footnoteReference w:id="572"/>
      </w:r>
      <w:r>
        <w:rPr>
          <w:rFonts w:ascii="Amiri" w:hAnsi="Amiri" w:eastAsia="Amiri" w:cs="Amiri"/>
          <w:color w:val="111111"/>
          <w:sz w:val="28"/>
          <w:sz w:val="28"/>
          <w:szCs w:val="28"/>
          <w:rtl w:val="true"/>
          <w:lang w:bidi="ar-SA"/>
        </w:rPr>
        <w:t xml:space="preserve">، و بالسنة فی الثانیة، بأنّه لیس الحرام إلّا ما حرّم اللّٰه </w:t>
      </w:r>
      <w:r>
        <w:rPr>
          <w:rStyle w:val="FootnoteAnchor"/>
          <w:rtl w:val="true"/>
        </w:rPr>
        <w:footnoteReference w:id="573"/>
      </w:r>
      <w:r>
        <w:rPr>
          <w:rFonts w:ascii="Amiri" w:hAnsi="Amiri" w:eastAsia="Amiri" w:cs="Amiri"/>
          <w:color w:val="111111"/>
          <w:sz w:val="28"/>
          <w:sz w:val="28"/>
          <w:szCs w:val="28"/>
          <w:rtl w:val="true"/>
          <w:lang w:bidi="ar-SA"/>
        </w:rPr>
        <w:t>، و بتمسّک</w:t>
      </w:r>
    </w:p>
    <w:p>
      <w:pPr>
        <w:pStyle w:val="BookText"/>
        <w:rPr/>
      </w:pPr>
      <w:r>
        <w:rPr>
          <w:rFonts w:ascii="IRNazanin" w:hAnsi="IRNazanin" w:eastAsia="IRNazanin"/>
          <w:color w:val="111111"/>
          <w:sz w:val="28"/>
          <w:sz w:val="28"/>
          <w:szCs w:val="28"/>
          <w:rtl w:val="true"/>
          <w:lang w:bidi="fa-IR"/>
        </w:rPr>
        <w:t xml:space="preserve">الإمام علیه السلام من باب التعلیم بقوله تعالی قُلْ لٰا أَجِدُ فی إباحة بعض الأشیاء </w:t>
      </w:r>
      <w:r>
        <w:rPr>
          <w:rStyle w:val="FootnoteAnchor"/>
          <w:rtl w:val="true"/>
        </w:rPr>
        <w:footnoteReference w:id="574"/>
      </w:r>
      <w:r>
        <w:rPr>
          <w:rFonts w:ascii="IRNazanin" w:hAnsi="IRNazanin" w:eastAsia="IRNazanin"/>
          <w:color w:val="111111"/>
          <w:sz w:val="28"/>
          <w:sz w:val="28"/>
          <w:szCs w:val="28"/>
          <w:rtl w:val="true"/>
          <w:lang w:bidi="fa-IR"/>
        </w:rPr>
        <w:t>، مضافاً إلی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و غیر ذلک ممّا هو معتضد بأصالة الحِلّ، المتّفق علیها علی الظاهر، المستفاد من تتبّع الموارد فی باب الأطعمة و الأشربة لا یندفع بمثل هذا الاستقراء الضعیف، الغیر الثابت أصله، فضلًا عن اعتباره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سؤال أصحاب الأئمّة عن المحلَّلات، فلعدم جواز العمل بالأُصول قبل التفحّص، کما لا یخفی</w:t>
      </w:r>
      <w:r>
        <w:rPr>
          <w:rFonts w:eastAsia="IRNazanin" w:cs="IRNazanin"/>
          <w:color w:val="111111"/>
          <w:sz w:val="28"/>
          <w:szCs w:val="28"/>
          <w:rtl w:val="true"/>
          <w:lang w:bidi="fa-IR"/>
        </w:rPr>
        <w:t>.</w:t>
      </w:r>
      <w:bookmarkStart w:id="44" w:name="pg16911_259547"/>
    </w:p>
    <w:p>
      <w:pPr>
        <w:pStyle w:val="Heading5"/>
        <w:numPr>
          <w:ilvl w:val="4"/>
          <w:numId w:val="1"/>
        </w:numPr>
        <w:rPr/>
      </w:pPr>
      <w:bookmarkStart w:id="45" w:name="__RefHeading___Toc6618644_3224264995"/>
      <w:bookmarkStart w:id="46" w:name="_Toc17"/>
      <w:bookmarkEnd w:id="44"/>
      <w:bookmarkEnd w:id="45"/>
      <w:r>
        <w:rPr>
          <w:rtl w:val="true"/>
        </w:rPr>
        <w:t>[</w:t>
      </w:r>
      <w:r>
        <w:rPr>
          <w:rtl w:val="true"/>
        </w:rPr>
        <w:t>الثامن الکافر</w:t>
      </w:r>
      <w:r>
        <w:rPr>
          <w:rtl w:val="true"/>
        </w:rPr>
        <w:t>]</w:t>
      </w:r>
      <w:bookmarkEnd w:id="46"/>
    </w:p>
    <w:p>
      <w:pPr>
        <w:pStyle w:val="Heading6"/>
        <w:numPr>
          <w:ilvl w:val="5"/>
          <w:numId w:val="1"/>
        </w:numPr>
        <w:rPr/>
      </w:pPr>
      <w:bookmarkStart w:id="47" w:name="__RefHeading___Toc6618646_3224264995"/>
      <w:bookmarkStart w:id="48" w:name="_Toc18"/>
      <w:bookmarkEnd w:id="47"/>
      <w:r>
        <w:rPr>
          <w:rtl w:val="true"/>
        </w:rPr>
        <w:t>اشارة</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الثامن الکافر </w:t>
      </w:r>
      <w:r>
        <w:rPr>
          <w:rStyle w:val="FootnoteAnchor"/>
          <w:rtl w:val="true"/>
        </w:rPr>
        <w:footnoteReference w:id="5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أقسامه؛ بالإجماع المحقّق فی الجملة و المحکی عن السیّدین </w:t>
      </w:r>
      <w:r>
        <w:rPr>
          <w:rStyle w:val="FootnoteAnchor"/>
          <w:rtl w:val="true"/>
        </w:rPr>
        <w:footnoteReference w:id="577"/>
      </w:r>
      <w:r>
        <w:rPr>
          <w:rFonts w:ascii="IRNazanin" w:hAnsi="IRNazanin" w:eastAsia="IRNazanin"/>
          <w:color w:val="111111"/>
          <w:sz w:val="28"/>
          <w:sz w:val="28"/>
          <w:szCs w:val="28"/>
          <w:rtl w:val="true"/>
          <w:lang w:bidi="fa-IR"/>
        </w:rPr>
        <w:t xml:space="preserve">و الشیخ </w:t>
      </w:r>
      <w:r>
        <w:rPr>
          <w:rStyle w:val="FootnoteAnchor"/>
          <w:rtl w:val="true"/>
        </w:rPr>
        <w:footnoteReference w:id="578"/>
      </w:r>
      <w:r>
        <w:rPr>
          <w:rFonts w:ascii="Amiri" w:hAnsi="Amiri" w:eastAsia="Amiri" w:cs="Amiri"/>
          <w:color w:val="111111"/>
          <w:sz w:val="28"/>
          <w:sz w:val="28"/>
          <w:szCs w:val="28"/>
          <w:rtl w:val="true"/>
          <w:lang w:bidi="ar-SA"/>
        </w:rPr>
        <w:t xml:space="preserve">و الحلیّ </w:t>
      </w:r>
      <w:r>
        <w:rPr>
          <w:rStyle w:val="FootnoteAnchor"/>
          <w:rtl w:val="true"/>
        </w:rPr>
        <w:footnoteReference w:id="579"/>
      </w:r>
      <w:r>
        <w:rPr>
          <w:rFonts w:ascii="Amiri" w:hAnsi="Amiri" w:eastAsia="Amiri" w:cs="Amiri"/>
          <w:color w:val="111111"/>
          <w:sz w:val="28"/>
          <w:sz w:val="28"/>
          <w:szCs w:val="28"/>
          <w:rtl w:val="true"/>
          <w:lang w:bidi="ar-SA"/>
        </w:rPr>
        <w:t xml:space="preserve">و المحقّق </w:t>
      </w:r>
      <w:r>
        <w:rPr>
          <w:rStyle w:val="FootnoteAnchor"/>
          <w:rtl w:val="true"/>
        </w:rPr>
        <w:footnoteReference w:id="580"/>
      </w:r>
      <w:r>
        <w:rPr>
          <w:rFonts w:ascii="Amiri" w:hAnsi="Amiri" w:eastAsia="Amiri" w:cs="Amiri"/>
          <w:color w:val="111111"/>
          <w:sz w:val="28"/>
          <w:sz w:val="28"/>
          <w:szCs w:val="28"/>
          <w:rtl w:val="true"/>
          <w:lang w:bidi="ar-SA"/>
        </w:rPr>
        <w:t xml:space="preserve">و المصنّف </w:t>
      </w:r>
      <w:r>
        <w:rPr>
          <w:rStyle w:val="FootnoteAnchor"/>
          <w:rtl w:val="true"/>
        </w:rPr>
        <w:footnoteReference w:id="581"/>
      </w:r>
      <w:r>
        <w:rPr>
          <w:rFonts w:ascii="IRNazanin" w:hAnsi="IRNazanin" w:eastAsia="IRNazanin"/>
          <w:color w:val="111111"/>
          <w:sz w:val="28"/>
          <w:sz w:val="28"/>
          <w:szCs w:val="28"/>
          <w:rtl w:val="true"/>
          <w:lang w:bidi="fa-IR"/>
        </w:rPr>
        <w:t xml:space="preserve">و الشهید فی الروض </w:t>
      </w:r>
      <w:r>
        <w:rPr>
          <w:rStyle w:val="FootnoteAnchor"/>
          <w:rtl w:val="true"/>
        </w:rPr>
        <w:footnoteReference w:id="582"/>
      </w:r>
      <w:r>
        <w:rPr>
          <w:rFonts w:ascii="IRNazanin" w:hAnsi="IRNazanin" w:eastAsia="IRNazanin"/>
          <w:color w:val="111111"/>
          <w:sz w:val="28"/>
          <w:sz w:val="28"/>
          <w:szCs w:val="28"/>
          <w:rtl w:val="true"/>
          <w:lang w:bidi="fa-IR"/>
        </w:rPr>
        <w:t xml:space="preserve">و غیرهم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فیه قبل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قوله تعالی إِنَّمَا الْمُشْرِکُونَ نَجَسٌ </w:t>
      </w:r>
      <w:r>
        <w:rPr>
          <w:rStyle w:val="FootnoteAnchor"/>
          <w:rtl w:val="true"/>
        </w:rPr>
        <w:footnoteReference w:id="584"/>
      </w:r>
      <w:r>
        <w:rPr>
          <w:rFonts w:ascii="IRNazanin" w:hAnsi="IRNazanin" w:eastAsia="IRNazanin"/>
          <w:color w:val="111111"/>
          <w:sz w:val="28"/>
          <w:sz w:val="28"/>
          <w:szCs w:val="28"/>
          <w:rtl w:val="true"/>
          <w:lang w:bidi="fa-IR"/>
        </w:rPr>
        <w:t>بناءً علی شمول المشرک للذمیّ؛ لشیوع إطلاقه علیه، کما صرّح به شارح الروضة، مستشهداً بما حکاه عن النووی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المشرک</w:t>
      </w:r>
    </w:p>
    <w:p>
      <w:pPr>
        <w:pStyle w:val="BookText"/>
        <w:rPr/>
      </w:pPr>
      <w:r>
        <w:rPr>
          <w:rFonts w:ascii="Amiri" w:hAnsi="Amiri" w:eastAsia="Amiri" w:cs="Amiri"/>
          <w:color w:val="111111"/>
          <w:sz w:val="28"/>
          <w:sz w:val="28"/>
          <w:szCs w:val="28"/>
          <w:rtl w:val="true"/>
          <w:lang w:bidi="ar-SA"/>
        </w:rPr>
        <w:t>یطلق علی کل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عابد صنمٍ و یهودیٍّ و نصرانیٍّ و مجوسیٍّ و زندیقٍ و غیرهم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یؤیّده نسبة الإشراک إلی الیهود و النصاری فی قوله تعالی وَ قٰالَتِ الْیَهُودُ عُزَیْرٌ ابْنُ اللّٰهِ وَ قٰالَتِ النَّصٰاریٰ الْمَسِیحُ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یُشْرِکُونَ </w:t>
      </w:r>
      <w:r>
        <w:rPr>
          <w:rStyle w:val="FootnoteAnchor"/>
          <w:rtl w:val="true"/>
        </w:rPr>
        <w:footnoteReference w:id="586"/>
      </w:r>
      <w:r>
        <w:rPr>
          <w:rFonts w:ascii="IRNazanin" w:hAnsi="IRNazanin" w:eastAsia="IRNazanin"/>
          <w:color w:val="111111"/>
          <w:sz w:val="28"/>
          <w:sz w:val="28"/>
          <w:szCs w:val="28"/>
          <w:rtl w:val="true"/>
          <w:lang w:bidi="fa-IR"/>
        </w:rPr>
        <w:t>، و أمّا المجوس، فقد قالوا بإلٰهیّة یزدان و النور و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النجَس بفتح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مصدر، فیکون الحمل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صفة مرادفة للنجِس بالکسر، کما عن الجوهری </w:t>
      </w:r>
      <w:r>
        <w:rPr>
          <w:rStyle w:val="FootnoteAnchor"/>
          <w:rtl w:val="true"/>
        </w:rPr>
        <w:footnoteReference w:id="587"/>
      </w:r>
      <w:r>
        <w:rPr>
          <w:rFonts w:ascii="IRNazanin" w:hAnsi="IRNazanin" w:eastAsia="IRNazanin"/>
          <w:color w:val="111111"/>
          <w:sz w:val="28"/>
          <w:sz w:val="28"/>
          <w:szCs w:val="28"/>
          <w:rtl w:val="true"/>
          <w:lang w:bidi="fa-IR"/>
        </w:rPr>
        <w:t xml:space="preserve">و المطرزی </w:t>
      </w:r>
      <w:r>
        <w:rPr>
          <w:rStyle w:val="FootnoteAnchor"/>
          <w:rtl w:val="true"/>
        </w:rPr>
        <w:footnoteReference w:id="588"/>
      </w:r>
      <w:r>
        <w:rPr>
          <w:rFonts w:ascii="IRNazanin" w:hAnsi="IRNazanin" w:eastAsia="IRNazanin"/>
          <w:color w:val="111111"/>
          <w:sz w:val="28"/>
          <w:sz w:val="28"/>
          <w:szCs w:val="28"/>
          <w:rtl w:val="true"/>
          <w:lang w:bidi="fa-IR"/>
        </w:rPr>
        <w:t xml:space="preserve">و الفیروزآبادی </w:t>
      </w:r>
      <w:r>
        <w:rPr>
          <w:rStyle w:val="FootnoteAnchor"/>
          <w:rtl w:val="true"/>
        </w:rPr>
        <w:footnoteReference w:id="589"/>
      </w:r>
      <w:r>
        <w:rPr>
          <w:rFonts w:ascii="IRNazanin" w:hAnsi="IRNazanin" w:eastAsia="IRNazanin"/>
          <w:color w:val="111111"/>
          <w:sz w:val="28"/>
          <w:sz w:val="28"/>
          <w:szCs w:val="28"/>
          <w:rtl w:val="true"/>
          <w:lang w:bidi="fa-IR"/>
        </w:rPr>
        <w:t xml:space="preserve">و النووی </w:t>
      </w:r>
      <w:r>
        <w:rPr>
          <w:rStyle w:val="FootnoteAnchor"/>
          <w:rtl w:val="true"/>
        </w:rPr>
        <w:footnoteReference w:id="590"/>
      </w:r>
      <w:r>
        <w:rPr>
          <w:rFonts w:ascii="IRNazanin" w:hAnsi="IRNazanin" w:eastAsia="IRNazanin"/>
          <w:color w:val="111111"/>
          <w:sz w:val="28"/>
          <w:sz w:val="28"/>
          <w:szCs w:val="28"/>
          <w:rtl w:val="true"/>
          <w:lang w:bidi="fa-IR"/>
        </w:rPr>
        <w:t xml:space="preserve">و الأزهری </w:t>
      </w:r>
      <w:r>
        <w:rPr>
          <w:rStyle w:val="FootnoteAnchor"/>
          <w:rtl w:val="true"/>
        </w:rPr>
        <w:footnoteReference w:id="591"/>
      </w:r>
      <w:r>
        <w:rPr>
          <w:rFonts w:ascii="IRNazanin" w:hAnsi="IRNazanin" w:eastAsia="IRNazanin"/>
          <w:color w:val="111111"/>
          <w:sz w:val="28"/>
          <w:sz w:val="28"/>
          <w:szCs w:val="28"/>
          <w:rtl w:val="true"/>
          <w:lang w:bidi="fa-IR"/>
        </w:rPr>
        <w:t xml:space="preserve">و الهروی </w:t>
      </w:r>
      <w:r>
        <w:rPr>
          <w:rStyle w:val="FootnoteAnchor"/>
          <w:rtl w:val="true"/>
        </w:rPr>
        <w:footnoteReference w:id="592"/>
      </w:r>
      <w:r>
        <w:rPr>
          <w:rFonts w:ascii="IRNazanin" w:hAnsi="IRNazanin" w:eastAsia="IRNazanin"/>
          <w:color w:val="111111"/>
          <w:sz w:val="28"/>
          <w:sz w:val="28"/>
          <w:szCs w:val="28"/>
          <w:rtl w:val="true"/>
          <w:lang w:bidi="fa-IR"/>
        </w:rPr>
        <w:t>، و یکون إفراد الخبر مع کونه وصفاً علی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نوعٌ أو صنفٌ نجس</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التأمّل فی ثبوت الحقیقة الشرعیّة فی النجس فی غیر محلّه؛ إمّا لما ذکرنا فی أوّل باب النجاسات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النجاسة الشرعیّة هی القذارة الموجودة فی الأشیاء فی نظر الشارع، فلم ینقل عن معناها اللغوی، و إمّا لدعوی ثبوت الحقیقة الشرعیّة، و إمّا لوجود القرینة علی إرادة المعنی</w:t>
      </w:r>
    </w:p>
    <w:p>
      <w:pPr>
        <w:pStyle w:val="BookText"/>
        <w:rPr/>
      </w:pPr>
      <w:r>
        <w:rPr>
          <w:rFonts w:ascii="IRNazanin" w:hAnsi="IRNazanin" w:eastAsia="IRNazanin"/>
          <w:color w:val="111111"/>
          <w:sz w:val="28"/>
          <w:sz w:val="28"/>
          <w:szCs w:val="28"/>
          <w:rtl w:val="true"/>
          <w:lang w:bidi="fa-IR"/>
        </w:rPr>
        <w:t>الشرعی، و هی حرمة قربهم من المسجد الحرام؛ إذ لا یجب تجنّب المساجد عن غیر النجس الشرعی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المعهودین عند الخطاب الممنوعین عن دخول المسجد الحرام، فلا یعم کلّ مشرک فرض، إلّا من جهة تعلّق الحکم علی الوصف؛ أو من جهة دعوی 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التمسّک بعد الإجماع بالأخبار المستفیضة، مثل موثّقة الأعرج أو حسنته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سؤر الیهودی و النصرانی، أ یؤکل أو یشرب؟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صافح مجوسیّاً؟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یده و لا یتوضأ</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مصافحة الیهودی و النصرانی،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وراء الثیاب، فإن صافحک بیده فاغسل یدک</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علی بن جعفر عن أخیه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النصرانی أ یغتسل مع المسلم فی الحمّام؟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نصرانی اغتسل بغیر ماء الحمّام، إلّا أن یغتسل وحده علی الحوض فیغسله و یغتسل</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إلی غیر ذلک من الأخبار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بإزائها أخبار أُخر أظهر دلالةً علی الطهارة،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إسماعیل بن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طعام أهل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ثمّ سکت هنیئة،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تأکله، و لا تترکه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حرام، و لکن تترکه تنزّهاً عنه؛ إنّ فی آنیتهم الخمر و لحم الخنزیر</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مصحّحة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فی آنیتهم إذا کانوا یأکلون فیها المیتة و الدم و لحم الخنزیر</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زکریا بن إبراهیم،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نصرانیّاً و أسلمت، فقلت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بیتی علی دین النصرانیّة، فأکون معهم فی بیت واحد و آکل من آنیتهم؟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یأکلون لحم الخنزیر؟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روایته الأُخری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لکنّهم یشربون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معهم و اشرب</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إبراهیم بن أبی محمود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النصرانیّة تخدمک و أنت تعلم أنّها نصرانیّة لا تتوضأ و لا تغتسل من جنابة؟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تغسل یدیها</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ظاهرة فی الطهارة قولًا و تقریراً،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منها من حیث التقریر صحیحة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أُعیر الذمّی ثوباً و أنا أعلم أنّه یشرب الخمر و یأکل لحم الخنزیر، ثمّ یردّه علیّ، فأغسله قبل أن أُصلّی فیه؟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فیه و لا تغسله من أجل ذلک؛ فإنّک أعرته إیّاه و هو طاهر و لم تستیقن أنّه نجّسه، فلا بأس أن تصلی فیه حتّی تستیقن أنّه نجّسه</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مصحّحة ابن خنیس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بالصلاة فی الثیاب التی یعملها النصاری و المجوس و الیهود</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جمیلة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ثوب المجوسی ألبسه و أصلی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یشربون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إنّا نشری الثیاب السامریّة و نلبسها و لا نغسلها</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مصحّحة ابن أبی محمود عن مولانا أبی الحسن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الخیّاط و القصّار یکون یهودیّاً أو نصرانیّاً و أنت تعلم أنّه یبول و لا یتوضأ، ما تقول فی عمله؟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مصحّحة العیس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مؤاکلة الیهودی و النصرانی،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کان من طعامک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مؤاکلة</w:t>
      </w:r>
    </w:p>
    <w:p>
      <w:pPr>
        <w:pStyle w:val="BookText"/>
        <w:rPr/>
      </w:pPr>
      <w:r>
        <w:rPr>
          <w:rFonts w:ascii="IRNazanin" w:hAnsi="IRNazanin" w:eastAsia="IRNazanin"/>
          <w:color w:val="111111"/>
          <w:sz w:val="28"/>
          <w:sz w:val="28"/>
          <w:szCs w:val="28"/>
          <w:rtl w:val="true"/>
          <w:lang w:bidi="fa-IR"/>
        </w:rPr>
        <w:t>المجوس؟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فلا بأس</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هل یتوضأ من کوز أو إناء غیره إذا شرب منه علی أنّه یهودی؟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الماء الذی تشرب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علی بن جعفر المذکور فی ذیل روایته الأخیرة التی ذکرناها فی أدلّة النجاسة </w:t>
      </w:r>
      <w:r>
        <w:rPr>
          <w:rStyle w:val="FootnoteAnchor"/>
          <w:rtl w:val="true"/>
        </w:rPr>
        <w:footnoteReference w:id="6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الیهودی و النصرانی یدخل یده فی الماء، أ یتوضأ منه للصلاة؟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یضطرّ إلیه</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و حمل الاضطرار علی التقیّة کما عن الشیخ</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الروایات کما تری ظاهرة الدلالة علی الطهارة، قابلة لجعلها قرینة علی حمل الأخبار الأوّلة </w:t>
      </w:r>
      <w:r>
        <w:rPr>
          <w:rStyle w:val="FootnoteAnchor"/>
          <w:rtl w:val="true"/>
        </w:rPr>
        <w:footnoteReference w:id="613"/>
      </w:r>
      <w:r>
        <w:rPr>
          <w:rFonts w:ascii="IRNazanin" w:hAnsi="IRNazanin" w:eastAsia="IRNazanin"/>
          <w:color w:val="111111"/>
          <w:sz w:val="28"/>
          <w:sz w:val="28"/>
          <w:szCs w:val="28"/>
          <w:rtl w:val="true"/>
          <w:lang w:bidi="fa-IR"/>
        </w:rPr>
        <w:t>علی الکراهة؛ من جهة عدم خلوّهم غالباً عن النجاسات العرضیّة؛ لمواظبتهم علی أکل المیتة و لحم الخنزیر و شرب الخمر و عدم التوقّی عن النجاسات، إلّا أنّ المانع عن هذا الحمل أمران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هذه الأخبار لمذهب العامّة </w:t>
      </w:r>
      <w:r>
        <w:rPr>
          <w:rStyle w:val="FootnoteAnchor"/>
          <w:rtl w:val="true"/>
        </w:rPr>
        <w:footnoteReference w:id="614"/>
      </w:r>
      <w:r>
        <w:rPr>
          <w:rFonts w:ascii="IRNazanin" w:hAnsi="IRNazanin" w:eastAsia="IRNazanin"/>
          <w:color w:val="111111"/>
          <w:sz w:val="28"/>
          <w:sz w:val="28"/>
          <w:szCs w:val="28"/>
          <w:rtl w:val="true"/>
          <w:lang w:bidi="fa-IR"/>
        </w:rPr>
        <w:t xml:space="preserve">الذین جعل الرشد فی خلافهم </w:t>
      </w:r>
      <w:r>
        <w:rPr>
          <w:rStyle w:val="FootnoteAnchor"/>
          <w:rtl w:val="true"/>
        </w:rPr>
        <w:footnoteReference w:id="615"/>
      </w:r>
      <w:r>
        <w:rPr>
          <w:rFonts w:ascii="IRNazanin" w:hAnsi="IRNazanin" w:eastAsia="IRNazanin"/>
          <w:color w:val="111111"/>
          <w:sz w:val="28"/>
          <w:sz w:val="28"/>
          <w:szCs w:val="28"/>
          <w:rtl w:val="true"/>
          <w:lang w:bidi="fa-IR"/>
        </w:rPr>
        <w:t>، و أُمر العباد بالرجوع إلیهم عند التحیّر للأخذ بخلاف ما</w:t>
      </w:r>
    </w:p>
    <w:p>
      <w:pPr>
        <w:pStyle w:val="BookText"/>
        <w:rPr/>
      </w:pPr>
      <w:r>
        <w:rPr>
          <w:rFonts w:ascii="IRNazanin" w:hAnsi="IRNazanin" w:eastAsia="IRNazanin"/>
          <w:color w:val="111111"/>
          <w:sz w:val="28"/>
          <w:sz w:val="28"/>
          <w:szCs w:val="28"/>
          <w:rtl w:val="true"/>
          <w:lang w:bidi="fa-IR"/>
        </w:rPr>
        <w:t xml:space="preserve">یفتون </w:t>
      </w:r>
      <w:r>
        <w:rPr>
          <w:rStyle w:val="FootnoteAnchor"/>
          <w:rtl w:val="true"/>
        </w:rPr>
        <w:footnoteReference w:id="616"/>
      </w:r>
      <w:r>
        <w:rPr>
          <w:rFonts w:ascii="IRNazanin" w:hAnsi="IRNazanin" w:eastAsia="IRNazanin"/>
          <w:color w:val="111111"/>
          <w:sz w:val="28"/>
          <w:sz w:val="28"/>
          <w:szCs w:val="28"/>
          <w:rtl w:val="true"/>
          <w:lang w:bidi="fa-IR"/>
        </w:rPr>
        <w:t>لأنّ فیه الرشد، لا لأنّ فی استفتائهم مداراة، 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شاوروهنّ و خالفوهنّ</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و قرب احتمال ورودها تقیّةً فی البیان أو فی العمل؛ فإنّ مذهب الجمهور کما فی المنتهی </w:t>
      </w:r>
      <w:r>
        <w:rPr>
          <w:rStyle w:val="FootnoteAnchor"/>
          <w:rtl w:val="true"/>
        </w:rPr>
        <w:footnoteReference w:id="618"/>
      </w:r>
      <w:r>
        <w:rPr>
          <w:rFonts w:ascii="IRNazanin" w:hAnsi="IRNazanin" w:eastAsia="IRNazanin"/>
          <w:color w:val="111111"/>
          <w:sz w:val="28"/>
          <w:sz w:val="28"/>
          <w:szCs w:val="28"/>
          <w:rtl w:val="true"/>
          <w:lang w:bidi="fa-IR"/>
        </w:rPr>
        <w:t xml:space="preserve">و غیره </w:t>
      </w:r>
      <w:r>
        <w:rPr>
          <w:rStyle w:val="FootnoteAnchor"/>
          <w:rtl w:val="true"/>
        </w:rPr>
        <w:footnoteReference w:id="619"/>
      </w:r>
      <w:r>
        <w:rPr>
          <w:rFonts w:ascii="IRNazanin" w:hAnsi="IRNazanin" w:eastAsia="IRNazanin"/>
          <w:color w:val="111111"/>
          <w:sz w:val="28"/>
          <w:sz w:val="28"/>
          <w:szCs w:val="28"/>
          <w:rtl w:val="true"/>
          <w:lang w:bidi="fa-IR"/>
        </w:rPr>
        <w:t>علی طهارتهم، و یشهد به بعض الروایات، مثل الروایة الثانیة لزکریّا بن إبراهیم، حیث ذکر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لا یأکلون لحم الخنزیر لکنّهم یشربون الخمر، فی جواب استفصال الإمام علیه السلام عن خصوص أکل لحم الخنزیر </w:t>
      </w:r>
      <w:r>
        <w:rPr>
          <w:rStyle w:val="FootnoteAnchor"/>
          <w:rtl w:val="true"/>
        </w:rPr>
        <w:footnoteReference w:id="620"/>
      </w:r>
      <w:r>
        <w:rPr>
          <w:rFonts w:ascii="IRNazanin" w:hAnsi="IRNazanin" w:eastAsia="IRNazanin"/>
          <w:color w:val="111111"/>
          <w:sz w:val="28"/>
          <w:sz w:val="28"/>
          <w:szCs w:val="28"/>
          <w:rtl w:val="true"/>
          <w:lang w:bidi="fa-IR"/>
        </w:rPr>
        <w:t>فإنّه لولا التقیّة لم یکن وجه للفرق بین الخنزیر و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 ذلک روایة الکاهلی،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قوم مسلمین یأکلون، فحضرهم رجل مجوسی أ یدعونه إلی الطعام؟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أُؤاکل المجوسی، و أکره أن أُحرّم علیکم شیئاً تصنعونه فی بلادکم</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فإنّ الظاهر من الروایة أنّ مؤاکلة الیهودی محرّمة من اللّٰه سبحانه، لکنّی لا احرّمه علیکم؛ من جهة شیوع ذلک فی بلادکم، فإنّه لولا التقیّة لم یکن فی ذلک علّة لکراهة التحریم، و لو لم یکن الحکم من اللّٰه التحریم لم یکن وجه لتعلیل کراهة التحریم بشیوع الارتکاب فی تلک البلاد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یرشد إلیه أیضاً روایة إسماعیل بن جابر المذکورة فی أوّل روایات الطهارة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موافقة أخبار النجاسة للإجماعات المستفیضة </w:t>
      </w:r>
      <w:r>
        <w:rPr>
          <w:rStyle w:val="FootnoteAnchor"/>
          <w:rtl w:val="true"/>
        </w:rPr>
        <w:footnoteReference w:id="623"/>
      </w:r>
      <w:r>
        <w:rPr>
          <w:rFonts w:ascii="IRNazanin" w:hAnsi="IRNazanin" w:eastAsia="IRNazanin"/>
          <w:color w:val="111111"/>
          <w:sz w:val="28"/>
          <w:sz w:val="28"/>
          <w:szCs w:val="28"/>
          <w:rtl w:val="true"/>
          <w:lang w:bidi="fa-IR"/>
        </w:rPr>
        <w:t>، أ تری أنّ هؤلاء لم یطّلعوا علی هذه الروایات؟ و هل وصلت إلینا إلّا بوساطتهم؟</w:t>
      </w:r>
    </w:p>
    <w:p>
      <w:pPr>
        <w:pStyle w:val="BookText"/>
        <w:rPr/>
      </w:pPr>
      <w:r>
        <w:rPr>
          <w:rFonts w:ascii="IRNazanin" w:hAnsi="IRNazanin" w:eastAsia="IRNazanin"/>
          <w:color w:val="111111"/>
          <w:sz w:val="28"/>
          <w:sz w:val="28"/>
          <w:szCs w:val="28"/>
          <w:rtl w:val="true"/>
          <w:lang w:bidi="fa-IR"/>
        </w:rPr>
        <w:t>بل یمکن دعوی الإجماع المحقَّق؛ فإنّ الخلاف لم یحک فی المسألة إلّا عن الإسکافی، حیث قال فی أحد کلامیه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التجنّب من سؤر من یستحلّ المحرّمات من ملیّ أو ذمیّ أحبّ إلیه إذا کان الماء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التجنّب ممّا صنعه أهل الکتاب من ذبائحهم و فی آنیتهم و ممّا صنع فی أوانی مستحلی المیتة و مؤاکلتهم ما لم یتیقّن طهارة آنیتهم و أیدیهم أحوط </w:t>
      </w:r>
      <w:r>
        <w:rPr>
          <w:rStyle w:val="FootnoteAnchor"/>
          <w:rtl w:val="true"/>
        </w:rPr>
        <w:footnoteReference w:id="62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ظهور المخالفة من هذین الکلامین، فقد ذکر فی ترجمة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الأصحاب ترکوا خلافه؛ لأجل قوله بالقیاس و أنّ فتاواه غالباً علی طبق العامّة </w:t>
      </w:r>
      <w:r>
        <w:rPr>
          <w:rStyle w:val="FootnoteAnchor"/>
          <w:rtl w:val="true"/>
        </w:rPr>
        <w:footnoteReference w:id="625"/>
      </w:r>
      <w:r>
        <w:rPr>
          <w:rFonts w:ascii="IRNazanin" w:hAnsi="IRNazanin" w:eastAsia="IRNazanin"/>
          <w:color w:val="111111"/>
          <w:sz w:val="28"/>
          <w:sz w:val="28"/>
          <w:szCs w:val="28"/>
          <w:rtl w:val="true"/>
          <w:lang w:bidi="fa-IR"/>
        </w:rPr>
        <w:t>، مع أنّ المجمعین هنا بالخصوص لم یعتنوا بمخالفته، و عدم عثورهم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یظهر ممّن عداه مخالفة فی المسألة، عدا ما ربّما یحکی عن العمانی القائل بطهارة سؤر الذمیّ </w:t>
      </w:r>
      <w:r>
        <w:rPr>
          <w:rStyle w:val="FootnoteAnchor"/>
          <w:rtl w:val="true"/>
        </w:rPr>
        <w:footnoteReference w:id="626"/>
      </w:r>
      <w:r>
        <w:rPr>
          <w:rFonts w:ascii="IRNazanin" w:hAnsi="IRNazanin" w:eastAsia="IRNazanin"/>
          <w:color w:val="111111"/>
          <w:sz w:val="28"/>
          <w:sz w:val="28"/>
          <w:szCs w:val="28"/>
          <w:rtl w:val="true"/>
          <w:lang w:bidi="fa-IR"/>
        </w:rPr>
        <w:t>، الناشئة عن قوله بعدم انفعال الماء القلیل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المفید فی الرسالة الغریّة، حیث صرّح بالکراهة </w:t>
      </w:r>
      <w:r>
        <w:rPr>
          <w:rStyle w:val="FootnoteAnchor"/>
          <w:rtl w:val="true"/>
        </w:rPr>
        <w:footnoteReference w:id="627"/>
      </w:r>
      <w:r>
        <w:rPr>
          <w:rFonts w:ascii="IRNazanin" w:hAnsi="IRNazanin" w:eastAsia="IRNazanin"/>
          <w:color w:val="111111"/>
          <w:sz w:val="28"/>
          <w:sz w:val="28"/>
          <w:szCs w:val="28"/>
          <w:rtl w:val="true"/>
          <w:lang w:bidi="fa-IR"/>
        </w:rPr>
        <w:t>، مع قوّة احتمال إرادة الحرمة أو العدول عنها، و لو بقرینة عدم تعرض أتباعه لنقل مذهبه</w:t>
      </w:r>
    </w:p>
    <w:p>
      <w:pPr>
        <w:pStyle w:val="BookText"/>
        <w:rPr/>
      </w:pPr>
      <w:r>
        <w:rPr>
          <w:rFonts w:ascii="IRNazanin" w:hAnsi="IRNazanin" w:eastAsia="IRNazanin"/>
          <w:color w:val="111111"/>
          <w:sz w:val="28"/>
          <w:sz w:val="28"/>
          <w:szCs w:val="28"/>
          <w:rtl w:val="true"/>
          <w:lang w:bidi="fa-IR"/>
        </w:rPr>
        <w:t>و دعوی الإجماع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فی النهایة، حیث ذکر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یکره للإنسان أن یدعو أحداً من الکفّار إلی طعامه فیأکل معه، فإن دعاه فلیأمره بغسل یده ثمّ یأکل معه إن شاء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المحکیّ عنه فیما قبل هذا الکلام بأسطرٍ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یجوز مؤاکلة الکفّار علی اختلاف مللهم، و لا استعمال أوانیهم، إلّا بعد غسلها بالماء، و کلّ طعام تولّاه بعض الکفّار بأیدیهم و باشروه بنفوسهم لم یجز أکله؛ لأنّهم أنجاس ینجِّسون الطعام بمباشرتهم إیّاه </w:t>
      </w:r>
      <w:r>
        <w:rPr>
          <w:rStyle w:val="FootnoteAnchor"/>
          <w:rtl w:val="true"/>
        </w:rPr>
        <w:footnoteReference w:id="62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فی أوّل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یجوز استعمال أسآر من خالف الإسلام من سائر أصناف الکفّار </w:t>
      </w:r>
      <w:r>
        <w:rPr>
          <w:rStyle w:val="FootnoteAnchor"/>
          <w:rtl w:val="true"/>
        </w:rPr>
        <w:footnoteReference w:id="630"/>
      </w:r>
      <w:r>
        <w:rPr>
          <w:rFonts w:ascii="IRNazanin" w:hAnsi="IRNazanin" w:eastAsia="IRNazanin"/>
          <w:color w:val="111111"/>
          <w:sz w:val="28"/>
          <w:sz w:val="28"/>
          <w:szCs w:val="28"/>
          <w:rtl w:val="true"/>
          <w:lang w:bidi="fa-IR"/>
        </w:rPr>
        <w:t xml:space="preserve">، و حکی عنه نظیره فی باب التطهیر من النجاسات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حمل الحلیّ کلامه الأوّل علی أنّه ذکره إیراداً لا اعتقاداً </w:t>
      </w:r>
      <w:r>
        <w:rPr>
          <w:rStyle w:val="FootnoteAnchor"/>
          <w:rtl w:val="true"/>
        </w:rPr>
        <w:footnoteReference w:id="632"/>
      </w:r>
      <w:r>
        <w:rPr>
          <w:rFonts w:ascii="IRNazanin" w:hAnsi="IRNazanin" w:eastAsia="IRNazanin"/>
          <w:color w:val="111111"/>
          <w:sz w:val="28"/>
          <w:sz w:val="28"/>
          <w:szCs w:val="28"/>
          <w:rtl w:val="true"/>
          <w:lang w:bidi="fa-IR"/>
        </w:rPr>
        <w:t>، کما هو دأبه فی إیراد مضمون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الکلام مع کثرته من الحلیّ فی أمثال ما ذکر من فتاوی الشیخ سیّما فی النهایة لا محصّل له ظاهراً، إلّا أنّ الشیخ ذکر هذه الفتوی بعنوان الحکایة و الروایة لمضمون بعض الأخبار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لقد أجاد المحقّق فی نکت النهایة، حیث حمل هذا الحکم علی حال الضرورة أو المؤاکلة فی الیابس، و وجّه الأمر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بزوال الاستقذار النفسانی الذی یحصل من ملاقاة النجاسات العینیّة، ثمّ ذکر روایة العیص المتقدّمة الآمرة بتوضّؤ المجوسی، و حمل التوضّؤ علی غسل الید </w:t>
      </w:r>
      <w:r>
        <w:rPr>
          <w:rStyle w:val="FootnoteAnchor"/>
          <w:rtl w:val="true"/>
        </w:rPr>
        <w:footnoteReference w:id="63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مخالفة ما عدا الإسکافی غیر واضحة کما صرّح به بعض </w:t>
      </w:r>
      <w:r>
        <w:rPr>
          <w:rStyle w:val="FootnoteAnchor"/>
          <w:rtl w:val="true"/>
        </w:rPr>
        <w:footnoteReference w:id="635"/>
      </w:r>
      <w:r>
        <w:rPr>
          <w:rFonts w:ascii="IRNazanin" w:hAnsi="IRNazanin" w:eastAsia="IRNazanin"/>
          <w:color w:val="111111"/>
          <w:sz w:val="28"/>
          <w:sz w:val="28"/>
          <w:szCs w:val="28"/>
          <w:rtl w:val="true"/>
          <w:lang w:bidi="fa-IR"/>
        </w:rPr>
        <w:t>، و کم من إجماع سبقه و لحقه، فلا ینبغی التأمّل فی القول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فرق علی الظاهر فی النجاسة بین أجزاء الکافر التی تحلّها الحیاة و التی لا تحلّها، و الظاهر أنّ الخلاف المتقدّم من السیّد قدّس سرّه فی الکلب و الخنزیر </w:t>
      </w:r>
      <w:r>
        <w:rPr>
          <w:rStyle w:val="FootnoteAnchor"/>
          <w:rtl w:val="true"/>
        </w:rPr>
        <w:footnoteReference w:id="636"/>
      </w:r>
      <w:r>
        <w:rPr>
          <w:rFonts w:ascii="IRNazanin" w:hAnsi="IRNazanin" w:eastAsia="IRNazanin"/>
          <w:color w:val="111111"/>
          <w:sz w:val="28"/>
          <w:sz w:val="28"/>
          <w:szCs w:val="28"/>
          <w:rtl w:val="true"/>
          <w:lang w:bidi="fa-IR"/>
        </w:rPr>
        <w:t>جارٍ هنا؛ لجریان دلیله فیه حرفاً بحرف؛ و لذا عنون المصنّف فی المختلف قول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بطهارة ما لا تحلّه الحیاة من نجس العین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الاستشکال هنا فی الحکم؛ نظراً إلی عدم ما یدلّ علی تعلّق الحکم علی المسمّی کما فی الکلب و الخنزیر حتّی یعمّ جمیع أجزائه؛ لأنّ دلالة الکتاب علی نجاستهم ضعیفة، و لیس فی السنّة ما یدلّ علی ذلک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اعترض علیه فی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الأخبار تدلّ علی نجاسة الیهود و النصاری، و هو عبارة عن مجموع أجزاء الشخص المنسوب إلیهم، و الشخص عبارة عن مجموع الأجزاء، کالکلب و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بمرسلة الوشّاء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کره سؤر ولد الزنا و الناصب و الیهودی و النصرانی و المشرک و کلّ من خالف الإسلام</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قد أوضحنا دلالة الآیتین علی نجاستهم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کلام صاحب المعالم علی فرض عدم دلالة الآیات کما هو المتّضح عنده و کلامه فی الأخبار، و لا یخفی أنّ مرسلة الوشّاء علی فرض دلالتها لا تدلّ إلّا علی نجاسة سؤرهم، و لا ریب فی ظهور السؤر فیما باشره جسم حیوان، لا کشعره بل و لا کظفره المجرّد، بل ظاهره عرفاً کما تقدّم فی باب الأسآر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الشراب، فلا دلالة فیها علی نجاسة مثل الشعر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الدالّة علی نجاسة الیهود و النصاری، فلیس فیها إلّا الاجتناب عن مساورتهم و مخالطتهم و مؤاکلتهم، فما ذکره فی مقابل صاحب المعالم لم یصب موقعه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التمسّک فی ذلک بإطلاق معاقد الإجماعات المستفیضة بل المتواترة فی نجاسة الکفّار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المحکی عن جماعة کالشیخ فی المبسوط </w:t>
      </w:r>
      <w:r>
        <w:rPr>
          <w:rStyle w:val="FootnoteAnchor"/>
          <w:rtl w:val="true"/>
        </w:rPr>
        <w:footnoteReference w:id="642"/>
      </w:r>
      <w:r>
        <w:rPr>
          <w:rFonts w:ascii="IRNazanin" w:hAnsi="IRNazanin" w:eastAsia="IRNazanin"/>
          <w:color w:val="111111"/>
          <w:sz w:val="28"/>
          <w:sz w:val="28"/>
          <w:szCs w:val="28"/>
          <w:rtl w:val="true"/>
          <w:lang w:bidi="fa-IR"/>
        </w:rPr>
        <w:t xml:space="preserve">و المصنّف فی التذکرة </w:t>
      </w:r>
      <w:r>
        <w:rPr>
          <w:rStyle w:val="FootnoteAnchor"/>
          <w:rtl w:val="true"/>
        </w:rPr>
        <w:footnoteReference w:id="643"/>
      </w:r>
      <w:r>
        <w:rPr>
          <w:rFonts w:ascii="IRNazanin" w:hAnsi="IRNazanin" w:eastAsia="IRNazanin"/>
          <w:color w:val="111111"/>
          <w:sz w:val="28"/>
          <w:sz w:val="28"/>
          <w:szCs w:val="28"/>
          <w:rtl w:val="true"/>
          <w:lang w:bidi="fa-IR"/>
        </w:rPr>
        <w:t xml:space="preserve">و الشهید فی الذکری </w:t>
      </w:r>
      <w:r>
        <w:rPr>
          <w:rStyle w:val="FootnoteAnchor"/>
          <w:rtl w:val="true"/>
        </w:rPr>
        <w:footnoteReference w:id="644"/>
      </w:r>
      <w:r>
        <w:rPr>
          <w:rFonts w:ascii="IRNazanin" w:hAnsi="IRNazanin" w:eastAsia="IRNazanin"/>
          <w:color w:val="111111"/>
          <w:sz w:val="28"/>
          <w:sz w:val="28"/>
          <w:szCs w:val="28"/>
          <w:rtl w:val="true"/>
          <w:lang w:bidi="fa-IR"/>
        </w:rPr>
        <w:t xml:space="preserve">و صاحب الموجز </w:t>
      </w:r>
      <w:r>
        <w:rPr>
          <w:rStyle w:val="FootnoteAnchor"/>
          <w:rtl w:val="true"/>
        </w:rPr>
        <w:footnoteReference w:id="645"/>
      </w:r>
      <w:r>
        <w:rPr>
          <w:rFonts w:ascii="IRNazanin" w:hAnsi="IRNazanin" w:eastAsia="IRNazanin"/>
          <w:color w:val="111111"/>
          <w:sz w:val="28"/>
          <w:sz w:val="28"/>
          <w:szCs w:val="28"/>
          <w:rtl w:val="true"/>
          <w:lang w:bidi="fa-IR"/>
        </w:rPr>
        <w:t xml:space="preserve">و شارحه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بنجاسة أولاد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w:t>
      </w:r>
      <w:r>
        <w:rPr>
          <w:rStyle w:val="FootnoteAnchor"/>
          <w:rtl w:val="true"/>
        </w:rPr>
        <w:footnoteReference w:id="647"/>
      </w:r>
      <w:r>
        <w:rPr>
          <w:rFonts w:ascii="IRNazanin" w:hAnsi="IRNazanin" w:eastAsia="IRNazanin"/>
          <w:color w:val="111111"/>
          <w:sz w:val="28"/>
          <w:sz w:val="28"/>
          <w:szCs w:val="28"/>
          <w:rtl w:val="true"/>
          <w:lang w:bidi="fa-IR"/>
        </w:rPr>
        <w:t xml:space="preserve">و عن الذخیرة </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نفی الخلاف من کلام المصنّف فی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استظهاره من کلام جماعة؛ حیث ذکروا الحکم جازمین به من غیر تعرّض لدلیله، کما هو الشأن فی المسائل التی لا مجال للاحتمال فیها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تبعه فی شرح المفاتیح،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الطفل الذی یولد من الکافر و لم یبلغ أو بلغ مجنوناً نجس عند الأصحاب، لکنّ العلّامة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الأقرب فی أولاد الکفّار التبعیّة لهم،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یدلّ علی عدم الإجماع عنده، فإن لم یکن إجماع یشکل الحکم بذلک </w:t>
      </w:r>
      <w:r>
        <w:rPr>
          <w:rStyle w:val="FootnoteAnchor"/>
          <w:rtl w:val="true"/>
        </w:rPr>
        <w:footnoteReference w:id="65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فی المتولّد من الکلب و الخنزیر </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الأقوی نجاسة</w:t>
      </w:r>
    </w:p>
    <w:p>
      <w:pPr>
        <w:pStyle w:val="BookText"/>
        <w:rPr/>
      </w:pPr>
      <w:r>
        <w:rPr>
          <w:rFonts w:ascii="IRNazanin" w:hAnsi="IRNazanin" w:eastAsia="IRNazanin"/>
          <w:color w:val="111111"/>
          <w:sz w:val="28"/>
          <w:sz w:val="28"/>
          <w:szCs w:val="28"/>
          <w:rtl w:val="true"/>
          <w:lang w:bidi="fa-IR"/>
        </w:rPr>
        <w:t>المتولّد من نجسین؛ إمّا للاستصحاب، بناءً علی بقاء الموضوع عرفاً، کما یحکم بنجاسة ما لا تحلّه الحیاة من الکافر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لأجل تنقیح المناط عند أهل الشرع؛ حیث إنّهم یتعدّون من نجاسة الأبوین ذاتاً إلی المتولّد منهما، فهو شی‌ءٌ مرکوز فی أذهانهم و إن لم نعلم وجهه تفصیلًا، فکم لهم من هذا القبیل، کما لا یخفی علی المتتبّع لأحوالهم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هذا الوجه هی العمدة، و إلّا فیمکن منع الاستصحاب؛ بمنع جزئیة الجنین فی بطن امّه للأُم عند صیرورته مضغة، فلا دلیل علی نجاسته فی ذلک الوقت؛ ضرورة عدم صحة استصحاب نجاسته حال کونها علقة؛ لأنّها من حیث کونها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تعبیر المصنّف فی النهایة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مقابل الاحتمال المخالف، لا القول المخالف، و هو لا ینافی تحقّق اتّفاق أهل الفتوی علیه؛ لأنّ الفروع المبنیّة علی القواعد لا تخلو عن تطرّق الاحتمال، و إن کان الحکم فیها متّفقاً علیه بین أهل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یکون هذا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اللّٰه بن سنان المحکیّة عن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أولاد المشرکین یموتون قبل الحِنْث؟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اللّٰه أعلم بما کانوا عاملین یدخلون مداخل آبائهم</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أولاد المشرکین یلحقون بآبائهم</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لکن فی دلالته علی النجاسة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فالظاهر أنّ من بلغ مجنوناً حاله حال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بلغ و کفر ثمّ جنّ فإنّه لا ینبغی الإشکال فی نجاسته؛ لصدق الکافر علیه، و یشکل لو فرضنا زوال تلک الصفة الراسخة فی قلبه عنه بالمرّة، إلّا أن یتمسّک بالاستصحاب، و 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أسلم ولد الکافر ثمّ جنّ فلا شکّ فی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المسبیّ و اللقیط</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المسبیّ، فإذا کان منفرداً عن أبویه، ففی 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الأصحاب تبعیّته للسابی فی الطهارة، و حکی فیه کما فی اللوامع </w:t>
      </w:r>
      <w:r>
        <w:rPr>
          <w:rStyle w:val="FootnoteAnchor"/>
          <w:rtl w:val="true"/>
        </w:rPr>
        <w:footnoteReference w:id="654"/>
      </w:r>
      <w:r>
        <w:rPr>
          <w:rFonts w:ascii="IRNazanin" w:hAnsi="IRNazanin" w:eastAsia="IRNazanin"/>
          <w:color w:val="111111"/>
          <w:sz w:val="28"/>
          <w:sz w:val="28"/>
          <w:szCs w:val="28"/>
          <w:rtl w:val="true"/>
          <w:lang w:bidi="fa-IR"/>
        </w:rPr>
        <w:t>عن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الطهارة لا خلاف فیها بینهم و إن اختلفوا فی تبعیّته للسابی فی الإسلام </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المحکیّ فی شرح الروضة </w:t>
      </w:r>
      <w:r>
        <w:rPr>
          <w:rStyle w:val="FootnoteAnchor"/>
          <w:rtl w:val="true"/>
        </w:rPr>
        <w:footnoteReference w:id="656"/>
      </w:r>
      <w:r>
        <w:rPr>
          <w:rFonts w:ascii="IRNazanin" w:hAnsi="IRNazanin" w:eastAsia="IRNazanin"/>
          <w:color w:val="111111"/>
          <w:sz w:val="28"/>
          <w:sz w:val="28"/>
          <w:szCs w:val="28"/>
          <w:rtl w:val="true"/>
          <w:lang w:bidi="fa-IR"/>
        </w:rPr>
        <w:t xml:space="preserve">و ظاهر کلام المصنّف فی التلخیص </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تبعیّة الأبوین فی جمیع الأحکام، و هو الذی تردّد فیه أوّل الشهیدین فی ظاهر عبارة الذکری، مع إشعارها بوجود الخلاف فی المسألة </w:t>
      </w:r>
      <w:r>
        <w:rPr>
          <w:rStyle w:val="FootnoteAnchor"/>
          <w:rtl w:val="true"/>
        </w:rPr>
        <w:footnoteReference w:id="658"/>
      </w:r>
      <w:r>
        <w:rPr>
          <w:rFonts w:ascii="IRNazanin" w:hAnsi="IRNazanin" w:eastAsia="IRNazanin"/>
          <w:color w:val="111111"/>
          <w:sz w:val="28"/>
          <w:sz w:val="28"/>
          <w:szCs w:val="28"/>
          <w:rtl w:val="true"/>
          <w:lang w:bidi="fa-IR"/>
        </w:rPr>
        <w:t xml:space="preserve">، و مال إلیه ثانیهما فی المسالک؛ تمسّکاً باستصحاب النجاسة الثابتة له قبل السبی </w:t>
      </w:r>
      <w:r>
        <w:rPr>
          <w:rStyle w:val="FootnoteAnchor"/>
          <w:rtl w:val="true"/>
        </w:rPr>
        <w:footnoteReference w:id="659"/>
      </w:r>
      <w:r>
        <w:rPr>
          <w:rFonts w:ascii="IRNazanin" w:hAnsi="IRNazanin" w:eastAsia="IRNazanin"/>
          <w:color w:val="111111"/>
          <w:sz w:val="28"/>
          <w:sz w:val="28"/>
          <w:szCs w:val="28"/>
          <w:rtl w:val="true"/>
          <w:lang w:bidi="fa-IR"/>
        </w:rPr>
        <w:t>، السلیمة عن المزاحم؛ حیث لم یعدّوا التبعیّة من المطهِّرات، عدا ما ربّما یستدلّ به علی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الأصل، المندفع بورود الاستصحاب؛ و من لزوم الحرج، المردود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غیر قابل لإثبات الطهارة إذا لم یکن علیه</w:t>
      </w:r>
    </w:p>
    <w:p>
      <w:pPr>
        <w:pStyle w:val="BookText"/>
        <w:rPr/>
      </w:pPr>
      <w:r>
        <w:rPr>
          <w:rFonts w:ascii="IRNazanin" w:hAnsi="IRNazanin" w:eastAsia="IRNazanin"/>
          <w:color w:val="111111"/>
          <w:sz w:val="28"/>
          <w:sz w:val="28"/>
          <w:szCs w:val="28"/>
          <w:rtl w:val="true"/>
          <w:lang w:bidi="fa-IR"/>
        </w:rPr>
        <w:t>دلیل آخر، کما لو استأجر طفل الذمی مدة مدیدة، و کما لو کان ولد الکافر عنده من غیر 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بالسیرة القطعیّة المستمرّة علی المعاملة مع السبایا معاملة المسلمین من حیث الطهارة، و عدم الالتزام بالتحرّز عنهم، فالقول بطهارتهم هو المعتمد، سیّما مع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دلیل معتمد علی نجاستهم قبل السبی لولا الإجماع، عدا ما ذکرنا من الوجهین اللذین یمکن الخدشة فی أوّلهما، و یشکل التمسّک بثانیهما لو انفرد عن الجابر، و النجاسة الثابتة بالإجماع لم یعلم ثبوتها لنفس الطفل أو الطفل المصاحب للأبوین، فلعلّ لوصف المصاحبة مدخلًا فی الموضوع الذی یعتبر القطع ببقائه فی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جریان مثل ذلک فی سائر موارد الاستصحاب؛ و لأنّ النجاسة من الأُمور التی إذا تحققت لا یرتفع إلّا بالمزیل، فلا بدّ من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لاندفاع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من خصائص المستصحب الثابت بالإجماع؛ فإنّ الموضوع فیه مشتبه غالباً، إلّا أن یرجع فی تشخیصه إلی العرف أو کلمات المجمعین، و أمّا إذا ثبت المستصحب بالأدلّة اللفظیّة فالموضوع فیه معلوم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اندفاع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النجاسة إنّما یحتاج إلی المزیل فی ارتفاعها عن محلّها، و أمّا ارتفاعها بارتفاع المحل فلا یحتاج إلّا إلی رافعٍ للمحل أو انقضاء استعداد وجوده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أنّهم لم یعدّوا التبعیة من المطهِّرات؛ فإنّهم لم یذکروا فی مطهِّرات الکافر غیر الإسلام، فمندفع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لم یذکروا فی عنوان المطهِّرات إسلام الوالدین أیضاً، و لا یقدح ذلک مع تعرّضهم للمسألة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سباه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سباه مع أبویه، فالمحکیّ عن الشیخ </w:t>
      </w:r>
      <w:r>
        <w:rPr>
          <w:rStyle w:val="FootnoteAnchor"/>
          <w:rtl w:val="true"/>
        </w:rPr>
        <w:footnoteReference w:id="660"/>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661"/>
      </w:r>
      <w:r>
        <w:rPr>
          <w:rFonts w:ascii="IRNazanin" w:hAnsi="IRNazanin" w:eastAsia="IRNazanin"/>
          <w:color w:val="111111"/>
          <w:sz w:val="28"/>
          <w:sz w:val="28"/>
          <w:szCs w:val="28"/>
          <w:rtl w:val="true"/>
          <w:lang w:bidi="fa-IR"/>
        </w:rPr>
        <w:t xml:space="preserve">و القاضی </w:t>
      </w:r>
      <w:r>
        <w:rPr>
          <w:rStyle w:val="FootnoteAnchor"/>
          <w:rtl w:val="true"/>
        </w:rPr>
        <w:footnoteReference w:id="662"/>
      </w:r>
      <w:r>
        <w:rPr>
          <w:rFonts w:ascii="IRNazanin" w:hAnsi="IRNazanin" w:eastAsia="IRNazanin"/>
          <w:color w:val="111111"/>
          <w:sz w:val="28"/>
          <w:sz w:val="28"/>
          <w:szCs w:val="28"/>
          <w:rtl w:val="true"/>
          <w:lang w:bidi="fa-IR"/>
        </w:rPr>
        <w:t xml:space="preserve">و الشهید فی بعض فوائده </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بنجاسته، و فی شرح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لا خلاف فیه عندنا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لهم باستصحاب التبعیّة إلی أن یثبت المزیل، و الملکیّة لیست مزیلة، کما لو زوّج المسلم عبده الکافر من أمته الکافرة، فإنّ ولدهما یتبع الأبوین دون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بعموم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الفطرة و إنّما أبواه یهوّدانه و ینصّرانه و یمجّسانه</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 xml:space="preserve">فما لم ینقطع عنه تبعیّة الأبوین لم ینتف عنه التهوید و التنصیر و التمجیس، کذا، قیل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دلالة النبوی نظر ظاهر، خصوصاً أنّ المروی فی بعض الکتب علی ما رأینا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یکون أبواه یهوّدانه و ینصّرانه و یمجّسانه</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و هذا أظهر فی الدلالة علی أنّ الولد طاهر ما لم یضلّه أبواه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سبی مع أحد أبویه، فالمحکیّ عن الجماعة المتقدّم إلیهم الإشارة </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یتبعه دون السابی، و تبعهم المصنّف فیما حکی عنه </w:t>
      </w:r>
      <w:r>
        <w:rPr>
          <w:rStyle w:val="FootnoteAnchor"/>
          <w:rtl w:val="true"/>
        </w:rPr>
        <w:footnoteReference w:id="669"/>
      </w:r>
      <w:r>
        <w:rPr>
          <w:rFonts w:ascii="IRNazanin" w:hAnsi="IRNazanin" w:eastAsia="IRNazanin"/>
          <w:color w:val="111111"/>
          <w:sz w:val="28"/>
          <w:sz w:val="28"/>
          <w:szCs w:val="28"/>
          <w:rtl w:val="true"/>
          <w:lang w:bidi="fa-IR"/>
        </w:rPr>
        <w:t>و لعلّه لاستصحاب التبعیّة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جماعة من العامّة تبعیّة السابی </w:t>
      </w:r>
      <w:r>
        <w:rPr>
          <w:rStyle w:val="FootnoteAnchor"/>
          <w:rtl w:val="true"/>
        </w:rPr>
        <w:footnoteReference w:id="670"/>
      </w:r>
      <w:r>
        <w:rPr>
          <w:rFonts w:ascii="IRNazanin" w:hAnsi="IRNazanin" w:eastAsia="IRNazanin"/>
          <w:color w:val="111111"/>
          <w:sz w:val="28"/>
          <w:sz w:val="28"/>
          <w:szCs w:val="28"/>
          <w:rtl w:val="true"/>
          <w:lang w:bidi="fa-IR"/>
        </w:rPr>
        <w:t>لأنّ مدلول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الأبوین یهوّدانه لا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مفهوم ضعیف، کما عن التذکرة </w:t>
      </w:r>
      <w:r>
        <w:rPr>
          <w:rStyle w:val="FootnoteAnchor"/>
          <w:rtl w:val="true"/>
        </w:rPr>
        <w:footnoteReference w:id="671"/>
      </w:r>
      <w:r>
        <w:rPr>
          <w:rFonts w:ascii="IRNazanin" w:hAnsi="IRNazanin" w:eastAsia="IRNazanin"/>
          <w:color w:val="111111"/>
          <w:sz w:val="28"/>
          <w:sz w:val="28"/>
          <w:szCs w:val="28"/>
          <w:rtl w:val="true"/>
          <w:lang w:bidi="fa-IR"/>
        </w:rPr>
        <w:t xml:space="preserve">و المنتهی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المسألة محل الإشکال، و القول بالنجاسة أقوی؛ بناءً علی الاستصحاب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من حیث الطهارة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تبعیّته للسابی فی أصل الإسلام، حتّی یترتّب علیه أحکام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تجهیزه لو مات و نحو ذلک، فالمحکیّ عن الشیخ </w:t>
      </w:r>
      <w:r>
        <w:rPr>
          <w:rStyle w:val="FootnoteAnchor"/>
          <w:rtl w:val="true"/>
        </w:rPr>
        <w:footnoteReference w:id="673"/>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674"/>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675"/>
      </w:r>
      <w:r>
        <w:rPr>
          <w:rFonts w:ascii="IRNazanin" w:hAnsi="IRNazanin" w:eastAsia="IRNazanin"/>
          <w:color w:val="111111"/>
          <w:sz w:val="28"/>
          <w:sz w:val="28"/>
          <w:szCs w:val="28"/>
          <w:rtl w:val="true"/>
          <w:lang w:bidi="fa-IR"/>
        </w:rPr>
        <w:t xml:space="preserve">و المصنّف فی لقطة القواعد </w:t>
      </w:r>
      <w:r>
        <w:rPr>
          <w:rStyle w:val="FootnoteAnchor"/>
          <w:rtl w:val="true"/>
        </w:rPr>
        <w:footnoteReference w:id="676"/>
      </w:r>
      <w:r>
        <w:rPr>
          <w:rFonts w:ascii="IRNazanin" w:hAnsi="IRNazanin" w:eastAsia="IRNazanin"/>
          <w:color w:val="111111"/>
          <w:sz w:val="28"/>
          <w:sz w:val="28"/>
          <w:szCs w:val="28"/>
          <w:rtl w:val="true"/>
          <w:lang w:bidi="fa-IR"/>
        </w:rPr>
        <w:t xml:space="preserve">و الشهید فی الدروس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القول بالتبعیّة؛ لأنّ هذا الطفل لا حکم له بنفسه، و قد خرج من تبعیّة الأبوین بانقطاعه عنهما و إخراجه عن دارهما و مصیره إلی دار الإسلام تبعاً للسابی المسلم، فکان تابعاً له فی دینه؛ و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الفطرة و إنّما أبواه یهوّدانه</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و فی الدلالة و السند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للمحکی عن المصنّف فی بعض کتبه </w:t>
      </w:r>
      <w:r>
        <w:rPr>
          <w:rStyle w:val="FootnoteAnchor"/>
          <w:rtl w:val="true"/>
        </w:rPr>
        <w:footnoteReference w:id="679"/>
      </w:r>
      <w:r>
        <w:rPr>
          <w:rFonts w:ascii="IRNazanin" w:hAnsi="IRNazanin" w:eastAsia="IRNazanin"/>
          <w:color w:val="111111"/>
          <w:sz w:val="28"/>
          <w:sz w:val="28"/>
          <w:szCs w:val="28"/>
          <w:rtl w:val="true"/>
          <w:lang w:bidi="fa-IR"/>
        </w:rPr>
        <w:t xml:space="preserve">و ولده فی الإیضاح </w:t>
      </w:r>
      <w:r>
        <w:rPr>
          <w:rStyle w:val="FootnoteAnchor"/>
          <w:rtl w:val="true"/>
        </w:rPr>
        <w:footnoteReference w:id="680"/>
      </w:r>
      <w:r>
        <w:rPr>
          <w:rFonts w:ascii="Amiri" w:hAnsi="Amiri" w:eastAsia="Amiri" w:cs="Amiri"/>
          <w:color w:val="111111"/>
          <w:sz w:val="28"/>
          <w:sz w:val="28"/>
          <w:szCs w:val="28"/>
          <w:rtl w:val="true"/>
          <w:lang w:bidi="ar-SA"/>
        </w:rPr>
        <w:t xml:space="preserve">و الحلیّ </w:t>
      </w:r>
      <w:r>
        <w:rPr>
          <w:rStyle w:val="FootnoteAnchor"/>
          <w:rtl w:val="true"/>
        </w:rPr>
        <w:footnoteReference w:id="681"/>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682"/>
      </w:r>
      <w:r>
        <w:rPr>
          <w:rFonts w:ascii="IRNazanin" w:hAnsi="IRNazanin" w:eastAsia="IRNazanin"/>
          <w:color w:val="111111"/>
          <w:sz w:val="28"/>
          <w:sz w:val="28"/>
          <w:szCs w:val="28"/>
          <w:rtl w:val="true"/>
          <w:lang w:bidi="fa-IR"/>
        </w:rPr>
        <w:t>، فحکموا بتبعیّته فی الطهارة خاصّة،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اللقیط، فالمحکیّ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بإسلام لقیط دار الإسلام إذا کان فیها مسلمٌ صالحٌ لتولّده منه، سواء بنیت فی الإسلام و لم یقرّ بها الکفّار، أم کانت دار حرب غلب علیها المسلمون فأخذوها صلحاً أو قهراً، أو کانت دار الإسلام فغلب علیها أهل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لقیط دار الحرب إذا استوطنها مسلم و لو أسیراً </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لقوله صلّی اللّٰه علیه و آله فی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و أمّا إذا دخله التجار، فذکر فیه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لغلبة جانبه، و العدم؛ لأنّ الدار دار الکفر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بالطهارة؛ لأنّها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أحکام</w:t>
      </w:r>
    </w:p>
    <w:p>
      <w:pPr>
        <w:pStyle w:val="BookText"/>
        <w:rPr/>
      </w:pPr>
      <w:r>
        <w:rPr>
          <w:rFonts w:ascii="IRNazanin" w:hAnsi="IRNazanin" w:eastAsia="IRNazanin"/>
          <w:color w:val="111111"/>
          <w:sz w:val="28"/>
          <w:sz w:val="28"/>
          <w:szCs w:val="28"/>
          <w:rtl w:val="true"/>
          <w:lang w:bidi="fa-IR"/>
        </w:rPr>
        <w:t>الإسلام، فکلّ ما کان الإسلام شرطاً فلا یحکم، و کلّ ما کان الکفر مانعاً فیحکم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طهارة المخالف لأهل الحقّ، عدا الفرق الآتیة منهم؛ للأصل و أدلّة طهارة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 </w:t>
      </w:r>
      <w:r>
        <w:rPr>
          <w:rStyle w:val="FootnoteAnchor"/>
          <w:rtl w:val="true"/>
        </w:rPr>
        <w:footnoteReference w:id="685"/>
      </w:r>
      <w:r>
        <w:rPr>
          <w:rFonts w:ascii="IRNazanin" w:hAnsi="IRNazanin" w:eastAsia="IRNazanin"/>
          <w:color w:val="111111"/>
          <w:sz w:val="28"/>
          <w:sz w:val="28"/>
          <w:szCs w:val="28"/>
          <w:rtl w:val="true"/>
          <w:lang w:bidi="fa-IR"/>
        </w:rPr>
        <w:t>و الإجماع، بعد ملاحظة ما دلّ علی إسلامهم فی الظاهر؛ بناءً علی تحدید الإسلام المقابل للإیمان الذی هو مناط الطهارة دون المرادف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علیه الناس، من الشهادتین و التزام الصلاة و الصیام و الحج و الزکاة و غیر ذلک، کما لا یخفی علی المتتبّع باب الفرق بین الإیمان و الإسلام من أُصول الکافی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السیرة القطعیّة المستمرّة من زمن حدوث هذا المذهب إلی یومنا هذا من الأئمة صلوات اللّٰه علیهم و أصحابهم و من جمیع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المباشرة لهم و مساورتهم و الأکل من ذبائحهم و أطعمتهم و مزاوجتهم، فربّما کان أهل بیتٍ واحد بعضهم مؤمن و بعضهم مخالف، و من لاحظ زمان الأئمة علیهم السلام و قلّة المؤمنین فی ذلک الزمان، یقطع بعدم إمکان التحرّز فضلًا عن تعسّره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ینقض ذلک باستمرار السیرة فی مدّة زمان دولة بنی أُمیة علی المعاشرة و ترک التحرّز عن النصّاب، لشیوع النصب و السبّ فی ذلک الزمان؛ فإنّا نمنع شیوع النصب الحقیقی، و إنّما کان الناس یظهارون البراءة من أمیر المؤمنین علیه السلام تقیّةً، مع أنّ الحکم بنجاسة الناصب لعلّه لم یکن فی ذلک الیوم ظاهراً للناس؛ فإنّ الأحکام إنّما انتشرت بین الناس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إشکال فی أصل المسألة، إنّما الإشکال و الحیرة فی أنّ السیّد قدّس سرّه مع قرب عهده بذلک الزمان و ابتلائه بذلک فی تلک البلدان کیف أوجب علی نفسه و علی الناس التحرّز عنهم فی المساورة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یقول بالعفو عن نجاستهم، کما عفی عن قلیل الدم عند الشیخ </w:t>
      </w:r>
      <w:r>
        <w:rPr>
          <w:rStyle w:val="FootnoteAnchor"/>
          <w:rtl w:val="true"/>
        </w:rPr>
        <w:footnoteReference w:id="688"/>
      </w:r>
      <w:r>
        <w:rPr>
          <w:rFonts w:ascii="IRNazanin" w:hAnsi="IRNazanin" w:eastAsia="IRNazanin"/>
          <w:color w:val="111111"/>
          <w:sz w:val="28"/>
          <w:sz w:val="28"/>
          <w:szCs w:val="28"/>
          <w:rtl w:val="true"/>
          <w:lang w:bidi="fa-IR"/>
        </w:rPr>
        <w:t>و عن سائر ما یتعلّق بالمعاشرة من أحکام الکافر، کحرمة الذبیحة و حرمة المناکحة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یجمع بین ما دلّ علی کفرهم المستلزم لترتّب تلک الأحکام؛ بناءً علی ملازمتها له، و بین الإجماع العملی، بل تواتر السنّة الفعلیّة علی معاملتهم معاملة المسلمین و لا ینافی ما ورد فی الأخبار من جعلهم مسلمین؛ لأنّ المراد به ما یوجب العفو عن أحکام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المعاشرة و عدم الاجتناب إنّما کان لأجل التقیّة و عدم التمکّن من الالتزام بمجانبتهم و المعاشرة بترک عیادتهم و حضور جماعتهم فضلًا عن مجانبتهم فی المساورة بترک ذبائحهم و أطعمتهم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مع مخالفتها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السیرة المدّعاة إنّما هی علی المعاملة معهم معاملة الطاهر، لا مجرّد المساورة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یلتزم بما احتمله صاحب الحدائق فی المقام، بل ربّما مال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تسویغ المباشرة للتقیّة و الإذن فیها یوجب عدم ترتّب الأثر علی تلک النجاسة </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الخلطة لمّا صارت علی وجهٍ یوجب نجاسة الأشیاء علی وجهٍ یوجب إزالة النجاسة عنها بالمرّة إذاعة السر و إضاعة التقیّة، و نحوه التبعیض بمقدار التمکّن سیّما لجهلة الشیعة، و التبعیض فی الإزالة غیر مجد؛ فلذا ارتفع وجوب الإزالة، و عفی عنهم عفو الدم فی الصلاة، لا عفو الدم الغیر المستبین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بعینه موجود بالنسبة إلینا فی هذا الزمان من جهة الحرج، و إن لم یکن من جهة التقیّة، بل من جهة التقیّة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فالمقصود الأصلی عدم وجوب غسل ما لاقاهم، و لا غرض یتعلّق بإثبات صفة الطهارة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سائر أحکام الإسلام التی لا یتعلّق بالمباشرة، کالتجهیز و لا مضایقة علی القول بعدم وجوبه، کما عن المفید </w:t>
      </w:r>
      <w:r>
        <w:rPr>
          <w:rStyle w:val="FootnoteAnchor"/>
          <w:rtl w:val="true"/>
        </w:rPr>
        <w:footnoteReference w:id="690"/>
      </w:r>
      <w:r>
        <w:rPr>
          <w:rFonts w:ascii="IRNazanin" w:hAnsi="IRNazanin" w:eastAsia="IRNazanin"/>
          <w:color w:val="111111"/>
          <w:sz w:val="28"/>
          <w:sz w:val="28"/>
          <w:szCs w:val="28"/>
          <w:rtl w:val="true"/>
          <w:lang w:bidi="fa-IR"/>
        </w:rPr>
        <w:t xml:space="preserve">و القاضی </w:t>
      </w:r>
      <w:r>
        <w:rPr>
          <w:rStyle w:val="FootnoteAnchor"/>
          <w:rtl w:val="true"/>
        </w:rPr>
        <w:footnoteReference w:id="691"/>
      </w:r>
      <w:r>
        <w:rPr>
          <w:rFonts w:ascii="IRNazanin" w:hAnsi="IRNazanin" w:eastAsia="IRNazanin"/>
          <w:color w:val="111111"/>
          <w:sz w:val="28"/>
          <w:sz w:val="28"/>
          <w:szCs w:val="28"/>
          <w:rtl w:val="true"/>
          <w:lang w:bidi="fa-IR"/>
        </w:rPr>
        <w:t>مع حکمهما بطهارتهم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الشیخ فی التهذیب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المخالف لأهل الحقّ کافر، فیجب أن یکون حکمه حکم الکفّار إلّا ما خرج بالدلیل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علیه الحلیّ بعد اختیاره له بقوله تعالی وَ لٰا تُصَلِّ عَلیٰ أَحَدٍ مِنْهُمْ مٰاتَ أَبَداً </w:t>
      </w:r>
      <w:r>
        <w:rPr>
          <w:rStyle w:val="FootnoteAnchor"/>
          <w:rtl w:val="true"/>
        </w:rPr>
        <w:footnoteReference w:id="693"/>
      </w:r>
      <w:r>
        <w:rPr>
          <w:rFonts w:ascii="IRNazanin" w:hAnsi="IRNazanin" w:eastAsia="IRNazanin"/>
          <w:color w:val="111111"/>
          <w:sz w:val="28"/>
          <w:sz w:val="28"/>
          <w:szCs w:val="28"/>
          <w:rtl w:val="true"/>
          <w:lang w:bidi="fa-IR"/>
        </w:rPr>
        <w:t xml:space="preserve">یعنی الکفّار، و المخالف لأهل الحق کافر بلا خلاف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المعتبر فی مسألة الزکاة فی بیان أوصاف مستحقّی الزکاة بعد دعوی إجماع أهل العلم علی عدم إعطاء الکافر،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یعطی غیر الإمامی و إن اتّصف بالإسلام، ثمّ استدلّ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الإیمان هو تصدیق النبی صلّی اللّٰه علیه و آله فی کلّ ما جاء به و الکفر جحود ذلک، فمن لیس بمؤمن فهو کافر، و لیس للکافر زکاة بما بیّناه؛ و لأنّ مخالف الحق محادٌّ للّٰه و رسوله فلا یجوز موادّته، و الزکاة معونة و إرفاق فلا یصرف إلی محاد </w:t>
      </w:r>
      <w:r>
        <w:rPr>
          <w:rStyle w:val="FootnoteAnchor"/>
          <w:rtl w:val="true"/>
        </w:rPr>
        <w:footnoteReference w:id="69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المنتهی، من الاستدلال علی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الإمامة من أرکان الدین و قد علم ثبوتها من الدین ضرورةً، و الجاحد لها لا یکون مصدِّقاً للرسول فی جمیع ما جاء به، فیکون کافراً </w:t>
      </w:r>
      <w:r>
        <w:rPr>
          <w:rStyle w:val="FootnoteAnchor"/>
          <w:rtl w:val="true"/>
        </w:rPr>
        <w:footnoteReference w:id="69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شرحه علی فصّ الیاقوت للشیخ الجلیل ابن نوبخت من متقدّمی أصحابنا عند قول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دافعوا النصّ کفرة عند جمهور أصحابنا، و من أصحابنا من یفسِّقهم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شرح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دافعوا النص علی أمیر المؤمنین علیه السلام بالإمامة، فقد ذهب أکثر أصحابنا علی تکفیرهم؛ لأنّ النصّ معلوم بالتواتر من دین محمّد صلّی اللّٰه علیه و آله فیکون ضروریّاً، أی معلوماً من دینه ضرورة، فجاحده یکون کافراً، کمن یجحد وجوب الصلاة و صوم شهر رمضان </w:t>
      </w:r>
      <w:r>
        <w:rPr>
          <w:rStyle w:val="FootnoteAnchor"/>
          <w:rtl w:val="true"/>
        </w:rPr>
        <w:footnoteReference w:id="69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صفة الکفر لهم ممّا لا إشکال فیه ظاهراً، کما عرفت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علیه أخبار متواترة نذکر بعضها تیمّناً و تشریفاً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أبی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باب فتحه اللّٰه، من دخله کان مؤمناً، و من خرج منه کان کافراً</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بصیر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علی علیه السلام ذلٌّ و معصیته کفر باللّٰه،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کیف کان طاعة علی علیه السلام ذلّاً و معصیته کفراً؟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یحملکم علی الحق، فإن أطعتموه ذللتم و إنّ عصیتموه کفرتم باللّٰه عزّ و جلّ</w:t>
      </w:r>
      <w:r>
        <w:rPr>
          <w:rFonts w:eastAsia="IRNazanin" w:cs="IRNazanin"/>
          <w:color w:val="111111"/>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إبراهیم بن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باب من أبواب الهدی، فمن دخل فی باب علی علیه السلام کان مؤمناً، و من خرج منه کان کافراً، و من لم یدخل فیه و لم یخرج منه کان فی طبقة الذین للّٰه فیهم المشیّة</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الفضیل بن 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نصب علیّاً علیه السلام عَلَماً للّٰه بین خلقه، فمن عرفه کان مؤمناً، و من أنکره کان کافراً و من جهله کان ضالّاً، و من نصب معه شیئاً کان مشرکاً، و من جاء بولایته دخل الجنّة، و من جاء بعداوته دخل النار</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إبراهیم بن بکر عن أبی إبراهیم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 السلام بابٌ من أبواب الجنّة، فمن دخل بابه کان مؤمناً، و من خرج من بابه کان</w:t>
      </w:r>
    </w:p>
    <w:p>
      <w:pPr>
        <w:pStyle w:val="BookText"/>
        <w:rPr/>
      </w:pPr>
      <w:r>
        <w:rPr>
          <w:rFonts w:ascii="IRNazanin" w:hAnsi="IRNazanin" w:eastAsia="IRNazanin"/>
          <w:color w:val="111111"/>
          <w:sz w:val="28"/>
          <w:sz w:val="28"/>
          <w:szCs w:val="28"/>
          <w:rtl w:val="true"/>
          <w:lang w:bidi="fa-IR"/>
        </w:rPr>
        <w:t>کافراً، و من لم یدخل فیه و لم یخرج کان فی الطبقة الذین للّٰه فیهم المشیئة</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الکافی بسنده إلی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نصب علیّاً علیه السلام عَلَماً بینه و بین خلقه، فمن عرفه کان مؤمناً، و من أنکره کان کافراً، و من جهله کان ضالّاً</w:t>
      </w:r>
      <w:r>
        <w:rPr>
          <w:rFonts w:eastAsia="IRNazanin" w:cs="IRNazanin"/>
          <w:color w:val="111111"/>
          <w:sz w:val="28"/>
          <w:szCs w:val="28"/>
          <w:rtl w:val="true"/>
          <w:lang w:bidi="fa-IR"/>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عرفنا کان مؤمناً، و من أنکرنا کان کافراً</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کمال الدین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عَلَمٌ بین اللّٰه عزّ و جل و بین خلقه، من عرفه کان مؤمناً، و من أنکره کان کافراً</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المحاسن بسنده إلی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لحذیفة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حذیفة، إنّ حجّة اللّٰه بعدی علیک علی بن أبی طالب علیه السلام الکفر به الکفر باللّٰه، و الشرک به شرک باللّٰه، و الشکّ فیه شکٌّ فی اللّٰه، و الإلحاد فیه إلحاد فی اللّٰه، و الإنکار له إنکار للّٰه، و الإیمان به إیمان باللّٰه؛ لأنّه أخو رسول اللّٰه صلّی اللّٰه علیه و آله و وصیّه و إمام أُمّته و مولاهم، و هو حبل اللّٰه المتین و عروته الوثقی لا انفصام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 xml:space="preserve">إلی غیر ذلک ممّا لا یطیق مثلی الإحاطة بعشر معشاره، بل و لا بقطرة من بحاره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المستفاد من مجموع الأخبار و کلمات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بهذا الکفر المقابل للإیمان الذی هو أخص من الإسلام، و ترتّب النجاسة الظاهریّة علی الکفر بهذا المعنی ممّا لم یدلّ علیه دلیل؛ فإنّ عمدة دلیل نجاسة الکفّار إمّا الأخبار الدالّة علی نجاسة الفرق بالخصوص کالیهود و النصاری و غیرهم، و إمّا الإجماعات المحکیّة علی نجاسة کلّ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الأخبار، فلا تجدی فی المقام کما لا یخفی بل و کذا الإجماع؛ نظراً إلی تصریح نقلة الإجماع بإرادة الکافر فی مقابلة المسلم، و قد ثبت من الأخبار الکثیرة الواردة فی حلّ الجلود و الذبائح </w:t>
      </w:r>
      <w:r>
        <w:rPr>
          <w:rStyle w:val="FootnoteAnchor"/>
          <w:rtl w:val="true"/>
        </w:rPr>
        <w:footnoteReference w:id="708"/>
      </w:r>
      <w:r>
        <w:rPr>
          <w:rFonts w:ascii="IRNazanin" w:hAnsi="IRNazanin" w:eastAsia="IRNazanin"/>
          <w:color w:val="111111"/>
          <w:sz w:val="28"/>
          <w:sz w:val="28"/>
          <w:szCs w:val="28"/>
          <w:rtl w:val="true"/>
          <w:lang w:bidi="fa-IR"/>
        </w:rPr>
        <w:t xml:space="preserve">إذا کان فی سوق المسلمین </w:t>
      </w:r>
      <w:r>
        <w:rPr>
          <w:rStyle w:val="FootnoteAnchor"/>
          <w:rtl w:val="true"/>
        </w:rPr>
        <w:footnoteReference w:id="709"/>
      </w:r>
      <w:r>
        <w:rPr>
          <w:rFonts w:ascii="IRNazanin" w:hAnsi="IRNazanin" w:eastAsia="IRNazanin"/>
          <w:color w:val="111111"/>
          <w:sz w:val="28"/>
          <w:sz w:val="28"/>
          <w:szCs w:val="28"/>
          <w:rtl w:val="true"/>
          <w:lang w:bidi="fa-IR"/>
        </w:rPr>
        <w:t xml:space="preserve">أو فی أرض الإسلام أو کان الذابح دان بکلمة الإسلام </w:t>
      </w:r>
      <w:r>
        <w:rPr>
          <w:rStyle w:val="FootnoteAnchor"/>
          <w:rtl w:val="true"/>
        </w:rPr>
        <w:footnoteReference w:id="710"/>
      </w:r>
      <w:r>
        <w:rPr>
          <w:rFonts w:ascii="IRNazanin" w:hAnsi="IRNazanin" w:eastAsia="IRNazanin"/>
          <w:color w:val="111111"/>
          <w:sz w:val="28"/>
          <w:sz w:val="28"/>
          <w:szCs w:val="28"/>
          <w:rtl w:val="true"/>
          <w:lang w:bidi="fa-IR"/>
        </w:rPr>
        <w:t>و نحو ذلک صدق المسلم علیهم أو إطلاقه علیهم؛ لکونهم بمنزلة المسلم فی الطهارة و نحوها من الأحکام المتعلّقة بمعاشرتهم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عقد ثقة الإسلام فی الکافی باباً لذکر الأخبار الدالّة علی تغایر الإسلام و الإیمان </w:t>
      </w:r>
      <w:r>
        <w:rPr>
          <w:rStyle w:val="FootnoteAnchor"/>
          <w:rtl w:val="true"/>
        </w:rPr>
        <w:footnoteReference w:id="711"/>
      </w:r>
      <w:r>
        <w:rPr>
          <w:rFonts w:ascii="IRNazanin" w:hAnsi="IRNazanin" w:eastAsia="IRNazanin"/>
          <w:color w:val="111111"/>
          <w:sz w:val="28"/>
          <w:sz w:val="28"/>
          <w:szCs w:val="28"/>
          <w:rtl w:val="true"/>
          <w:lang w:bidi="fa-IR"/>
        </w:rPr>
        <w:t>، و لا یبعد دعوی تواترها المعنوی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أبی عمیر عن الحکم بن أیمن عن القاسم الصیرفی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یُحقن به الدم و تؤدّی به الأمانة و تستحلّ به الفروج، و الثواب علی الإیمان</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و بمضمونها حسنة فضیل بن</w:t>
      </w:r>
    </w:p>
    <w:p>
      <w:pPr>
        <w:pStyle w:val="BookText"/>
        <w:rPr/>
      </w:pPr>
      <w:r>
        <w:rPr>
          <w:rFonts w:ascii="IRNazanin" w:hAnsi="IRNazanin" w:eastAsia="IRNazanin"/>
          <w:color w:val="111111"/>
          <w:sz w:val="28"/>
          <w:sz w:val="28"/>
          <w:szCs w:val="28"/>
          <w:rtl w:val="true"/>
          <w:lang w:bidi="fa-IR"/>
        </w:rPr>
        <w:t xml:space="preserve">یسار </w:t>
      </w:r>
      <w:r>
        <w:rPr>
          <w:rStyle w:val="FootnoteAnchor"/>
          <w:rtl w:val="true"/>
        </w:rPr>
        <w:footnoteReference w:id="713"/>
      </w:r>
      <w:r>
        <w:rPr>
          <w:rFonts w:ascii="IRNazanin" w:hAnsi="IRNazanin" w:eastAsia="IRNazanin"/>
          <w:color w:val="111111"/>
          <w:sz w:val="28"/>
          <w:sz w:val="28"/>
          <w:szCs w:val="28"/>
          <w:rtl w:val="true"/>
          <w:lang w:bidi="fa-IR"/>
        </w:rPr>
        <w:t xml:space="preserve">، و صحیحی أبی الصباح الکنانی </w:t>
      </w:r>
      <w:r>
        <w:rPr>
          <w:rStyle w:val="FootnoteAnchor"/>
          <w:rtl w:val="true"/>
        </w:rPr>
        <w:footnoteReference w:id="714"/>
      </w:r>
      <w:r>
        <w:rPr>
          <w:rFonts w:ascii="IRNazanin" w:hAnsi="IRNazanin" w:eastAsia="IRNazanin"/>
          <w:color w:val="111111"/>
          <w:sz w:val="28"/>
          <w:sz w:val="28"/>
          <w:szCs w:val="28"/>
          <w:rtl w:val="true"/>
          <w:lang w:bidi="fa-IR"/>
        </w:rPr>
        <w:t xml:space="preserve">و حمران بن أعین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سفیان السمط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هو الظاهر الذی علیه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أنّ محمداً رسول اللّٰه صلّی اللّٰه علیه و آله و إقام الصلاة و إیتاء الزکاة و حجّ البیت و صیام شهر رمضان فهذا الإسلام، و الإیمان معرفة هذا الأمر مع هذا، فإنّ أقرّ بها و لم یعرف هذا الأمر کان مسلماً ضالّاً</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ابن محبوب عن جمیل بن صالح عن سماعة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الإیمان یشارک الإسلام، و الإسلام لا یشارک الإیمان،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فصفهما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التصدیق برسول اللّٰه صلّی اللّٰه علیه و آله به حقنت الدماء، و علیه جرت المناکح و المواریث، و علی ظاهره جماعة الناس،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و ما یثبت فی القلوب من صفة الإیمان و ما ظهر من العمل</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حمران بن أعین عن أبی جعفر علیه 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استقرّ فی القلب و أُفضی به إلی اللّٰه تعالی و صدّقه العمل بطاعة اللّٰه و التسلیم لأمره، 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من قولٍ أو فعل، و هو الذی علیه جماعة الناس من الفرق کلّها</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زرارة عن أبی جعفر علیه السلام المرویّة عن باب ارتداد الصحابة، و فیها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لم یصنع ذلک و دخل فی ما دخل فیه الناس علی غیر علمٍ و لا عداوةٍ لأمیر المؤمنین علیه السلام فإنّ ذلک لا یکفّره و لا یخرجه عن الإسلام إلی الکفر</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ممّا یدلّ علی أنّ المخالفین منتحلوا الإسلام </w:t>
      </w:r>
      <w:r>
        <w:rPr>
          <w:rStyle w:val="FootnoteAnchor"/>
          <w:rtl w:val="true"/>
        </w:rPr>
        <w:footnoteReference w:id="720"/>
      </w:r>
      <w:r>
        <w:rPr>
          <w:rFonts w:ascii="IRNazanin" w:hAnsi="IRNazanin" w:eastAsia="IRNazanin"/>
          <w:color w:val="111111"/>
          <w:sz w:val="28"/>
          <w:sz w:val="28"/>
          <w:szCs w:val="28"/>
          <w:rtl w:val="true"/>
          <w:lang w:bidi="fa-IR"/>
        </w:rPr>
        <w:t>لعدم أخذ الولایة فی مفهومه کالنبوّة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یبق فی المقام إلّا ما ذکره فی الحدائق </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کونهم نصّاباً، و قد أجمع علی نجاسة 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دعوی کون الولایة من ضروریّات الدین، کالصلاة و الزکاة و الصوم و الحج، فمستحل ترکها کافر، کأخواته التی هی أهمّها فی نظر شارع الإسلام، کما صرّح به أبو جعفر علیه السلام فی روایة الفضیل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الإسلام علی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یناد بشی‌ءٍ کما نودی بالولایة</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یرد علی الاولی بعد تسلیم کونهم نصّاباً، و الإغماض عن الخدشة فیما یجی‌ء من الروایات الدالّة علی ذلک </w:t>
      </w:r>
      <w:r>
        <w:rPr>
          <w:rStyle w:val="FootnoteAnchor"/>
          <w:rtl w:val="true"/>
        </w:rPr>
        <w:footnoteReference w:id="723"/>
      </w:r>
      <w:r>
        <w:rPr>
          <w:rFonts w:ascii="IRNazanin" w:hAnsi="IRNazanin" w:eastAsia="IRNazanin"/>
          <w:color w:val="111111"/>
          <w:sz w:val="28"/>
          <w:sz w:val="28"/>
          <w:szCs w:val="28"/>
          <w:rtl w:val="true"/>
          <w:lang w:bidi="fa-IR"/>
        </w:rPr>
        <w:t xml:space="preserve">، و سیجی‌ء أنّ الصدوق نسب ذلک إلی توهّم الجهّال </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العمدة فی دلیل نجاسة الناصب إمّا روایات نجاسة</w:t>
      </w:r>
    </w:p>
    <w:p>
      <w:pPr>
        <w:pStyle w:val="BookText"/>
        <w:rPr/>
      </w:pPr>
      <w:r>
        <w:rPr>
          <w:rFonts w:ascii="IRNazanin" w:hAnsi="IRNazanin" w:eastAsia="IRNazanin"/>
          <w:color w:val="111111"/>
          <w:sz w:val="28"/>
          <w:sz w:val="28"/>
          <w:szCs w:val="28"/>
          <w:rtl w:val="true"/>
          <w:lang w:bidi="fa-IR"/>
        </w:rPr>
        <w:t xml:space="preserve">الناصب الآتیة و ستعرف اختصاصها بالناصب لأهل البیت علیهم السلام </w:t>
      </w:r>
      <w:r>
        <w:rPr>
          <w:rStyle w:val="FootnoteAnchor"/>
          <w:rtl w:val="true"/>
        </w:rPr>
        <w:footnoteReference w:id="725"/>
      </w:r>
      <w:r>
        <w:rPr>
          <w:rFonts w:ascii="IRNazanin" w:hAnsi="IRNazanin" w:eastAsia="IRNazanin"/>
          <w:color w:val="111111"/>
          <w:sz w:val="28"/>
          <w:sz w:val="28"/>
          <w:szCs w:val="28"/>
          <w:rtl w:val="true"/>
          <w:lang w:bidi="fa-IR"/>
        </w:rPr>
        <w:t>، و إمّا الإجماع المفقود هنا، و إمّا إنکاره للضروری، و المسلّم أنّ عداوة أمیر المؤمنین علیه السلام أو أحد الأئمة علیهم السلام مخالف لضروریّ الدین، و أمّا ولایتهم فدعوی ضروریّتها ترجع إلی الدعوی الثانیة من دعوی صاحب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منع أنّ الولایة من ضروریّات الدین مطلقاً؛ إذ لا یستفاد ذلک من تلک الأخبار الدالّة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من أهمیّتها فی نظر الشارع صیرورتها ضروریّة، فربّما یتحقّق فی الأهم من دواعی الاستتار و موانع الانتشار ما لا یتحقق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نضایق من کونها عند بعضٍ من الضروریّات، کمن ثبت عنده ذلک بالتواتر أو بالشیاع، و لا ینبغی الإشکال فی کفره، و لعلّه المراد بدافعی النص فی عبارتی فُصّ الیاقوت و شرحه المتقدّمین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أنّا لو سلّمنا کونها ضروریّةً مطلقاً، لکن الأخبار المتقدّمة المذکورة الدالّة علی أنّ جماعة الناس بظاهر الإسلام، و یحلّ مناکحهم و موارثهم مخصِّصٌ لعموم ما دلّ علی کفر منکر الضروری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فی کفره هو استلزامه لتکذیب النبی صلّی اللّٰه علیه و آله علی أحد القولین فی وجه کفر منکر الضروری؛ إذ لا یبعد الحکم بطهارة بعض من کذّب النبی صلّی اللّٰه علیه و آله إذا لم یظهر منه ذلک، بأن یدّعی أنّ النبی صلّی اللّٰه علیه و آله لم یجی‌ء به، لا أنّه صلّی اللّٰه علیه و آله کاذب فیما جاء به، و إن استلزم إنکاره لذلک باطناً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یرفع هذا الاستبعاد أنّ الظاهر من کثیرٍ من الأخبار المتقدّمة و غیرها ممّا ورد فی تغایر الإسلام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إظهار الشهادتین و فعل الصلاة و أخواتها کافٍ فی الإسلام، بل فی 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بدیهیّات المذهب أنّ النبی صلّی اللّٰه علیه و آله کان یساور المنافقین و ما کان یجتنب منهم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المعاملة مع المنافقین المبطنین للکفر المظهرین للإسلام، کان مختصّاً بصدر الإسلام؛ و من هنا یضعّف ما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الاستدلال علی طهارة العامّة بعدم اجتناب النبی صلّی اللّٰه علیه و آله لفلان و فلان و فلانة و فلانة </w:t>
      </w:r>
      <w:r>
        <w:rPr>
          <w:rStyle w:val="FootnoteAnchor"/>
          <w:rtl w:val="true"/>
        </w:rPr>
        <w:footnoteReference w:id="728"/>
      </w:r>
      <w:r>
        <w:rPr>
          <w:rFonts w:ascii="IRNazanin" w:hAnsi="IRNazanin" w:eastAsia="IRNazanin"/>
          <w:color w:val="111111"/>
          <w:sz w:val="28"/>
          <w:sz w:val="28"/>
          <w:szCs w:val="28"/>
          <w:rtl w:val="true"/>
          <w:lang w:bidi="fa-IR"/>
        </w:rPr>
        <w:t>فإنّ هذا لو تمّ لدلّ علی عدم نجاسة النواصب، فلا محیص عن حملها علی مصلحةٍ اقتضت عدم إیجاب التحرّز عنهم و عن أمثالهم من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الحکم بطهارة منکر الضروری و إن رجع إنکاره إلی کذب النبی صلّی اللّٰه علیه و آله ما لم یصرّح بالتکذیب، و إن سلّمنا أنّه خلاف القاعدة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کفر منکر الضروری و عدم کفایة مجرّد إنکار مجی‌ء رسول اللّٰه صلّی اللّٰه علیه و آله إذا لم یحتمل فی حقّه الشبهة، إلّا أنّه لا استبعاد فیه بعد ورود الدلیل علی إسلام هؤلاء المنکرین لهذا الضروری الخاص</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کفایة إظهار الشهادتین فی أحکام الإسلام، مؤیّدٌ لرفع الاستبعاد و إن خصّصناه ببدو الإسلام و زمان اقتضاء المصلحة لتکثیر سواد</w:t>
      </w:r>
    </w:p>
    <w:p>
      <w:pPr>
        <w:pStyle w:val="BookText"/>
        <w:rPr/>
      </w:pPr>
      <w:r>
        <w:rPr>
          <w:rFonts w:ascii="IRNazanin" w:hAnsi="IRNazanin" w:eastAsia="IRNazanin"/>
          <w:color w:val="111111"/>
          <w:sz w:val="28"/>
          <w:sz w:val="28"/>
          <w:szCs w:val="28"/>
          <w:rtl w:val="true"/>
          <w:lang w:bidi="fa-IR"/>
        </w:rPr>
        <w:t>المسلمین و الغلبة بهم علی أهل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فالحکم بنجاسة المخالف مطلقاً کما عن السیّد </w:t>
      </w:r>
      <w:r>
        <w:rPr>
          <w:rStyle w:val="FootnoteAnchor"/>
          <w:rtl w:val="true"/>
        </w:rPr>
        <w:footnoteReference w:id="729"/>
      </w:r>
      <w:r>
        <w:rPr>
          <w:rFonts w:ascii="Amiri" w:hAnsi="Amiri" w:eastAsia="Amiri" w:cs="Amiri"/>
          <w:color w:val="111111"/>
          <w:sz w:val="28"/>
          <w:sz w:val="28"/>
          <w:szCs w:val="28"/>
          <w:rtl w:val="true"/>
          <w:lang w:bidi="ar-SA"/>
        </w:rPr>
        <w:t xml:space="preserve">و جماعة </w:t>
      </w:r>
      <w:r>
        <w:rPr>
          <w:rStyle w:val="FootnoteAnchor"/>
          <w:rtl w:val="true"/>
        </w:rPr>
        <w:footnoteReference w:id="730"/>
      </w:r>
      <w:r>
        <w:rPr>
          <w:rFonts w:ascii="IRNazanin" w:hAnsi="IRNazanin" w:eastAsia="IRNazanin"/>
          <w:color w:val="111111"/>
          <w:sz w:val="28"/>
          <w:sz w:val="28"/>
          <w:szCs w:val="28"/>
          <w:rtl w:val="true"/>
          <w:lang w:bidi="fa-IR"/>
        </w:rPr>
        <w:t xml:space="preserve">، أو ما عدا المستضعف منهم کما عن الحلیّ </w:t>
      </w:r>
      <w:r>
        <w:rPr>
          <w:rStyle w:val="FootnoteAnchor"/>
          <w:rtl w:val="true"/>
        </w:rPr>
        <w:footnoteReference w:id="731"/>
      </w:r>
      <w:r>
        <w:rPr>
          <w:rFonts w:ascii="IRNazanin" w:hAnsi="IRNazanin" w:eastAsia="IRNazanin"/>
          <w:color w:val="111111"/>
          <w:sz w:val="28"/>
          <w:sz w:val="28"/>
          <w:szCs w:val="28"/>
          <w:rtl w:val="true"/>
          <w:lang w:bidi="fa-IR"/>
        </w:rPr>
        <w:t>،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یتوهّم من الحکم بطهارتهم الحکم بثبوت مزیّةٍ لهم من حیث الرتبة علی سائر الکفّار، کما توهّمه بعضٌ، فطعن علی المتأخّرین بما طعن، و إنّما نحکم بذلک کما ذکره کاشف اللثام استهزاءً بهم و دفعاً للحرج عن المؤمنین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سائر فرق الشیعة غیر الاثنی عشریّة فی حکمهم، و إن ورد فیهم عموماً أو فی خصوص بعضهم ما یدلّ علی کفرهم أو نصبهم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روایة عبد اللّٰه بن المغیرة المحکیّة عن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ابتلیت برجلین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ناصبٌ و الآخر </w:t>
      </w:r>
      <w:r>
        <w:rPr>
          <w:rStyle w:val="FootnoteAnchor"/>
          <w:rtl w:val="true"/>
        </w:rPr>
        <w:footnoteReference w:id="733"/>
      </w:r>
      <w:r>
        <w:rPr>
          <w:rFonts w:ascii="IRNazanin" w:hAnsi="IRNazanin" w:eastAsia="IRNazanin"/>
          <w:color w:val="111111"/>
          <w:sz w:val="28"/>
          <w:sz w:val="28"/>
          <w:szCs w:val="28"/>
          <w:rtl w:val="true"/>
          <w:lang w:bidi="fa-IR"/>
        </w:rPr>
        <w:t>زیدیٌّ، و لا بدّ من معاشرتهما، فمن أُعاشر؟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سیّان، من کذب بآیةٍ من آیات اللّٰه تعالی فقد نبذ الإسلام وراء ظهره، و هو المکذِّب لجمیع القرآن و الأنبیاء المرسلین،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نَصَبَ لک و هذا الزیدی نَصَبَ لنا</w:t>
      </w:r>
      <w:r>
        <w:rPr>
          <w:rFonts w:eastAsia="IRNazanin" w:cs="IRNazanin"/>
          <w:color w:val="111111"/>
          <w:sz w:val="28"/>
          <w:szCs w:val="28"/>
          <w:rtl w:val="true"/>
          <w:lang w:bidi="fa-IR"/>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روایة محمّد بن مطهّر الواردة فی الواقفة، و فیها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إلی اللّٰه منهم بری‌ء، فلا تولّهم و لا تعد مرضاهم و لا تشهد جنائزهم وَ لٰا تُصَلِّ عَلیٰ أَحَدٍ مِنْهُمْ مٰاتَ أَبَداً، سواء من جحد إماماً من اللّٰه تعالی أو زاد إماماً لیست إمامته من اللّٰه و جحد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 إنّ الجاحد أمر آخرنا جاحدٌ أمر أوّلنا، و الزائد فینا کالناقص الجاحد لأمرنا</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ابن أبی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یکلّمهم اللّٰه یوم القیامة و لا یزکّیهم و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ادّعی إمامةً من اللّٰه لیست له، و من جحد إماماً إمامته من اللّٰه، و من زعم أنّ لهما فی الإسلام نصیباً</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ما دلّ علی أنّ الناصب هو الذی ینصب للاثنی عشریّة </w:t>
      </w:r>
      <w:r>
        <w:rPr>
          <w:rStyle w:val="FootnoteAnchor"/>
          <w:rtl w:val="true"/>
        </w:rPr>
        <w:footnoteReference w:id="737"/>
      </w:r>
      <w:r>
        <w:rPr>
          <w:rFonts w:ascii="IRNazanin" w:hAnsi="IRNazanin" w:eastAsia="IRNazanin"/>
          <w:color w:val="111111"/>
          <w:sz w:val="28"/>
          <w:sz w:val="28"/>
          <w:szCs w:val="28"/>
          <w:rtl w:val="true"/>
          <w:lang w:bidi="fa-IR"/>
        </w:rPr>
        <w:t>لأنّهم کذلک؛ فإنّ سائر فرق الشیعة کالمخالفین ینصبون للاثنی عشریّة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أخبارٌ کثیرة فی خصوص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النصّاب </w:t>
      </w:r>
      <w:r>
        <w:rPr>
          <w:rStyle w:val="FootnoteAnchor"/>
          <w:rtl w:val="true"/>
        </w:rPr>
        <w:footnoteReference w:id="738"/>
      </w:r>
      <w:r>
        <w:rPr>
          <w:rFonts w:ascii="IRNazanin" w:hAnsi="IRNazanin" w:eastAsia="IRNazanin"/>
          <w:color w:val="111111"/>
          <w:sz w:val="28"/>
          <w:sz w:val="28"/>
          <w:szCs w:val="28"/>
          <w:rtl w:val="true"/>
          <w:lang w:bidi="fa-IR"/>
        </w:rPr>
        <w:t xml:space="preserve">، و فی بعض الأخبار عطف الواقفة علیهم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لکنّک خبیر بأنّ ظاهر تلک الأخبار کون هذه الفرق بمنزلة المخالفین، و لا ینفعهم القول بولایة أمیر المؤمنین علیه السلام فإطلاق الکفر علیهم باعتبار</w:t>
      </w:r>
    </w:p>
    <w:p>
      <w:pPr>
        <w:pStyle w:val="BookText"/>
        <w:rPr/>
      </w:pPr>
      <w:r>
        <w:rPr>
          <w:rFonts w:ascii="IRNazanin" w:hAnsi="IRNazanin" w:eastAsia="IRNazanin"/>
          <w:color w:val="111111"/>
          <w:sz w:val="28"/>
          <w:sz w:val="28"/>
          <w:szCs w:val="28"/>
          <w:rtl w:val="true"/>
          <w:lang w:bidi="fa-IR"/>
        </w:rPr>
        <w:t xml:space="preserve">إرادة ما یقابل الإیمان، لا ما یقابل الإسلام الذی لا خلاف فی نجاسته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أظهر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جحد ما یعلم ثبوته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النواصب، و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فی نجاسة خصوص الفریقین کما عن ظاهر جماعة </w:t>
      </w:r>
      <w:r>
        <w:rPr>
          <w:rStyle w:val="FootnoteAnchor"/>
          <w:rtl w:val="true"/>
        </w:rPr>
        <w:footnoteReference w:id="740"/>
      </w:r>
      <w:r>
        <w:rPr>
          <w:rFonts w:ascii="IRNazanin" w:hAnsi="IRNazanin" w:eastAsia="IRNazanin"/>
          <w:color w:val="111111"/>
          <w:sz w:val="28"/>
          <w:sz w:val="28"/>
          <w:szCs w:val="28"/>
          <w:rtl w:val="true"/>
          <w:lang w:bidi="fa-IR"/>
        </w:rPr>
        <w:t>بل فی الکلیّة المذکورة، و هی نجاسة کلّ منکرٍ لضروریّ الدین، بناءً علی عدم الخلاف فی کفره،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من أنکر ضروریّ الدین یکون خارجاً عنه عند الفقهاء إذا لم یحتمل فیها الشبهة، إلّا أن یکون قریب العهد بالإسلام أو ساکناً فی بلاد الکفّار معیشاً فیها بحیث أمکن فی شأنه عروض الشبهة </w:t>
      </w:r>
      <w:r>
        <w:rPr>
          <w:rStyle w:val="FootnoteAnchor"/>
          <w:rtl w:val="true"/>
        </w:rPr>
        <w:footnoteReference w:id="74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یتأمّل فی تحقّق الإجماع علی نجاسة کلّ کافر؛ بناءً علی انصراف معاقد الإجماع إلی غیر المرتد، فیقوی لذلک طهارته، و هو ضعیف جدّاً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هنا کلاماً فی أنّ إنکار الضروری سببٌ مستقلٌّ فی النجاسة کما نسبه فی مفتاح الکرامة إلی ظاهر الأصحاب، و حکی النسبة عن أُستاده </w:t>
      </w:r>
      <w:r>
        <w:rPr>
          <w:rStyle w:val="FootnoteAnchor"/>
          <w:rtl w:val="true"/>
        </w:rPr>
        <w:footnoteReference w:id="742"/>
      </w:r>
      <w:r>
        <w:rPr>
          <w:rFonts w:ascii="IRNazanin" w:hAnsi="IRNazanin" w:eastAsia="IRNazanin"/>
          <w:color w:val="111111"/>
          <w:sz w:val="28"/>
          <w:sz w:val="28"/>
          <w:szCs w:val="28"/>
          <w:rtl w:val="true"/>
          <w:lang w:bidi="fa-IR"/>
        </w:rPr>
        <w:t xml:space="preserve">، و تبعه فی النسبة شیخنا المعاصر فی شرحه علی الشرائع </w:t>
      </w:r>
      <w:r>
        <w:rPr>
          <w:rStyle w:val="FootnoteAnchor"/>
          <w:rtl w:val="true"/>
        </w:rPr>
        <w:footnoteReference w:id="743"/>
      </w:r>
      <w:r>
        <w:rPr>
          <w:rFonts w:ascii="IRNazanin" w:hAnsi="IRNazanin" w:eastAsia="IRNazanin"/>
          <w:color w:val="111111"/>
          <w:sz w:val="28"/>
          <w:sz w:val="28"/>
          <w:szCs w:val="28"/>
          <w:rtl w:val="true"/>
          <w:lang w:bidi="fa-IR"/>
        </w:rPr>
        <w:t>أو من جهة رجوعه إلی إنکار صدق النبی صلّی اللّٰه علیه و آله کما یظهر من عبارة الأردبیلی المحکیّة عنه،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الضروری الذی یکفَّر منکره الذی ثبت عنده یقیناً</w:t>
      </w:r>
    </w:p>
    <w:p>
      <w:pPr>
        <w:pStyle w:val="BookText"/>
        <w:rPr/>
      </w:pPr>
      <w:r>
        <w:rPr>
          <w:rFonts w:ascii="IRNazanin" w:hAnsi="IRNazanin" w:eastAsia="IRNazanin"/>
          <w:color w:val="111111"/>
          <w:sz w:val="28"/>
          <w:sz w:val="28"/>
          <w:szCs w:val="28"/>
          <w:rtl w:val="true"/>
          <w:lang w:bidi="fa-IR"/>
        </w:rPr>
        <w:t xml:space="preserve">کونه من الدین و لو بالبرهان و لو لم یکن مجمعاً علیه؛ إذ الظاهر أنّ دلیل کفره هو إنکار الشریعة و إنکار صدق النبی صلّی اللّٰه علیه و آله فی ذلک مع ثبوته یقیناً عنده، و لیس کلّ من أنکر مجمعاً علیه یکفَّر، بل المدار علی حصول العلم و الإنکار و عدمه، إلّا أنّه لمّا کان حصوله فی الضروری غالباً، جعلوا ذلک مناطاً و حکموا به، فالمجمع علیه ما لم یکن ضروریّاً لم یؤثّر، و صرّح به التفتازانی فی شرح الشرح، مع أنّه ظاهر </w:t>
      </w:r>
      <w:r>
        <w:rPr>
          <w:rStyle w:val="FootnoteAnchor"/>
          <w:rtl w:val="true"/>
        </w:rPr>
        <w:footnoteReference w:id="74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مراده ما ذکره التفتازانی فی مسألة مثل المجمع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خفاء فی أنّه لا یتصوّر من مسلمٍ القول بأنّ إنکار ما علم کونه من الدین بالضرورة لا یوجب الکفریّة، انتهی؛ ثمّ حکی عن بعض العامّة و هو صاحب المنتهی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القطعی فکفّر به بعض و أنکره بعض، و الظاهر أنّ نحو العبادات الخمس و التوحید ممّا لا یختلف فی حکمها،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صریح فی أنّ الخلاف فی کفر منکر الإجماع إنّما هو فی غیر الضروریات </w:t>
      </w:r>
      <w:r>
        <w:rPr>
          <w:rStyle w:val="FootnoteAnchor"/>
          <w:rtl w:val="true"/>
        </w:rPr>
        <w:footnoteReference w:id="745"/>
      </w:r>
      <w:r>
        <w:rPr>
          <w:rFonts w:ascii="IRNazanin" w:hAnsi="IRNazanin" w:eastAsia="IRNazanin"/>
          <w:color w:val="111111"/>
          <w:sz w:val="28"/>
          <w:sz w:val="28"/>
          <w:szCs w:val="28"/>
          <w:rtl w:val="true"/>
          <w:lang w:bidi="fa-IR"/>
        </w:rPr>
        <w:t>، انتهی کلام التفتازانی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نحو ما ذکره المحقّق الأردبیلی عن ظاهر الذخیرة </w:t>
      </w:r>
      <w:r>
        <w:rPr>
          <w:rStyle w:val="FootnoteAnchor"/>
          <w:rtl w:val="true"/>
        </w:rPr>
        <w:footnoteReference w:id="746"/>
      </w:r>
      <w:r>
        <w:rPr>
          <w:rFonts w:ascii="Amiri" w:hAnsi="Amiri" w:eastAsia="Amiri" w:cs="Amiri"/>
          <w:color w:val="111111"/>
          <w:sz w:val="28"/>
          <w:sz w:val="28"/>
          <w:szCs w:val="28"/>
          <w:rtl w:val="true"/>
          <w:lang w:bidi="ar-SA"/>
        </w:rPr>
        <w:t xml:space="preserve">، و هو ظاهر شارح الروضة </w:t>
      </w:r>
      <w:r>
        <w:rPr>
          <w:rStyle w:val="FootnoteAnchor"/>
          <w:rtl w:val="true"/>
        </w:rPr>
        <w:footnoteReference w:id="747"/>
      </w:r>
      <w:r>
        <w:rPr>
          <w:rFonts w:ascii="IRNazanin" w:hAnsi="IRNazanin" w:eastAsia="IRNazanin"/>
          <w:color w:val="111111"/>
          <w:sz w:val="28"/>
          <w:sz w:val="28"/>
          <w:szCs w:val="28"/>
          <w:rtl w:val="true"/>
          <w:lang w:bidi="fa-IR"/>
        </w:rPr>
        <w:t>و محشّیها جمال الملّة و الدین الخوانساری، بل صرّح أوّلهما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یعتبر فی منکر الضروری علمه بضروریّته </w:t>
      </w:r>
      <w:r>
        <w:rPr>
          <w:rStyle w:val="FootnoteAnchor"/>
          <w:rtl w:val="true"/>
        </w:rPr>
        <w:footnoteReference w:id="7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المحشّی المذکور قدّس سرّه فی وجه عدم التکفیر مع الإنکار لشبهة،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الحکم بکفر منکر الضروری کالصلاة، انّما هو باعتبار أنّ من نشأ بین المسلمین و عاشرهم یعلم بدیهةً وجوب الصلاة فی شرعنا و إخبار نبیّنا صلّی اللّٰه علیه و آله فإنکاره لا یحتمل أن یکون باعتبار إنکار أخبار النبی صلّی اللّٰه علیه و آله و سلم به، بل لیس منشؤه إلّا عدم الإیمان و التصدیق بالنبی صلّی اللّٰه علیه و آله و إن کان یظهر الإیمان و یحکم بحسب الظاهر أنّ النبی صلّی اللّٰه علیه و آله لم یحکم بوجوبه؛ فإنّ ذلک منه لتقیّةٍ و نحوها، و لیس منشأ الإنکار إلّا ذلک، و إنّما یتمشّی ذلک مع عدم الشبهة؛ إذ من کان قریب العهد و الصحبة بالإسلام أو المسلمین و نشأ فی بلاد الکفر، فلا اطلاع منه علی عقائد المسلمین، فربّما خفی علیه بعض ضروریّات المسلمین و إخبار النبی صلّی اللّٰه علیه و آله فلو أنکره لم یعلم من إنکاره إنکار النبی صلّی اللّٰه علیه و آله فتفطّن </w:t>
      </w:r>
      <w:r>
        <w:rPr>
          <w:rStyle w:val="FootnoteAnchor"/>
          <w:rtl w:val="true"/>
        </w:rPr>
        <w:footnoteReference w:id="74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صرّح بذلک أیضاً المحقّق القمی قدّس سرّه فی القوانین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اللازم علی هذا أن لا یکفّر من أنکر بعض الضروریّات لجهلٍ مرکّبٍ نشأ من تقصیره فی طلب الحقّ و الاقتصار علی تقلید أسلافه فی أنّ ما هم علیه ممّا جاء به النبی صلّی اللّٰه علیه و آله عموماً أو خصوصاً، مع أنّ کثیراً من الخوارج و النواصب المتأخّرین من أسلافهم علی هذا الوجه، نراهم یتقرّبون إلی اللّٰه و إلی رسوله صلّی اللّٰه علیه و آله بالبراءة من أمیر المؤمنین صلوات اللّٰه و سلامه علیه و علی أولاده الطاهرین مع أنّ الأصحاب یتمسّکون فی کفر الفرقتین بأنّهم منکرون للضروری، و کذلک کلّ ضروریٍّ صار إنکاره دیناً 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بدّ أن یکون الکفر مختصّاً بالطبقة الاولی من منکریه، العالمین بأنّه ممّا جاء به النبی صلّی اللّٰه علیه و آله دون المتأخّر الذی نشأ علی هذا الاعتقاد من أوّل عمره و إن کان متفطّناً عالماً بأنّ جماعةً من الناس بل أکثرهم علی خلاف هذا، بل و إن صار تفطّنه هذا موجباً لشکّه فی صحّة دینه؛ فإنّ الشاک فی الضروری إنّما یکفّر علی هذا القول إذا علم الشاکّ بأنّه ممّا جاء به النبی صلّی اللّٰه علیه و آله حتّی یرجع شکّه إلی الشک فی صدق النبی صلّی اللّٰه علیه و آله و المفروض أنّ الرجل شاک فی أنّ النبی صلّی اللّٰه علیه و آله جاء به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کلّ فردٍ من أفراد الخوارج و النواصب علموا بأنّ من دین النبی صلّی اللّٰه علیه و آله مودّة ذی القربی، و یکذّبونه فی دعوی أنّه من اللّٰه، خلاف المحسوس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قلنا بما نسبوه إلی ظاهر الأصحاب </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منکر الضروری کافر لا من حیث إنّه مکذّبٌ للنبی صلّی اللّٰه علیه و آله لم یرد علیه ما ذکرنا؛ إذ إنکار الضروری یصیر سبباً مقابلًا للإقرار بالرسالة و التصدیق بما جاء به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یرد علی هذا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حینئذٍ لما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إخراج صورة الشبهة؛ فإنّ إنکار أُصول الدین کالإلٰهیّة و الرسالة لا فرق فی تکفیر منکرها بین ما کان للجحد مع العلم أو 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الأخبار الدالّة علی بیان الإسلام و تحدیده خالٍ عن اعتبار التصدیق بخصوص الضروریّات من حیث إنّها صارت ضروریّة، و إن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الإسلام بنی علی خمس، إلّا</w:t>
      </w:r>
    </w:p>
    <w:p>
      <w:pPr>
        <w:pStyle w:val="BookText"/>
        <w:rPr/>
      </w:pPr>
      <w:r>
        <w:rPr>
          <w:rFonts w:ascii="IRNazanin" w:hAnsi="IRNazanin" w:eastAsia="IRNazanin"/>
          <w:color w:val="111111"/>
          <w:sz w:val="28"/>
          <w:sz w:val="28"/>
          <w:szCs w:val="28"/>
          <w:rtl w:val="true"/>
          <w:lang w:bidi="fa-IR"/>
        </w:rPr>
        <w:t>أنّ المراد ذوات هذه الخمس، لا من حیث صیرورتها ضروریّات، حتّی یکون کلّ ما صارت کذلک یکون مبنی للإسلام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یمکن أن یقال فی توضیح المرام فی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شکّ فی أنّ الإسلام عرفاً و شرعاً عبارة عن التدیّن بهذا الدین الخاصّ الذی یراد منه مجموع حدود شرعیّة منجّزة علی العباد، کما قال اللّٰه تعالی إِنَّ الدِّینَ عِنْدَ اللّٰهِ الْإِسْلٰامُ </w:t>
      </w:r>
      <w:r>
        <w:rPr>
          <w:rStyle w:val="FootnoteAnchor"/>
          <w:rtl w:val="true"/>
        </w:rPr>
        <w:footnoteReference w:id="752"/>
      </w:r>
      <w:r>
        <w:rPr>
          <w:rFonts w:ascii="IRNazanin" w:hAnsi="IRNazanin" w:eastAsia="IRNazanin"/>
          <w:color w:val="111111"/>
          <w:sz w:val="28"/>
          <w:sz w:val="28"/>
          <w:szCs w:val="28"/>
          <w:rtl w:val="true"/>
          <w:lang w:bidi="fa-IR"/>
        </w:rPr>
        <w:t>فمن خرج عن ذلک و لم یتدیّن به کان کافراً غیر مسلم، سواء لم یتدیّن به أصلًا أو تدیّن ببعضه دون بعضه، أیَّ بعضٍ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صحیحة أبی الصباح الکنانی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 عندنا قوماً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أن لا إله إلّا اللّٰه و أنّ محمّداً رسول اللّٰه صلّی اللّٰه علیه و آله فهو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یُضربون الحدود و لِمَ تُقطع أیدیهم </w:t>
      </w:r>
      <w:r>
        <w:rPr>
          <w:rStyle w:val="FootnoteAnchor"/>
          <w:rtl w:val="true"/>
        </w:rPr>
        <w:footnoteReference w:id="753"/>
      </w:r>
      <w:r>
        <w:rPr>
          <w:rFonts w:ascii="Amiri" w:hAnsi="Amiri" w:eastAsia="Amiri" w:cs="Amiri"/>
          <w:color w:val="111111"/>
          <w:sz w:val="28"/>
          <w:sz w:val="28"/>
          <w:szCs w:val="28"/>
          <w:rtl w:val="true"/>
          <w:lang w:bidi="ar-SA"/>
        </w:rPr>
        <w:t xml:space="preserve">؟ و ما خلق اللّٰه عزّ و جل خلقاً أکرم علی اللّٰه عزّ و جل من المؤمنین، و إنّ الملائکة خدّام المؤمنین و إنّ جوار </w:t>
      </w:r>
      <w:r>
        <w:rPr>
          <w:rStyle w:val="FootnoteAnchor"/>
          <w:rtl w:val="true"/>
        </w:rPr>
        <w:footnoteReference w:id="754"/>
      </w:r>
      <w:r>
        <w:rPr>
          <w:rFonts w:ascii="IRNazanin" w:hAnsi="IRNazanin" w:eastAsia="IRNazanin"/>
          <w:color w:val="111111"/>
          <w:sz w:val="28"/>
          <w:sz w:val="28"/>
          <w:szCs w:val="28"/>
          <w:rtl w:val="true"/>
          <w:lang w:bidi="fa-IR"/>
        </w:rPr>
        <w:t>اللّٰه للمؤمنین و إنّ الجنّة للمؤمنین، و إنّ الحور العین للمؤمنین،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من جحد الفرائض کان کافراً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فهذه الروایة واضحة الدلالة علی أنّ التشرّع بالفرائض مأخوذٌ فی الإیمان المرادف للإسلام، کما هو ظاهر السؤال و الجواب، کما لا یخفی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مکاتبة عبد الرحیم الصحیحة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یخرجه إلی الکفر إلّا</w:t>
      </w:r>
    </w:p>
    <w:p>
      <w:pPr>
        <w:pStyle w:val="BookText"/>
        <w:rPr/>
      </w:pPr>
      <w:r>
        <w:rPr>
          <w:rFonts w:ascii="IRNazanin" w:hAnsi="IRNazanin" w:eastAsia="IRNazanin"/>
          <w:color w:val="111111"/>
          <w:sz w:val="28"/>
          <w:sz w:val="28"/>
          <w:szCs w:val="28"/>
          <w:rtl w:val="true"/>
          <w:lang w:bidi="fa-IR"/>
        </w:rPr>
        <w:t>الجحود و الاستحلال، بأن یقول للحلال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حرام، و للحرام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حلال، و دان بذلک، فعندها یکون خارجاً من الإسلام و الإیمان داخلًا فی الکفر</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یرتکب الکبیرة من الکبائر فیموت، هل یخرجه ذلک عن الإسلام؟ و إن عذّب کان عذابه کعذاب المشرکین، أم له مدّة و انقطاع؟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ارتکب کبیرةً من الکبائر فزعم أنّها حلال أخرجه ذلک عن الإسلام و عذّب أشدّ العذاب، و إن کان معترفاً أنّه أذنب و مات علیه أخرجه من الإیمان و لم یخرجه من الإسلام و کان عذابه أهون من عذاب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 xml:space="preserve">و نحوها روایة مسعدة بن صدقة المرویّة فی الکافی فی باب الکبائر </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الإیمان الکامل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یزید </w:t>
      </w:r>
      <w:r>
        <w:rPr>
          <w:rStyle w:val="FootnoteAnchor"/>
          <w:rtl w:val="true"/>
        </w:rPr>
        <w:footnoteReference w:id="759"/>
      </w:r>
      <w:r>
        <w:rPr>
          <w:rFonts w:ascii="IRNazanin" w:hAnsi="IRNazanin" w:eastAsia="IRNazanin"/>
          <w:color w:val="111111"/>
          <w:sz w:val="28"/>
          <w:sz w:val="28"/>
          <w:szCs w:val="28"/>
          <w:rtl w:val="true"/>
          <w:lang w:bidi="fa-IR"/>
        </w:rPr>
        <w:t>العجلی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أدنی ما یکون به العبد مشرکاً؟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للنواة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حصاة، و للحصاة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نواة، ثمّ دان به</w:t>
      </w:r>
      <w:r>
        <w:rPr>
          <w:rFonts w:eastAsia="IRNazanin" w:cs="IRNazanin"/>
          <w:color w:val="111111"/>
          <w:sz w:val="28"/>
          <w:szCs w:val="28"/>
          <w:rtl w:val="true"/>
          <w:lang w:bidi="fa-IR"/>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سلیم بن قیس الهلالی عن أمیر المؤمنین علیه السلام التی فی سندها حمّاد بن عیسی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ما یکون به العبد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w:t>
      </w:r>
    </w:p>
    <w:p>
      <w:pPr>
        <w:pStyle w:val="BookText"/>
        <w:rPr/>
      </w:pPr>
      <w:r>
        <w:rPr>
          <w:rFonts w:ascii="Amiri" w:hAnsi="Amiri" w:eastAsia="Amiri" w:cs="Amiri"/>
          <w:color w:val="111111"/>
          <w:sz w:val="28"/>
          <w:sz w:val="28"/>
          <w:szCs w:val="28"/>
          <w:rtl w:val="true"/>
          <w:lang w:bidi="ar-SA"/>
        </w:rPr>
        <w:t xml:space="preserve">أنّ شیئاً نهی اللّٰه عنه أن اللّٰه أمر به و نصبه دیناً یتولّی علیه، و یعبد </w:t>
      </w:r>
      <w:r>
        <w:rPr>
          <w:rStyle w:val="FootnoteAnchor"/>
          <w:rtl w:val="true"/>
        </w:rPr>
        <w:footnoteReference w:id="761"/>
      </w:r>
      <w:r>
        <w:rPr>
          <w:rFonts w:ascii="IRNazanin" w:hAnsi="IRNazanin" w:eastAsia="IRNazanin"/>
          <w:color w:val="111111"/>
          <w:sz w:val="28"/>
          <w:sz w:val="28"/>
          <w:szCs w:val="28"/>
          <w:rtl w:val="true"/>
          <w:lang w:bidi="fa-IR"/>
        </w:rPr>
        <w:t xml:space="preserve">الذی أمره و إنّما یعبد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الدالّة علی کفر منکر شی‌ءٍ من الدین، و مثل </w:t>
      </w:r>
      <w:r>
        <w:rPr>
          <w:rStyle w:val="FootnoteAnchor"/>
          <w:rtl w:val="true"/>
        </w:rPr>
        <w:footnoteReference w:id="763"/>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النبیذ علی أنّه حلال خلّد فی النار، و من شربه علی أنّه حرام عذّب فی النار</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 xml:space="preserve">، و مثل ما دلّ علی وجوب قتل من أفطر شهر رمضان </w:t>
      </w:r>
      <w:r>
        <w:rPr>
          <w:rStyle w:val="FootnoteAnchor"/>
          <w:rtl w:val="true"/>
        </w:rPr>
        <w:footnoteReference w:id="765"/>
      </w:r>
      <w:r>
        <w:rPr>
          <w:rFonts w:ascii="IRNazanin" w:hAnsi="IRNazanin" w:eastAsia="IRNazanin"/>
          <w:color w:val="111111"/>
          <w:sz w:val="28"/>
          <w:sz w:val="28"/>
          <w:szCs w:val="28"/>
          <w:rtl w:val="true"/>
          <w:lang w:bidi="fa-IR"/>
        </w:rPr>
        <w:t xml:space="preserve">، و شارب الخمر </w:t>
      </w:r>
      <w:r>
        <w:rPr>
          <w:rStyle w:val="FootnoteAnchor"/>
          <w:rtl w:val="true"/>
        </w:rPr>
        <w:footnoteReference w:id="766"/>
      </w:r>
      <w:r>
        <w:rPr>
          <w:rFonts w:ascii="IRNazanin" w:hAnsi="IRNazanin" w:eastAsia="IRNazanin"/>
          <w:color w:val="111111"/>
          <w:sz w:val="28"/>
          <w:sz w:val="28"/>
          <w:szCs w:val="28"/>
          <w:rtl w:val="true"/>
          <w:lang w:bidi="fa-IR"/>
        </w:rPr>
        <w:t xml:space="preserve">، بل و تارک الصلاة </w:t>
      </w:r>
      <w:r>
        <w:rPr>
          <w:rStyle w:val="FootnoteAnchor"/>
          <w:rtl w:val="true"/>
        </w:rPr>
        <w:footnoteReference w:id="767"/>
      </w:r>
      <w:r>
        <w:rPr>
          <w:rFonts w:ascii="IRNazanin" w:hAnsi="IRNazanin" w:eastAsia="IRNazanin"/>
          <w:color w:val="111111"/>
          <w:sz w:val="28"/>
          <w:sz w:val="28"/>
          <w:szCs w:val="28"/>
          <w:rtl w:val="true"/>
          <w:lang w:bidi="fa-IR"/>
        </w:rPr>
        <w:t>، إذا نفوا الإثم عن أنفسهم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فی الأخبار ما یدلّ علی استثناء الجاهل، مثل ما ورد فی باب حدّ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الأمیر علیه السلام دفع الحدّ عن شرب الخمر معتذراً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بأنی لم أعرف حرمته </w:t>
      </w:r>
      <w:r>
        <w:rPr>
          <w:rStyle w:val="FootnoteAnchor"/>
          <w:rtl w:val="true"/>
        </w:rPr>
        <w:footnoteReference w:id="768"/>
      </w:r>
      <w:r>
        <w:rPr>
          <w:rFonts w:ascii="IRNazanin" w:hAnsi="IRNazanin" w:eastAsia="IRNazanin"/>
          <w:color w:val="111111"/>
          <w:sz w:val="28"/>
          <w:sz w:val="28"/>
          <w:szCs w:val="28"/>
          <w:rtl w:val="true"/>
          <w:lang w:bidi="fa-IR"/>
        </w:rPr>
        <w:t>، و ما ورد فی ذلک الباب عن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دعوناه إلی جملة ما یحقّ له من جملة الإسلام فأقرّ به، ثمّ شرب الخمر و زنا و أکل الربا و لم یبیّن له شی‌ءٌ من الحلال و الحرام، أُقیم علیه الحدّ إذا جهله؟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تقوم علیه بیّنة</w:t>
      </w:r>
    </w:p>
    <w:p>
      <w:pPr>
        <w:pStyle w:val="BookText"/>
        <w:rPr/>
      </w:pPr>
      <w:r>
        <w:rPr>
          <w:rFonts w:ascii="Amiri" w:hAnsi="Amiri" w:eastAsia="Amiri" w:cs="Amiri"/>
          <w:color w:val="111111"/>
          <w:sz w:val="28"/>
          <w:sz w:val="28"/>
          <w:szCs w:val="28"/>
          <w:rtl w:val="true"/>
          <w:lang w:bidi="ar-SA"/>
        </w:rPr>
        <w:t>أنّه کان أقرّ بحرمتها</w:t>
      </w:r>
      <w:r>
        <w:rPr>
          <w:rFonts w:eastAsia="Amiri" w:cs="Amiri" w:ascii="Amiri" w:hAnsi="Amiri"/>
          <w:color w:val="111111"/>
          <w:sz w:val="28"/>
          <w:szCs w:val="28"/>
          <w:rtl w:val="true"/>
          <w:lang w:bidi="ar-SA"/>
        </w:rPr>
        <w:t xml:space="preserve">» </w:t>
      </w:r>
      <w:r>
        <w:rPr>
          <w:rStyle w:val="FootnoteAnchor"/>
          <w:rtl w:val="true"/>
        </w:rPr>
        <w:footnoteReference w:id="769"/>
      </w:r>
      <w:r>
        <w:rPr>
          <w:rFonts w:ascii="IRNazanin" w:hAnsi="IRNazanin" w:eastAsia="IRNazanin"/>
          <w:color w:val="111111"/>
          <w:sz w:val="28"/>
          <w:sz w:val="28"/>
          <w:szCs w:val="28"/>
          <w:rtl w:val="true"/>
          <w:lang w:bidi="fa-IR"/>
        </w:rPr>
        <w:t>و دعوی عدم المنافاة بین الکفر و عدم إقامة الحدّ علیه للجهل، بعیدة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دلّ من النصوص </w:t>
      </w:r>
      <w:r>
        <w:rPr>
          <w:rStyle w:val="FootnoteAnchor"/>
          <w:rtl w:val="true"/>
        </w:rPr>
        <w:footnoteReference w:id="770"/>
      </w:r>
      <w:r>
        <w:rPr>
          <w:rFonts w:ascii="IRNazanin" w:hAnsi="IRNazanin" w:eastAsia="IRNazanin"/>
          <w:color w:val="111111"/>
          <w:sz w:val="28"/>
          <w:sz w:val="28"/>
          <w:szCs w:val="28"/>
          <w:rtl w:val="true"/>
          <w:lang w:bidi="fa-IR"/>
        </w:rPr>
        <w:t>و الفتاوی علی کفایة الشهادتین فی الإسلام، فالظاهر أنّ المراد به حدوث الإسلام ممّن ینکرهما من غیر منتحلی الإسلام؛ إذ یکفی منه الشهادة بالوحدانیّة و الشهادة بالرسالة المستلزمة للالتزام بجمیع ما جاء به النبی صلّی اللّٰه علیه و آله و سلم و تصدیقه فی ذلک إجمالًا، فإنّ المراد من الشهادة بالرسالة الشهادة علی أنّه صلّی اللّٰه علیه و آله و سلم رسولٌ و مبلِّغٌ من اللّٰه بالنسبة إلی ما جاء به من الشریعة، فلا ینافی کون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التدیّن ببعض الشریعة أو التدیّن بخلافه، موجباً للخروج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إشکال فی أنّ عدم التدیّن بالشریعة کلا أو بعضاً مخرجٌ عن الدین 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عدم التدیّن قد یرجع إلی عدم الانقیاد للّٰه، بأن یعلم مجی‌ء النبیّ صلّی اللّٰه علیه و آله و سلم به و یعلم صدقه فی ذلک، إلّا أنّه لا یتدیّن بذلک عصیاناً، بحیث لو أوجب اللّٰه علیه ذلک من غیر واسطة لأبی عنه و امتنع، نظیر کفر إبلیس،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یرجع إلی إنکار صدق النبیّ صلّی اللّٰه علیه و آله و سلم کمن أنکر شیئاً من الدین مع علمه أنّ النبیّ صلّی اللّٰه علیه و آله جاء به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 فی کفر هذین القسمین، إلّا أنّ تکفیرنا له متوقّفٌ علی علمنا بعلمه المذکور، سواء نشأ علمنا من الخارج أو من جهة إقراره أو من</w:t>
      </w:r>
    </w:p>
    <w:p>
      <w:pPr>
        <w:pStyle w:val="BookText"/>
        <w:rPr/>
      </w:pPr>
      <w:r>
        <w:rPr>
          <w:rFonts w:ascii="IRNazanin" w:hAnsi="IRNazanin" w:eastAsia="IRNazanin"/>
          <w:color w:val="111111"/>
          <w:sz w:val="28"/>
          <w:sz w:val="28"/>
          <w:szCs w:val="28"/>
          <w:rtl w:val="true"/>
          <w:lang w:bidi="fa-IR"/>
        </w:rPr>
        <w:t>جهة کون المنکَر بالفتح ضروریّاً لا یخفی علی مثل هذا الشخص الذی نشأ بین المسلمین، بل لو ادّعی الجهل بمجی‌ء النبیّ صلّی اللّٰه علیه و آله و سلم به لم یقبل، بل یحمل دعواه علی خوف التشنیع أو التکفیر، فعلمنا من ذلک بضروریّة المنکَر بالفتح لا دخل له فی کفر المنکر، و إنّما له دخلٌ فی تکفیرنا إیّاه؛ حیث إنّه لا سبیل لنا غالباً إلی العلم بعلم المنکَر إلّا من جهة کون المنکَر ممّا لا یخفی علی مثل المنکِر ممّن نشأ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یرجع إنکاره إلی شی‌ءٍ من العنوانین، کمن أنکر شیئاً من الدین بدعوی عدم مجی‌ء النبیّ صلّی اللّٰه علیه و آله و سلم به أو مجیئه بخلافه بحیث یعلم أو یحتمل أنّ ذلک لیس لأجل تکذیب النبیّ صلّی اللّٰه علیه و آله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کثیراً من الخوارج و النواصب و المتدیّنین ببعض ما هو مخالف لضروریّ الدین من هذا القبیل قطعاً أو ظنّاً أو احتمالًا، بل ربما یعدّون المخالف لهم خارجاً عن الدین فیقربون إلی اللّٰه ببغضه و عداوته، فاللازم علی من استند فی کفر منکر الضروری إلی رجوع إنکاره إلی تکذیب النبیّ صلّی اللّٰه علیه و آله و سلم أن لا یحکم بکفرهم، من غیر تفرقة بین کون هذا الإنکار ناشئاً عن قصورهم أو عن تقصیرهم، غایة الأمر مؤاخذة المقصّر علی ترک التدیّن بما أنکره لو کان إنکاره متعلّقاً بالعقائد کالمعاد و نحوه، و إلّا فالعملیّات لا عقاب فیها إلّا علی ترک العمل، فالمنکر لحرمة الخمر لا دلیل علی عقابه إلّا علی نفس شرب الخمر لو شربها، لا علی ترک التدیّن بحرمتها؛ لعدم قصد الشارع إلی التدیّن تفصیلًا بالأحکام العملیّة أوّلًا و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فالمؤاخذة علی ترک التدیّن لا یستلزم الکفر؛ لأنّه متوقّف علی التکذیب المنفی فی المقام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القول مخالف لظاهر کلمات الفقهاء فی حکمهم</w:t>
      </w:r>
    </w:p>
    <w:p>
      <w:pPr>
        <w:pStyle w:val="BookText"/>
        <w:rPr/>
      </w:pPr>
      <w:r>
        <w:rPr>
          <w:rFonts w:ascii="IRNazanin" w:hAnsi="IRNazanin" w:eastAsia="IRNazanin"/>
          <w:color w:val="111111"/>
          <w:sz w:val="28"/>
          <w:sz w:val="28"/>
          <w:szCs w:val="28"/>
          <w:rtl w:val="true"/>
          <w:lang w:bidi="fa-IR"/>
        </w:rPr>
        <w:t>بکفر منکر الضروری علی الإطلاق، بل مقابلته لإنکار الرسالة، و فی حکمهم بکفر الخوارج و النواصب معلِّلین بإنکارهم للضروری، مع ما هو المشاهد من کثیرٍ من هذه الفرق الخبیثة و أنّهم یتقرّبون إلی اللّٰه بذلک، و لا یحتمل فی حقّهم رجوع إنکارهم لحقّ أمیر المؤمنین و الأئمّة صلوات اللّٰه علیهم إلی إنکار النبیّ و تکذیبه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مخالفته لإطلاقات الأخبار المتقدّمة </w:t>
      </w:r>
      <w:r>
        <w:rPr>
          <w:rStyle w:val="FootnoteAnchor"/>
          <w:rtl w:val="true"/>
        </w:rPr>
        <w:footnoteReference w:id="771"/>
      </w:r>
      <w:r>
        <w:rPr>
          <w:rFonts w:ascii="IRNazanin" w:hAnsi="IRNazanin" w:eastAsia="IRNazanin"/>
          <w:color w:val="111111"/>
          <w:sz w:val="28"/>
          <w:sz w:val="28"/>
          <w:szCs w:val="28"/>
          <w:rtl w:val="true"/>
          <w:lang w:bidi="fa-IR"/>
        </w:rPr>
        <w:t xml:space="preserve">فی حصول الکفر باستحلال الحرام و تحریم الحلال، سیّما قوله علیه السلام فی صحیحة الکنانی المتقدّمة </w:t>
      </w:r>
      <w:r>
        <w:rPr>
          <w:rStyle w:val="FootnoteAnchor"/>
          <w:rtl w:val="true"/>
        </w:rPr>
        <w:footnoteReference w:id="7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بال من جحد الفرائض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من زعم کفایة الشهادتین فی الإسلام، و خصوص ما ورد فی قتل کثیرٍ من مستحلّی المحرّمات </w:t>
      </w:r>
      <w:r>
        <w:rPr>
          <w:rStyle w:val="FootnoteAnchor"/>
          <w:rtl w:val="true"/>
        </w:rPr>
        <w:footnoteReference w:id="773"/>
      </w:r>
      <w:r>
        <w:rPr>
          <w:rFonts w:ascii="IRNazanin" w:hAnsi="IRNazanin" w:eastAsia="IRNazanin"/>
          <w:color w:val="111111"/>
          <w:sz w:val="28"/>
          <w:sz w:val="28"/>
          <w:szCs w:val="28"/>
          <w:rtl w:val="true"/>
          <w:lang w:bidi="fa-IR"/>
        </w:rPr>
        <w:t>کالخمر و ترک الصلاة و الإفطار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عدم التدیّن ببعض الدین یوجب الخروج عن الدین؛ فإنّ مستحلّ ترک الصلاة یعدّ خارجاً عن الدین فهو غیر متدیّن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الإسلام شهادة أن لا إله إلّا اللّٰه و أنّ محمّداً رسول اللّٰه صلّی اللّٰه علیه و آله و سلم محمول بقرینة ما سبق فی الروایات علی کونه هو الإسلام لمن أراد الدخول فیه و الانتحال له، فی مقابل سائر الملل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هذا الوجه الأخیر إنّما یدلّ علی کفر المقصّر فی ترک التدیّن بالضروری دون القاصر؛ لعدم تکلیفه بالتدیّن بما جهله، لکن لا حاجة إلی هذا الوجه فی إثبات المطلب، بل یشکل تمامیّته؛ فإنّه لو تمّ لاختصّ بما کان</w:t>
      </w:r>
    </w:p>
    <w:p>
      <w:pPr>
        <w:pStyle w:val="BookText"/>
        <w:rPr/>
      </w:pPr>
      <w:r>
        <w:rPr>
          <w:rFonts w:ascii="IRNazanin" w:hAnsi="IRNazanin" w:eastAsia="IRNazanin"/>
          <w:color w:val="111111"/>
          <w:sz w:val="28"/>
          <w:sz w:val="28"/>
          <w:szCs w:val="28"/>
          <w:rtl w:val="true"/>
          <w:lang w:bidi="fa-IR"/>
        </w:rPr>
        <w:t>من الضروریّات من قبیل العقائد کالمعاد و نحوه، دون ما کان من قبیل الأحکام العملیّة کوجوب الصلاة و حرمة الخمر؛ إذ لا دلیل علی وجوب التدیّن بمثل ذلک تفصیلًا؛ بحیث یعاقب علی ترک التدیّن به کما یعاقب علی ترک العمل، بل الثابت هو الثانی؛ لأنّ الواجب فیه أوّلًا و بالذات العمل، کما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التدیّن به إجمالًا فی ضمن الإقرار بما جاء به النبیّ صلّی اللّٰه علیه و آله إذ لا إشکال فی وجوب الإقرار المذکور؛ لعدم تمامیّة الإقرار بالرسالة بدونه، لکنّه لا دخل له فی وجوب التدیّن بالأحکام العملیّة، ضروریّة کانت أو 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ففی الإطلاقات المتقدّمة من النصوص و الفتاوی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حال القاصر المنکر للضروری حال القاصر المنکر للنبوّة؛ فإنّ الظاهر أنّه لا إشکال فی کفره و نجاسته و إن فرضناه قاصراً؛ إذ لا منافاة بین الکفر و النجاسة و بین عدم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المنکر للضروری الذی لا یرجع إنکاره إلی إنکار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قاصراً، و إمّا أن یکون مقصّراً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یکون الضروری الذی أنکره اعتقاداً من العقائد کالمعاد، و إمّا أن یکون فعلًا کسبّ النبیّ صلّی اللّٰه علیه و آله و سلم و إلقاء المصحف فی بعض الأمکنة و إن کان الفاعل یعتقد کون ذلک حراماً فی الشریعة؛ إذ لیس المأخوذ فی الدین التدیّن بحکمه، بل التدیّن بترک عمله، فهذه أقسام ستّة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إطلاق النصوص و الفتاوی خصوصاً إجماعهم علی کفر الخوارج و النواصب، مستدلّین بإنکارهم للضروری؛ حیث إنّ عموم کلامهم</w:t>
      </w:r>
    </w:p>
    <w:p>
      <w:pPr>
        <w:pStyle w:val="BookText"/>
        <w:rPr/>
      </w:pPr>
      <w:r>
        <w:rPr>
          <w:rFonts w:ascii="IRNazanin" w:hAnsi="IRNazanin" w:eastAsia="IRNazanin"/>
          <w:color w:val="111111"/>
          <w:sz w:val="28"/>
          <w:sz w:val="28"/>
          <w:szCs w:val="28"/>
          <w:rtl w:val="true"/>
          <w:lang w:bidi="fa-IR"/>
        </w:rPr>
        <w:t>للقاصر و المقصّر من هذه الفرقة الخبیثة لیس بأولی من عمومه للقسمین من الیهود و النصاری الحکم بکفر 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أنّ التارک للتدیّن ببعض الدین خارج عن الدین، و السیرة المستمرّة من الأصحاب فی تکفیر الحکماء المنکرین لبعض الضروریّات مع العلم أو الظنّ بأنّه لم یکذّب النبیّ صلّی اللّٰه علیه و آله فی ذلک، لا أقلّ من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شمول الأخبار المطلقة المتقدّمة الدالّة علی حصول الکفر بالاستحلال للقاصر نظراً ظاهراً، و منع وجود القاصر فی الکفّار کلامٌ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نجاسة الخوارج و النواصب، فنمنع کونها لمجرّد الإنکار للضروری، فلعلّه لعنوانهما الخاصّ، بل لا یستفاد من الأخبار إلّا ذلک، کما فی الیهود و النصاری، فیکون ولایة الأمیر و الأئمة صلوات اللّٰه علیهم بمعنی محبّتهم کالرسالة فی کفر منکرها، من غیر فرقٍ بین القاصر و المقصّر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ما ذکر من الإطلاق فإنّما هو فی العقائد الضروریّة المطلوبة من المکلّفین التدیّن بالاعتقاد بها، دون الأحکام العملیّة الضروریّة التی لا یطلب فیها إلّا العمل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القاصر و غیره فی الأحکام العملیّة الضروریّة، دون العقائد؛ تمسّکاً فی عدم کفر منکر الحکم العملی الضروری؛ لعدم </w:t>
      </w:r>
      <w:r>
        <w:rPr>
          <w:rStyle w:val="FootnoteAnchor"/>
          <w:rtl w:val="true"/>
        </w:rPr>
        <w:footnoteReference w:id="775"/>
      </w:r>
      <w:r>
        <w:rPr>
          <w:rFonts w:ascii="IRNazanin" w:hAnsi="IRNazanin" w:eastAsia="IRNazanin"/>
          <w:color w:val="111111"/>
          <w:sz w:val="28"/>
          <w:sz w:val="28"/>
          <w:szCs w:val="28"/>
          <w:rtl w:val="true"/>
          <w:lang w:bidi="fa-IR"/>
        </w:rPr>
        <w:t>الدلیل علی سببیّته للکفر مع فرض عدم التکلیف بالتدیّن بذلک الحکم و لا بالعمل بمقتضاه لأنّه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یبعد أن لا یحرم علی الشخص شرب الخمر و یکفّر بترک التدیّن بحرمته، و صریح الأخبار المتقدّمة فی استحلال الفرائض فی غیر القاصر، و قد تقدّم ما ورد فی درء الحدّ عمّن لم یعلم بحرمة المحرّمات </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عدم الملازمة بین عدم الحدّ و عدم الکفر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أدلّة دفع الحدّ أنّه لا یحکم بارتداده، لا أنّه مرتدٌّ لا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یظهر أنّ من استثنی صورة المشتبهة </w:t>
      </w:r>
      <w:r>
        <w:rPr>
          <w:rStyle w:val="FootnoteAnchor"/>
          <w:rtl w:val="true"/>
        </w:rPr>
        <w:footnoteReference w:id="777"/>
      </w:r>
      <w:r>
        <w:rPr>
          <w:rFonts w:ascii="IRNazanin" w:hAnsi="IRNazanin" w:eastAsia="IRNazanin"/>
          <w:color w:val="111111"/>
          <w:sz w:val="28"/>
          <w:sz w:val="28"/>
          <w:szCs w:val="28"/>
          <w:rtl w:val="true"/>
          <w:lang w:bidi="fa-IR"/>
        </w:rPr>
        <w:t>عن وجوب الحدّ علی شارب الخمر و نحوه ممّن اعترف بعدم اعتقاده للحکم الضروری، ظاهره استثناء ذلک عن الحکم بالارتداد، فلا نقول بکونه مرتدّاً لا یحدّ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بکفر منکر العقائد الضروریّة فلعلّه الأقوی؛ للإطلاقات المتقدّمة، و خصوص ما ورد فی کلٍّ من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بکفر منکرها، کما لا یخفی علی المتتبّع لأدلّة تلک العقائد، مضافاً إلی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إجماعهم علی کفر الخوارج و النواصب مستدلّین بإنکارهم للضروری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العقائد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النظریّة، فلا إشکال فی عدم کفر منکرها؛ إذ لم یرد دلیلٌ علی کفره بالخصوص</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ورد الدلیل علی کفر منکره بالخصوص کبعض العقائد التی لیست ضروریّة فهل یحکم بکفر منکرها علی الإطلاق، کما هو ظاهر إطلاق ذلک الدلیل، أو یخصّ ذلک بغیر القاصر؟ فیه إشکالٌ، و الأقوی الأوّل، إذا کان الدلیل ممّا یصلح الرکون إلیه فی الخروج عن أصالة الإسلام و عموماته،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المسألة من المشکلات، نسأل اللّٰه الفرج</w:t>
      </w:r>
      <w:r>
        <w:rPr>
          <w:rFonts w:eastAsia="IRNazanin" w:cs="IRNazanin"/>
          <w:color w:val="111111"/>
          <w:sz w:val="28"/>
          <w:szCs w:val="28"/>
          <w:rtl w:val="true"/>
          <w:lang w:bidi="fa-IR"/>
        </w:rPr>
        <w:t>.</w:t>
      </w:r>
      <w:bookmarkStart w:id="49" w:name="pg16911_259591"/>
    </w:p>
    <w:p>
      <w:pPr>
        <w:pStyle w:val="BookText"/>
        <w:rPr/>
      </w:pPr>
      <w:bookmarkEnd w:id="49"/>
      <w:r>
        <w:rPr>
          <w:rFonts w:ascii="IRNazanin" w:hAnsi="IRNazanin" w:eastAsia="IRNazanin"/>
          <w:color w:val="111111"/>
          <w:sz w:val="28"/>
          <w:sz w:val="28"/>
          <w:szCs w:val="28"/>
          <w:rtl w:val="true"/>
          <w:lang w:bidi="fa-IR"/>
        </w:rPr>
        <w:t xml:space="preserve">ثمّ لو قلنا بالأوّل تبعاً للجماعة المتقدّم إلیهم الإشارة من المتأخّرین </w:t>
      </w:r>
      <w:r>
        <w:rPr>
          <w:rStyle w:val="FootnoteAnchor"/>
          <w:rtl w:val="true"/>
        </w:rPr>
        <w:footnoteReference w:id="778"/>
      </w:r>
      <w:r>
        <w:rPr>
          <w:rFonts w:ascii="IRNazanin" w:hAnsi="IRNazanin" w:eastAsia="IRNazanin"/>
          <w:color w:val="111111"/>
          <w:sz w:val="28"/>
          <w:sz w:val="28"/>
          <w:szCs w:val="28"/>
          <w:rtl w:val="true"/>
          <w:lang w:bidi="fa-IR"/>
        </w:rPr>
        <w:t>، فلا إشکال فی وجوب استثناء صورة الإنکار للشبهة الحاصلة عن القصور، بل عن التقصیر أیضاً؛ لعدم رجوع الإنکار معها إلی التکذیب قطعاً، غایة الأمر مؤاخذة المقصّر علی ترک التدیّن بما قصّر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 بالثانی، و هو کون الإنکار للضرورة قولًا أو فعلًا سبباً مستقلا، فهل یستثنی صورة الشبهة؟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تقدّم من إطلاق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کفر منکر الضروری </w:t>
      </w:r>
      <w:r>
        <w:rPr>
          <w:rStyle w:val="FootnoteAnchor"/>
          <w:rtl w:val="true"/>
        </w:rPr>
        <w:footnoteReference w:id="779"/>
      </w:r>
      <w:r>
        <w:rPr>
          <w:rFonts w:ascii="IRNazanin" w:hAnsi="IRNazanin" w:eastAsia="IRNazanin"/>
          <w:color w:val="111111"/>
          <w:sz w:val="28"/>
          <w:sz w:val="28"/>
          <w:szCs w:val="28"/>
          <w:rtl w:val="true"/>
          <w:lang w:bidi="fa-IR"/>
        </w:rPr>
        <w:t xml:space="preserve">، و خصوص الخوارج و النواصب، و کذا النصوص المتقدّمة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أنّ القاصر غیر مکلّفٍ بالتدیّن بذلک المجهول، فالتدیّن بالنسبة إلیه ما عدا ذلک</w:t>
      </w:r>
      <w:r>
        <w:rPr>
          <w:rFonts w:eastAsia="IRNazanin" w:cs="IRNazanin"/>
          <w:color w:val="111111"/>
          <w:sz w:val="28"/>
          <w:szCs w:val="28"/>
          <w:rtl w:val="true"/>
          <w:lang w:bidi="fa-IR"/>
        </w:rPr>
        <w:t>.</w:t>
      </w:r>
    </w:p>
    <w:p>
      <w:pPr>
        <w:pStyle w:val="Heading6"/>
        <w:numPr>
          <w:ilvl w:val="5"/>
          <w:numId w:val="1"/>
        </w:numPr>
        <w:rPr/>
      </w:pPr>
      <w:bookmarkStart w:id="50" w:name="__RefHeading___Toc6618648_3224264995"/>
      <w:bookmarkStart w:id="51" w:name="_Toc19"/>
      <w:bookmarkEnd w:id="50"/>
      <w:r>
        <w:rPr>
          <w:rtl w:val="true"/>
        </w:rPr>
        <w:t>[</w:t>
      </w:r>
      <w:r>
        <w:rPr>
          <w:rtl w:val="true"/>
        </w:rPr>
        <w:t>نجاسة الناصب مطلقا</w:t>
      </w:r>
      <w:r>
        <w:rPr>
          <w:rtl w:val="true"/>
        </w:rPr>
        <w:t>]</w:t>
      </w:r>
      <w:bookmarkEnd w:id="5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کلّ تقدیر، فالظاهر أنّه لا إشکال فی نجاسة الناصب مطلقاً، کما هو المعروف، بل المجمع علیه فی الحدائق </w:t>
      </w:r>
      <w:r>
        <w:rPr>
          <w:rStyle w:val="FootnoteAnchor"/>
          <w:rtl w:val="true"/>
        </w:rPr>
        <w:footnoteReference w:id="781"/>
      </w:r>
      <w:r>
        <w:rPr>
          <w:rFonts w:ascii="IRNazanin" w:hAnsi="IRNazanin" w:eastAsia="IRNazanin"/>
          <w:color w:val="111111"/>
          <w:sz w:val="28"/>
          <w:sz w:val="28"/>
          <w:szCs w:val="28"/>
          <w:rtl w:val="true"/>
          <w:lang w:bidi="fa-IR"/>
        </w:rPr>
        <w:t xml:space="preserve">، کما عن کتاب الأنوار للسیّد الفاضل المحدّث الجزائری </w:t>
      </w:r>
      <w:r>
        <w:rPr>
          <w:rStyle w:val="FootnoteAnchor"/>
          <w:rtl w:val="true"/>
        </w:rPr>
        <w:footnoteReference w:id="782"/>
      </w:r>
      <w:r>
        <w:rPr>
          <w:rFonts w:ascii="IRNazanin" w:hAnsi="IRNazanin" w:eastAsia="IRNazanin"/>
          <w:color w:val="111111"/>
          <w:sz w:val="28"/>
          <w:sz w:val="28"/>
          <w:szCs w:val="28"/>
          <w:rtl w:val="true"/>
          <w:lang w:bidi="fa-IR"/>
        </w:rPr>
        <w:t>، و عن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کلام فیه </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أنّها غیر خلافیّة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مضافاً إلی ما ورد فی عدم جواز مناکحة الناصب معلِّلًا بأنّه کافر </w:t>
      </w:r>
      <w:r>
        <w:rPr>
          <w:rStyle w:val="FootnoteAnchor"/>
          <w:rtl w:val="true"/>
        </w:rPr>
        <w:footnoteReference w:id="785"/>
      </w:r>
      <w:r>
        <w:rPr>
          <w:rFonts w:ascii="IRNazanin" w:hAnsi="IRNazanin" w:eastAsia="IRNazanin"/>
          <w:color w:val="111111"/>
          <w:sz w:val="28"/>
          <w:sz w:val="28"/>
          <w:szCs w:val="28"/>
          <w:rtl w:val="true"/>
          <w:lang w:bidi="fa-IR"/>
        </w:rPr>
        <w:t xml:space="preserve">، و المراد به مقابل الإسلام لا الإیمان؛ إذ </w:t>
      </w:r>
      <w:r>
        <w:rPr>
          <w:rStyle w:val="FootnoteAnchor"/>
          <w:rtl w:val="true"/>
        </w:rPr>
        <w:footnoteReference w:id="786"/>
      </w:r>
      <w:r>
        <w:rPr>
          <w:rFonts w:ascii="IRNazanin" w:hAnsi="IRNazanin" w:eastAsia="IRNazanin"/>
          <w:color w:val="111111"/>
          <w:sz w:val="28"/>
          <w:sz w:val="28"/>
          <w:szCs w:val="28"/>
          <w:rtl w:val="true"/>
          <w:lang w:bidi="fa-IR"/>
        </w:rPr>
        <w:t>الإسلام موجب لجواز المناکحة، و فی باب النکاح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الناصب لأهل بیتی حرباً أو غالٍ فی الدین مارقٌ منه</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 xml:space="preserve">و روایة زرارة المتقدّمة فی تغایر الإسلام و الإیمان </w:t>
      </w:r>
      <w:r>
        <w:rPr>
          <w:rStyle w:val="FootnoteAnchor"/>
          <w:rtl w:val="true"/>
        </w:rPr>
        <w:footnoteReference w:id="788"/>
      </w:r>
      <w:r>
        <w:rPr>
          <w:rFonts w:ascii="IRNazanin" w:hAnsi="IRNazanin" w:eastAsia="IRNazanin"/>
          <w:color w:val="111111"/>
          <w:sz w:val="28"/>
          <w:sz w:val="28"/>
          <w:szCs w:val="28"/>
          <w:rtl w:val="true"/>
          <w:lang w:bidi="fa-IR"/>
        </w:rPr>
        <w:t xml:space="preserve">ما تقدّم بعضه فی مسألة الغسالة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تعالی لم یخلق خلقاً شرّاً من الناصب، إنّ الناصب أهون علی اللّٰه من الکلب</w:t>
      </w:r>
      <w:r>
        <w:rPr>
          <w:rFonts w:eastAsia="Amiri" w:cs="Amiri" w:ascii="Amiri" w:hAnsi="Amiri"/>
          <w:color w:val="111111"/>
          <w:sz w:val="28"/>
          <w:szCs w:val="28"/>
          <w:rtl w:val="true"/>
          <w:lang w:bidi="ar-SA"/>
        </w:rPr>
        <w:t xml:space="preserve">» </w:t>
      </w:r>
      <w:r>
        <w:rPr>
          <w:rStyle w:val="FootnoteAnchor"/>
          <w:rtl w:val="true"/>
        </w:rPr>
        <w:footnoteReference w:id="790"/>
      </w:r>
      <w:r>
        <w:rPr>
          <w:rFonts w:ascii="IRNazanin" w:hAnsi="IRNazanin" w:eastAsia="IRNazanin"/>
          <w:color w:val="111111"/>
          <w:sz w:val="28"/>
          <w:sz w:val="28"/>
          <w:szCs w:val="28"/>
          <w:rtl w:val="true"/>
          <w:lang w:bidi="fa-IR"/>
        </w:rPr>
        <w:t>و عن العلل فی الموثّق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لم یخلق خلقاً أنجس من الکلب، و أنّ الناصب لنا أهل البیت أنجس</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الناصب شرٌّ من الیهود و النصاری</w:t>
      </w:r>
      <w:r>
        <w:rPr>
          <w:rFonts w:eastAsia="IRNazanin" w:cs="IRNazanin"/>
          <w:color w:val="111111"/>
          <w:sz w:val="28"/>
          <w:szCs w:val="28"/>
          <w:rtl w:val="true"/>
          <w:lang w:bidi="fa-IR"/>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الخدشة فی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النجاسة القابلة للزیادة و النقیصة هی الباطنیّة دون الظاهریّة، 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ذلک، و بأنّه بأنّها مسوقة فی بیان حال الغسالة المنفصلة عن أبدانهم، و مجرّد النجاسة الباطنیّة لا یوجب الاجتناب عنها، إلّا أن ینتقض باشتمال أکثر تلک الأخبار علی ولد الزنا و الجنب من حیث هو جنب </w:t>
      </w:r>
      <w:r>
        <w:rPr>
          <w:rStyle w:val="FootnoteAnchor"/>
          <w:rtl w:val="true"/>
        </w:rPr>
        <w:footnoteReference w:id="7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ظاهر المقام، لا باعتبار نجاسة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مجال للکلام فی نجاستهم بعد الأخبار المستفیضة و الاتّفاقات المنقولة، فلا إشکال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الإشکال فی معنی الناصب، فالذی یظهر من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النصب لا یختصّ ببغض أهل البیت علیهم السلام بل هو مطلق من قدّم الجبت و الطاغوت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اختاره فی الحدائق </w:t>
      </w:r>
      <w:r>
        <w:rPr>
          <w:rStyle w:val="FootnoteAnchor"/>
          <w:rtl w:val="true"/>
        </w:rPr>
        <w:footnoteReference w:id="795"/>
      </w:r>
      <w:r>
        <w:rPr>
          <w:rFonts w:ascii="IRNazanin" w:hAnsi="IRNazanin" w:eastAsia="IRNazanin"/>
          <w:color w:val="111111"/>
          <w:sz w:val="28"/>
          <w:sz w:val="28"/>
          <w:szCs w:val="28"/>
          <w:rtl w:val="true"/>
          <w:lang w:bidi="fa-IR"/>
        </w:rPr>
        <w:t>، و ذکر فیها 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الصادق علیه السلام لمعلّی بن خنیس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الناصب من نصب لنا أهل البیت؛ لأنّک لا تجد أحداً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أبغض محمّداً و آل محمّد صلّی اللّٰه علیه و آله و سلم و لکنّ الناصب من نصب لکم و هو یعلم أنّکم تتولّونا و تتبرّءون من أعدائنا</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مستطرفات السرائر عن محمّد بن علیّ 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یعنی الهادی علیه السلام أسأله عن الناصب، هل أحتاج فی امتحانه إلی أکثر من تقدیمه الجبت و الطاغوت و اعتقاده بإمامتهما؟ فرجع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هذا فهو ناصب</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بل یدلّ علیه ما تقدّم فی حکم غیر الاثنی عشریّة من فرق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ابن المغیرة،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الناصب نَصَبَ لک</w:t>
      </w:r>
    </w:p>
    <w:p>
      <w:pPr>
        <w:pStyle w:val="BookText"/>
        <w:rPr/>
      </w:pPr>
      <w:r>
        <w:rPr>
          <w:rFonts w:ascii="Amiri" w:hAnsi="Amiri" w:eastAsia="Amiri" w:cs="Amiri"/>
          <w:color w:val="111111"/>
          <w:sz w:val="28"/>
          <w:sz w:val="28"/>
          <w:szCs w:val="28"/>
          <w:rtl w:val="true"/>
          <w:lang w:bidi="ar-SA"/>
        </w:rPr>
        <w:t>و الزیدی نَصَبَ لنا</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ما دلّ الدلیل علی طهارة منکر الولایة من حیث الإنکار، فلا ینفع إطلاق الناصب علیه؛ إذ الدلیل علی نجاسته إمّا الإجماع و إمّا مثل الأخبار السابقة </w:t>
      </w:r>
      <w:r>
        <w:rPr>
          <w:rStyle w:val="FootnoteAnchor"/>
          <w:rtl w:val="true"/>
        </w:rPr>
        <w:footnoteReference w:id="799"/>
      </w:r>
      <w:r>
        <w:rPr>
          <w:rFonts w:ascii="IRNazanin" w:hAnsi="IRNazanin" w:eastAsia="IRNazanin"/>
          <w:color w:val="111111"/>
          <w:sz w:val="28"/>
          <w:sz w:val="28"/>
          <w:szCs w:val="28"/>
          <w:rtl w:val="true"/>
          <w:lang w:bidi="fa-IR"/>
        </w:rPr>
        <w:t>، و اختصاص کلّ منهما بالقسم الأوّل واضح</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صدق هذا العنوان علی القسم الثانی ممنوع جدّاً، قال الصدوق فی باب النکاح من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الجهّال یتوهّمون أنّ کلّ مخالف ناصب، و لیس کذلک </w:t>
      </w:r>
      <w:r>
        <w:rPr>
          <w:rStyle w:val="FootnoteAnchor"/>
          <w:rtl w:val="true"/>
        </w:rPr>
        <w:footnoteReference w:id="80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المعتبر </w:t>
      </w:r>
      <w:r>
        <w:rPr>
          <w:rStyle w:val="FootnoteAnchor"/>
          <w:rtl w:val="true"/>
        </w:rPr>
        <w:footnoteReference w:id="801"/>
      </w:r>
      <w:r>
        <w:rPr>
          <w:rFonts w:ascii="IRNazanin" w:hAnsi="IRNazanin" w:eastAsia="IRNazanin"/>
          <w:color w:val="111111"/>
          <w:sz w:val="28"/>
          <w:sz w:val="28"/>
          <w:szCs w:val="28"/>
          <w:rtl w:val="true"/>
          <w:lang w:bidi="fa-IR"/>
        </w:rPr>
        <w:t xml:space="preserve">و المنتهی </w:t>
      </w:r>
      <w:r>
        <w:rPr>
          <w:rStyle w:val="FootnoteAnchor"/>
          <w:rtl w:val="true"/>
        </w:rPr>
        <w:footnoteReference w:id="802"/>
      </w:r>
      <w:r>
        <w:rPr>
          <w:rFonts w:ascii="IRNazanin" w:hAnsi="IRNazanin" w:eastAsia="IRNazanin"/>
          <w:color w:val="111111"/>
          <w:sz w:val="28"/>
          <w:sz w:val="28"/>
          <w:szCs w:val="28"/>
          <w:rtl w:val="true"/>
          <w:lang w:bidi="fa-IR"/>
        </w:rPr>
        <w:t>فی باب الأسآر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الذین یقدحون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تذکرة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الذی یتظاهر بعداوة أهل البیت </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السعید </w:t>
      </w:r>
      <w:r>
        <w:rPr>
          <w:rStyle w:val="FootnoteAnchor"/>
          <w:rtl w:val="true"/>
        </w:rPr>
        <w:footnoteReference w:id="804"/>
      </w:r>
      <w:r>
        <w:rPr>
          <w:rFonts w:ascii="IRNazanin" w:hAnsi="IRNazanin" w:eastAsia="IRNazanin"/>
          <w:color w:val="111111"/>
          <w:sz w:val="28"/>
          <w:sz w:val="28"/>
          <w:szCs w:val="28"/>
          <w:rtl w:val="true"/>
          <w:lang w:bidi="fa-IR"/>
        </w:rPr>
        <w:t>المحدّث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نصب العداوة لأهل البیت و تظاهر بغضهم، و نسب ذلک إلی أکثر الأصحاب </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النواصب هم المستدینون ببغض علی علیه السلام لأنّهم نصبوا للذی عادوه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العداوة </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شرح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الناصب یطلق علی خمسة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القادح فی علیّ علیه السلام،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ینسب إلی أحدهم ما یسقط العدالة،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ینکر فضیلتهم لو سمعها،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یعتقد فضیلة غیر علی علیه السلام،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أنکر النصّ علی علیّ علیه السلام بعد سماعه و دخوله إلیه بوجهٍ یصدّقه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الظاهر من الأخبار هو من یبغض أهل البیت علیهم السلام، و لمّا کان المنشأ فی ذلک غالباً بغض سیّدهم أمیر المؤمنین علیه السلام اقتصر فی المعتبر و المنتهی علی ذلک، و کذا صاحب القاموس، و ینطبق علیه ما حکاه السیّد المحدّث عن 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یخفی ضعف تعمیم الناصب للمخالف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 أنّه قد اعترف فی الحدائق،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خلاف منّا فی أنّ الناصب هو العدوّ لأهل البیت علیهم السلام و النصب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العداوة، و شرعاً بل لغةً أیضاً علی ما یفهم من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العداوة لأهل البیت علیهم السلام و إنّما الخلاف فی أنّ هؤلاء المخالفین هل یدخلون تحت هذا العنوان أم لا؟ فنحن ندّعی دخولهم و هم یمنعون، و الدلیل علی ما ذکرنا هو الأخبار المذکورة </w:t>
      </w:r>
      <w:r>
        <w:rPr>
          <w:rStyle w:val="FootnoteAnchor"/>
          <w:rtl w:val="true"/>
        </w:rPr>
        <w:footnoteReference w:id="809"/>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تأمّلت عمدة ما ذکره من الأخبار وجدته غیر دالٍّ علی أنّ الناصب للشیعة ناصبٌ لنا أهل البیت علیهم السلام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ناصب و منهم مستضعف و منهم الواسطة بینهما، و المحکوم بنجاسته بالأخبار و الإجماع هو الأوّل، دون الثانیین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یستشکل الحکم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من الأخبار و التواریخ أنّ کثیراً من أصحاب النبیّ صلّی اللّٰه علیه و آله و الکائنین فی زمن الأمیر علیه السلام و أصحاب الجمل و صفّین، بل کافّة أهل الشام، بل و کثیراً من أهل الحرمین کانوا فی أشدّ العداوة لأهل البیت علیهم السلام، فقد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أهل الشام شرٌّ من أهل الروم</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مکّة یکفرون باللّٰه جهرة، و أهل المدینة أخبث منهم سبعین ضعفاً</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مع أنّه لم ینقل الاحتراز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المخالطة معهم کان کمخالطة أصحاب الأئمة صلوات اللّٰه علیهم مع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الناصب بمن تدیّن ببغضهم دون من یبغضهم مطلقاً، خلاف ما یظهر من الأخبار الکثیرة و إن یوهمه ظاهر تفسیری المعتبر و المنتهی و المحکی عن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دفع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جمیع من ذکر مبغضاً واقعیاً، بل کثیر منهم سیّما فی دولة بنی أُمیّة کان یظهر البغض لهم تقیّةً، و تحقّق السیرة علی معاملة المبغضین واقعاً معاملة المسلمین فی عدم غسل ما لاقاهم تقیّةً،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قصّة سیّد الشهداء علیه السلام مع معاویة معروفة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قتلناکم ما دفنّاکم و لا صلّینا علیکم</w:t>
      </w:r>
      <w:r>
        <w:rPr>
          <w:rFonts w:eastAsia="IRNazanin" w:cs="IRNazanin"/>
          <w:color w:val="111111"/>
          <w:sz w:val="28"/>
          <w:szCs w:val="28"/>
          <w:rtl w:val="true"/>
          <w:lang w:bidi="fa-IR"/>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الحکم بنجاسة الناصب یمکن أن یکون قد انتشر فی زمان الصادقَین علیهما السلام إذ کثیر من الأحکام کان مخفیّاً قبل زمانهما، کما یظهر من الأخبار و کلمات بعض الأخیار</w:t>
      </w:r>
      <w:r>
        <w:rPr>
          <w:rFonts w:eastAsia="IRNazanin" w:cs="IRNazanin"/>
          <w:color w:val="111111"/>
          <w:sz w:val="28"/>
          <w:szCs w:val="28"/>
          <w:rtl w:val="true"/>
          <w:lang w:bidi="fa-IR"/>
        </w:rPr>
        <w:t>.</w:t>
      </w:r>
      <w:bookmarkStart w:id="52" w:name="pg16911_259597"/>
    </w:p>
    <w:p>
      <w:pPr>
        <w:pStyle w:val="Heading6"/>
        <w:numPr>
          <w:ilvl w:val="5"/>
          <w:numId w:val="1"/>
        </w:numPr>
        <w:rPr/>
      </w:pPr>
      <w:bookmarkStart w:id="53" w:name="__RefHeading___Toc6618650_3224264995"/>
      <w:bookmarkStart w:id="54" w:name="_Toc20"/>
      <w:bookmarkEnd w:id="52"/>
      <w:bookmarkEnd w:id="53"/>
      <w:r>
        <w:rPr>
          <w:rtl w:val="true"/>
        </w:rPr>
        <w:t>[</w:t>
      </w:r>
      <w:r>
        <w:rPr>
          <w:rtl w:val="true"/>
        </w:rPr>
        <w:t>حکم الخوارج</w:t>
      </w:r>
      <w:r>
        <w:rPr>
          <w:rtl w:val="true"/>
        </w:rPr>
        <w:t>]</w:t>
      </w:r>
      <w:bookmarkEnd w:id="54"/>
    </w:p>
    <w:p>
      <w:pPr>
        <w:pStyle w:val="BookText"/>
        <w:rPr/>
      </w:pPr>
      <w:r>
        <w:rPr>
          <w:rFonts w:ascii="IRNazanin" w:hAnsi="IRNazanin" w:eastAsia="IRNazanin"/>
          <w:color w:val="111111"/>
          <w:sz w:val="28"/>
          <w:sz w:val="28"/>
          <w:szCs w:val="28"/>
          <w:rtl w:val="true"/>
          <w:lang w:bidi="fa-IR"/>
        </w:rPr>
        <w:t xml:space="preserve">و الکلام فی الخوارج یظهر ممّا ذکرنا فی الناصب؛ فإنّهم أشدّ النواصب، مضافاً إلی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فی بعض الأخبار، کما فی قوله علیه السلام فی خارجیٍّ دخل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مشرک و اللّٰه</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و قوله علیه السلام فی الزیارة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حاربکم مشرک</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 xml:space="preserve">مع أنّ نجاستهم إجماعیّة علی الظاهر المصرَّح به فی الروض </w:t>
      </w:r>
      <w:r>
        <w:rPr>
          <w:rStyle w:val="FootnoteAnchor"/>
          <w:rtl w:val="true"/>
        </w:rPr>
        <w:footnoteReference w:id="815"/>
      </w:r>
      <w:r>
        <w:rPr>
          <w:rFonts w:ascii="IRNazanin" w:hAnsi="IRNazanin" w:eastAsia="IRNazanin"/>
          <w:color w:val="111111"/>
          <w:sz w:val="28"/>
          <w:sz w:val="28"/>
          <w:szCs w:val="28"/>
          <w:rtl w:val="true"/>
          <w:lang w:bidi="fa-IR"/>
        </w:rPr>
        <w:t xml:space="preserve">کما عن غیره </w:t>
      </w:r>
      <w:r>
        <w:rPr>
          <w:rStyle w:val="FootnoteAnchor"/>
          <w:rtl w:val="true"/>
        </w:rPr>
        <w:footnoteReference w:id="816"/>
      </w:r>
      <w:r>
        <w:rPr>
          <w:rFonts w:ascii="IRNazanin" w:hAnsi="IRNazanin" w:eastAsia="IRNazanin"/>
          <w:color w:val="111111"/>
          <w:sz w:val="28"/>
          <w:sz w:val="28"/>
          <w:szCs w:val="28"/>
          <w:rtl w:val="true"/>
          <w:lang w:bidi="fa-IR"/>
        </w:rPr>
        <w:t>، و عن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کلام فیها </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یمرقون من الدین کما یمرق السهم من الرامی</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و بالجملة فلا شی‌ء أوضح و أشهر من کفر یزید لعنه اللّٰه</w:t>
      </w:r>
      <w:r>
        <w:rPr>
          <w:rFonts w:eastAsia="IRNazanin" w:cs="IRNazanin"/>
          <w:color w:val="111111"/>
          <w:sz w:val="28"/>
          <w:szCs w:val="28"/>
          <w:rtl w:val="true"/>
          <w:lang w:bidi="fa-IR"/>
        </w:rPr>
        <w:t>.</w:t>
      </w:r>
    </w:p>
    <w:p>
      <w:pPr>
        <w:pStyle w:val="Heading6"/>
        <w:numPr>
          <w:ilvl w:val="5"/>
          <w:numId w:val="1"/>
        </w:numPr>
        <w:rPr/>
      </w:pPr>
      <w:bookmarkStart w:id="55" w:name="__RefHeading___Toc6618652_3224264995"/>
      <w:bookmarkStart w:id="56" w:name="_Toc21"/>
      <w:bookmarkEnd w:id="55"/>
      <w:r>
        <w:rPr>
          <w:rtl w:val="true"/>
        </w:rPr>
        <w:t>[</w:t>
      </w:r>
      <w:r>
        <w:rPr>
          <w:rtl w:val="true"/>
        </w:rPr>
        <w:t>حکم الغلاة</w:t>
      </w:r>
      <w:r>
        <w:rPr>
          <w:rtl w:val="true"/>
        </w:rPr>
        <w:t>]</w:t>
      </w:r>
      <w:bookmarkEnd w:id="5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إشکال فی کفرهم؛ بناءً علی تفسیرهم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یعتقد ربوبیّة أمیر المؤمنین علیه السلام أو أحد الأئمة علیهم السلام، لا ما اصطلح علیه بعضٌ </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تجاوز الحدّ الذی هم علیه صلوات اللّٰه علیهم، و من هذا القبیل ما یطعن القمّیون فی الرجل کثیراً و یرمونه بالغلوّ </w:t>
      </w:r>
      <w:r>
        <w:rPr>
          <w:rStyle w:val="FootnoteAnchor"/>
          <w:rtl w:val="true"/>
        </w:rPr>
        <w:footnoteReference w:id="820"/>
      </w:r>
      <w:r>
        <w:rPr>
          <w:rFonts w:ascii="Amiri" w:hAnsi="Amiri" w:eastAsia="Amiri" w:cs="Amiri"/>
          <w:color w:val="111111"/>
          <w:sz w:val="28"/>
          <w:sz w:val="28"/>
          <w:szCs w:val="28"/>
          <w:rtl w:val="true"/>
          <w:lang w:bidi="ar-SA"/>
        </w:rPr>
        <w:t>، و لذا حکی الصدوق عن شیخه ابن الولید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درجةٍ فی الغلوّ نفی السهو عن النبیّ صلّی اللّٰه علیه و آله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bookmarkStart w:id="57" w:name="pg16911_259598"/>
    </w:p>
    <w:p>
      <w:pPr>
        <w:pStyle w:val="BookText"/>
        <w:rPr/>
      </w:pPr>
      <w:bookmarkEnd w:id="57"/>
      <w:r>
        <w:rPr>
          <w:rFonts w:ascii="Amiri" w:hAnsi="Amiri" w:eastAsia="Amiri" w:cs="Amiri"/>
          <w:color w:val="111111"/>
          <w:sz w:val="28"/>
          <w:sz w:val="28"/>
          <w:szCs w:val="28"/>
          <w:rtl w:val="true"/>
          <w:lang w:bidi="ar-SA"/>
        </w:rPr>
        <w:t xml:space="preserve">ثمّ إنّ ظاهر جماعة </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کفر الغالی لأجل إنکاره للضروری، و فی 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عدّهم من الکافرین بالذات لا لإنکارهم بعض الضروریّات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إن نفوا وجود صانعٍ غیر من زعموا فهم کافرون باللّٰه، کالدهریّة القائلین بتأثیر الدهر، و کالقائلین بإلهیّة فرعون و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الربّ تعالی اتّحد بمن یزعمون علی نحو الحلول فهم منکرون للضروری، و الأظهر فی مذهبهم الثانی</w:t>
      </w:r>
      <w:r>
        <w:rPr>
          <w:rFonts w:eastAsia="IRNazanin" w:cs="IRNazanin"/>
          <w:color w:val="111111"/>
          <w:sz w:val="28"/>
          <w:szCs w:val="28"/>
          <w:rtl w:val="true"/>
          <w:lang w:bidi="fa-IR"/>
        </w:rPr>
        <w:t>.</w:t>
      </w:r>
    </w:p>
    <w:p>
      <w:pPr>
        <w:pStyle w:val="Heading6"/>
        <w:numPr>
          <w:ilvl w:val="5"/>
          <w:numId w:val="1"/>
        </w:numPr>
        <w:rPr/>
      </w:pPr>
      <w:bookmarkStart w:id="58" w:name="__RefHeading___Toc6618654_3224264995"/>
      <w:bookmarkStart w:id="59" w:name="_Toc22"/>
      <w:bookmarkEnd w:id="58"/>
      <w:r>
        <w:rPr>
          <w:rtl w:val="true"/>
        </w:rPr>
        <w:t>[</w:t>
      </w:r>
      <w:r>
        <w:rPr>
          <w:rtl w:val="true"/>
        </w:rPr>
        <w:t>حکم المجسِّمة</w:t>
      </w:r>
      <w:r>
        <w:rPr>
          <w:rtl w:val="true"/>
        </w:rPr>
        <w:t>]</w:t>
      </w:r>
      <w:bookmarkEnd w:id="59"/>
    </w:p>
    <w:p>
      <w:pPr>
        <w:pStyle w:val="BookText"/>
        <w:rPr/>
      </w:pPr>
      <w:r>
        <w:rPr>
          <w:rFonts w:ascii="Amiri" w:hAnsi="Amiri" w:eastAsia="Amiri" w:cs="Amiri"/>
          <w:color w:val="111111"/>
          <w:sz w:val="28"/>
          <w:sz w:val="28"/>
          <w:szCs w:val="28"/>
          <w:rtl w:val="true"/>
          <w:lang w:bidi="ar-SA"/>
        </w:rPr>
        <w:t xml:space="preserve">و أمّا المجسِّمة، فالمحکیّ عن المبسوط </w:t>
      </w:r>
      <w:r>
        <w:rPr>
          <w:rStyle w:val="FootnoteAnchor"/>
          <w:rtl w:val="true"/>
        </w:rPr>
        <w:footnoteReference w:id="824"/>
      </w:r>
      <w:r>
        <w:rPr>
          <w:rFonts w:ascii="IRNazanin" w:hAnsi="IRNazanin" w:eastAsia="IRNazanin"/>
          <w:color w:val="111111"/>
          <w:sz w:val="28"/>
          <w:sz w:val="28"/>
          <w:szCs w:val="28"/>
          <w:rtl w:val="true"/>
          <w:lang w:bidi="fa-IR"/>
        </w:rPr>
        <w:t xml:space="preserve">و السرائر </w:t>
      </w:r>
      <w:r>
        <w:rPr>
          <w:rStyle w:val="FootnoteAnchor"/>
          <w:rtl w:val="true"/>
        </w:rPr>
        <w:footnoteReference w:id="825"/>
      </w:r>
      <w:r>
        <w:rPr>
          <w:rFonts w:ascii="IRNazanin" w:hAnsi="IRNazanin" w:eastAsia="IRNazanin"/>
          <w:color w:val="111111"/>
          <w:sz w:val="28"/>
          <w:sz w:val="28"/>
          <w:szCs w:val="28"/>
          <w:rtl w:val="true"/>
          <w:lang w:bidi="fa-IR"/>
        </w:rPr>
        <w:t xml:space="preserve">کما فی المنتهی </w:t>
      </w:r>
      <w:r>
        <w:rPr>
          <w:rStyle w:val="FootnoteAnchor"/>
          <w:rtl w:val="true"/>
        </w:rPr>
        <w:footnoteReference w:id="826"/>
      </w:r>
      <w:r>
        <w:rPr>
          <w:rFonts w:ascii="IRNazanin" w:hAnsi="IRNazanin" w:eastAsia="IRNazanin"/>
          <w:color w:val="111111"/>
          <w:sz w:val="28"/>
          <w:sz w:val="28"/>
          <w:szCs w:val="28"/>
          <w:rtl w:val="true"/>
          <w:lang w:bidi="fa-IR"/>
        </w:rPr>
        <w:t xml:space="preserve">و الدروس </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القول بنجاستهم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مولانا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بالتشبیه و الجبر فهو کافر</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 xml:space="preserve">بناءً علی أنّ المشبِّهة کما عن قواعد العقائد و شرحها </w:t>
      </w:r>
      <w:r>
        <w:rPr>
          <w:rStyle w:val="FootnoteAnchor"/>
          <w:rtl w:val="true"/>
        </w:rPr>
        <w:footnoteReference w:id="829"/>
      </w:r>
      <w:r>
        <w:rPr>
          <w:rFonts w:ascii="IRNazanin" w:hAnsi="IRNazanin" w:eastAsia="IRNazanin"/>
          <w:color w:val="111111"/>
          <w:sz w:val="28"/>
          <w:sz w:val="28"/>
          <w:szCs w:val="28"/>
          <w:rtl w:val="true"/>
          <w:lang w:bidi="fa-IR"/>
        </w:rPr>
        <w:t>هم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فی جهة الفوق یمکن أن یُری کما تُری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من الروایة إرادة التجسیم بالحقیقة؛ و لذا خصّ الحکم فی المسالک </w:t>
      </w:r>
      <w:r>
        <w:rPr>
          <w:rStyle w:val="FootnoteAnchor"/>
          <w:rtl w:val="true"/>
        </w:rPr>
        <w:footnoteReference w:id="830"/>
      </w:r>
      <w:r>
        <w:rPr>
          <w:rFonts w:ascii="IRNazanin" w:hAnsi="IRNazanin" w:eastAsia="IRNazanin"/>
          <w:color w:val="111111"/>
          <w:sz w:val="28"/>
          <w:sz w:val="28"/>
          <w:szCs w:val="28"/>
          <w:rtl w:val="true"/>
          <w:lang w:bidi="fa-IR"/>
        </w:rPr>
        <w:t xml:space="preserve">و البیان </w:t>
      </w:r>
      <w:r>
        <w:rPr>
          <w:rStyle w:val="FootnoteAnchor"/>
          <w:rtl w:val="true"/>
        </w:rPr>
        <w:footnoteReference w:id="831"/>
      </w:r>
      <w:r>
        <w:rPr>
          <w:rFonts w:ascii="Amiri" w:hAnsi="Amiri" w:eastAsia="Amiri" w:cs="Amiri"/>
          <w:color w:val="111111"/>
          <w:sz w:val="28"/>
          <w:sz w:val="28"/>
          <w:szCs w:val="28"/>
          <w:rtl w:val="true"/>
          <w:lang w:bidi="ar-SA"/>
        </w:rPr>
        <w:t>بالمجسِّمة حقیقةً،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ادّعی أنّه جسم کالأجسام، و قضیّة </w:t>
      </w:r>
      <w:r>
        <w:rPr>
          <w:rStyle w:val="FootnoteAnchor"/>
          <w:rtl w:val="true"/>
        </w:rPr>
        <w:footnoteReference w:id="832"/>
      </w:r>
      <w:r>
        <w:rPr>
          <w:rFonts w:ascii="IRNazanin" w:hAnsi="IRNazanin" w:eastAsia="IRNazanin"/>
          <w:color w:val="111111"/>
          <w:sz w:val="28"/>
          <w:sz w:val="28"/>
          <w:szCs w:val="28"/>
          <w:rtl w:val="true"/>
          <w:lang w:bidi="fa-IR"/>
        </w:rPr>
        <w:t>طهارة المجسِّمة بالتسمیة، أعنی من ادّعی أنّه جسم لا کالأجسام؛ إذ لا یلزم علیه القول بحدوثه تعالی؛ و لذا حکی عن السیّد فی الشافی،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رمی به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القول بالتجسّم، فالظاهر من الحکایة القول بأنّه جسم لا کالأجسام، و لا خلاف فی أنّ هذا القول لیس بتشبیه و لا ناقضٍ لأصل و لا معترضٍ علی فرع، و أنّه غلط فی عبارة ترجع فی إثباتها و نفیها إلی اللغة، و أکثر أصحابنا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أورد ذلک علی سبیل المعارضة للمعتزلة،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قلتم إنّه شی‌ءٌ لا کالأشیاء، فقولوا إنّه جسم لا کالأجسام </w:t>
      </w:r>
      <w:r>
        <w:rPr>
          <w:rStyle w:val="FootnoteAnchor"/>
          <w:rtl w:val="true"/>
        </w:rPr>
        <w:footnoteReference w:id="83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ربما یمنع من کفر المجسِّمة بالحقیقة و لو استلزم دعواهم لحدوثه تعالی، إلّا أنّهم حیث لم یعترفوا بالملازمة بل ربما ینکرون اللازم، فلا یصدق علیهم أنّهم أنکروا 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لذا اقتصر المحقّق علی حکایة القول بالنجاسة فیهم و فی المجبِّرة عن الشیخ، علی وجهٍ یظهر منه عدم اختیاره له </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المحکی عن صریح الذکری </w:t>
      </w:r>
      <w:r>
        <w:rPr>
          <w:rStyle w:val="FootnoteAnchor"/>
          <w:rtl w:val="true"/>
        </w:rPr>
        <w:footnoteReference w:id="835"/>
      </w:r>
      <w:r>
        <w:rPr>
          <w:rFonts w:ascii="IRNazanin" w:hAnsi="IRNazanin" w:eastAsia="IRNazanin"/>
          <w:color w:val="111111"/>
          <w:sz w:val="28"/>
          <w:sz w:val="28"/>
          <w:szCs w:val="28"/>
          <w:rtl w:val="true"/>
          <w:lang w:bidi="fa-IR"/>
        </w:rPr>
        <w:t xml:space="preserve">و ظاهر التذکرة بل صریحها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bookmarkStart w:id="60" w:name="pg16911_259600"/>
    </w:p>
    <w:p>
      <w:pPr>
        <w:pStyle w:val="BookText"/>
        <w:rPr/>
      </w:pPr>
      <w:bookmarkEnd w:id="60"/>
      <w:r>
        <w:rPr>
          <w:rFonts w:ascii="IRNazanin" w:hAnsi="IRNazanin" w:eastAsia="IRNazanin"/>
          <w:color w:val="111111"/>
          <w:sz w:val="28"/>
          <w:sz w:val="28"/>
          <w:szCs w:val="28"/>
          <w:rtl w:val="true"/>
          <w:lang w:bidi="fa-IR"/>
        </w:rPr>
        <w:t>إلّا أنّ المحکی عن حاشیة جامع المقاصد و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کلام فی نجاستهم </w:t>
      </w:r>
      <w:r>
        <w:rPr>
          <w:rStyle w:val="FootnoteAnchor"/>
          <w:rtl w:val="true"/>
        </w:rPr>
        <w:footnoteReference w:id="837"/>
      </w:r>
      <w:r>
        <w:rPr>
          <w:rFonts w:ascii="IRNazanin" w:hAnsi="IRNazanin" w:eastAsia="IRNazanin"/>
          <w:color w:val="111111"/>
          <w:sz w:val="28"/>
          <w:sz w:val="28"/>
          <w:szCs w:val="28"/>
          <w:rtl w:val="true"/>
          <w:lang w:bidi="fa-IR"/>
        </w:rPr>
        <w:t>، یعنی المجسِّمة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لا خلاف فیه </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لأنّ أصل الجسمیّة مطلقاً مخالفٌ للضرورة،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ضروریّة بطلانها لما یعتقده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وجود لوازمها فی اللّٰه تعالی، و المفروض أنّ المجسِّمة ینکرونها</w:t>
      </w:r>
      <w:r>
        <w:rPr>
          <w:rFonts w:eastAsia="IRNazanin" w:cs="IRNazanin"/>
          <w:color w:val="111111"/>
          <w:sz w:val="28"/>
          <w:szCs w:val="28"/>
          <w:rtl w:val="true"/>
          <w:lang w:bidi="fa-IR"/>
        </w:rPr>
        <w:t>.</w:t>
      </w:r>
    </w:p>
    <w:p>
      <w:pPr>
        <w:pStyle w:val="Heading6"/>
        <w:numPr>
          <w:ilvl w:val="5"/>
          <w:numId w:val="1"/>
        </w:numPr>
        <w:rPr/>
      </w:pPr>
      <w:bookmarkStart w:id="61" w:name="__RefHeading___Toc6618656_3224264995"/>
      <w:bookmarkStart w:id="62" w:name="_Toc23"/>
      <w:bookmarkEnd w:id="61"/>
      <w:r>
        <w:rPr>
          <w:rtl w:val="true"/>
        </w:rPr>
        <w:t>[</w:t>
      </w:r>
      <w:r>
        <w:rPr>
          <w:rtl w:val="true"/>
        </w:rPr>
        <w:t>حکم المجبِّرة</w:t>
      </w:r>
      <w:r>
        <w:rPr>
          <w:rtl w:val="true"/>
        </w:rPr>
        <w:t>]</w:t>
      </w:r>
      <w:bookmarkEnd w:id="6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المجبِّرة، فعن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نجاستهم </w:t>
      </w:r>
      <w:r>
        <w:rPr>
          <w:rStyle w:val="FootnoteAnchor"/>
          <w:rtl w:val="true"/>
        </w:rPr>
        <w:footnoteReference w:id="839"/>
      </w:r>
      <w:r>
        <w:rPr>
          <w:rFonts w:ascii="IRNazanin" w:hAnsi="IRNazanin" w:eastAsia="IRNazanin"/>
          <w:color w:val="111111"/>
          <w:sz w:val="28"/>
          <w:sz w:val="28"/>
          <w:szCs w:val="28"/>
          <w:rtl w:val="true"/>
          <w:lang w:bidi="fa-IR"/>
        </w:rPr>
        <w:t xml:space="preserve">، و یدلّ علیه الروایة السابقة عن مولانا الرضا علیه السلام </w:t>
      </w:r>
      <w:r>
        <w:rPr>
          <w:rStyle w:val="FootnoteAnchor"/>
          <w:rtl w:val="true"/>
        </w:rPr>
        <w:footnoteReference w:id="840"/>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القائل بالجبر کافر، و القائل بالتفویض مشرک</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 و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فی القدر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یزعم أنّ اللّٰه تعالی أجبر الناس علی المعاصی فهذا قد ظلم فی حکمه فهو کافر، و رجل یزعم أنّ الأمر مفوَّضٌ إلیهم فهذا قد أوهن اللّٰه فی سلطانه فهو کافر</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 و للروایة المتقدّمة فی الغالی </w:t>
      </w:r>
      <w:r>
        <w:rPr>
          <w:rStyle w:val="FootnoteAnchor"/>
          <w:rtl w:val="true"/>
        </w:rPr>
        <w:footnoteReference w:id="843"/>
      </w:r>
      <w:r>
        <w:rPr>
          <w:rFonts w:ascii="IRNazanin" w:hAnsi="IRNazanin" w:eastAsia="IRNazanin"/>
          <w:color w:val="111111"/>
          <w:sz w:val="28"/>
          <w:sz w:val="28"/>
          <w:szCs w:val="28"/>
          <w:rtl w:val="true"/>
          <w:lang w:bidi="fa-IR"/>
        </w:rPr>
        <w:t xml:space="preserve">، و لاستلزامه إبطال النبوّات و التکالیف، کما نصّ علیه کاشف اللثام فی مقام تقویة قول الشیخ، و ذکر أنّ تنجیس المجبِّرة أولی من تنجیس المجسِّمة و المشبِّهة، بل أکثر الکفّار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یستدلّ بکفرهم بقوله تعالی سَیَقُولُ الَّذِینَ أَشْرَکُوا لَوْ شٰاءَ اللّٰهُ مٰا أَشْرَکْنٰا وَ لٰا آبٰاؤُنٰا وَ لٰا حَرَّمْنٰا مِنْ شَیْ‌ءٍ کَذٰلِکَ کَذَّبَ الَّذِینَ مِنْ قَبْلِهِمْ </w:t>
      </w:r>
      <w:r>
        <w:rPr>
          <w:rStyle w:val="FootnoteAnchor"/>
          <w:rtl w:val="true"/>
        </w:rPr>
        <w:footnoteReference w:id="845"/>
      </w:r>
      <w:r>
        <w:rPr>
          <w:rFonts w:ascii="IRNazanin" w:hAnsi="IRNazanin" w:eastAsia="IRNazanin"/>
          <w:color w:val="111111"/>
          <w:sz w:val="28"/>
          <w:sz w:val="28"/>
          <w:szCs w:val="28"/>
          <w:rtl w:val="true"/>
          <w:lang w:bidi="fa-IR"/>
        </w:rPr>
        <w:t>و فی الدلالة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طهارتهم؛ لأنّ مرجع جمیع ما ذکروه إلی منع حکم العقل بالتحسین و التقبیح، و کثیراً ممَّا لا یقبّحونه علی اللّٰه یعترفون بعدم وقوعه منه، فلا ینکرون إلّا الضروریّات العقلیّة، و لا یلتزمون بترتّب شی‌ءٍ من الضروریّات الشرعیّة علیها، إلّا أنّ اللازم من مذهبهم أنّ اللّٰه کلّف العباد و أجبرهم علی الأفعال، و تفصیله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حکی عن المنتهی </w:t>
      </w:r>
      <w:r>
        <w:rPr>
          <w:rStyle w:val="FootnoteAnchor"/>
          <w:rtl w:val="true"/>
        </w:rPr>
        <w:footnoteReference w:id="846"/>
      </w:r>
      <w:r>
        <w:rPr>
          <w:rFonts w:ascii="IRNazanin" w:hAnsi="IRNazanin" w:eastAsia="IRNazanin"/>
          <w:color w:val="111111"/>
          <w:sz w:val="28"/>
          <w:sz w:val="28"/>
          <w:szCs w:val="28"/>
          <w:rtl w:val="true"/>
          <w:lang w:bidi="fa-IR"/>
        </w:rPr>
        <w:t xml:space="preserve">و الذکری </w:t>
      </w:r>
      <w:r>
        <w:rPr>
          <w:rStyle w:val="FootnoteAnchor"/>
          <w:rtl w:val="true"/>
        </w:rPr>
        <w:footnoteReference w:id="847"/>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القول بالنجاسة، و هو الظاهر من المعتبر </w:t>
      </w:r>
      <w:r>
        <w:rPr>
          <w:rStyle w:val="FootnoteAnchor"/>
          <w:rtl w:val="true"/>
        </w:rPr>
        <w:footnoteReference w:id="849"/>
      </w:r>
      <w:r>
        <w:rPr>
          <w:rFonts w:ascii="Amiri" w:hAnsi="Amiri" w:eastAsia="Amiri" w:cs="Amiri"/>
          <w:color w:val="111111"/>
          <w:sz w:val="28"/>
          <w:sz w:val="28"/>
          <w:szCs w:val="28"/>
          <w:rtl w:val="true"/>
          <w:lang w:bidi="ar-SA"/>
        </w:rPr>
        <w:t>، کما مرّ فی 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أجد موافقاً صریحاً للشیخ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القول بطهارتهم مضافاً إلی الأُصول و عمومات طهارة المسلم ما لم ینکر للضروری أنّ أکثر المخالفین من المجبِّرة،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غیرهم قد انقرض فی بعض الأزمنة </w:t>
      </w:r>
      <w:r>
        <w:rPr>
          <w:rStyle w:val="FootnoteAnchor"/>
          <w:rtl w:val="true"/>
        </w:rPr>
        <w:footnoteReference w:id="851"/>
      </w:r>
      <w:r>
        <w:rPr>
          <w:rFonts w:ascii="IRNazanin" w:hAnsi="IRNazanin" w:eastAsia="IRNazanin"/>
          <w:color w:val="111111"/>
          <w:sz w:val="28"/>
          <w:sz w:val="28"/>
          <w:szCs w:val="28"/>
          <w:rtl w:val="true"/>
          <w:lang w:bidi="fa-IR"/>
        </w:rPr>
        <w:t>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السلاطین إلی هذا المذهب و إعراضهم عن غیره، کما فصّل القول فی ذلک السیّد الکاظمینی فی شرح</w:t>
      </w:r>
      <w:bookmarkStart w:id="63" w:name="pg16911_259602"/>
    </w:p>
    <w:p>
      <w:pPr>
        <w:pStyle w:val="BookText"/>
        <w:rPr/>
      </w:pPr>
      <w:bookmarkEnd w:id="63"/>
      <w:r>
        <w:rPr>
          <w:rFonts w:ascii="IRNazanin" w:hAnsi="IRNazanin" w:eastAsia="IRNazanin"/>
          <w:color w:val="111111"/>
          <w:sz w:val="28"/>
          <w:sz w:val="28"/>
          <w:szCs w:val="28"/>
          <w:rtl w:val="true"/>
          <w:lang w:bidi="fa-IR"/>
        </w:rPr>
        <w:t xml:space="preserve">الوافیة فی الأدلّة العقلیّة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 w:name="__RefHeading___Toc6618658_3224264995"/>
      <w:bookmarkStart w:id="65" w:name="_Toc24"/>
      <w:bookmarkEnd w:id="64"/>
      <w:r>
        <w:rPr>
          <w:rtl w:val="true"/>
        </w:rPr>
        <w:t>[</w:t>
      </w:r>
      <w:r>
        <w:rPr>
          <w:rtl w:val="true"/>
        </w:rPr>
        <w:t>حکم المفوِّضة</w:t>
      </w:r>
      <w:r>
        <w:rPr>
          <w:rtl w:val="true"/>
        </w:rPr>
        <w:t>]</w:t>
      </w:r>
      <w:bookmarkEnd w:id="65"/>
    </w:p>
    <w:p>
      <w:pPr>
        <w:pStyle w:val="BookText"/>
        <w:rPr/>
      </w:pPr>
      <w:r>
        <w:rPr>
          <w:rFonts w:ascii="IRNazanin" w:hAnsi="IRNazanin" w:eastAsia="IRNazanin"/>
          <w:color w:val="111111"/>
          <w:sz w:val="28"/>
          <w:sz w:val="28"/>
          <w:szCs w:val="28"/>
          <w:rtl w:val="true"/>
          <w:lang w:bidi="fa-IR"/>
        </w:rPr>
        <w:t>و أظهر من ذلک القول بطهارة المفوِّضة؛ فإنّ إبطال مذهبهم أخفی من النظر من إبطال مذهب المجبِّرة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الفقهاء طهارتهم </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عدّ فی کشف الغطاء من إنکار 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بالجبر و التفویض، و أنّ الأفعال بأسرها مخلوقة للّٰه تعالی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فالمدار فی کفر منتحلی الإسلام علی إنکار ما علم ضرورةً، و بدونه لا یحکم بکفرهم، إلّا إذا علمنا أنّ الشخص ممّن لو بذل الجهد وجد الحقّ؛ لکونه من العلماء الذین ربما یکون الشی‌ء ضروریّاً عندهم و إن کان نظریّاً عند العوام، و لیس المقام من قبیل العملیّات التی تقدّم أنّ المکلّف به فیها لیس إلّا العمل دون التدیّن و الاعتقاد، فلاحظ ما ذکرنا فی کفر منکر 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خروجه عن دین الإسلام بالتقصیر؛ إذ القاصر یکون ما اعتقده دیناً بالنسبة إلیه، کما تقدّم تفصیل ذلک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bookmarkStart w:id="66" w:name="pg16911_259603"/>
    </w:p>
    <w:p>
      <w:pPr>
        <w:pStyle w:val="Heading6"/>
        <w:numPr>
          <w:ilvl w:val="5"/>
          <w:numId w:val="1"/>
        </w:numPr>
        <w:rPr/>
      </w:pPr>
      <w:bookmarkStart w:id="67" w:name="__RefHeading___Toc6618660_3224264995"/>
      <w:bookmarkStart w:id="68" w:name="_Toc25"/>
      <w:bookmarkEnd w:id="66"/>
      <w:bookmarkEnd w:id="67"/>
      <w:r>
        <w:rPr>
          <w:rtl w:val="true"/>
        </w:rPr>
        <w:t>[</w:t>
      </w:r>
      <w:r>
        <w:rPr>
          <w:rtl w:val="true"/>
        </w:rPr>
        <w:t>حکم ولد الزنا</w:t>
      </w:r>
      <w:r>
        <w:rPr>
          <w:rtl w:val="true"/>
        </w:rPr>
        <w:t>]</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ولد الزنا </w:t>
      </w:r>
      <w:r>
        <w:rPr>
          <w:rStyle w:val="FootnoteAnchor"/>
          <w:rtl w:val="true"/>
        </w:rPr>
        <w:footnoteReference w:id="856"/>
      </w:r>
      <w:r>
        <w:rPr>
          <w:rFonts w:ascii="IRNazanin" w:hAnsi="IRNazanin" w:eastAsia="IRNazanin"/>
          <w:color w:val="111111"/>
          <w:sz w:val="28"/>
          <w:sz w:val="28"/>
          <w:szCs w:val="28"/>
          <w:rtl w:val="true"/>
          <w:lang w:bidi="fa-IR"/>
        </w:rPr>
        <w:t xml:space="preserve">المشهور بین أصحابنا رضوان اللّٰه علیهم طهارة ولد الزنا و إسلامه؛ لأصالة الطهارة و أصالة الإسلام؛ لحدیث الفطرة </w:t>
      </w:r>
      <w:r>
        <w:rPr>
          <w:rStyle w:val="FootnoteAnchor"/>
          <w:rtl w:val="true"/>
        </w:rPr>
        <w:footnoteReference w:id="857"/>
      </w:r>
      <w:r>
        <w:rPr>
          <w:rFonts w:ascii="Amiri" w:hAnsi="Amiri" w:eastAsia="Amiri" w:cs="Amiri"/>
          <w:color w:val="111111"/>
          <w:sz w:val="28"/>
          <w:sz w:val="28"/>
          <w:szCs w:val="28"/>
          <w:rtl w:val="true"/>
          <w:lang w:bidi="ar-SA"/>
        </w:rPr>
        <w:t xml:space="preserve">لما دلّ </w:t>
      </w:r>
      <w:r>
        <w:rPr>
          <w:rStyle w:val="FootnoteAnchor"/>
          <w:rtl w:val="true"/>
        </w:rPr>
        <w:footnoteReference w:id="858"/>
      </w:r>
      <w:r>
        <w:rPr>
          <w:rFonts w:ascii="IRNazanin" w:hAnsi="IRNazanin" w:eastAsia="IRNazanin"/>
          <w:color w:val="111111"/>
          <w:sz w:val="28"/>
          <w:sz w:val="28"/>
          <w:szCs w:val="28"/>
          <w:rtl w:val="true"/>
          <w:lang w:bidi="fa-IR"/>
        </w:rPr>
        <w:t xml:space="preserve">علی ثبوته لمن أظهره و تدیّن به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للمحکیّ عن الصدوق </w:t>
      </w:r>
      <w:r>
        <w:rPr>
          <w:rStyle w:val="FootnoteAnchor"/>
          <w:rtl w:val="true"/>
        </w:rPr>
        <w:footnoteReference w:id="860"/>
      </w:r>
      <w:r>
        <w:rPr>
          <w:rFonts w:ascii="Amiri" w:hAnsi="Amiri" w:eastAsia="Amiri" w:cs="Amiri"/>
          <w:color w:val="111111"/>
          <w:sz w:val="28"/>
          <w:sz w:val="28"/>
          <w:szCs w:val="28"/>
          <w:rtl w:val="true"/>
          <w:lang w:bidi="ar-SA"/>
        </w:rPr>
        <w:t xml:space="preserve">و السیّد </w:t>
      </w:r>
      <w:r>
        <w:rPr>
          <w:rStyle w:val="FootnoteAnchor"/>
          <w:rtl w:val="true"/>
        </w:rPr>
        <w:footnoteReference w:id="861"/>
      </w:r>
      <w:r>
        <w:rPr>
          <w:rFonts w:ascii="Amiri" w:hAnsi="Amiri" w:eastAsia="Amiri" w:cs="Amiri"/>
          <w:color w:val="111111"/>
          <w:sz w:val="28"/>
          <w:sz w:val="28"/>
          <w:szCs w:val="28"/>
          <w:rtl w:val="true"/>
          <w:lang w:bidi="ar-SA"/>
        </w:rPr>
        <w:t xml:space="preserve">و الحلّی </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القول بکفره و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جماعة </w:t>
      </w: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بعضاً منهم ادّعی الإجماع علی ذلک </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الخلاف فی ذلک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بمرسلة الوشّاء عمّن ذکره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کره سؤر ولد الزنا و الیهودی و النصرانی و المشرک و کلّ من خالف الإسلام، و کان أشدّ ذلک عنده سؤر الناصب</w:t>
      </w:r>
      <w:r>
        <w:rPr>
          <w:rFonts w:eastAsia="IRNazanin" w:cs="IRNazanin"/>
          <w:color w:val="111111"/>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ابن أبی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تغتسل من البئر التی یجمع فیها غسالة الحمّام؛ فإنّ فیها غسالة ولد الزنا، و هو لا یطهر إلی سبعة آباء</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 و فی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النهی بأنّه یجتمع فیها ما یغتسل به الجنب و ولد الزنا و الناصب لنا أهل البیت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مرفوعة سلیمان الدیلمی إلی الصادق علیه السلام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ولد الزنا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فما ذنبی فما کان لی فی أمری صنع؟ فینادیه منادٍ و یقول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شرّ الثلاثة، أذنب والداک فنشأت علیهما، و أنت رجس و لن یدخل الجنّة إلّا طاهر</w:t>
      </w:r>
      <w:r>
        <w:rPr>
          <w:rFonts w:eastAsia="IRNazanin" w:cs="IRNazanin"/>
          <w:color w:val="111111"/>
          <w:sz w:val="28"/>
          <w:szCs w:val="28"/>
          <w:rtl w:val="true"/>
          <w:lang w:bidi="fa-IR"/>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یؤکّده 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نوحاً علیه السلام لم یحمل فی السفینة ولد الزنا، و کان حمل الکلب و الخنزیر</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 و 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حبّ علیٍّ علیه السلام علامة طیب الولادة، و بغضه علامة خبثها</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 و 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دیته کدیة الیهودی ثمانمائة درهم</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 و موثّقة زرارة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ولد</w:t>
      </w:r>
    </w:p>
    <w:p>
      <w:pPr>
        <w:pStyle w:val="BookText"/>
        <w:rPr/>
      </w:pPr>
      <w:r>
        <w:rPr>
          <w:rFonts w:ascii="IRNazanin" w:hAnsi="IRNazanin" w:eastAsia="IRNazanin"/>
          <w:color w:val="111111"/>
          <w:sz w:val="28"/>
          <w:sz w:val="28"/>
          <w:szCs w:val="28"/>
          <w:rtl w:val="true"/>
          <w:lang w:bidi="fa-IR"/>
        </w:rPr>
        <w:t xml:space="preserve">الزنا،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فی </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 و لا فی شعره، و لا فی لحمه، و لا فی دمه، و لا فی شی‌ءٍ منه</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 و حسنة ابن مسلم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الیهودیّة و النصرانیّة و المجوسیّة أحبّ إلیّ من ولد الزنا</w:t>
      </w:r>
      <w:r>
        <w:rPr>
          <w:rFonts w:eastAsia="IRNazanin" w:cs="IRNazanin"/>
          <w:color w:val="111111"/>
          <w:sz w:val="28"/>
          <w:szCs w:val="28"/>
          <w:rtl w:val="true"/>
          <w:lang w:bidi="fa-IR"/>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إلی غیر ذلک ممَّا ورد فی مذمّته </w:t>
      </w:r>
      <w:r>
        <w:rPr>
          <w:rStyle w:val="FootnoteAnchor"/>
          <w:rtl w:val="true"/>
        </w:rPr>
        <w:footnoteReference w:id="876"/>
      </w:r>
      <w:r>
        <w:rPr>
          <w:rFonts w:ascii="Amiri" w:hAnsi="Amiri" w:eastAsia="Amiri" w:cs="Amiri"/>
          <w:color w:val="111111"/>
          <w:sz w:val="28"/>
          <w:sz w:val="28"/>
          <w:szCs w:val="28"/>
          <w:rtl w:val="true"/>
          <w:lang w:bidi="ar-SA"/>
        </w:rPr>
        <w:t xml:space="preserve">، و أنّه لن یدخل الجنّة </w:t>
      </w:r>
      <w:r>
        <w:rPr>
          <w:rStyle w:val="FootnoteAnchor"/>
          <w:rtl w:val="true"/>
        </w:rPr>
        <w:footnoteReference w:id="877"/>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الجمیع لا یخلو عن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المرسلة، فلأنّ الظاهر منها الکراهة بالمعنی الأعمّ، و لیس عطف الأنجاس علی ولد الزنا قرینة علی نجاسته، فلعلّ سؤره قریب من أسآرهم فی القذارة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ضعف دلالة أخبار الغسالة، سیّما روایة ابن أبی یعفور المشتملة علی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یطهر إلی سبعة آباء</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فإنّه ظاهر فی إرادة القذارة المعنویّة؛ لأنّ النجاسة الظاهریّة غیر متعدّیة عنه إجماعاً، مع أنّ النهی عن استعمال سؤره لا یدلّ علی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الرجس فی المرفوعة، فالظاهر أنّه لا یراد به إلّا القذارة المعنویّة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ذکر یظهر حال المؤیِّدات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یظهر من مجموع الروایات إلّا خباثته المعنویّة و أنّه</w:t>
      </w:r>
    </w:p>
    <w:p>
      <w:pPr>
        <w:pStyle w:val="BookText"/>
        <w:rPr/>
      </w:pPr>
      <w:r>
        <w:rPr>
          <w:rFonts w:ascii="IRNazanin" w:hAnsi="IRNazanin" w:eastAsia="IRNazanin"/>
          <w:color w:val="111111"/>
          <w:sz w:val="28"/>
          <w:sz w:val="28"/>
          <w:szCs w:val="28"/>
          <w:rtl w:val="true"/>
          <w:lang w:bidi="fa-IR"/>
        </w:rPr>
        <w:t>شرّ الثلاثة، لا نجاسته الظاهریّة التی بینها و بین الخباثة المعنویّة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الأخبار المذکورة لا دلالة فیها علی الکفر إلّا بناءً علی نفی الواسطة بین الکفر و الإسلام، مضافاً إلی عموم طهارة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منع صاحب الحدائق عن المقدّمة الأُولی، فاختار أنّه نجس و له حالة غیر حالتی الإیمان و الکفر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المحکی عن عبارة الصدوق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التوضّؤ بسؤره </w:t>
      </w:r>
      <w:r>
        <w:rPr>
          <w:rStyle w:val="FootnoteAnchor"/>
          <w:rtl w:val="true"/>
        </w:rPr>
        <w:footnoteReference w:id="880"/>
      </w:r>
      <w:r>
        <w:rPr>
          <w:rFonts w:ascii="IRNazanin" w:hAnsi="IRNazanin" w:eastAsia="IRNazanin"/>
          <w:color w:val="111111"/>
          <w:sz w:val="28"/>
          <w:sz w:val="28"/>
          <w:szCs w:val="28"/>
          <w:rtl w:val="true"/>
          <w:lang w:bidi="fa-IR"/>
        </w:rPr>
        <w:t>، فلم یبقَ مع الحلیّ روایة تدلّ علی کفره، و لا فتوی یوافقه إلّا علم الهدی، فکیف ینفی الخلاف؟</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الأخبار فی مجازاة ولد الزنا مختلفة، و الذی یحصل من الجمع بین مجموعها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یدخل الجنّة و لا یعذّب فی النار إن لم یعمل عملًا موجباً له</w:t>
      </w:r>
      <w:r>
        <w:rPr>
          <w:rFonts w:eastAsia="IRNazanin" w:cs="IRNazanin"/>
          <w:color w:val="111111"/>
          <w:sz w:val="28"/>
          <w:szCs w:val="28"/>
          <w:rtl w:val="true"/>
          <w:lang w:bidi="fa-IR"/>
        </w:rPr>
        <w:t>.</w:t>
      </w:r>
      <w:bookmarkStart w:id="69" w:name="pg16911_259607"/>
    </w:p>
    <w:p>
      <w:pPr>
        <w:pStyle w:val="Heading5"/>
        <w:numPr>
          <w:ilvl w:val="4"/>
          <w:numId w:val="1"/>
        </w:numPr>
        <w:rPr/>
      </w:pPr>
      <w:bookmarkStart w:id="70" w:name="__RefHeading___Toc6618662_3224264995"/>
      <w:bookmarkStart w:id="71" w:name="_Toc26"/>
      <w:bookmarkEnd w:id="69"/>
      <w:bookmarkEnd w:id="70"/>
      <w:r>
        <w:rPr>
          <w:rtl w:val="true"/>
        </w:rPr>
        <w:t>[</w:t>
      </w:r>
      <w:r>
        <w:rPr>
          <w:rtl w:val="true"/>
        </w:rPr>
        <w:t>التاسع المسکرات</w:t>
      </w:r>
      <w:r>
        <w:rPr>
          <w:rtl w:val="true"/>
        </w:rPr>
        <w:t>]</w:t>
      </w:r>
      <w:bookmarkEnd w:id="71"/>
    </w:p>
    <w:p>
      <w:pPr>
        <w:pStyle w:val="Heading6"/>
        <w:numPr>
          <w:ilvl w:val="5"/>
          <w:numId w:val="1"/>
        </w:numPr>
        <w:rPr/>
      </w:pPr>
      <w:bookmarkStart w:id="72" w:name="__RefHeading___Toc6618664_3224264995"/>
      <w:bookmarkStart w:id="73" w:name="_Toc27"/>
      <w:bookmarkEnd w:id="72"/>
      <w:r>
        <w:rPr>
          <w:rtl w:val="true"/>
        </w:rPr>
        <w:t>اشارة</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التاسع المسکرات </w:t>
      </w:r>
      <w:r>
        <w:rPr>
          <w:rStyle w:val="FootnoteAnchor"/>
          <w:rtl w:val="true"/>
        </w:rPr>
        <w:footnoteReference w:id="8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المائعة بالأصالة و إن انجمدت بالعرض علی المشهور، بل عن السیّد </w:t>
      </w:r>
      <w:r>
        <w:rPr>
          <w:rStyle w:val="FootnoteAnchor"/>
          <w:rtl w:val="true"/>
        </w:rPr>
        <w:footnoteReference w:id="882"/>
      </w:r>
      <w:r>
        <w:rPr>
          <w:rFonts w:ascii="IRNazanin" w:hAnsi="IRNazanin" w:eastAsia="IRNazanin"/>
          <w:color w:val="111111"/>
          <w:sz w:val="28"/>
          <w:sz w:val="28"/>
          <w:szCs w:val="28"/>
          <w:rtl w:val="true"/>
          <w:lang w:bidi="fa-IR"/>
        </w:rPr>
        <w:t xml:space="preserve">و الشیخ </w:t>
      </w:r>
      <w:r>
        <w:rPr>
          <w:rStyle w:val="FootnoteAnchor"/>
          <w:rtl w:val="true"/>
        </w:rPr>
        <w:footnoteReference w:id="883"/>
      </w:r>
      <w:r>
        <w:rPr>
          <w:rFonts w:ascii="Amiri" w:hAnsi="Amiri" w:eastAsia="Amiri" w:cs="Amiri"/>
          <w:color w:val="111111"/>
          <w:sz w:val="28"/>
          <w:sz w:val="28"/>
          <w:szCs w:val="28"/>
          <w:rtl w:val="true"/>
          <w:lang w:bidi="ar-SA"/>
        </w:rPr>
        <w:t xml:space="preserve">و ابن زهرة </w:t>
      </w:r>
      <w:r>
        <w:rPr>
          <w:rStyle w:val="FootnoteAnchor"/>
          <w:rtl w:val="true"/>
        </w:rPr>
        <w:footnoteReference w:id="884"/>
      </w:r>
      <w:r>
        <w:rPr>
          <w:rFonts w:ascii="IRNazanin" w:hAnsi="IRNazanin" w:eastAsia="IRNazanin"/>
          <w:color w:val="111111"/>
          <w:sz w:val="28"/>
          <w:sz w:val="28"/>
          <w:szCs w:val="28"/>
          <w:rtl w:val="true"/>
          <w:lang w:bidi="fa-IR"/>
        </w:rPr>
        <w:t xml:space="preserve">و ابن سعید </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المعتبر أنّ الأنبذة المسکرة عندنا فی التنجیس کالخمر </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ذلک عمل الأصحاب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الأخبار فی الخمر لا یبعد تواترها،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تبلغ عشرین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فی النبیذ فمستفیضة،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ما یبلّ المیل منه ینجِّس حُبّاً من ماء</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زکریّا بن آدم عن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قطرة خمر أو نبیذ مسکر قطرت فی قدرٍ فیه لحم کثیر و مرق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یهراق المرق أو یطعمه أهل الذمّة أو الکلب، و اللحم اغسله</w:t>
      </w:r>
      <w:r>
        <w:rPr>
          <w:rFonts w:eastAsia="IRNazanin" w:cs="IRNazanin"/>
          <w:color w:val="111111"/>
          <w:sz w:val="28"/>
          <w:szCs w:val="28"/>
          <w:rtl w:val="true"/>
          <w:lang w:bidi="fa-IR"/>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مرسلة یونس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 </w:t>
      </w:r>
      <w:r>
        <w:rPr>
          <w:rStyle w:val="FootnoteAnchor"/>
          <w:rtl w:val="true"/>
        </w:rPr>
        <w:footnoteReference w:id="891"/>
      </w:r>
      <w:r>
        <w:rPr>
          <w:rFonts w:ascii="IRNazanin" w:hAnsi="IRNazanin" w:eastAsia="IRNazanin"/>
          <w:color w:val="111111"/>
          <w:sz w:val="28"/>
          <w:sz w:val="28"/>
          <w:szCs w:val="28"/>
          <w:rtl w:val="true"/>
          <w:lang w:bidi="fa-IR"/>
        </w:rPr>
        <w:t>ثوبک خمر أو نبیذ مسکر فاغسله إن عرفت موضعه، و إن لم تعرف موضعه فاغسله کلّه</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 xml:space="preserve">و بمضمونها روایة زرارة الآتیة عن أبی عبد اللّٰه علیه السلام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موثّقة عمّار الآمرة بغسل الإناء عن النبیذ سبع مرّات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مضافاً إلی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فی کثیرٍ من الأخبار </w:t>
      </w:r>
      <w:r>
        <w:rPr>
          <w:rStyle w:val="FootnoteAnchor"/>
          <w:rtl w:val="true"/>
        </w:rPr>
        <w:footnoteReference w:id="895"/>
      </w:r>
      <w:r>
        <w:rPr>
          <w:rFonts w:ascii="IRNazanin" w:hAnsi="IRNazanin" w:eastAsia="IRNazanin"/>
          <w:color w:val="111111"/>
          <w:sz w:val="28"/>
          <w:sz w:val="28"/>
          <w:szCs w:val="28"/>
          <w:rtl w:val="true"/>
          <w:lang w:bidi="fa-IR"/>
        </w:rPr>
        <w:t>، و سیجی‌ء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سائر المسکرات بناءً علی عدم تسلیم شمول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المتقدّمة لها؛ من جهة الانصراف إلی المأخوذ من التمر، فمنها موثّقه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ثوبٍ قد أصابه خمرٌ و لا مسکر حتّی تغسله</w:t>
      </w:r>
      <w:r>
        <w:rPr>
          <w:rFonts w:eastAsia="IRNazanin" w:cs="IRNazanin"/>
          <w:color w:val="111111"/>
          <w:sz w:val="28"/>
          <w:szCs w:val="28"/>
          <w:rtl w:val="true"/>
          <w:lang w:bidi="fa-IR"/>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عمر 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p>
    <w:p>
      <w:pPr>
        <w:pStyle w:val="BookText"/>
        <w:rPr/>
      </w:pPr>
      <w:r>
        <w:rPr>
          <w:rFonts w:ascii="IRNazanin" w:hAnsi="IRNazanin" w:eastAsia="IRNazanin"/>
          <w:color w:val="111111"/>
          <w:sz w:val="28"/>
          <w:sz w:val="28"/>
          <w:szCs w:val="28"/>
          <w:rtl w:val="true"/>
          <w:lang w:bidi="fa-IR"/>
        </w:rPr>
        <w:t>فی قدح من المسکر یصبّ علیه الماء حتّی تذهب عادیته و یذهب سکره؟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لا قطرة تقطر منه فی حُبٍّ إلّا أُهریق ذلک الماء</w:t>
      </w:r>
      <w:r>
        <w:rPr>
          <w:rFonts w:eastAsia="IRNazanin" w:cs="IRNazanin"/>
          <w:color w:val="111111"/>
          <w:sz w:val="28"/>
          <w:szCs w:val="28"/>
          <w:rtl w:val="true"/>
          <w:lang w:bidi="fa-IR"/>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أنّ الخمر من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الکرم و الزبیب و العسل و الشعیر و التمر، و یسمّی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عصیراً،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نقیعاً،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بِتْعاً،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مِزْراً، 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نبیذاً</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 xml:space="preserve">، و فی بعض الأخبار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الحنطة؛ و لم یذکر فیه اسم المأخوذ منها </w:t>
      </w:r>
      <w:r>
        <w:rPr>
          <w:rStyle w:val="FootnoteAnchor"/>
          <w:rtl w:val="true"/>
        </w:rPr>
        <w:footnoteReference w:id="899"/>
      </w:r>
      <w:r>
        <w:rPr>
          <w:rFonts w:ascii="IRNazanin" w:hAnsi="IRNazanin" w:eastAsia="IRNazanin"/>
          <w:color w:val="111111"/>
          <w:sz w:val="28"/>
          <w:sz w:val="28"/>
          <w:szCs w:val="28"/>
          <w:rtl w:val="true"/>
          <w:lang w:bidi="fa-IR"/>
        </w:rPr>
        <w:t>، و فی روایة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تسع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عطاء بن 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مسکر حرام، و کلّ مسکر خمر</w:t>
      </w:r>
      <w:r>
        <w:rPr>
          <w:rFonts w:eastAsia="IRNazanin" w:cs="IRNazanin"/>
          <w:color w:val="111111"/>
          <w:sz w:val="28"/>
          <w:szCs w:val="28"/>
          <w:rtl w:val="true"/>
          <w:lang w:bidi="fa-IR"/>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تفسیر قوله تعالی إِنَّمَا الْخَمْرُ </w:t>
      </w:r>
      <w:r>
        <w:rPr>
          <w:rFonts w:eastAsia="Amiri" w:cs="Amiri" w:ascii="Amiri" w:hAnsi="Amiri"/>
          <w:color w:val="111111"/>
          <w:sz w:val="28"/>
          <w:szCs w:val="28"/>
          <w:rtl w:val="true"/>
          <w:lang w:bidi="ar-SA"/>
        </w:rPr>
        <w:t xml:space="preserve">.. </w:t>
      </w:r>
      <w:r>
        <w:rPr>
          <w:rStyle w:val="FootnoteAnchor"/>
          <w:rtl w:val="true"/>
        </w:rPr>
        <w:footnoteReference w:id="902"/>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من الشراب إذا أخمر فهو خمر</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 xml:space="preserve">فإنّ الظاهر من الحمل إمّا الصدق الحقیقی کما استظهره صاحب الحدائق من کلام الشارع </w:t>
      </w:r>
      <w:r>
        <w:rPr>
          <w:rStyle w:val="FootnoteAnchor"/>
          <w:rtl w:val="true"/>
        </w:rPr>
        <w:footnoteReference w:id="904"/>
      </w:r>
      <w:r>
        <w:rPr>
          <w:rFonts w:ascii="IRNazanin" w:hAnsi="IRNazanin" w:eastAsia="IRNazanin"/>
          <w:color w:val="111111"/>
          <w:sz w:val="28"/>
          <w:sz w:val="28"/>
          <w:szCs w:val="28"/>
          <w:rtl w:val="true"/>
          <w:lang w:bidi="fa-IR"/>
        </w:rPr>
        <w:t>، بل من کلام أهل اللغة</w:t>
      </w:r>
    </w:p>
    <w:p>
      <w:pPr>
        <w:pStyle w:val="BookText"/>
        <w:rPr/>
      </w:pPr>
      <w:r>
        <w:rPr>
          <w:rFonts w:ascii="IRNazanin" w:hAnsi="IRNazanin" w:eastAsia="IRNazanin"/>
          <w:color w:val="111111"/>
          <w:sz w:val="28"/>
          <w:sz w:val="28"/>
          <w:szCs w:val="28"/>
          <w:rtl w:val="true"/>
          <w:lang w:bidi="fa-IR"/>
        </w:rPr>
        <w:t xml:space="preserve">کالقاموس </w:t>
      </w:r>
      <w:r>
        <w:rPr>
          <w:rStyle w:val="FootnoteAnchor"/>
          <w:rtl w:val="true"/>
        </w:rPr>
        <w:footnoteReference w:id="905"/>
      </w:r>
      <w:r>
        <w:rPr>
          <w:rFonts w:ascii="IRNazanin" w:hAnsi="IRNazanin" w:eastAsia="IRNazanin"/>
          <w:color w:val="111111"/>
          <w:sz w:val="28"/>
          <w:sz w:val="28"/>
          <w:szCs w:val="28"/>
          <w:rtl w:val="true"/>
          <w:lang w:bidi="fa-IR"/>
        </w:rPr>
        <w:t xml:space="preserve">و المصباح المنیر </w:t>
      </w:r>
      <w:r>
        <w:rPr>
          <w:rStyle w:val="FootnoteAnchor"/>
          <w:rtl w:val="true"/>
        </w:rPr>
        <w:footnoteReference w:id="906"/>
      </w:r>
      <w:r>
        <w:rPr>
          <w:rFonts w:ascii="IRNazanin" w:hAnsi="IRNazanin" w:eastAsia="IRNazanin"/>
          <w:color w:val="111111"/>
          <w:sz w:val="28"/>
          <w:sz w:val="28"/>
          <w:szCs w:val="28"/>
          <w:rtl w:val="true"/>
          <w:lang w:bidi="fa-IR"/>
        </w:rPr>
        <w:t xml:space="preserve">و مجمع البحرین </w:t>
      </w:r>
      <w:r>
        <w:rPr>
          <w:rStyle w:val="FootnoteAnchor"/>
          <w:rtl w:val="true"/>
        </w:rPr>
        <w:footnoteReference w:id="907"/>
      </w:r>
      <w:r>
        <w:rPr>
          <w:rFonts w:ascii="IRNazanin" w:hAnsi="IRNazanin" w:eastAsia="IRNazanin"/>
          <w:color w:val="111111"/>
          <w:sz w:val="28"/>
          <w:sz w:val="28"/>
          <w:szCs w:val="28"/>
          <w:rtl w:val="true"/>
          <w:lang w:bidi="fa-IR"/>
        </w:rPr>
        <w:t>أو ثبوت أحکام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یجعل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أنّ اللّٰه عزّ و جلّ لم یحرِّم الخمر لاسمها، و لکن لعاقبتها، فما کان عاقبته عاقبة الخمر فهو خمر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السیاق الإلحاق فی التحریم دون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ففیما ذکرنا من الإجماعات و الأخبار غنیةٌ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ها هنا أخباراً کثیرة تبلغ اثنی عشر </w:t>
      </w:r>
      <w:r>
        <w:rPr>
          <w:rStyle w:val="FootnoteAnchor"/>
          <w:rtl w:val="true"/>
        </w:rPr>
        <w:footnoteReference w:id="909"/>
      </w:r>
      <w:r>
        <w:rPr>
          <w:rFonts w:ascii="IRNazanin" w:hAnsi="IRNazanin" w:eastAsia="IRNazanin"/>
          <w:color w:val="111111"/>
          <w:sz w:val="28"/>
          <w:sz w:val="28"/>
          <w:szCs w:val="28"/>
          <w:rtl w:val="true"/>
          <w:lang w:bidi="fa-IR"/>
        </w:rPr>
        <w:t xml:space="preserve">کلّها مخالفة لما ذکر فی طهارة الخمر و غیرها من المسکرات؛ و لذا ذهب الصدوق </w:t>
      </w:r>
      <w:r>
        <w:rPr>
          <w:rStyle w:val="FootnoteAnchor"/>
          <w:rtl w:val="true"/>
        </w:rPr>
        <w:footnoteReference w:id="910"/>
      </w:r>
      <w:r>
        <w:rPr>
          <w:rFonts w:ascii="IRNazanin" w:hAnsi="IRNazanin" w:eastAsia="IRNazanin"/>
          <w:color w:val="111111"/>
          <w:sz w:val="28"/>
          <w:sz w:val="28"/>
          <w:szCs w:val="28"/>
          <w:rtl w:val="true"/>
          <w:lang w:bidi="fa-IR"/>
        </w:rPr>
        <w:t xml:space="preserve">و والده فی الرسالة </w:t>
      </w:r>
      <w:r>
        <w:rPr>
          <w:rStyle w:val="FootnoteAnchor"/>
          <w:rtl w:val="true"/>
        </w:rPr>
        <w:footnoteReference w:id="911"/>
      </w:r>
      <w:r>
        <w:rPr>
          <w:rFonts w:ascii="IRNazanin" w:hAnsi="IRNazanin" w:eastAsia="IRNazanin"/>
          <w:color w:val="111111"/>
          <w:sz w:val="28"/>
          <w:sz w:val="28"/>
          <w:szCs w:val="28"/>
          <w:rtl w:val="true"/>
          <w:lang w:bidi="fa-IR"/>
        </w:rPr>
        <w:t xml:space="preserve">و جماعة علی ما فی الروض </w:t>
      </w:r>
      <w:r>
        <w:rPr>
          <w:rStyle w:val="FootnoteAnchor"/>
          <w:rtl w:val="true"/>
        </w:rPr>
        <w:footnoteReference w:id="912"/>
      </w:r>
      <w:r>
        <w:rPr>
          <w:rFonts w:ascii="IRNazanin" w:hAnsi="IRNazanin" w:eastAsia="IRNazanin"/>
          <w:color w:val="111111"/>
          <w:sz w:val="28"/>
          <w:sz w:val="28"/>
          <w:szCs w:val="28"/>
          <w:rtl w:val="true"/>
          <w:lang w:bidi="fa-IR"/>
        </w:rPr>
        <w:t xml:space="preserve">إلی ذلک، و هو ظاهر المقدّس الأردبیلی أو صریحه </w:t>
      </w:r>
      <w:r>
        <w:rPr>
          <w:rStyle w:val="FootnoteAnchor"/>
          <w:rtl w:val="true"/>
        </w:rPr>
        <w:footnoteReference w:id="913"/>
      </w:r>
      <w:r>
        <w:rPr>
          <w:rFonts w:ascii="IRNazanin" w:hAnsi="IRNazanin" w:eastAsia="IRNazanin"/>
          <w:color w:val="111111"/>
          <w:sz w:val="28"/>
          <w:sz w:val="28"/>
          <w:szCs w:val="28"/>
          <w:rtl w:val="true"/>
          <w:lang w:bidi="fa-IR"/>
        </w:rPr>
        <w:t xml:space="preserve">، و تبعه أصحاب المدارک </w:t>
      </w:r>
      <w:r>
        <w:rPr>
          <w:rStyle w:val="FootnoteAnchor"/>
          <w:rtl w:val="true"/>
        </w:rPr>
        <w:footnoteReference w:id="914"/>
      </w:r>
      <w:r>
        <w:rPr>
          <w:rFonts w:ascii="IRNazanin" w:hAnsi="IRNazanin" w:eastAsia="IRNazanin"/>
          <w:color w:val="111111"/>
          <w:sz w:val="28"/>
          <w:sz w:val="28"/>
          <w:szCs w:val="28"/>
          <w:rtl w:val="true"/>
          <w:lang w:bidi="fa-IR"/>
        </w:rPr>
        <w:t xml:space="preserve">و الذخیرة </w:t>
      </w:r>
      <w:r>
        <w:rPr>
          <w:rStyle w:val="FootnoteAnchor"/>
          <w:rtl w:val="true"/>
        </w:rPr>
        <w:footnoteReference w:id="915"/>
      </w:r>
      <w:r>
        <w:rPr>
          <w:rFonts w:ascii="IRNazanin" w:hAnsi="IRNazanin" w:eastAsia="IRNazanin"/>
          <w:color w:val="111111"/>
          <w:sz w:val="28"/>
          <w:sz w:val="28"/>
          <w:szCs w:val="28"/>
          <w:rtl w:val="true"/>
          <w:lang w:bidi="fa-IR"/>
        </w:rPr>
        <w:t xml:space="preserve">، و المشارق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من روایة خیران الخادم </w:t>
      </w:r>
      <w:r>
        <w:rPr>
          <w:rStyle w:val="FootnoteAnchor"/>
          <w:rtl w:val="true"/>
        </w:rPr>
        <w:footnoteReference w:id="917"/>
      </w:r>
      <w:r>
        <w:rPr>
          <w:rFonts w:ascii="IRNazanin" w:hAnsi="IRNazanin" w:eastAsia="IRNazanin"/>
          <w:color w:val="111111"/>
          <w:sz w:val="28"/>
          <w:sz w:val="28"/>
          <w:szCs w:val="28"/>
          <w:rtl w:val="true"/>
          <w:lang w:bidi="fa-IR"/>
        </w:rPr>
        <w:t>وجود الخلاف فی المسألة بین القدماء من أصحاب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ضعیف، و الأخبار محمولة علی التقیّة من أُمراء الوقت و الوزراء و جهّال بنی أُمیّة و بنی عبّاس، کما عن الحبل المتین </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اشتهار النجاسة بین علمائهم لا یدفع التقیّة من الأئمة علیهم السلام فی إظهارها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الأصحاب حملوا أخبار طهارة الخمر و المسکر علی التقیّة </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من فتوی ربیعة الرأی الموجود فی زمن الصادق علیه السلام و هو من شیوخ مالک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 فی الحکومة بین أخبار الطرفین روایة علی بن مهزیار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عبد اللّٰه بن محمّد إلی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روی عن زرارة عن أبی جعفر علیه السلام و أبی عبد اللّٰه علیه السلام فی الخمر یصیب الثوب،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یصلی فیه إنّما حرم شربها، و روی عن زرارة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ثوبک خمر أو نبیذ یعنی المسکر فاغسله إن عرفت موضعه، و إن لم تعرف موضعه فاغسله </w:t>
      </w:r>
      <w:r>
        <w:rPr>
          <w:rStyle w:val="FootnoteAnchor"/>
          <w:rtl w:val="true"/>
        </w:rPr>
        <w:footnoteReference w:id="921"/>
      </w:r>
      <w:r>
        <w:rPr>
          <w:rFonts w:ascii="IRNazanin" w:hAnsi="IRNazanin" w:eastAsia="IRNazanin"/>
          <w:color w:val="111111"/>
          <w:sz w:val="28"/>
          <w:sz w:val="28"/>
          <w:szCs w:val="28"/>
          <w:rtl w:val="true"/>
          <w:lang w:bidi="fa-IR"/>
        </w:rPr>
        <w:t>، و إن صلّیت فیه فأعد صلاتک فأعلمنی ما آخذ به؟ فوقّع علیه السلام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بقول أبی عبد اللّٰه علیه السلام</w:t>
      </w:r>
      <w:r>
        <w:rPr>
          <w:rFonts w:eastAsia="IRNazanin" w:cs="IRNazanin"/>
          <w:color w:val="111111"/>
          <w:sz w:val="28"/>
          <w:szCs w:val="28"/>
          <w:rtl w:val="true"/>
          <w:lang w:bidi="fa-IR"/>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خیران الخادم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الرجل علیه السلام أسأله عن الثوب یصیبه الخمر و لحم الخنزیر، أ یصلّی فیه أم لا، فإنّ أصحابنا قد اختلفوا فیه؟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فیه فإنّه 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فأخبار الطهارة لا تعارض أخبار النجاسة، و توهّم حملها علی الاستحباب،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بإباء کثیرٍ منها لذلک،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علی التقیّة؛ مع ما عرفت من 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الأصحاب علی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أجاد فی الذکری حیث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القائل بالطهارة تمسّک بأخبارٍ لا تعارض القطعی </w:t>
      </w:r>
      <w:r>
        <w:rPr>
          <w:rStyle w:val="FootnoteAnchor"/>
          <w:rtl w:val="true"/>
        </w:rPr>
        <w:footnoteReference w:id="924"/>
      </w:r>
      <w:r>
        <w:rPr>
          <w:rFonts w:ascii="IRNazanin" w:hAnsi="IRNazanin" w:eastAsia="IRNazanin"/>
          <w:color w:val="111111"/>
          <w:sz w:val="28"/>
          <w:sz w:val="28"/>
          <w:szCs w:val="28"/>
          <w:rtl w:val="true"/>
          <w:lang w:bidi="fa-IR"/>
        </w:rPr>
        <w:t xml:space="preserve">، فمن العجب شکّ المحقّق فی المقام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ربما یتمسّک فی نجاسة الخمر بقوله تعالی إِنَّمَا الْخَمْرُ وَ الْمَیْسِرُ وَ الْأَنْصٰابُ وَ الْأَزْلٰامُ رِجْسٌ مِنْ عَمَلِ الشَّیْطٰانِ فَاجْتَنِبُوهُ </w:t>
      </w:r>
      <w:r>
        <w:rPr>
          <w:rStyle w:val="FootnoteAnchor"/>
          <w:rtl w:val="true"/>
        </w:rPr>
        <w:footnoteReference w:id="926"/>
      </w:r>
      <w:r>
        <w:rPr>
          <w:rFonts w:ascii="IRNazanin" w:hAnsi="IRNazanin" w:eastAsia="IRNazanin"/>
          <w:color w:val="111111"/>
          <w:sz w:val="28"/>
          <w:sz w:val="28"/>
          <w:szCs w:val="28"/>
          <w:rtl w:val="true"/>
          <w:lang w:bidi="fa-IR"/>
        </w:rPr>
        <w:t xml:space="preserve">و فی دلالتها نظر؛ حیث إنّ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بقرینة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و جعلها من عمل الشیطان، هو شربها، فیصیر الرجس شربها لا عینها، فتعیّن حمل الرجس علی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قضیّة تقیید المسکر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المائع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ما انجمد منه بالعرض، و الظاهر أنّه إجماعی، و یکفی فی دلیله الاستصحاب</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الجامد بالأصالة کما هو المعروف بل عن</w:t>
      </w:r>
    </w:p>
    <w:p>
      <w:pPr>
        <w:pStyle w:val="BookText"/>
        <w:rPr/>
      </w:pP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علیه </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بنجاسة المسکرات مخصوص عند الأصحاب بالمائع منها بالأصالة </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مقطوع به بین الأصحاب </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کلّهم علیه </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شرح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ظهور الخلاف فی ذلک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بعد اختصاص ما تقدّم من أدلّة نجاستها من الإجماع و الأخبار بالمائع، کما لا یخفی علی من 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الأخبار للمائع بالعرض،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انصراف إطلاقها إلی المائع بالذات، فبقی المائع بالعرض علی أصالة الطهارة و استصحابها، مضافاً إلی عدم القول بالفرق بین قسمی الجامد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المحکیّ عن المصنّف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لفّق قیاساً غلطاً لطهارة الخمر تشحیذاً للأذهان،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المسکر لا یجب إزالته للصلاة بالإجماع؛ لوقوع الخلاف فیه، و کلّ نجس تجب إزالته إجماعاً، ینتج أنّ المسکر لیس بنجس</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الإجماع فی المقدّمة الأُولی جزءٌ للمحمول، بمعنی أنّ المنفی هو الوجوب الإجماعی، و فی الثانیة جهةٌ للقضیّة و قیدٌ للربط، فلم یتّحد الأوسط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فی 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یحسم مادّة الشبهة؛ لأنّ جهة القضیّة یمکن أن تجعل جزءاً من المحمول و تصدق معها القضیّة أیضاً، و کما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نجس یجب إزالته إجماعاً، یصدق کلّ نجسٍ ضروریٌّ أو قطعیٌّ وجوب إزالته، و المفروض أنّ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لیس قطعیّ الوجوب، فتکرّر 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هو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الجهة التی یمکن أن تجعل جزءاً للمحمول مع صدق القضیّة و صدق جهتها، هی إحدی الجهات الثلاث،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الضرورة و الإمکان و الامتناع، لا جهات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 و الظنّ و متعلّقاتها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البداهة و الاکتساب،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أربعة زوج بالضرورة، إذا جعلنا الضرورة فیه جزءاً للمحمول،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أربعة ضروریّ الزوجیّة، فحینئذٍ إن أُرید أنّ کلّ أربعة یحکم العقل علیها بالزوجیّة ضرورةً إذا تصوّر بعنوان مفهوم الأربعة الکلّی،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العقل هذه القضیّة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أربعة زوج یحکم حکماً بدیهیّاً بها، بحیث یسری إلی الأفراد، فصدقها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أُرید أنّ کلّ أربعة بأیّ وجهٍ تصوّرت یحکم علیها العقل بالزوجیّة بدیهةً، فممنوع، و السند ظاهر؛ فإنّ الدراهم الأربعة التی فی کیس زید إذا لم یعلم أنّها أربعة و تصوّرناها بعنوان أنّها فی کیس زید، لم یحکم علیها بالبدیهة أنّها زوج، و لا یحکم علیها بها فی ضمن الحکم بأنّ کلّ أربعة زوج؛ و السرّ فی ذلک أنّ ملاحظة الشی‌ء بالعنوانات المختلفة قد یکون لها أثرٌ فی تعلّق علمنا بأحواله و صفاته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جعل الإجماع فی المقدّمة الثانیة جزءاً من المحمول</w:t>
      </w:r>
    </w:p>
    <w:p>
      <w:pPr>
        <w:pStyle w:val="BookText"/>
        <w:rPr/>
      </w:pPr>
      <w:r>
        <w:rPr>
          <w:rFonts w:ascii="IRNazanin" w:hAnsi="IRNazanin" w:eastAsia="IRNazanin"/>
          <w:color w:val="111111"/>
          <w:sz w:val="28"/>
          <w:sz w:val="28"/>
          <w:szCs w:val="28"/>
          <w:rtl w:val="true"/>
          <w:lang w:bidi="fa-IR"/>
        </w:rPr>
        <w:t>لمّا کان ظاهر الفساد، لم یتعرّض لها العلّامة فی الجواب، 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فی المقدّمة الأُولی جزءٌ للمحمول قطعاً، و لا یمکن أن یکون جهةً و إلّا لزم الکذب، و حینئذٍ، فإن جعلنا الإجماع فی الثانیة جهةً صرفة لم یتکرّر الأوسط، و إن جعلناه جزءاً من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الکبری النجس الواقعی لم تصدق؛ لاحتمال أن یکون لیس نجساً عند بعض المجمعین، فلیس وجوب إزالته إجماعاً، و إن أُرید النجس المجمع علی نجاسته، فحاصل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المسکر لا یکون نجساً مجمعاً علی نجاسته، و لا ینفع،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کما عن جماعةٍ مستفیضاً أنّ فی حکم المسکر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عصیر </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غلا و 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أکثر أصحابنا، کالمفید و الشیخ و السیّد و أبی الصلاح و سلّار و ابن إدریس </w:t>
      </w:r>
      <w:r>
        <w:rPr>
          <w:rStyle w:val="FootnoteAnchor"/>
          <w:rtl w:val="true"/>
        </w:rPr>
        <w:footnoteReference w:id="935"/>
      </w:r>
      <w:r>
        <w:rPr>
          <w:rFonts w:ascii="IRNazanin" w:hAnsi="IRNazanin" w:eastAsia="IRNazanin"/>
          <w:color w:val="111111"/>
          <w:sz w:val="28"/>
          <w:sz w:val="28"/>
          <w:szCs w:val="28"/>
          <w:rtl w:val="true"/>
          <w:lang w:bidi="fa-IR"/>
        </w:rPr>
        <w:t>، بل عن 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أطعمة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علی أنّ عصیر العنب إذا غلی حکمه حکم المسکر </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کذلک؛ إذ القائل </w:t>
      </w:r>
      <w:r>
        <w:rPr>
          <w:rStyle w:val="FootnoteAnchor"/>
          <w:rtl w:val="true"/>
        </w:rPr>
        <w:footnoteReference w:id="938"/>
      </w:r>
      <w:r>
        <w:rPr>
          <w:rFonts w:ascii="IRNazanin" w:hAnsi="IRNazanin" w:eastAsia="IRNazanin"/>
          <w:color w:val="111111"/>
          <w:sz w:val="28"/>
          <w:sz w:val="28"/>
          <w:szCs w:val="28"/>
          <w:rtl w:val="true"/>
          <w:lang w:bidi="fa-IR"/>
        </w:rPr>
        <w:t xml:space="preserve">بالطهارة من القائلین بنجاسة المسکر غیر معلوم، کما یظهر من المختلف </w:t>
      </w:r>
      <w:r>
        <w:rPr>
          <w:rStyle w:val="FootnoteAnchor"/>
          <w:rtl w:val="true"/>
        </w:rPr>
        <w:footnoteReference w:id="939"/>
      </w:r>
      <w:r>
        <w:rPr>
          <w:rFonts w:ascii="IRNazanin" w:hAnsi="IRNazanin" w:eastAsia="IRNazanin"/>
          <w:color w:val="111111"/>
          <w:sz w:val="28"/>
          <w:sz w:val="28"/>
          <w:szCs w:val="28"/>
          <w:rtl w:val="true"/>
          <w:lang w:bidi="fa-IR"/>
        </w:rPr>
        <w:t>و لذا قال فی المقاصد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تحقّق القولین فی المسألة غیر معلوم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 ذلک فقد اختار الطهارة فی شرح القواعد المنسوب إلیه </w:t>
      </w:r>
      <w:r>
        <w:rPr>
          <w:rStyle w:val="FootnoteAnchor"/>
          <w:rtl w:val="true"/>
        </w:rPr>
        <w:footnoteReference w:id="941"/>
      </w:r>
      <w:r>
        <w:rPr>
          <w:rFonts w:ascii="IRNazanin" w:hAnsi="IRNazanin" w:eastAsia="IRNazanin"/>
          <w:color w:val="111111"/>
          <w:sz w:val="28"/>
          <w:sz w:val="28"/>
          <w:szCs w:val="28"/>
          <w:rtl w:val="true"/>
          <w:lang w:bidi="fa-IR"/>
        </w:rPr>
        <w:t xml:space="preserve">تبعاً للعمانی </w:t>
      </w:r>
      <w:r>
        <w:rPr>
          <w:rStyle w:val="FootnoteAnchor"/>
          <w:rtl w:val="true"/>
        </w:rPr>
        <w:footnoteReference w:id="942"/>
      </w:r>
      <w:r>
        <w:rPr>
          <w:rFonts w:ascii="IRNazanin" w:hAnsi="IRNazanin" w:eastAsia="IRNazanin"/>
          <w:color w:val="111111"/>
          <w:sz w:val="28"/>
          <w:sz w:val="28"/>
          <w:szCs w:val="28"/>
          <w:rtl w:val="true"/>
          <w:lang w:bidi="fa-IR"/>
        </w:rPr>
        <w:t xml:space="preserve">و الشهید فی الدروس </w:t>
      </w:r>
      <w:r>
        <w:rPr>
          <w:rStyle w:val="FootnoteAnchor"/>
          <w:rtl w:val="true"/>
        </w:rPr>
        <w:footnoteReference w:id="943"/>
      </w:r>
      <w:r>
        <w:rPr>
          <w:rFonts w:ascii="IRNazanin" w:hAnsi="IRNazanin" w:eastAsia="IRNazanin"/>
          <w:color w:val="111111"/>
          <w:sz w:val="28"/>
          <w:sz w:val="28"/>
          <w:szCs w:val="28"/>
          <w:rtl w:val="true"/>
          <w:lang w:bidi="fa-IR"/>
        </w:rPr>
        <w:t>، بل الذکری، حیث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حکم المسکرات العصیر إذا غلا و اشتدّ عند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مع الغلیان حتّی یذهب ثلثاه، و لا ینجس إلّا مع الاشتداد، کأنه یری الشدّة المطربة؛ إذ الثخانة حاصلة بمجرّد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توقّف الفاضل فی نهایته، و لم نقف لغیرهم علی قولٍ بالنجاسة، و لا دلیل علی نجاسة غیر المسکر </w:t>
      </w:r>
      <w:r>
        <w:rPr>
          <w:rStyle w:val="FootnoteAnchor"/>
          <w:rtl w:val="true"/>
        </w:rPr>
        <w:footnoteReference w:id="94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تبعهم فی ذلک المحقّق الأردبیلی </w:t>
      </w:r>
      <w:r>
        <w:rPr>
          <w:rStyle w:val="FootnoteAnchor"/>
          <w:rtl w:val="true"/>
        </w:rPr>
        <w:footnoteReference w:id="945"/>
      </w:r>
      <w:r>
        <w:rPr>
          <w:rFonts w:ascii="IRNazanin" w:hAnsi="IRNazanin" w:eastAsia="IRNazanin"/>
          <w:color w:val="111111"/>
          <w:sz w:val="28"/>
          <w:sz w:val="28"/>
          <w:szCs w:val="28"/>
          <w:rtl w:val="true"/>
          <w:lang w:bidi="fa-IR"/>
        </w:rPr>
        <w:t xml:space="preserve">و تلمیذاه </w:t>
      </w:r>
      <w:r>
        <w:rPr>
          <w:rStyle w:val="FootnoteAnchor"/>
          <w:rtl w:val="true"/>
        </w:rPr>
        <w:footnoteReference w:id="946"/>
      </w:r>
      <w:r>
        <w:rPr>
          <w:rFonts w:ascii="IRNazanin" w:hAnsi="IRNazanin" w:eastAsia="IRNazanin"/>
          <w:color w:val="111111"/>
          <w:sz w:val="28"/>
          <w:sz w:val="28"/>
          <w:szCs w:val="28"/>
          <w:rtl w:val="true"/>
          <w:lang w:bidi="fa-IR"/>
        </w:rPr>
        <w:t xml:space="preserve">و کاشف اللثام </w:t>
      </w:r>
      <w:r>
        <w:rPr>
          <w:rStyle w:val="FootnoteAnchor"/>
          <w:rtl w:val="true"/>
        </w:rPr>
        <w:footnoteReference w:id="947"/>
      </w:r>
      <w:r>
        <w:rPr>
          <w:rFonts w:ascii="IRNazanin" w:hAnsi="IRNazanin" w:eastAsia="IRNazanin"/>
          <w:color w:val="111111"/>
          <w:sz w:val="28"/>
          <w:sz w:val="28"/>
          <w:szCs w:val="28"/>
          <w:rtl w:val="true"/>
          <w:lang w:bidi="fa-IR"/>
        </w:rPr>
        <w:t xml:space="preserve">و أصحاب الذخیرة </w:t>
      </w:r>
      <w:r>
        <w:rPr>
          <w:rStyle w:val="FootnoteAnchor"/>
          <w:rtl w:val="true"/>
        </w:rPr>
        <w:footnoteReference w:id="948"/>
      </w:r>
      <w:r>
        <w:rPr>
          <w:rFonts w:ascii="IRNazanin" w:hAnsi="IRNazanin" w:eastAsia="IRNazanin"/>
          <w:color w:val="111111"/>
          <w:sz w:val="28"/>
          <w:sz w:val="28"/>
          <w:szCs w:val="28"/>
          <w:rtl w:val="true"/>
          <w:lang w:bidi="fa-IR"/>
        </w:rPr>
        <w:t xml:space="preserve">و المفاتیح </w:t>
      </w:r>
      <w:r>
        <w:rPr>
          <w:rStyle w:val="FootnoteAnchor"/>
          <w:rtl w:val="true"/>
        </w:rPr>
        <w:footnoteReference w:id="949"/>
      </w:r>
      <w:r>
        <w:rPr>
          <w:rFonts w:ascii="IRNazanin" w:hAnsi="IRNazanin" w:eastAsia="IRNazanin"/>
          <w:color w:val="111111"/>
          <w:sz w:val="28"/>
          <w:sz w:val="28"/>
          <w:szCs w:val="28"/>
          <w:rtl w:val="true"/>
          <w:lang w:bidi="fa-IR"/>
        </w:rPr>
        <w:t xml:space="preserve">و الحدائق </w:t>
      </w:r>
      <w:r>
        <w:rPr>
          <w:rStyle w:val="FootnoteAnchor"/>
          <w:rtl w:val="true"/>
        </w:rPr>
        <w:footnoteReference w:id="950"/>
      </w:r>
      <w:r>
        <w:rPr>
          <w:rFonts w:ascii="IRNazanin" w:hAnsi="IRNazanin" w:eastAsia="IRNazanin"/>
          <w:color w:val="111111"/>
          <w:sz w:val="28"/>
          <w:sz w:val="28"/>
          <w:szCs w:val="28"/>
          <w:rtl w:val="true"/>
          <w:lang w:bidi="fa-IR"/>
        </w:rPr>
        <w:t xml:space="preserve">و الریاض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الأرجح فی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 لموثّقة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p>
    <w:p>
      <w:pPr>
        <w:pStyle w:val="BookText"/>
        <w:rPr/>
      </w:pPr>
      <w:r>
        <w:rPr>
          <w:rFonts w:ascii="IRNazanin" w:hAnsi="IRNazanin" w:eastAsia="IRNazanin"/>
          <w:color w:val="111111"/>
          <w:sz w:val="28"/>
          <w:sz w:val="28"/>
          <w:szCs w:val="28"/>
          <w:rtl w:val="true"/>
          <w:lang w:bidi="fa-IR"/>
        </w:rPr>
        <w:t>أبا عبد اللّٰه علیه السلام عن الرجل من أهل المعرفة، یأتینی بالبختج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طبخ علی الثلث، و أنا أعلم أنّه یشربه علی النصف، أ فأشربه بقوله و هو یشربه علی النصف؟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لا تشربه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 xml:space="preserve">فإنّ حمل الخمر علیه إمّا حقیقة کما نقل عن جماعة من الخاصّة و العامّة </w:t>
      </w:r>
      <w:r>
        <w:rPr>
          <w:rStyle w:val="FootnoteAnchor"/>
          <w:rtl w:val="true"/>
        </w:rPr>
        <w:footnoteReference w:id="953"/>
      </w:r>
      <w:r>
        <w:rPr>
          <w:rFonts w:ascii="IRNazanin" w:hAnsi="IRNazanin" w:eastAsia="IRNazanin"/>
          <w:color w:val="111111"/>
          <w:sz w:val="28"/>
          <w:sz w:val="28"/>
          <w:szCs w:val="28"/>
          <w:rtl w:val="true"/>
          <w:lang w:bidi="fa-IR"/>
        </w:rPr>
        <w:t>، بل عن 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فی عصیر العنب إجماعاً </w:t>
      </w:r>
      <w:r>
        <w:rPr>
          <w:rStyle w:val="FootnoteAnchor"/>
          <w:rtl w:val="true"/>
        </w:rPr>
        <w:footnoteReference w:id="954"/>
      </w:r>
      <w:r>
        <w:rPr>
          <w:rFonts w:ascii="IRNazanin" w:hAnsi="IRNazanin" w:eastAsia="IRNazanin"/>
          <w:color w:val="111111"/>
          <w:sz w:val="28"/>
          <w:sz w:val="28"/>
          <w:szCs w:val="28"/>
          <w:rtl w:val="true"/>
          <w:lang w:bidi="fa-IR"/>
        </w:rPr>
        <w:t>و إمّا للمشابهة الموجبة لثبوت الأحکام الظاهرة، و منها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الخدشة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بخلوّ الروایة علی ما فی الکافی </w:t>
      </w:r>
      <w:r>
        <w:rPr>
          <w:rStyle w:val="FootnoteAnchor"/>
          <w:rtl w:val="true"/>
        </w:rPr>
        <w:footnoteReference w:id="955"/>
      </w:r>
      <w:r>
        <w:rPr>
          <w:rFonts w:ascii="IRNazanin" w:hAnsi="IRNazanin" w:eastAsia="IRNazanin"/>
          <w:color w:val="111111"/>
          <w:sz w:val="28"/>
          <w:sz w:val="28"/>
          <w:szCs w:val="28"/>
          <w:rtl w:val="true"/>
          <w:lang w:bidi="fa-IR"/>
        </w:rPr>
        <w:t xml:space="preserve">عن ذکر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أضبط من الشیخ، مردودة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عدم الزیادة حتّی من الشیخ الذی یکثر منه الخلل، کما قیل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والد الصدوق بمضمونها فی رسالته إلی ولده، التی هی کالروایات المنقولة بالمعنی،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اعلم أنّ أصل الخمر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أصابته النار أو غلا من غیر أن تمسّه فیصیر أعلاه أسفله فهو خمر، فلا یحلّ شربه حتّی یذهب ثلثاه </w:t>
      </w:r>
      <w:r>
        <w:rPr>
          <w:rStyle w:val="FootnoteAnchor"/>
          <w:rtl w:val="true"/>
        </w:rPr>
        <w:footnoteReference w:id="95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من الاستشهاد به فتواه بکونه خمراً، و إلّا فالصدوق و والده علی طهارة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إرادة التشبیه فی مجرّد الحرمة؛ فإنّه خلاف الظاهر، مع أنّه لا یبعد أن تکون الحرمة لأجل النجاسة إذ لیس فیه إسکار، فلیس عاقبته عاقبة الخمر حتّی تحرم لا من حیث النجاسة،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واحد ممّا دلّ علی أنّه لا خیر فی العصیر إذا غلا حتّی یذهب ثلثاه </w:t>
      </w:r>
      <w:r>
        <w:rPr>
          <w:rStyle w:val="FootnoteAnchor"/>
          <w:rtl w:val="true"/>
        </w:rPr>
        <w:footnoteReference w:id="958"/>
      </w:r>
      <w:r>
        <w:rPr>
          <w:rFonts w:ascii="IRNazanin" w:hAnsi="IRNazanin" w:eastAsia="IRNazanin"/>
          <w:color w:val="111111"/>
          <w:sz w:val="28"/>
          <w:sz w:val="28"/>
          <w:szCs w:val="28"/>
          <w:rtl w:val="true"/>
          <w:lang w:bidi="fa-IR"/>
        </w:rPr>
        <w:t xml:space="preserve">، و ما عن العیون بسنده إلی ابن مسلم </w:t>
      </w:r>
      <w:r>
        <w:rPr>
          <w:rStyle w:val="FootnoteAnchor"/>
          <w:rtl w:val="true"/>
        </w:rPr>
        <w:footnoteReference w:id="959"/>
      </w:r>
      <w:r>
        <w:rPr>
          <w:rFonts w:ascii="IRNazanin" w:hAnsi="IRNazanin" w:eastAsia="IRNazanin"/>
          <w:color w:val="111111"/>
          <w:sz w:val="28"/>
          <w:sz w:val="28"/>
          <w:szCs w:val="28"/>
          <w:rtl w:val="true"/>
          <w:lang w:bidi="fa-IR"/>
        </w:rPr>
        <w:t xml:space="preserve">، و فیه حکایة منازعة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نوح علی نبیّنا و آله و علیه السلام فی شجرة العنب حتّی أعطی الشیطان الثلثین و جعل لنفسه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فوق الثلث من طبخها فلإبلیس و هو حظّه، و ما کان من الثلث فما دونه فهو لنوح علیه السلام و هو حظّه، و ذلک الحلال الطیّب فیشرب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 xml:space="preserve">فإنّ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الخبیث، فیدلّ علی أنّ الزائد عن الثلث حرام خبیث، و الخباثة المغایرة للحرمة لیست إلّا النجاسة الظاهریّة، فتأمّل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الأخبار الأُخر الحاکیة لقصّة نوح علی نبیّنا و آله و علیه السلام و إبلیس لعنه اللّٰه، و فی ذیلها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هنا طاب الطلاء علی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961"/>
      </w:r>
      <w:r>
        <w:rPr>
          <w:rFonts w:ascii="IRNazanin" w:hAnsi="IRNazanin" w:eastAsia="IRNazanin"/>
          <w:color w:val="111111"/>
          <w:sz w:val="28"/>
          <w:sz w:val="28"/>
          <w:szCs w:val="28"/>
          <w:rtl w:val="true"/>
          <w:lang w:bidi="fa-IR"/>
        </w:rPr>
        <w:t>و الطلاء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دلالتهما علی المطلوب بل تأییدهما له نظر، سیّما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الأخبار الحاکیة لقصّتی آدم و نوح علی نبیّنا و آله و علیهما السلام مع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أصل تحریم الخمر و الدالّة علی أنّ تلک الواقعة منشأ تحریم الخمر دلالةٌ واضحة علی أنّ عصیر العنب إذا غلا بالنار أو نشّ بنفسه فحکمه حکم الخمر إلّا أن یذهب ثلثاه أو یصیر خلًا </w:t>
      </w:r>
      <w:r>
        <w:rPr>
          <w:rStyle w:val="FootnoteAnchor"/>
          <w:rtl w:val="true"/>
        </w:rPr>
        <w:footnoteReference w:id="962"/>
      </w:r>
      <w:r>
        <w:rPr>
          <w:rFonts w:ascii="IRNazanin" w:hAnsi="IRNazanin" w:eastAsia="IRNazanin"/>
          <w:color w:val="111111"/>
          <w:sz w:val="28"/>
          <w:sz w:val="28"/>
          <w:szCs w:val="28"/>
          <w:rtl w:val="true"/>
          <w:lang w:bidi="fa-IR"/>
        </w:rPr>
        <w:t>، بل عرفت أنّه لا یبعد أن یدّعی أنّ حرمته من حیث النجاسة و لیس کالخمر فی کون تحریمه لأجل الإسکار، کما یستفاد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اعتبار الاشتداد زائداً علی الغلیان، و المراد منه کما هو ظاهر جماعة اشتداد نفس العصیر،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ثخونته و قوامه، کما هو الظاهر من محکیّ المعتبر </w:t>
      </w:r>
      <w:r>
        <w:rPr>
          <w:rStyle w:val="FootnoteAnchor"/>
          <w:rtl w:val="true"/>
        </w:rPr>
        <w:footnoteReference w:id="963"/>
      </w:r>
      <w:r>
        <w:rPr>
          <w:rFonts w:ascii="IRNazanin" w:hAnsi="IRNazanin" w:eastAsia="IRNazanin"/>
          <w:color w:val="111111"/>
          <w:sz w:val="28"/>
          <w:sz w:val="28"/>
          <w:szCs w:val="28"/>
          <w:rtl w:val="true"/>
          <w:lang w:bidi="fa-IR"/>
        </w:rPr>
        <w:t xml:space="preserve">و التذکرة </w:t>
      </w:r>
      <w:r>
        <w:rPr>
          <w:rStyle w:val="FootnoteAnchor"/>
          <w:rtl w:val="true"/>
        </w:rPr>
        <w:footnoteReference w:id="964"/>
      </w:r>
      <w:r>
        <w:rPr>
          <w:rFonts w:ascii="IRNazanin" w:hAnsi="IRNazanin" w:eastAsia="IRNazanin"/>
          <w:color w:val="111111"/>
          <w:sz w:val="28"/>
          <w:sz w:val="28"/>
          <w:szCs w:val="28"/>
          <w:rtl w:val="true"/>
          <w:lang w:bidi="fa-IR"/>
        </w:rPr>
        <w:t>حیث عنونا صورة الغلیان قبل الاشتداد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الشهید فی الذکری </w:t>
      </w:r>
      <w:r>
        <w:rPr>
          <w:rStyle w:val="FootnoteAnchor"/>
          <w:rtl w:val="true"/>
        </w:rPr>
        <w:footnoteReference w:id="965"/>
      </w:r>
      <w:r>
        <w:rPr>
          <w:rFonts w:ascii="IRNazanin" w:hAnsi="IRNazanin" w:eastAsia="IRNazanin"/>
          <w:color w:val="111111"/>
          <w:sz w:val="28"/>
          <w:sz w:val="28"/>
          <w:szCs w:val="28"/>
          <w:rtl w:val="true"/>
          <w:lang w:bidi="fa-IR"/>
        </w:rPr>
        <w:t xml:space="preserve">و المحکیّ عن المحقّق الثانی </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مسمّی الثخونة الحاصلة بمجرّد الغلیان و لو لم یحسّ بها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فخر الدین فی حاشیة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الجمهور الشدّة المطربة، و عندنا أن یصیر أسفله أعلاه بالغلیان </w:t>
      </w:r>
      <w:r>
        <w:rPr>
          <w:rStyle w:val="FootnoteAnchor"/>
          <w:rtl w:val="true"/>
        </w:rPr>
        <w:footnoteReference w:id="96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به القلب المفسَّر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حمّاد بن عثمان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أن یکون مراد المصنّف و المحقّق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و یکون مرادهما ممّا بعد الغلیان و قبل الاشتداد هو ما إذا غلا ضعیفاً و لم یحصل القلب؛ و إلّا فیبعد عدم اطّلاع الفخر علی ما ذکره والده و 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لذا ذکر فی حاشیة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بالثخونة غیر ظاهر من الأصحاب </w:t>
      </w:r>
      <w:r>
        <w:rPr>
          <w:rStyle w:val="FootnoteAnchor"/>
          <w:rtl w:val="true"/>
        </w:rPr>
        <w:footnoteReference w:id="969"/>
      </w:r>
      <w:r>
        <w:rPr>
          <w:rFonts w:ascii="IRNazanin" w:hAnsi="IRNazanin" w:eastAsia="IRNazanin"/>
          <w:color w:val="111111"/>
          <w:sz w:val="28"/>
          <w:sz w:val="28"/>
          <w:szCs w:val="28"/>
          <w:rtl w:val="true"/>
          <w:lang w:bidi="fa-IR"/>
        </w:rPr>
        <w:t>، و مراده الثخونة المحسوسة التی تحصل بعد زمان طویل مسمّاها، الحاصلة بمجرّد القلب و انجذاب بعض 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الظاهر من الشهیدین فی الذکری </w:t>
      </w:r>
      <w:r>
        <w:rPr>
          <w:rStyle w:val="FootnoteAnchor"/>
          <w:rtl w:val="true"/>
        </w:rPr>
        <w:footnoteReference w:id="970"/>
      </w:r>
      <w:r>
        <w:rPr>
          <w:rFonts w:ascii="IRNazanin" w:hAnsi="IRNazanin" w:eastAsia="IRNazanin"/>
          <w:color w:val="111111"/>
          <w:sz w:val="28"/>
          <w:sz w:val="28"/>
          <w:szCs w:val="28"/>
          <w:rtl w:val="true"/>
          <w:lang w:bidi="fa-IR"/>
        </w:rPr>
        <w:t xml:space="preserve">و الروض </w:t>
      </w:r>
      <w:r>
        <w:rPr>
          <w:rStyle w:val="FootnoteAnchor"/>
          <w:rtl w:val="true"/>
        </w:rPr>
        <w:footnoteReference w:id="971"/>
      </w:r>
      <w:r>
        <w:rPr>
          <w:rFonts w:ascii="IRNazanin" w:hAnsi="IRNazanin" w:eastAsia="IRNazanin"/>
          <w:color w:val="111111"/>
          <w:sz w:val="28"/>
          <w:sz w:val="28"/>
          <w:szCs w:val="28"/>
          <w:rtl w:val="true"/>
          <w:lang w:bidi="fa-IR"/>
        </w:rPr>
        <w:t>إرادة المحقّق فی المعتبر الثخونة العرفیّة المحسوسة الغیر الحاصلة بمجرّد الغلیان، سیّما فی ما غلا بنفسه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فالعمدة فی مدرک النجاسة لمّا کانت هی الموثّقة المتقدّمة </w:t>
      </w:r>
      <w:r>
        <w:rPr>
          <w:rStyle w:val="FootnoteAnchor"/>
          <w:rtl w:val="true"/>
        </w:rPr>
        <w:footnoteReference w:id="972"/>
      </w:r>
      <w:r>
        <w:rPr>
          <w:rFonts w:ascii="IRNazanin" w:hAnsi="IRNazanin" w:eastAsia="IRNazanin"/>
          <w:color w:val="111111"/>
          <w:sz w:val="28"/>
          <w:sz w:val="28"/>
          <w:szCs w:val="28"/>
          <w:rtl w:val="true"/>
          <w:lang w:bidi="fa-IR"/>
        </w:rPr>
        <w:t xml:space="preserve">المختصّة بما بعد الثخونة المحسوسة و فتوی المشهور المتیقَّن منها هذا الفرد، کان الاقتصار فی مخالفة الأصل علیها أولی و إن کان الإطلاق لا یخلو عن قوّة؛ نظراً إلی إطلاق المحکیّ فی المختلف عن الأکثر </w:t>
      </w:r>
      <w:r>
        <w:rPr>
          <w:rStyle w:val="FootnoteAnchor"/>
          <w:rtl w:val="true"/>
        </w:rPr>
        <w:footnoteReference w:id="973"/>
      </w:r>
      <w:r>
        <w:rPr>
          <w:rFonts w:ascii="IRNazanin" w:hAnsi="IRNazanin" w:eastAsia="IRNazanin"/>
          <w:color w:val="111111"/>
          <w:sz w:val="28"/>
          <w:sz w:val="28"/>
          <w:szCs w:val="28"/>
          <w:rtl w:val="true"/>
          <w:lang w:bidi="fa-IR"/>
        </w:rPr>
        <w:t>، مع ما عرفت من حاشیة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ظهور تفسیر الاشتداد بالثخونة من الأصحاب، و من</w:t>
      </w:r>
    </w:p>
    <w:p>
      <w:pPr>
        <w:pStyle w:val="BookText"/>
        <w:rPr/>
      </w:pPr>
      <w:r>
        <w:rPr>
          <w:rFonts w:ascii="IRNazanin" w:hAnsi="IRNazanin" w:eastAsia="IRNazanin"/>
          <w:color w:val="111111"/>
          <w:sz w:val="28"/>
          <w:sz w:val="28"/>
          <w:szCs w:val="28"/>
          <w:rtl w:val="true"/>
          <w:lang w:bidi="fa-IR"/>
        </w:rPr>
        <w:t>حاشیة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عندنا صیرورة أسفله أعلاه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المحکیّ عن ابن حمزة تخصیص النجاسة بما إذا غلا بنفسه، فلو غلا بالنار حرم و لم ینجس </w:t>
      </w:r>
      <w:r>
        <w:rPr>
          <w:rStyle w:val="FootnoteAnchor"/>
          <w:rtl w:val="true"/>
        </w:rPr>
        <w:footnoteReference w:id="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نقف له علی مأخذ؛ و لعلّه 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لاختماره حینئذٍ، و لما یظهر من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جواز ترک نبیذ التمر و نقیع الزبیب حتّی ینشّ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لا یلحق بالعنب الزبیب، بل الأقوی طهارته، بل عن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لا أعلم قائلًا بنجاسته </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لا خلاف فی طهارته </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شرح الوسائل لبعض معاصری 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الإجماع منعقد علی عدم نجاسة عصیر غیر العنب </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المقاصد العلیّة جعل الطهارة أصحّ القولین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فیکفی فی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لعدم الدلیل علی النجاسة و الحرمة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یرد علیه ما ذکره العلّامة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استصحاب حکمه الثابت له حال العنبیّة </w:t>
      </w:r>
      <w:r>
        <w:rPr>
          <w:rStyle w:val="FootnoteAnchor"/>
          <w:rtl w:val="true"/>
        </w:rPr>
        <w:footnoteReference w:id="981"/>
      </w:r>
      <w:r>
        <w:rPr>
          <w:rFonts w:ascii="IRNazanin" w:hAnsi="IRNazanin" w:eastAsia="IRNazanin"/>
          <w:color w:val="111111"/>
          <w:sz w:val="28"/>
          <w:sz w:val="28"/>
          <w:szCs w:val="28"/>
          <w:rtl w:val="true"/>
          <w:lang w:bidi="fa-IR"/>
        </w:rPr>
        <w:t>لتغیّر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بناءً علی عدم صدق العصیر</w:t>
      </w:r>
    </w:p>
    <w:p>
      <w:pPr>
        <w:pStyle w:val="BookText"/>
        <w:rPr/>
      </w:pPr>
      <w:r>
        <w:rPr>
          <w:rFonts w:ascii="IRNazanin" w:hAnsi="IRNazanin" w:eastAsia="IRNazanin"/>
          <w:color w:val="111111"/>
          <w:sz w:val="28"/>
          <w:sz w:val="28"/>
          <w:szCs w:val="28"/>
          <w:rtl w:val="true"/>
          <w:lang w:bidi="fa-IR"/>
        </w:rPr>
        <w:t>علی المستخرج من الزبیب فواضح، و أمّا بناءً علی تسلیم الصدق؛ فلأنّ المعتصر من العنب مغایر للماء المطلق الممزوج بالأجزاء اللطیفة من الزبیب، و إن سلّمنا صدق العصیر علی کلٍّ منهما لکنّه لا ینفع مع تغایر عصیر العنب لعصیر الزبیب، و بالجملة فالأمر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یجاب عن هذا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المستصحب تعلیقیٌّ، و هی حرمة ماء العنب لو غلا، و هو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لیس من الاستصحاب التعلیقی، بل هو استصحاب حکمٍ شرعیٍّ تنجیزی،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سببیّة غلیانه للحرمة و استلزامه لها، فالمستصحب هو الاستلزام المنجّز، لا ثبوت اللازم المعلّق، و تمام الکلام فی محلّه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أضعف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معارضة استصحاب النجاسة لاستصحاب الطهارة قبل الغلیان مع ترجیح الثانی بالمرجّحات، و لا یخفی أنّ الاستصحاب الأوّل وارد علی الثانی،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علی تقدیر القول بالحرمة، و إلّا فلا إشکال فی الطهارة علی القول بالحلّیة علی ما هو المشهور، کما عن جماعة </w:t>
      </w:r>
      <w:r>
        <w:rPr>
          <w:rStyle w:val="FootnoteAnchor"/>
          <w:rtl w:val="true"/>
        </w:rPr>
        <w:footnoteReference w:id="983"/>
      </w:r>
      <w:r>
        <w:rPr>
          <w:rFonts w:ascii="IRNazanin" w:hAnsi="IRNazanin" w:eastAsia="IRNazanin"/>
          <w:color w:val="111111"/>
          <w:sz w:val="28"/>
          <w:sz w:val="28"/>
          <w:szCs w:val="28"/>
          <w:rtl w:val="true"/>
          <w:lang w:bidi="fa-IR"/>
        </w:rPr>
        <w:t>، و عن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کادت تکون إجماعاً لا لصحیحة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علیه السلام کان یعجبه الزبیبة</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إذ لم یعلم کیفیّة طبخه، فلعلّه کان علی وجهٍ لا ینافی دعوی الخصم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لذهاب ثلثیه بل أزید بالشمس کما استدلّ به الشهیدان فی</w:t>
      </w:r>
    </w:p>
    <w:p>
      <w:pPr>
        <w:pStyle w:val="BookText"/>
        <w:rPr/>
      </w:pPr>
      <w:r>
        <w:rPr>
          <w:rFonts w:ascii="IRNazanin" w:hAnsi="IRNazanin" w:eastAsia="IRNazanin"/>
          <w:color w:val="111111"/>
          <w:sz w:val="28"/>
          <w:sz w:val="28"/>
          <w:szCs w:val="28"/>
          <w:rtl w:val="true"/>
          <w:lang w:bidi="fa-IR"/>
        </w:rPr>
        <w:t xml:space="preserve">الدروس </w:t>
      </w:r>
      <w:r>
        <w:rPr>
          <w:rStyle w:val="FootnoteAnchor"/>
          <w:rtl w:val="true"/>
        </w:rPr>
        <w:footnoteReference w:id="985"/>
      </w:r>
      <w:r>
        <w:rPr>
          <w:rFonts w:ascii="IRNazanin" w:hAnsi="IRNazanin" w:eastAsia="IRNazanin"/>
          <w:color w:val="111111"/>
          <w:sz w:val="28"/>
          <w:sz w:val="28"/>
          <w:szCs w:val="28"/>
          <w:rtl w:val="true"/>
          <w:lang w:bidi="fa-IR"/>
        </w:rPr>
        <w:t xml:space="preserve">و المسالک </w:t>
      </w:r>
      <w:r>
        <w:rPr>
          <w:rStyle w:val="FootnoteAnchor"/>
          <w:rtl w:val="true"/>
        </w:rPr>
        <w:footnoteReference w:id="986"/>
      </w:r>
      <w:r>
        <w:rPr>
          <w:rFonts w:ascii="IRNazanin" w:hAnsi="IRNazanin" w:eastAsia="IRNazanin"/>
          <w:color w:val="111111"/>
          <w:sz w:val="28"/>
          <w:sz w:val="28"/>
          <w:szCs w:val="28"/>
          <w:rtl w:val="true"/>
          <w:lang w:bidi="fa-IR"/>
        </w:rPr>
        <w:t xml:space="preserve">و غیرهما </w:t>
      </w:r>
      <w:r>
        <w:rPr>
          <w:rStyle w:val="FootnoteAnchor"/>
          <w:rtl w:val="true"/>
        </w:rPr>
        <w:footnoteReference w:id="987"/>
      </w:r>
      <w:r>
        <w:rPr>
          <w:rFonts w:ascii="IRNazanin" w:hAnsi="IRNazanin" w:eastAsia="IRNazanin"/>
          <w:color w:val="111111"/>
          <w:sz w:val="28"/>
          <w:sz w:val="28"/>
          <w:szCs w:val="28"/>
          <w:rtl w:val="true"/>
          <w:lang w:bidi="fa-IR"/>
        </w:rPr>
        <w:t>لأنّ المحرِّم له هو غلیانه، فلا یجدیه ذهاب الثلثین قبل حصول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الغلیان و القلب بالشمس، غیر ثابتة مطلقاً أو فی الجملة؛ فإنّ منها ما یحطّ بالظلّ، مع أنّ صدق العصیر علی ما فی حبّات العنب محلّ کلام، مع 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قوّة حرمة العصیر إذا نشّ و غلا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للأصل السالم عن الوارد، عدا ما عرفت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استصحاب حکم العنب، و عموم ما دلّ علی حرمة کلّ عصیرٍ غلا حتّی یذهب ثلثاه </w:t>
      </w:r>
      <w:r>
        <w:rPr>
          <w:rStyle w:val="FootnoteAnchor"/>
          <w:rtl w:val="true"/>
        </w:rPr>
        <w:footnoteReference w:id="988"/>
      </w:r>
      <w:r>
        <w:rPr>
          <w:rFonts w:ascii="IRNazanin" w:hAnsi="IRNazanin" w:eastAsia="IRNazanin"/>
          <w:color w:val="111111"/>
          <w:sz w:val="28"/>
          <w:sz w:val="28"/>
          <w:szCs w:val="28"/>
          <w:rtl w:val="true"/>
          <w:lang w:bidi="fa-IR"/>
        </w:rPr>
        <w:t>، و خصوص کثیرٍ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روایة علیّ بن جعفر عن أخیه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الزبیب، هل یصلح أن یطبخ حتّی یخرج طعمه ثمّ یؤخذ ذلک فیطبخ حتّی یذهب ثلثاه و یبقی الثلث ثمّ یرفع و یشرب منه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موثّقة عمّار الساباطی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الزبیب، کیف طَبْخه حتّی یشرب حلالًا؟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ربعاً عن زبیب فتنقیه ثمّ تطرح علیه اثنی عشر رطلًا من الماء ثمّ تنقعه لیلة، فإذا کان من الغد نزعت سلافته ثمّ تصبّ علیه الماء قدر ما یغمره ثمّ تغلیه فی النار غلیة ثمّ تنزع ماءه فتصبّه فی الماء الأوّل ثمّ تطرحه فی إناءٍ واحد جمیعاً، ثمّ توقد تحته</w:t>
      </w:r>
    </w:p>
    <w:p>
      <w:pPr>
        <w:pStyle w:val="BookText"/>
        <w:rPr/>
      </w:pPr>
      <w:r>
        <w:rPr>
          <w:rFonts w:ascii="IRNazanin" w:hAnsi="IRNazanin" w:eastAsia="IRNazanin"/>
          <w:color w:val="111111"/>
          <w:sz w:val="28"/>
          <w:sz w:val="28"/>
          <w:szCs w:val="28"/>
          <w:rtl w:val="true"/>
          <w:lang w:bidi="fa-IR"/>
        </w:rPr>
        <w:t xml:space="preserve">النار حتّی یذهب الثلثان و یبقی الثلث و تحته النار، ثمّ تأخذ رطلًا من عسل فتغلیه بالنار غلیة و تنزع رغوته ثمّ تطرحه علی المطبوخ ثمّ تضربه حتّی یختلط به، و اطرح فیه إن شئت زعفراناً، و طیِّبه إن شئت بزنجبیل قلیل هذا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أن تقسّمه أثلاثاً لتطبخه فکِلْه لشی‌ءٍ </w:t>
      </w:r>
      <w:r>
        <w:rPr>
          <w:rStyle w:val="FootnoteAnchor"/>
          <w:rtl w:val="true"/>
        </w:rPr>
        <w:footnoteReference w:id="991"/>
      </w:r>
      <w:r>
        <w:rPr>
          <w:rFonts w:ascii="IRNazanin" w:hAnsi="IRNazanin" w:eastAsia="IRNazanin"/>
          <w:color w:val="111111"/>
          <w:sz w:val="28"/>
          <w:sz w:val="28"/>
          <w:szCs w:val="28"/>
          <w:rtl w:val="true"/>
          <w:lang w:bidi="fa-IR"/>
        </w:rPr>
        <w:t xml:space="preserve">واحد حتّی تعلم کم هو، ثمّ اطرح علیه الأوّل فی الإناء الذی تغلیه فیه </w:t>
      </w:r>
      <w:r>
        <w:rPr>
          <w:rStyle w:val="FootnoteAnchor"/>
          <w:rtl w:val="true"/>
        </w:rPr>
        <w:footnoteReference w:id="992"/>
      </w:r>
      <w:r>
        <w:rPr>
          <w:rFonts w:ascii="IRNazanin" w:hAnsi="IRNazanin" w:eastAsia="IRNazanin"/>
          <w:color w:val="111111"/>
          <w:sz w:val="28"/>
          <w:sz w:val="28"/>
          <w:szCs w:val="28"/>
          <w:rtl w:val="true"/>
          <w:lang w:bidi="fa-IR"/>
        </w:rPr>
        <w:t xml:space="preserve">مقداراً، و حدّه حیث یبلغ الماء، ثمّ اطرح الثلث الآخر، و حدّه حیث بلغ الماء، ثمّ یطرح الآخر ثمّ حدّه </w:t>
      </w:r>
      <w:r>
        <w:rPr>
          <w:rStyle w:val="FootnoteAnchor"/>
          <w:rtl w:val="true"/>
        </w:rPr>
        <w:footnoteReference w:id="993"/>
      </w:r>
      <w:r>
        <w:rPr>
          <w:rFonts w:ascii="IRNazanin" w:hAnsi="IRNazanin" w:eastAsia="IRNazanin"/>
          <w:color w:val="111111"/>
          <w:sz w:val="28"/>
          <w:sz w:val="28"/>
          <w:szCs w:val="28"/>
          <w:rtl w:val="true"/>
          <w:lang w:bidi="fa-IR"/>
        </w:rPr>
        <w:t xml:space="preserve">ثمّ توقد تحته بنارٍ لیّنة حتّی یذهب ثلثاه و یبقی ثلثه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أُخری 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وصف المطبوخ حتّی یشرب حلالًا،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ربعاً من زبیب و تنقّیه و تصبّ علیه اثنی عشر رطلًا من الماء، ثمّ أنقعه لیلة، فإذا کان أیّام الصیف و خشیت أن ینشّ فاجعله فی تنّورٍ مسجور حتّی لا ینشّ، ثمّ تنزع منه الماء کلّه إذا احتجت، ثمّ تصبّ علیه من الماء بقدر ما یغمره، ثمّ تغلیه حتّی تذهب حلاوته، ثمّ تنزع ماءه الآخر فتصبّه علی الماء الأوّل، ثمّ تکیله فتنظر کم الماء، ثمّ تکیل ثلثه و تطرحه فی</w:t>
      </w:r>
    </w:p>
    <w:p>
      <w:pPr>
        <w:pStyle w:val="BookText"/>
        <w:rPr/>
      </w:pPr>
      <w:r>
        <w:rPr>
          <w:rFonts w:ascii="IRNazanin" w:hAnsi="IRNazanin" w:eastAsia="IRNazanin"/>
          <w:color w:val="111111"/>
          <w:sz w:val="28"/>
          <w:sz w:val="28"/>
          <w:szCs w:val="28"/>
          <w:rtl w:val="true"/>
          <w:lang w:bidi="fa-IR"/>
        </w:rPr>
        <w:t xml:space="preserve">الإناء الذی ترید أن تغلیه فیه و تقدّره و تجعل قدره قصبة أو عوداً فتحدّها علی قدر منتهی الماء، ثمّ تصبّ </w:t>
      </w:r>
      <w:r>
        <w:rPr>
          <w:rStyle w:val="FootnoteAnchor"/>
          <w:rtl w:val="true"/>
        </w:rPr>
        <w:footnoteReference w:id="995"/>
      </w:r>
      <w:r>
        <w:rPr>
          <w:rFonts w:ascii="IRNazanin" w:hAnsi="IRNazanin" w:eastAsia="IRNazanin"/>
          <w:color w:val="111111"/>
          <w:sz w:val="28"/>
          <w:sz w:val="28"/>
          <w:szCs w:val="28"/>
          <w:rtl w:val="true"/>
          <w:lang w:bidi="fa-IR"/>
        </w:rPr>
        <w:t>الثلث الآخر حتّی یذهب الماء الباقی، ثمّ تغلیه بالنار و لا تزال تغلیه حتّی یذهب الثلثان و یبقی الثلث</w:t>
      </w:r>
      <w:r>
        <w:rPr>
          <w:rFonts w:eastAsia="IRNazanin" w:cs="IRNazanin"/>
          <w:color w:val="111111"/>
          <w:sz w:val="28"/>
          <w:szCs w:val="28"/>
          <w:rtl w:val="true"/>
          <w:lang w:bidi="fa-IR"/>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إسماعیل بن الفضل الهاشمی قریب منها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زید النرسی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الزبیب یدقّ و یلقی فی القدر و یصبّ علیه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حتّی تذهب ثلثاه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الزبیب کما هو یلقی فی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سواء، إذا أدّت الحلاوة إلی الماء فقد فسد، کلّ ما غلا بنفسه أو بالنار فقد حرم حتّی یذهب ثلثاه</w:t>
      </w:r>
      <w:r>
        <w:rPr>
          <w:rFonts w:eastAsia="IRNazanin" w:cs="IRNazanin"/>
          <w:color w:val="111111"/>
          <w:sz w:val="28"/>
          <w:szCs w:val="28"/>
          <w:rtl w:val="true"/>
          <w:lang w:bidi="fa-IR"/>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أخبار منازعة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آدم و نوح علی نبیّنا و آله و علیهما السلام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أخبار العصیر، فیتوقّف دلالتها علی شمول العصیر وضعاً و انصرافاً لمحلّ الکلام، و هو ممنوع</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بالغ فی الحدائق </w:t>
      </w:r>
      <w:r>
        <w:rPr>
          <w:rStyle w:val="FootnoteAnchor"/>
          <w:rtl w:val="true"/>
        </w:rPr>
        <w:footnoteReference w:id="1000"/>
      </w:r>
      <w:r>
        <w:rPr>
          <w:rFonts w:ascii="IRNazanin" w:hAnsi="IRNazanin" w:eastAsia="IRNazanin"/>
          <w:color w:val="111111"/>
          <w:sz w:val="28"/>
          <w:sz w:val="28"/>
          <w:szCs w:val="28"/>
          <w:rtl w:val="true"/>
          <w:lang w:bidi="fa-IR"/>
        </w:rPr>
        <w:t xml:space="preserve">فی إنکار ذلک مدّعیاً أنّ الشرع و العرف و اللغة علی خلافه، و أنّ ما یؤخذ من الزبیب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مستظهراً ذلک من المصباح و النهایة و القاموس و المجمع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الخمر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 من الکرم، و النقیع من الزبیب، و النبیذ من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ذکره و أتعب قلمه فی أثنائه شکر اللّٰه سعیه و إن لم یکن ظاهراً لنا، بل الذی نشاهد فی العرف صحّة إضافة العصیر إلی کلٍّ من العنب و الزبیب و التمر، و المأخوذ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لیس إلّا أن یکون فی الشی‌ء أجرامٌ مائیّة، من دون فرقٍ بین تکوّنها فیه کما فی العنب و الرمّان و نحوهما، أو لشوبه لها من الخارج کالجامدات المنقّعة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اختصاصها بالأوّل لغةً لا یقدح فی مطلب المستدلّ، و أنّ عصیر الرطب داخلٌ قطعاً، فإذا ثبت حرمته بعموم الأخبار ثبت حرمة عصیر الزبیب بالإجماع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فدعوی الاختصاص شرعاً أو لغةً بعصیر العنب مشکلة، لکن دعوی المعهودیّة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ممّا لا ینکر؛ ضرورة عدم إرادة العموم منها، و إلّا لزم التخصیص المستهجن، فلو لم ندّع ظهور العهد فی خصوص المعتصر من العنب، فلا ظهور فی المعتصر من مطلق ثمرة الکرم و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روایة علیّ بن جعفر علیه السلام فبعدم دلالتها علی التحریم قولًا و لا تقریراً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الموثّقتین، فبعدم دلالتهما علی التحریم إلّا بالتقریر، مع احتمال أن یکون السؤال عن کیفیّة طبخ الزبیب حتّی یبقی علی الحلّیة و لا یصیر</w:t>
      </w:r>
    </w:p>
    <w:p>
      <w:pPr>
        <w:pStyle w:val="BookText"/>
        <w:rPr/>
      </w:pPr>
      <w:r>
        <w:rPr>
          <w:rFonts w:ascii="IRNazanin" w:hAnsi="IRNazanin" w:eastAsia="IRNazanin"/>
          <w:color w:val="111111"/>
          <w:sz w:val="28"/>
          <w:sz w:val="28"/>
          <w:szCs w:val="28"/>
          <w:rtl w:val="true"/>
          <w:lang w:bidi="fa-IR"/>
        </w:rPr>
        <w:t>خمراً بواسطة اختماره بالأجزاء المائیّة الکائنة فیه، و کأنّ هذا المقدار من الطبخ کان شائعاً لخاصّیة نضج الأشربة، بل حکی أنّ میاه الثمار الحلوة جمیعاً بعد غلیانها و ذهاب ثلثیها یعتریها الإسکار بسبب تطاول الأزمان بعد ذهاب الثلثین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طبخ العصیر الثلث مع العسل حتّی یذهب ثلثاه </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أیضاً قوله فی روایة الهاشمی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شراب طیّب لا یتغیّر إذا بقی أثره</w:t>
      </w:r>
      <w:r>
        <w:rPr>
          <w:rFonts w:eastAsia="IRNazanin" w:cs="IRNazanin"/>
          <w:color w:val="111111"/>
          <w:sz w:val="28"/>
          <w:szCs w:val="28"/>
          <w:rtl w:val="true"/>
          <w:lang w:bidi="fa-IR"/>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روایة یزید فضعیفة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أخبار نزاع إبلیس مع آدم و نوح علی نبیّنا و آله و علیهما السلام فظاهرها تحریم الخمر أو مع العصیر، کما یظهر من قوله علیه السلام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أخذت عصیراً فاطبخه حتّی یذهب ثلثاه</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و فی بعضها الآخر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هنا طاب الطلاء علی الثلث</w:t>
      </w:r>
      <w:r>
        <w:rPr>
          <w:rFonts w:eastAsia="IRNazanin" w:cs="IRNazanin"/>
          <w:color w:val="111111"/>
          <w:sz w:val="28"/>
          <w:szCs w:val="28"/>
          <w:rtl w:val="true"/>
          <w:lang w:bidi="fa-IR"/>
        </w:rPr>
        <w:t xml:space="preserve">» </w:t>
      </w:r>
      <w:r>
        <w:rPr>
          <w:rStyle w:val="FootnoteAnchor"/>
          <w:rtl w:val="true"/>
        </w:rPr>
        <w:footnoteReference w:id="1005"/>
      </w:r>
      <w:r>
        <w:rPr>
          <w:rFonts w:ascii="IRNazanin" w:hAnsi="IRNazanin" w:eastAsia="IRNazanin"/>
          <w:color w:val="111111"/>
          <w:sz w:val="28"/>
          <w:sz w:val="28"/>
          <w:szCs w:val="28"/>
          <w:rtl w:val="true"/>
          <w:lang w:bidi="fa-IR"/>
        </w:rPr>
        <w:t>و الطلا علی ما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عصیر العنب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ففی الخروج بتلک الأخبار عمّا علیه المشهور مشکل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حکی عن المصابیح للسیّد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شهرة القدماء بل الشهرة المطلقة؛ نظراً إلی روایة قدماء أصحابنا الرواة لأخبار التحریم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 xml:space="preserve">و الأخبار المتقدّمة و نحوها فی خصوص نقیع الزبیب </w:t>
      </w:r>
      <w:r>
        <w:rPr>
          <w:rStyle w:val="FootnoteAnchor"/>
          <w:rtl w:val="true"/>
        </w:rPr>
        <w:footnoteReference w:id="1008"/>
      </w:r>
      <w:r>
        <w:rPr>
          <w:rFonts w:ascii="IRNazanin" w:hAnsi="IRNazanin" w:eastAsia="IRNazanin"/>
          <w:color w:val="111111"/>
          <w:sz w:val="28"/>
          <w:sz w:val="28"/>
          <w:szCs w:val="28"/>
          <w:rtl w:val="true"/>
          <w:lang w:bidi="fa-IR"/>
        </w:rPr>
        <w:t xml:space="preserve">بناءً علی أنّ مذاهبهم تعلم من روایاتهم الظاهرة الدلالة التی أوردوها فی کتبهم من غیر معارض ظاهر، و نظراً إلی إطلاق جملةٍ من فتاوی فقهائنا المتأخّرین عن الشیخ بحرمة العصیر؛ بناءً علی ثبوته لمحلّ الکلام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ما فی جمیع ذلک من التکلّف المدفوع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فقهاءنا أعرف بمذاهب القدماء، مع أنّهم </w:t>
      </w:r>
      <w:r>
        <w:rPr>
          <w:rStyle w:val="FootnoteAnchor"/>
          <w:rtl w:val="true"/>
        </w:rPr>
        <w:footnoteReference w:id="1010"/>
      </w:r>
      <w:r>
        <w:rPr>
          <w:rFonts w:ascii="IRNazanin" w:hAnsi="IRNazanin" w:eastAsia="IRNazanin"/>
          <w:color w:val="111111"/>
          <w:sz w:val="28"/>
          <w:sz w:val="28"/>
          <w:szCs w:val="28"/>
          <w:rtl w:val="true"/>
          <w:lang w:bidi="fa-IR"/>
        </w:rPr>
        <w:t>لم ینقل القول بالحرمة عن أحدٍ منهم فی الکتب الموضوعة لنقل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حکاه الشهید عن بعض مشایخه،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 بعض قدمائنا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فالقول بالطهارة لا یخلو عن قوّة، إلّا أنّ الاحتیاط الشدید فی الاجتناب؛ لظهور الموثّقتین فی المطلب، سیّما مع أنّ الظاهر منهما وجوب المداقّة فی إذهاب الثلثین و تحدید مقدار العصیر بقصبة أو عود؛ فإنّ ذلک لا یقتضی أن یکون إذهاب الثلثین لمجرّد الأمن عن الفساد، سیّما مع صراحة روایة زید النرسی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کتابه بما ذکره الصدوق و شیخه ابن الولید معارض بما ذکره ابن الغضائری الطاعن فی کثیرٍ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تخلیط الصدوق فی ذلک و أنّ الکتاب المذکور رواه ابن أبی عمیر </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الشیخ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روی عنه ابن أبی عمیر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أنّ فی روایة العلل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نزاع إبلیس،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الشجرة لی، قال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لی منها؟ قال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الثلثان، فمن هنا طاب الطلاء علی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دلالةً علی وجوب تثلیث ثمرة الکرم مطلقاً عند الغلیان، من غیر فرق بین رطبه و یابسه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یدّعی ذهاب ثلثیه بالشمس، و فیه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یستفاد من الأخبار المذکورة فی الکافی </w:t>
      </w:r>
      <w:r>
        <w:rPr>
          <w:rStyle w:val="FootnoteAnchor"/>
          <w:rtl w:val="true"/>
        </w:rPr>
        <w:footnoteReference w:id="1015"/>
      </w:r>
      <w:r>
        <w:rPr>
          <w:rFonts w:ascii="IRNazanin" w:hAnsi="IRNazanin" w:eastAsia="IRNazanin"/>
          <w:color w:val="111111"/>
          <w:sz w:val="28"/>
          <w:sz w:val="28"/>
          <w:szCs w:val="28"/>
          <w:rtl w:val="true"/>
          <w:lang w:bidi="fa-IR"/>
        </w:rPr>
        <w:t xml:space="preserve">و غیره </w:t>
      </w:r>
      <w:r>
        <w:rPr>
          <w:rStyle w:val="FootnoteAnchor"/>
          <w:rtl w:val="true"/>
        </w:rPr>
        <w:footnoteReference w:id="1016"/>
      </w:r>
      <w:r>
        <w:rPr>
          <w:rFonts w:ascii="IRNazanin" w:hAnsi="IRNazanin" w:eastAsia="IRNazanin"/>
          <w:color w:val="111111"/>
          <w:sz w:val="28"/>
          <w:sz w:val="28"/>
          <w:szCs w:val="28"/>
          <w:rtl w:val="true"/>
          <w:lang w:bidi="fa-IR"/>
        </w:rPr>
        <w:t>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ذهاب الثلثین فی عصیر العنب و الزبیب کان أمراً مرکوزاً فی أذهان الرواة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عصیر التمر، فالمعروف أیضاً طهارته، بل عن حواشی القواعد کأنه للشهید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علی عدم جریان الحکم فی عصیر غیر العنب و الزبیب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المقاصد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یلحق به أی بالعصیر العنبی عصیر التمر و غیره إجماعاً، و لا الزبیب علی أصحّ القولین </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فی دعوی الإجماع والد البهائی فی شرح الألفیّة </w:t>
      </w:r>
      <w:r>
        <w:rPr>
          <w:rStyle w:val="FootnoteAnchor"/>
          <w:rtl w:val="true"/>
        </w:rPr>
        <w:footnoteReference w:id="1019"/>
      </w:r>
      <w:r>
        <w:rPr>
          <w:rFonts w:ascii="IRNazanin" w:hAnsi="IRNazanin" w:eastAsia="IRNazanin"/>
          <w:color w:val="111111"/>
          <w:sz w:val="28"/>
          <w:sz w:val="28"/>
          <w:szCs w:val="28"/>
          <w:rtl w:val="true"/>
          <w:lang w:bidi="fa-IR"/>
        </w:rPr>
        <w:t>، و بعض شرّاح الوسائل کما عرفت فی مسألة</w:t>
      </w:r>
    </w:p>
    <w:p>
      <w:pPr>
        <w:pStyle w:val="BookText"/>
        <w:rPr/>
      </w:pPr>
      <w:r>
        <w:rPr>
          <w:rFonts w:ascii="IRNazanin" w:hAnsi="IRNazanin" w:eastAsia="IRNazanin"/>
          <w:color w:val="111111"/>
          <w:sz w:val="28"/>
          <w:sz w:val="28"/>
          <w:szCs w:val="28"/>
          <w:rtl w:val="true"/>
          <w:lang w:bidi="fa-IR"/>
        </w:rPr>
        <w:t xml:space="preserve">الزبیب </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ادّعی علیه الإجماع صریحاً فی الحدائق </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خمسة إجماعات، مع أنّ النجاسة ساقطة بناءً علی الحلّیة، کما هو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کاد یکون إجماعاً </w:t>
      </w:r>
      <w:r>
        <w:rPr>
          <w:rStyle w:val="FootnoteAnchor"/>
          <w:rtl w:val="true"/>
        </w:rPr>
        <w:footnoteReference w:id="1022"/>
      </w:r>
      <w:r>
        <w:rPr>
          <w:rFonts w:ascii="IRNazanin" w:hAnsi="IRNazanin" w:eastAsia="IRNazanin"/>
          <w:color w:val="111111"/>
          <w:sz w:val="28"/>
          <w:sz w:val="28"/>
          <w:szCs w:val="28"/>
          <w:rtl w:val="true"/>
          <w:lang w:bidi="fa-IR"/>
        </w:rPr>
        <w:t>، بل هو إجماع کما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حکی عن بعض الفضلاء عدم الخلاف فیه أصلًا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قال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التمر إذا غلا و لم یبلغ حدّ الإسکار ففی تحریمه تردّد، و الأشبه بقاؤه علی التحلیل حتّی یبلغ </w:t>
      </w:r>
      <w:r>
        <w:rPr>
          <w:rStyle w:val="FootnoteAnchor"/>
          <w:rtl w:val="true"/>
        </w:rPr>
        <w:footnoteReference w:id="102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لأصالة الإباحة، و عموماتها الثابتة بالکتاب </w:t>
      </w:r>
      <w:r>
        <w:rPr>
          <w:rStyle w:val="FootnoteAnchor"/>
          <w:rtl w:val="true"/>
        </w:rPr>
        <w:footnoteReference w:id="1025"/>
      </w:r>
      <w:r>
        <w:rPr>
          <w:rFonts w:ascii="Amiri" w:hAnsi="Amiri" w:eastAsia="Amiri" w:cs="Amiri"/>
          <w:color w:val="111111"/>
          <w:sz w:val="28"/>
          <w:sz w:val="28"/>
          <w:szCs w:val="28"/>
          <w:rtl w:val="true"/>
          <w:lang w:bidi="ar-SA"/>
        </w:rPr>
        <w:t xml:space="preserve">و السنّة </w:t>
      </w:r>
      <w:r>
        <w:rPr>
          <w:rStyle w:val="FootnoteAnchor"/>
          <w:rtl w:val="true"/>
        </w:rPr>
        <w:footnoteReference w:id="1026"/>
      </w:r>
      <w:r>
        <w:rPr>
          <w:rFonts w:ascii="IRNazanin" w:hAnsi="IRNazanin" w:eastAsia="IRNazanin"/>
          <w:color w:val="111111"/>
          <w:sz w:val="28"/>
          <w:sz w:val="28"/>
          <w:szCs w:val="28"/>
          <w:rtl w:val="true"/>
          <w:lang w:bidi="fa-IR"/>
        </w:rPr>
        <w:t>، و خصوص روایة محمّد بن جعفر عن أبیه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رسول اللّٰه صلّی اللّٰه علیه و آله قومٌ من الیمن، فسألوه عن معالم دینهم، فأجابهم فخرج القوم بأجمعهم، فلمّا ساروا مرحلةً،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نسینا أن نسأل رسول اللّٰه صلّی اللّٰه علیه و آله و سلم عمّا هو أهمّ إلینا، فنزل القوم و بعثوا وفداً لهم فأتی الوفد رسول اللّٰه صلّی اللّٰه علیه و آله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القوم قد بعثوا بنا إلیک یسألونک عن النبیذ،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النبیذ، صفوه لی؟</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من التمر فینبذ فی إناءٍ ثمّ یصبّ الماء علیه حتّی یمتلئ ثمّ یوقد تحته حتّی ینطبخ، فإذا انطبخ أخرجوه و ألقوه فی إناءٍ آخر ثمّ صبّوا علیه ماءً آخر ثمّ یمرس، ثمّ صفّوه بثوب ثمّ یلقی فی إناءٍ ثمّ یصبّ علیه من عَکَر ما کان قبله ثمّ هدر فغلا ثمّ یسکن علی عکره،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قد أکثرت، أ فیسکر؟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مسکر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رجعوا بأنفسهم،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 سلم، فأجابهم بما أجاب الوفد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دلالة صریحة علی عدم الحرمة ما لم یسکر، و الظاهر أنّ الإسکار إنّما کان یحصل فیما وصفوه بعد إلقاء العَکَر فیه و هدره، أی غلیانه و نشیشه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 روایة الفضیل بن یسار عن مولانا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الخمر بعینها، و حرّم النبیّ صلّی اللّٰه علیه و آله و سلم من الأشربة کلّ مسکر</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لم یفرِّق بین أن یغلی النبیذ بالنار و لم یذهب ثلثاه و بین أن لا یغلی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مولی حریز عن الصادق </w:t>
      </w:r>
      <w:r>
        <w:rPr>
          <w:rStyle w:val="FootnoteAnchor"/>
          <w:rtl w:val="true"/>
        </w:rPr>
        <w:footnoteReference w:id="1029"/>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أصنع الأشربة من العسل و غیره، و إنّی </w:t>
      </w:r>
      <w:r>
        <w:rPr>
          <w:rStyle w:val="FootnoteAnchor"/>
          <w:rtl w:val="true"/>
        </w:rPr>
        <w:footnoteReference w:id="1030"/>
      </w:r>
      <w:r>
        <w:rPr>
          <w:rFonts w:ascii="IRNazanin" w:hAnsi="IRNazanin" w:eastAsia="IRNazanin"/>
          <w:color w:val="111111"/>
          <w:sz w:val="28"/>
          <w:sz w:val="28"/>
          <w:szCs w:val="28"/>
          <w:rtl w:val="true"/>
          <w:lang w:bidi="fa-IR"/>
        </w:rPr>
        <w:t>یکلّفونی فی صنعتها فأصنعها لهم، قال</w:t>
      </w:r>
    </w:p>
    <w:p>
      <w:pPr>
        <w:pStyle w:val="BookText"/>
        <w:rPr/>
      </w:pPr>
      <w:r>
        <w:rPr>
          <w:rFonts w:ascii="IRNazanin" w:hAnsi="IRNazanin" w:eastAsia="IRNazanin"/>
          <w:color w:val="111111"/>
          <w:sz w:val="28"/>
          <w:sz w:val="28"/>
          <w:szCs w:val="28"/>
          <w:rtl w:val="true"/>
          <w:lang w:bidi="fa-IR"/>
        </w:rPr>
        <w:t>اصنعها لهم و ادفعها إلیهم و هی حلال قبل أن تصیر مسکراً</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 xml:space="preserve">إلی غیر ذلک من الأخبار الدالّة علی أنّ مناط التحریم هو الإسکار دون الغلیان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 حصول السکر أو مبادیه و لو مَنْ شرب کثیره بمجرّد الغلیان و لو فی بعض الأمزجة أو بعض الأهویة و الأمکنة ممنوعة، و مجرّد احتماله لا یوجب الحکم بالتحریم، و لا یجب التفحّص و التجربة أیضاً، مع أنّه لو کان لاتّفق لبعض، و لو اتّفق لنقل و شاع، بل لو کان لأخبر به الحذّاق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الظاهر أنّ طول مکث نقیع التمر و کذا الزبیب قبل إذهاب معظم أجزائه المائیّة بإذهاب الثلثین یوجب الاختمار الموجب للإسکار؛ و قد یستعمد اختماره بوضع بعض الأجسام فیه کالعَکَرَة و ثُفل التمر و نحوهما، و قد یختمر بنفسه لتلوّث إنائه ببقیّة النقیع السابق المختمر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فلا إشکال فی التحریم لأجل الإسکار، و لکن لا توجب التحریم قبل حصوله، کما صرّح به علیه السلام فی روایة مولی حریز المتقدّمة </w:t>
      </w:r>
      <w:r>
        <w:rPr>
          <w:rStyle w:val="FootnoteAnchor"/>
          <w:rtl w:val="true"/>
        </w:rPr>
        <w:footnoteReference w:id="1033"/>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حلال قبل أن تصیر مسکراً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ضعف التمسّک للحرمة بموثّقة عمّار بن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عن النفوح العتیق </w:t>
      </w:r>
      <w:r>
        <w:rPr>
          <w:rStyle w:val="FootnoteAnchor"/>
          <w:rtl w:val="true"/>
        </w:rPr>
        <w:footnoteReference w:id="1034"/>
      </w:r>
      <w:r>
        <w:rPr>
          <w:rFonts w:ascii="IRNazanin" w:hAnsi="IRNazanin" w:eastAsia="IRNazanin"/>
          <w:color w:val="111111"/>
          <w:sz w:val="28"/>
          <w:sz w:val="28"/>
          <w:szCs w:val="28"/>
          <w:rtl w:val="true"/>
          <w:lang w:bidi="fa-IR"/>
        </w:rPr>
        <w:t>، کیف یصنع حتّی یحلّ؟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التمر فأغله حتّی</w:t>
      </w:r>
    </w:p>
    <w:p>
      <w:pPr>
        <w:pStyle w:val="BookText"/>
        <w:rPr/>
      </w:pPr>
      <w:r>
        <w:rPr>
          <w:rFonts w:ascii="IRNazanin" w:hAnsi="IRNazanin" w:eastAsia="IRNazanin"/>
          <w:color w:val="111111"/>
          <w:sz w:val="28"/>
          <w:sz w:val="28"/>
          <w:szCs w:val="28"/>
          <w:rtl w:val="true"/>
          <w:lang w:bidi="fa-IR"/>
        </w:rPr>
        <w:t>یذهب ثلثا ماء التمر</w:t>
      </w:r>
      <w:r>
        <w:rPr>
          <w:rFonts w:eastAsia="IRNazanin" w:cs="IRNazanin"/>
          <w:color w:val="111111"/>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و موثّقته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النفوح </w:t>
      </w:r>
      <w:r>
        <w:rPr>
          <w:rStyle w:val="FootnoteAnchor"/>
          <w:rtl w:val="true"/>
        </w:rPr>
        <w:footnoteReference w:id="103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یطبخ التمر حتّی یذهب ثلثاه و یبقی ثلثه، ثمّ یتمشطن</w:t>
      </w:r>
      <w:r>
        <w:rPr>
          <w:rFonts w:eastAsia="IRNazanin" w:cs="IRNazanin"/>
          <w:color w:val="111111"/>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و النفوح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مائع، ینقعون التمر و السکّر و القرنفل و التفّاح و الزعفران و أشباه ذلک فی قارورة مخصوصة فیها قَدَرٌ مخصوص من الماء و یصبرون أیّاماً حتّی ینشّ و یتخمّر؛ فإنّ الظاهر أنّ الأمر بإغلائه حتّی یذهب ثلثاه لأجل أن لا یصیر نجساً إذا نشّ و اختمر مع الأدویة الممزوجة معه؛ لما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ماء التمر و الزبیب إذا نشّ و اختمر صار مسکراً، لا للنجاسة الحاصلة بالغلیان، فکیف یعمل بالموثّقة فی ذلک مع مخالفتها للشهرة المحقّقة و الإجماعین المحکیّین المعتضدین بعدم ظهور الخلاف فی النجاسة إلّا عن شاذٍّ من متأخّری المتأخّرین </w:t>
      </w:r>
      <w:r>
        <w:rPr>
          <w:rStyle w:val="FootnoteAnchor"/>
          <w:rtl w:val="true"/>
        </w:rPr>
        <w:footnoteReference w:id="1038"/>
      </w:r>
      <w:r>
        <w:rPr>
          <w:rFonts w:ascii="IRNazanin" w:hAnsi="IRNazanin" w:eastAsia="IRNazanin"/>
          <w:color w:val="111111"/>
          <w:sz w:val="28"/>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أضعف من ذلک الاستدلال بما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الصادق علیه السلام کان عند نسائه فشمّ رائحة النفوح </w:t>
      </w:r>
      <w:r>
        <w:rPr>
          <w:rStyle w:val="FootnoteAnchor"/>
          <w:rtl w:val="true"/>
        </w:rPr>
        <w:footnoteReference w:id="103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نجعل فیه الضیّاح، فأمر به فأُهریق فی البالوعة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الضیاح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اللبن الخاثر </w:t>
      </w:r>
      <w:r>
        <w:rPr>
          <w:rStyle w:val="FootnoteAnchor"/>
          <w:rtl w:val="true"/>
        </w:rPr>
        <w:footnoteReference w:id="1041"/>
      </w:r>
      <w:r>
        <w:rPr>
          <w:rFonts w:ascii="IRNazanin" w:hAnsi="IRNazanin" w:eastAsia="IRNazanin"/>
          <w:color w:val="111111"/>
          <w:sz w:val="28"/>
          <w:sz w:val="28"/>
          <w:szCs w:val="28"/>
          <w:rtl w:val="true"/>
          <w:lang w:bidi="fa-IR"/>
        </w:rPr>
        <w:t>، و عن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الضیّاح ککتّان عطر أو عسل </w:t>
      </w:r>
      <w:r>
        <w:rPr>
          <w:rStyle w:val="FootnoteAnchor"/>
          <w:rtl w:val="true"/>
        </w:rPr>
        <w:footnoteReference w:id="1042"/>
      </w:r>
      <w:r>
        <w:rPr>
          <w:rFonts w:ascii="IRNazanin" w:hAnsi="IRNazanin" w:eastAsia="IRNazanin"/>
          <w:color w:val="111111"/>
          <w:sz w:val="28"/>
          <w:sz w:val="28"/>
          <w:szCs w:val="28"/>
          <w:rtl w:val="true"/>
          <w:lang w:bidi="fa-IR"/>
        </w:rPr>
        <w:t>، و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الخمر الممزوج بالماء </w:t>
      </w: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تدلّ الروایة علی نجاسة أصل النفوح،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النفوح کان ممّا لم یذهب ثلثا ماء تمره فاختمر فصار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إذهاب ثلثی العصیر العنبی إنّما یجب أصالةً لما دلّ من الأخبار و الإجماع </w:t>
      </w:r>
      <w:r>
        <w:rPr>
          <w:rStyle w:val="FootnoteAnchor"/>
          <w:rtl w:val="true"/>
        </w:rPr>
        <w:footnoteReference w:id="1044"/>
      </w:r>
      <w:r>
        <w:rPr>
          <w:rFonts w:ascii="IRNazanin" w:hAnsi="IRNazanin" w:eastAsia="IRNazanin"/>
          <w:color w:val="111111"/>
          <w:sz w:val="28"/>
          <w:sz w:val="28"/>
          <w:szCs w:val="28"/>
          <w:rtl w:val="true"/>
          <w:lang w:bidi="fa-IR"/>
        </w:rPr>
        <w:t xml:space="preserve">علی حرمته قبله، و دعوی شمول العصیر لما نحن فیه أضعف من دعوی شموله لنقیع الزبیب التی قد عرفت ضعفها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إذهاب ثلثی ماء التمر المستفاد من هاتین الموثّقتین فلا یبعد أن یکون علاجاً لعدم إفسادها عند النشیش و الاختمار لأجل طول المکث و لما یمتزج، کما یستفاد ذلک من مستفیض الأخبار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أیّوب بن راشد </w:t>
      </w:r>
      <w:r>
        <w:rPr>
          <w:rStyle w:val="FootnoteAnchor"/>
          <w:rtl w:val="true"/>
        </w:rPr>
        <w:footnoteReference w:id="10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البلاد یسأل الصادق علیه السلام عن النبیذ؟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یوضع فیه العَکَر؟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الشراب، و لکن انبذوه غدوةً و اشربوه بالعشیّ،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یفسد بطوننا؟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أفسد لبطنک أن تشرب ما لا یحلّ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047"/>
      </w:r>
      <w:r>
        <w:rPr>
          <w:rFonts w:ascii="Amiri" w:hAnsi="Amiri" w:eastAsia="Amiri" w:cs="Amiri"/>
          <w:color w:val="111111"/>
          <w:sz w:val="28"/>
          <w:sz w:val="28"/>
          <w:szCs w:val="28"/>
          <w:rtl w:val="true"/>
          <w:lang w:bidi="ar-SA"/>
        </w:rPr>
        <w:t>و العَکَر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دُردیّ الزیت یوجب غلیان النبیذ</w:t>
      </w:r>
    </w:p>
    <w:p>
      <w:pPr>
        <w:pStyle w:val="BookText"/>
        <w:rPr/>
      </w:pPr>
      <w:r>
        <w:rPr>
          <w:rFonts w:ascii="IRNazanin" w:hAnsi="IRNazanin" w:eastAsia="IRNazanin"/>
          <w:color w:val="111111"/>
          <w:sz w:val="28"/>
          <w:sz w:val="28"/>
          <w:szCs w:val="28"/>
          <w:rtl w:val="true"/>
          <w:lang w:bidi="fa-IR"/>
        </w:rPr>
        <w:t>و نشیشه، کما یستفاد من غیر واحدٍ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الکلبیّ النسّابة </w:t>
      </w:r>
      <w:r>
        <w:rPr>
          <w:rStyle w:val="FootnoteAnchor"/>
          <w:rtl w:val="true"/>
        </w:rPr>
        <w:footnoteReference w:id="10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 أبا عبد اللّٰه علیه السلام عن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ننبذه فنطرح فیه العکر و ما سوی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شه تلک الخمرة المنتنة</w:t>
      </w:r>
      <w:r>
        <w:rPr>
          <w:rFonts w:eastAsia="IRNazanin" w:cs="IRNazanin"/>
          <w:color w:val="111111"/>
          <w:sz w:val="28"/>
          <w:szCs w:val="28"/>
          <w:rtl w:val="true"/>
          <w:lang w:bidi="fa-IR"/>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إبراهیم بن أبی البلاد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دخل علی أبی جعفر بن الرضا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ألصق بطنی ببطنک،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یا أبا إسماعیل؟ فکشف عن بطنه و حسرت عن بطنی و ألصقت بطنی ببطنه، ثمّ أجلسنی و دعا بطبقٍ فیه زبیب فأکلت، ثمّ أخذ فی الحدیث فشکا إلیّ معدته، و عطشت فاستسقیت 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اسقیه من نبیذی، فجائتنی بنبیذٍ مریس فی قدحٍ من صفر، فشربته فوجدته أحلی من العسل،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أفسد معدتک،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تمرٌ من صدقة النبیّ صلّی اللّٰه علیه و آله یؤخذ غدوةً فیصبّ علیه الماء و تمرسه الجاریة، و أشربه علی إثر الطعام و سائر نهاری، فإذا کان اللیل أخرجته </w:t>
      </w:r>
      <w:r>
        <w:rPr>
          <w:rStyle w:val="FootnoteAnchor"/>
          <w:rtl w:val="true"/>
        </w:rPr>
        <w:footnoteReference w:id="1050"/>
      </w:r>
      <w:r>
        <w:rPr>
          <w:rFonts w:ascii="IRNazanin" w:hAnsi="IRNazanin" w:eastAsia="IRNazanin"/>
          <w:color w:val="111111"/>
          <w:sz w:val="28"/>
          <w:sz w:val="28"/>
          <w:szCs w:val="28"/>
          <w:rtl w:val="true"/>
          <w:lang w:bidi="fa-IR"/>
        </w:rPr>
        <w:t>فسقته أهل الدار،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الکوفة لا یرضون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نبیذهم؟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التمر فینقی و تلقی علیه القعوة،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القعوة؟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الدازی </w:t>
      </w:r>
      <w:r>
        <w:rPr>
          <w:rStyle w:val="FootnoteAnchor"/>
          <w:rtl w:val="true"/>
        </w:rPr>
        <w:footnoteReference w:id="1051"/>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یؤتی به من البصرة فیلقی فی هذا النبیذ حتّی یغلی و یسکن أو یسکر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ثمّ یشرب،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حرام</w:t>
      </w:r>
      <w:r>
        <w:rPr>
          <w:rFonts w:eastAsia="IRNazanin" w:cs="IRNazanin"/>
          <w:color w:val="111111"/>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 xml:space="preserve">و غیر ذلک ممّا ورد فی نبیذ التمر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 فی نقیع الزبیب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حنّان بن سدیر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یسأل أبا عبد اللّٰه علیه السلام ما تقول فی النبیذ، فإنّ أبا مریم یشربه و یزعم أنّک أمرت بشربه؟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 مریم، سألنی عن النبیذ،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حلال، و لم یسألنی عن المسکر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النبیذ الذی أذنت لأبی مریم فی شربه، أیّ شی‌ءٍ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أبی صلوات اللّٰه علیه فإنّه کان یأمر الخادم فیجی‌ء بقدحٍ و یجعل فیه زبیباً و یغسله غسلًا نقیّاً، ثمّ یجعله فی إناءٍ فیصبّ علیه ثلاثةً مثله أو أربعةً ماءً، ثمّ یجعله باللیل و یشربه بالنهار، و یجعله بالغداة و یشربه بالعشیّ، و کان یأمر الخادم بغسل الإناء فی کلّ ثلاثة أیّام کی لا یغتلم، فإن کنتم تریدون النبیذ فهذا هو النبیذ</w:t>
      </w:r>
      <w:r>
        <w:rPr>
          <w:rFonts w:eastAsia="IRNazanin" w:cs="IRNazanin"/>
          <w:color w:val="111111"/>
          <w:sz w:val="28"/>
          <w:szCs w:val="28"/>
          <w:rtl w:val="true"/>
          <w:lang w:bidi="fa-IR"/>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أسباط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رجل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 أریاح البواسیر و لیس یوافقنی إلّا شرب النبیذ،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و لما حرّم اللّٰه و رسوله صلّی اللّٰه علیه و آله و سلم یقول ذلک ثلاثاً علیک بهذا المریس الذی تمرسه باللیل و تشربه بالغداة، و تمرسه بالغداة و تشربه بالعشیّ،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ینفخ البطن،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فأدلّک علی ما هو أنفع لک من هذا، علیک بالدعاء فإنّه شفاءٌ من کلّ 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فی 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وصف مطبوخ الزبیب، أنّه إن خشیت أن ینشّ نقیع الزبیب فاجعله فی تنّور مسجور</w:t>
      </w:r>
      <w:r>
        <w:rPr>
          <w:rFonts w:eastAsia="IRNazanin" w:cs="IRNazanin"/>
          <w:color w:val="111111"/>
          <w:sz w:val="28"/>
          <w:szCs w:val="28"/>
          <w:rtl w:val="true"/>
          <w:lang w:bidi="fa-IR"/>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ممّا ربما تقف علیه ممّا یدلّ علی أنّ نقیعی الزبیب و التمر إذا حصل فیهما النشیش لطول المکث أو بالعلاج یحرم إذا اغلی </w:t>
      </w:r>
      <w:r>
        <w:rPr>
          <w:rStyle w:val="FootnoteAnchor"/>
          <w:rtl w:val="true"/>
        </w:rPr>
        <w:footnoteReference w:id="1058"/>
      </w:r>
      <w:r>
        <w:rPr>
          <w:rFonts w:ascii="IRNazanin" w:hAnsi="IRNazanin" w:eastAsia="IRNazanin"/>
          <w:color w:val="111111"/>
          <w:sz w:val="28"/>
          <w:sz w:val="28"/>
          <w:szCs w:val="28"/>
          <w:rtl w:val="true"/>
          <w:lang w:bidi="fa-IR"/>
        </w:rPr>
        <w:t xml:space="preserve">فی النار و أُذهب ثلثاه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صرّح به جماعة من الأصحاب، من </w:t>
      </w:r>
      <w:r>
        <w:rPr>
          <w:rStyle w:val="FootnoteAnchor"/>
          <w:rtl w:val="true"/>
        </w:rPr>
        <w:footnoteReference w:id="1060"/>
      </w:r>
      <w:r>
        <w:rPr>
          <w:rFonts w:ascii="IRNazanin" w:hAnsi="IRNazanin" w:eastAsia="IRNazanin"/>
          <w:color w:val="111111"/>
          <w:sz w:val="28"/>
          <w:sz w:val="28"/>
          <w:szCs w:val="28"/>
          <w:rtl w:val="true"/>
          <w:lang w:bidi="fa-IR"/>
        </w:rPr>
        <w:t>نهایة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بشرب النبیذ غیر المسکر، و هو أن ینقع التمر أو الزبیب ثمّ یشرب قبل أن یتغیّر </w:t>
      </w:r>
      <w:r>
        <w:rPr>
          <w:rStyle w:val="FootnoteAnchor"/>
          <w:rtl w:val="true"/>
        </w:rPr>
        <w:footnoteReference w:id="1061"/>
      </w:r>
      <w:r>
        <w:rPr>
          <w:rFonts w:ascii="IRNazanin" w:hAnsi="IRNazanin" w:eastAsia="IRNazanin"/>
          <w:color w:val="111111"/>
          <w:sz w:val="28"/>
          <w:sz w:val="28"/>
          <w:szCs w:val="28"/>
          <w:rtl w:val="true"/>
          <w:lang w:bidi="fa-IR"/>
        </w:rPr>
        <w:t xml:space="preserve">، و نحوه ما عن الوسیلة </w:t>
      </w:r>
      <w:r>
        <w:rPr>
          <w:rStyle w:val="FootnoteAnchor"/>
          <w:rtl w:val="true"/>
        </w:rPr>
        <w:footnoteReference w:id="1062"/>
      </w:r>
      <w:r>
        <w:rPr>
          <w:rFonts w:ascii="Amiri" w:hAnsi="Amiri" w:eastAsia="Amiri" w:cs="Amiri"/>
          <w:color w:val="111111"/>
          <w:sz w:val="28"/>
          <w:sz w:val="28"/>
          <w:szCs w:val="28"/>
          <w:rtl w:val="true"/>
          <w:lang w:bidi="ar-SA"/>
        </w:rPr>
        <w:t xml:space="preserve">و المهذّب </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یحرم المعتصر من الزبیب ما لم یحصل به نشیش، فیحلّ طبخ الزبیب علی الأصحّ </w:t>
      </w:r>
      <w:r>
        <w:rPr>
          <w:rStyle w:val="FootnoteAnchor"/>
          <w:rtl w:val="true"/>
        </w:rPr>
        <w:footnoteReference w:id="1064"/>
      </w:r>
      <w:r>
        <w:rPr>
          <w:rFonts w:ascii="IRNazanin" w:hAnsi="IRNazanin" w:eastAsia="IRNazanin"/>
          <w:color w:val="111111"/>
          <w:sz w:val="28"/>
          <w:sz w:val="28"/>
          <w:szCs w:val="28"/>
          <w:rtl w:val="true"/>
          <w:lang w:bidi="fa-IR"/>
        </w:rPr>
        <w:t xml:space="preserve">، و نحوه ما عن السرائر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الحرمة المستفادة من النصوص و الفتاوی فی ذلک لیس لأجل نفس النشیش و الغلیان حتّی یقاس علیه ما إذا غلا بالنار، بل لحصول</w:t>
      </w:r>
    </w:p>
    <w:p>
      <w:pPr>
        <w:pStyle w:val="BookText"/>
        <w:rPr/>
      </w:pPr>
      <w:r>
        <w:rPr>
          <w:rFonts w:ascii="IRNazanin" w:hAnsi="IRNazanin" w:eastAsia="IRNazanin"/>
          <w:color w:val="111111"/>
          <w:sz w:val="28"/>
          <w:sz w:val="28"/>
          <w:szCs w:val="28"/>
          <w:rtl w:val="true"/>
          <w:lang w:bidi="fa-IR"/>
        </w:rPr>
        <w:t>الإسکار أو لدخوله تحت الفقّاع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یسکر و لم یدخل تحت اسم الفقّاع لم یحرم أیضاً و إن کان بعض الأخبار مطلقاً </w:t>
      </w:r>
      <w:r>
        <w:rPr>
          <w:rStyle w:val="FootnoteAnchor"/>
          <w:rtl w:val="true"/>
        </w:rPr>
        <w:footnoteReference w:id="1066"/>
      </w:r>
      <w:r>
        <w:rPr>
          <w:rFonts w:ascii="IRNazanin" w:hAnsi="IRNazanin" w:eastAsia="IRNazanin"/>
          <w:color w:val="111111"/>
          <w:sz w:val="28"/>
          <w:sz w:val="28"/>
          <w:szCs w:val="28"/>
          <w:rtl w:val="true"/>
          <w:lang w:bidi="fa-IR"/>
        </w:rPr>
        <w:t xml:space="preserve">، إلّا أنّ التقیید یعلم من بعضها الآخر </w:t>
      </w:r>
      <w:r>
        <w:rPr>
          <w:rStyle w:val="FootnoteAnchor"/>
          <w:rtl w:val="true"/>
        </w:rPr>
        <w:footnoteReference w:id="1067"/>
      </w:r>
      <w:r>
        <w:rPr>
          <w:rFonts w:ascii="IRNazanin" w:hAnsi="IRNazanin" w:eastAsia="IRNazanin"/>
          <w:color w:val="111111"/>
          <w:sz w:val="28"/>
          <w:sz w:val="28"/>
          <w:szCs w:val="28"/>
          <w:rtl w:val="true"/>
          <w:lang w:bidi="fa-IR"/>
        </w:rPr>
        <w:t xml:space="preserve">و </w:t>
      </w:r>
      <w:r>
        <w:rPr>
          <w:rStyle w:val="FootnoteAnchor"/>
          <w:rtl w:val="true"/>
        </w:rPr>
        <w:footnoteReference w:id="1068"/>
      </w:r>
      <w:r>
        <w:rPr>
          <w:rFonts w:ascii="IRNazanin" w:hAnsi="IRNazanin" w:eastAsia="IRNazanin"/>
          <w:color w:val="111111"/>
          <w:sz w:val="28"/>
          <w:sz w:val="28"/>
          <w:szCs w:val="28"/>
          <w:rtl w:val="true"/>
          <w:lang w:bidi="fa-IR"/>
        </w:rPr>
        <w:t>ممّا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المدار علی الإسکار، مثل روایتی الفضیل و مولی حریز المتقدّمتین فی أوّل المسألة </w:t>
      </w:r>
      <w:r>
        <w:rPr>
          <w:rStyle w:val="FootnoteAnchor"/>
          <w:rtl w:val="true"/>
        </w:rPr>
        <w:footnoteReference w:id="1069"/>
      </w:r>
      <w:r>
        <w:rPr>
          <w:rFonts w:ascii="IRNazanin" w:hAnsi="IRNazanin" w:eastAsia="IRNazanin"/>
          <w:color w:val="111111"/>
          <w:sz w:val="28"/>
          <w:sz w:val="28"/>
          <w:szCs w:val="28"/>
          <w:rtl w:val="true"/>
          <w:lang w:bidi="fa-IR"/>
        </w:rPr>
        <w:t xml:space="preserve">، و غیرهما ممّا یقف علیه من راجع باب الأشربة من الکافی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کیف کان، فالقول بالتحریم ضعیف جدّاً؛ لعدم الدلیل علیه عدا الموثّقات الثلاث المتقدّمة </w:t>
      </w:r>
      <w:r>
        <w:rPr>
          <w:rStyle w:val="FootnoteAnchor"/>
          <w:rtl w:val="true"/>
        </w:rPr>
        <w:footnoteReference w:id="1071"/>
      </w:r>
      <w:r>
        <w:rPr>
          <w:rFonts w:ascii="IRNazanin" w:hAnsi="IRNazanin" w:eastAsia="IRNazanin"/>
          <w:color w:val="111111"/>
          <w:sz w:val="28"/>
          <w:sz w:val="28"/>
          <w:szCs w:val="28"/>
          <w:rtl w:val="true"/>
          <w:lang w:bidi="fa-IR"/>
        </w:rPr>
        <w:t>الدالّة علی النجاسة المخالفة للإجماع و الشهرة، إلّا أنّ الاحتیاط ممّا لا ینبغی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عصیر الحصرم، فالظاهر أنّه لا إشکال و لا خلاف فی طهارته و حلّیته؛ للأصل و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حصر المحرّم من الأشربة فی المسکر، و روایة مولی حریز المتقدّمة </w:t>
      </w:r>
      <w:r>
        <w:rPr>
          <w:rStyle w:val="FootnoteAnchor"/>
          <w:rtl w:val="true"/>
        </w:rPr>
        <w:footnoteReference w:id="1072"/>
      </w:r>
      <w:r>
        <w:rPr>
          <w:rFonts w:ascii="IRNazanin" w:hAnsi="IRNazanin" w:eastAsia="IRNazanin"/>
          <w:color w:val="111111"/>
          <w:sz w:val="28"/>
          <w:sz w:val="28"/>
          <w:szCs w:val="28"/>
          <w:rtl w:val="true"/>
          <w:lang w:bidi="fa-IR"/>
        </w:rPr>
        <w:t>الدالّة علی حلّیة الأشربة المصنوعة ما لم یسکر، إلی غیر ذلک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فی الحدائق عن بعض محدّثی البحرین الالتزام بالاحتیاط فیه؛ لاحتمال شمول العصیر فی الأخبار له </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قدّمنا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w:t>
      </w:r>
    </w:p>
    <w:p>
      <w:pPr>
        <w:pStyle w:val="BookText"/>
        <w:rPr/>
      </w:pPr>
      <w:r>
        <w:rPr>
          <w:rFonts w:ascii="IRNazanin" w:hAnsi="IRNazanin" w:eastAsia="IRNazanin"/>
          <w:color w:val="111111"/>
          <w:sz w:val="28"/>
          <w:sz w:val="28"/>
          <w:szCs w:val="28"/>
          <w:rtl w:val="true"/>
          <w:lang w:bidi="fa-IR"/>
        </w:rPr>
        <w:t>الواجب حمل العصیر علی الصنف المعهود فی ذلک الزمان، لا علی العموم و خروج ما خرج بالدلیل، و نحن نعلم أنّ المتعارف فی ذلک الزمان هو عصیر العنب دون الحصرم، مع أنّ عدم العلم بالتعارف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أخبار نزاع إبلیس </w:t>
      </w:r>
      <w:r>
        <w:rPr>
          <w:rStyle w:val="FootnoteAnchor"/>
          <w:rtl w:val="true"/>
        </w:rPr>
        <w:footnoteReference w:id="1074"/>
      </w:r>
      <w:r>
        <w:rPr>
          <w:rFonts w:ascii="IRNazanin" w:hAnsi="IRNazanin" w:eastAsia="IRNazanin"/>
          <w:color w:val="111111"/>
          <w:sz w:val="28"/>
          <w:sz w:val="28"/>
          <w:szCs w:val="28"/>
          <w:rtl w:val="true"/>
          <w:lang w:bidi="fa-IR"/>
        </w:rPr>
        <w:t>فالظاهر منها أیضاً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ظاهر روایة العلل </w:t>
      </w:r>
      <w:r>
        <w:rPr>
          <w:rStyle w:val="FootnoteAnchor"/>
          <w:rtl w:val="true"/>
        </w:rPr>
        <w:footnoteReference w:id="1075"/>
      </w:r>
      <w:r>
        <w:rPr>
          <w:rFonts w:ascii="IRNazanin" w:hAnsi="IRNazanin" w:eastAsia="IRNazanin"/>
          <w:color w:val="111111"/>
          <w:sz w:val="28"/>
          <w:sz w:val="28"/>
          <w:szCs w:val="28"/>
          <w:rtl w:val="true"/>
          <w:lang w:bidi="fa-IR"/>
        </w:rPr>
        <w:t>جریان الحکم فی ثمرة الکرم قبل العنبیّة و بعد الزبیبیّة، إلّا أنّه لیس فیها ذلک الظهور المغنی به، فضلًا عن أن یقاوم الإجماع المستفاد حدساً من العلماء و السیرة القطعیّة، مضافاً إلی ما عن مستطرفات السرائر عن کتاب مسائل الرجال عن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محمّد بن عیسی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طبیخ یجعل فیه الحصرم و ربما یجعل فیه العصیر من العنب و إنّما هو لحم یطبخ به، و قد روی عنهم علیهم السلام فی 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جعل علی النار لم یشرب حتّی یذهب ثلثاه و یبقی ثلثه، فإنّ الذی یجعل فی القدر من العصیر بتلک المنزلة و قد اجتنبوا أکله إلی أن یستأذن مولانا فی ذلک؟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فإنّ الظاهر من الروایة أنّهم إنّما کانوا یجعلون فی ذلک الطبخ الحصرم و لم یتوهّم وجوب تثلیثه و لا تعرّض له الإمام علیه السلام فی مقام البیان و إنّما تعرّض السائل للعصیر الذی یجعل فی ذلک أحیاناً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أری المسألة محلا للإشکال و إن ذکر کاشف الغطاء</w:t>
      </w:r>
    </w:p>
    <w:p>
      <w:pPr>
        <w:pStyle w:val="BookText"/>
        <w:rPr/>
      </w:pPr>
      <w:r>
        <w:rPr>
          <w:rFonts w:ascii="IRNazanin" w:hAnsi="IRNazanin" w:eastAsia="IRNazanin"/>
          <w:color w:val="111111"/>
          <w:sz w:val="28"/>
          <w:sz w:val="28"/>
          <w:szCs w:val="28"/>
          <w:rtl w:val="true"/>
          <w:lang w:bidi="fa-IR"/>
        </w:rPr>
        <w:t xml:space="preserve">أنّ الأحوط جری حکم العنبی فی الزبیبی و الحصرمی و التمری و البسری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الظاهر عدم الفرق فیما یحرم بالغلی من الأعصرة بین أن یغلی منفرداً أو ممزوجاً مع شی‌ءٍ آخر؛ لإطلاق الأدلّة، إلّا مع استهلاکه علی وجهٍ لا ینسب الغلی إلیه عرفاً، أمّا لو صدق أنّه یغلی و لو فی ضمن غیره بحیث صار کالسکنجبین و کالعصیر علی الفرنی فالظاهر جریان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فالحکم یدور علی صدق غلی العصیر و لو فی ضمن غیره، لا علی صدق العصیر علی المغلی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فی روایة زید المتقدّمة </w:t>
      </w:r>
      <w:r>
        <w:rPr>
          <w:rStyle w:val="FootnoteAnchor"/>
          <w:rtl w:val="true"/>
        </w:rPr>
        <w:footnoteReference w:id="1078"/>
      </w:r>
      <w:r>
        <w:rPr>
          <w:rFonts w:ascii="IRNazanin" w:hAnsi="IRNazanin" w:eastAsia="IRNazanin"/>
          <w:color w:val="111111"/>
          <w:sz w:val="28"/>
          <w:sz w:val="28"/>
          <w:szCs w:val="28"/>
          <w:rtl w:val="true"/>
          <w:lang w:bidi="fa-IR"/>
        </w:rPr>
        <w:t>فی الزبیب المغلی فی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أدّت الحلاوة إلی الماء فقد 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ما ذکرنا، دون مجرّد تغیّر الطعم فی الجملة،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فی مسألة الحصرم من روایة السرائر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وقع شی‌ءٌ من العصیر بعد غلیانه و قبل ذهاب ثلثه </w:t>
      </w:r>
      <w:r>
        <w:rPr>
          <w:rStyle w:val="FootnoteAnchor"/>
          <w:rtl w:val="true"/>
        </w:rPr>
        <w:footnoteReference w:id="1080"/>
      </w:r>
      <w:r>
        <w:rPr>
          <w:rFonts w:ascii="IRNazanin" w:hAnsi="IRNazanin" w:eastAsia="IRNazanin"/>
          <w:color w:val="111111"/>
          <w:sz w:val="28"/>
          <w:sz w:val="28"/>
          <w:szCs w:val="28"/>
          <w:rtl w:val="true"/>
          <w:lang w:bidi="fa-IR"/>
        </w:rPr>
        <w:t>فی مائعٍ نجّسه، إلّا أن یکون عصیراً آخر، و إن کان مثّلثاً أو کان العصیر المنصَب ممّا لا یستهلک فی ذلک المائع فحینئذٍ یثلّث ذلک العصیر أو المائع علی إشکال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ذلک فی تطهیر ذهاب الثلثین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الحکم بالحرمة فی موردها محمول علی نفس المائع المکوّن فی العنب أو الحادث فی الزبیب أو التمر، لا علیه بوصف کونه معصوراً و مخرجاً منهما و إن أوهم الإخبار خلاف ذلک،؛ فإنّ التعبیر عن الموضوع فیها</w:t>
      </w:r>
    </w:p>
    <w:p>
      <w:pPr>
        <w:pStyle w:val="BookText"/>
        <w:rPr/>
      </w:pPr>
      <w:r>
        <w:rPr>
          <w:rFonts w:ascii="IRNazanin" w:hAnsi="IRNazanin" w:eastAsia="IRNazanin"/>
          <w:color w:val="111111"/>
          <w:sz w:val="28"/>
          <w:sz w:val="28"/>
          <w:szCs w:val="28"/>
          <w:rtl w:val="true"/>
          <w:lang w:bidi="fa-IR"/>
        </w:rPr>
        <w:t>بالعصیر من باب التعبیر بالغالب، و إلّا فلا بدّ أن لا یحکم بالحرمة إذا استخرج ماء العنب لا بالعصر بل بالغلیان، و هو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 فلو غلا ماء العنب فی حَبّه من دون أن یخرج حرم، 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یتحقّق معه القلب المفسَّر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حمّاد بن عثمان </w:t>
      </w:r>
      <w:r>
        <w:rPr>
          <w:rStyle w:val="FootnoteAnchor"/>
          <w:rtl w:val="true"/>
        </w:rPr>
        <w:footnoteReference w:id="1081"/>
      </w:r>
      <w:r>
        <w:rPr>
          <w:rFonts w:ascii="IRNazanin" w:hAnsi="IRNazanin" w:eastAsia="IRNazanin"/>
          <w:color w:val="111111"/>
          <w:sz w:val="28"/>
          <w:sz w:val="28"/>
          <w:szCs w:val="28"/>
          <w:rtl w:val="true"/>
          <w:lang w:bidi="fa-IR"/>
        </w:rPr>
        <w:t xml:space="preserve">، و فی کلمات الأصحاب </w:t>
      </w:r>
      <w:r>
        <w:rPr>
          <w:rStyle w:val="FootnoteAnchor"/>
          <w:rtl w:val="true"/>
        </w:rPr>
        <w:footnoteReference w:id="1082"/>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صیرورة أعلاه أسفله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تحقّقه فی حَبّ العنب بحسب حاله؛ إذ الظاهر أنّه یکفی فی ذلک مجرّد حرکته، و فی موثّقة ذریح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نشّ العصیر أو غلا حرم</w:t>
      </w:r>
      <w:r>
        <w:rPr>
          <w:rFonts w:eastAsia="IRNazanin" w:cs="IRNazanin"/>
          <w:color w:val="111111"/>
          <w:sz w:val="28"/>
          <w:szCs w:val="28"/>
          <w:rtl w:val="true"/>
          <w:lang w:bidi="fa-IR"/>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ربما یستفاد من مفهوم قوله علیه السلام فی روایة زید المتقدّمة </w:t>
      </w:r>
      <w:r>
        <w:rPr>
          <w:rStyle w:val="FootnoteAnchor"/>
          <w:rtl w:val="true"/>
        </w:rPr>
        <w:footnoteReference w:id="1084"/>
      </w:r>
      <w:r>
        <w:rPr>
          <w:rFonts w:ascii="IRNazanin" w:hAnsi="IRNazanin" w:eastAsia="IRNazanin"/>
          <w:color w:val="111111"/>
          <w:sz w:val="28"/>
          <w:sz w:val="28"/>
          <w:szCs w:val="28"/>
          <w:rtl w:val="true"/>
          <w:lang w:bidi="fa-IR"/>
        </w:rPr>
        <w:t>فی إلقاء الزبیب فی القدر کما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أدّت الحلاوة إلی الماء فقد 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برجوعه إلی الماء مع اقتضاء المقام للبیان یدلّ علی العدم، إلّا أنّ الروایة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 فتحرم حبّات العنب بل تنجس إذا غلت بالشمس قبل أن تصیر زبیباً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 المحقّق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التأمّل فی تحریم ذلک مع اعترافه بأنّهم صرّحوا به، محلّ نظر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شرح الإرشاد علی 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النصوص</w:t>
      </w:r>
    </w:p>
    <w:p>
      <w:pPr>
        <w:pStyle w:val="BookText"/>
        <w:rPr/>
      </w:pPr>
      <w:r>
        <w:rPr>
          <w:rFonts w:ascii="IRNazanin" w:hAnsi="IRNazanin" w:eastAsia="IRNazanin"/>
          <w:color w:val="111111"/>
          <w:sz w:val="28"/>
          <w:sz w:val="28"/>
          <w:szCs w:val="28"/>
          <w:rtl w:val="true"/>
          <w:lang w:bidi="fa-IR"/>
        </w:rPr>
        <w:t xml:space="preserve">اشتراط کونه معصوراً، فلو غلا ماء العنب فی حَبّه لم یصدق علیه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تحریمه تأمّل، و لکن صرّحوا به،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الأصل و العمومات و حصر المحرّمات دلیل الحلّ حتّی یعلم الناقل </w:t>
      </w:r>
      <w:r>
        <w:rPr>
          <w:rStyle w:val="FootnoteAnchor"/>
          <w:rtl w:val="true"/>
        </w:rPr>
        <w:footnoteReference w:id="108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التعبیر فی الأخبار محمول علی الغالب</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الظاهر أنّ الحکم المذکور مختصٌّ بالعصیر المعبّر عنه فی الأخبار تارة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w:t>
      </w:r>
      <w:r>
        <w:rPr>
          <w:rFonts w:eastAsia="IRNazanin" w:cs="IRNazanin"/>
          <w:color w:val="111111"/>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 xml:space="preserve">و أُخری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الطلاء</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فلو صار العصیر خلّاً لم یحرم بالغلیان؛ لعدم تحقّق الاسم، أمّا لو صار دبساً فالظاهر بقاء الحکم معلّقاً علی ذهاب الثلثین</w:t>
      </w:r>
      <w:r>
        <w:rPr>
          <w:rFonts w:eastAsia="IRNazanin" w:cs="IRNazanin"/>
          <w:color w:val="111111"/>
          <w:sz w:val="28"/>
          <w:szCs w:val="28"/>
          <w:rtl w:val="true"/>
          <w:lang w:bidi="fa-IR"/>
        </w:rPr>
        <w:t>.</w:t>
      </w:r>
      <w:bookmarkStart w:id="74" w:name="pg16911_259643"/>
    </w:p>
    <w:p>
      <w:pPr>
        <w:pStyle w:val="Heading6"/>
        <w:numPr>
          <w:ilvl w:val="5"/>
          <w:numId w:val="1"/>
        </w:numPr>
        <w:rPr/>
      </w:pPr>
      <w:bookmarkStart w:id="75" w:name="__RefHeading___Toc6618666_3224264995"/>
      <w:bookmarkStart w:id="76" w:name="_Toc28"/>
      <w:bookmarkEnd w:id="74"/>
      <w:bookmarkEnd w:id="75"/>
      <w:r>
        <w:rPr>
          <w:rtl w:val="true"/>
        </w:rPr>
        <w:t>[</w:t>
      </w:r>
      <w:r>
        <w:rPr>
          <w:rtl w:val="true"/>
        </w:rPr>
        <w:t>عرق الجنب من الحرام</w:t>
      </w:r>
      <w:r>
        <w:rPr>
          <w:rtl w:val="true"/>
        </w:rPr>
        <w:t>]</w:t>
      </w:r>
      <w:bookmarkEnd w:id="7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عرق الجنب من الحرام </w:t>
      </w:r>
      <w:r>
        <w:rPr>
          <w:rStyle w:val="FootnoteAnchor"/>
          <w:rtl w:val="true"/>
        </w:rPr>
        <w:footnoteReference w:id="1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الأقوی نجاسة عرق الجنب من الحرام؛ وفاقاً للمحکیّ عن الصدوقین </w:t>
      </w:r>
      <w:r>
        <w:rPr>
          <w:rStyle w:val="FootnoteAnchor"/>
          <w:rtl w:val="true"/>
        </w:rPr>
        <w:footnoteReference w:id="1089"/>
      </w:r>
      <w:r>
        <w:rPr>
          <w:rFonts w:ascii="IRNazanin" w:hAnsi="IRNazanin" w:eastAsia="IRNazanin"/>
          <w:color w:val="111111"/>
          <w:sz w:val="28"/>
          <w:sz w:val="28"/>
          <w:szCs w:val="28"/>
          <w:rtl w:val="true"/>
          <w:lang w:bidi="fa-IR"/>
        </w:rPr>
        <w:t xml:space="preserve">و الإسکافی </w:t>
      </w:r>
      <w:r>
        <w:rPr>
          <w:rStyle w:val="FootnoteAnchor"/>
          <w:rtl w:val="true"/>
        </w:rPr>
        <w:footnoteReference w:id="1090"/>
      </w:r>
      <w:r>
        <w:rPr>
          <w:rFonts w:ascii="IRNazanin" w:hAnsi="IRNazanin" w:eastAsia="IRNazanin"/>
          <w:color w:val="111111"/>
          <w:sz w:val="28"/>
          <w:sz w:val="28"/>
          <w:szCs w:val="28"/>
          <w:rtl w:val="true"/>
          <w:lang w:bidi="fa-IR"/>
        </w:rPr>
        <w:t xml:space="preserve">و الشیخین فی المقنعة </w:t>
      </w:r>
      <w:r>
        <w:rPr>
          <w:rStyle w:val="FootnoteAnchor"/>
          <w:rtl w:val="true"/>
        </w:rPr>
        <w:footnoteReference w:id="1091"/>
      </w:r>
      <w:r>
        <w:rPr>
          <w:rFonts w:ascii="IRNazanin" w:hAnsi="IRNazanin" w:eastAsia="IRNazanin"/>
          <w:color w:val="111111"/>
          <w:sz w:val="28"/>
          <w:sz w:val="28"/>
          <w:szCs w:val="28"/>
          <w:rtl w:val="true"/>
          <w:lang w:bidi="fa-IR"/>
        </w:rPr>
        <w:t xml:space="preserve">و الخلاف </w:t>
      </w:r>
      <w:r>
        <w:rPr>
          <w:rStyle w:val="FootnoteAnchor"/>
          <w:rtl w:val="true"/>
        </w:rPr>
        <w:footnoteReference w:id="1092"/>
      </w:r>
      <w:r>
        <w:rPr>
          <w:rFonts w:ascii="IRNazanin" w:hAnsi="IRNazanin" w:eastAsia="IRNazanin"/>
          <w:color w:val="111111"/>
          <w:sz w:val="28"/>
          <w:sz w:val="28"/>
          <w:szCs w:val="28"/>
          <w:rtl w:val="true"/>
          <w:lang w:bidi="fa-IR"/>
        </w:rPr>
        <w:t xml:space="preserve">و النهایة </w:t>
      </w:r>
      <w:r>
        <w:rPr>
          <w:rStyle w:val="FootnoteAnchor"/>
          <w:rtl w:val="true"/>
        </w:rPr>
        <w:footnoteReference w:id="1093"/>
      </w:r>
      <w:r>
        <w:rPr>
          <w:rFonts w:ascii="IRNazanin" w:hAnsi="IRNazanin" w:eastAsia="IRNazanin"/>
          <w:color w:val="111111"/>
          <w:sz w:val="28"/>
          <w:sz w:val="28"/>
          <w:szCs w:val="28"/>
          <w:rtl w:val="true"/>
          <w:lang w:bidi="fa-IR"/>
        </w:rPr>
        <w:t xml:space="preserve">و القاضی </w:t>
      </w:r>
      <w:r>
        <w:rPr>
          <w:rStyle w:val="FootnoteAnchor"/>
          <w:rtl w:val="true"/>
        </w:rPr>
        <w:footnoteReference w:id="1094"/>
      </w:r>
      <w:r>
        <w:rPr>
          <w:rFonts w:ascii="Amiri" w:hAnsi="Amiri" w:eastAsia="Amiri" w:cs="Amiri"/>
          <w:color w:val="111111"/>
          <w:sz w:val="28"/>
          <w:sz w:val="28"/>
          <w:szCs w:val="28"/>
          <w:rtl w:val="true"/>
          <w:lang w:bidi="ar-SA"/>
        </w:rPr>
        <w:t xml:space="preserve">و ابن زهرة </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المشهور بین القدماء، و علیه جماعة من متأخّری المتأخّرین، مثل استاد الکلّ فی شرح المفاتیح </w:t>
      </w:r>
      <w:r>
        <w:rPr>
          <w:rStyle w:val="FootnoteAnchor"/>
          <w:rtl w:val="true"/>
        </w:rPr>
        <w:footnoteReference w:id="1096"/>
      </w:r>
      <w:r>
        <w:rPr>
          <w:rFonts w:ascii="IRNazanin" w:hAnsi="IRNazanin" w:eastAsia="IRNazanin"/>
          <w:color w:val="111111"/>
          <w:sz w:val="28"/>
          <w:sz w:val="28"/>
          <w:szCs w:val="28"/>
          <w:rtl w:val="true"/>
          <w:lang w:bidi="fa-IR"/>
        </w:rPr>
        <w:t xml:space="preserve">و صهره فی الریاض </w:t>
      </w:r>
      <w:r>
        <w:rPr>
          <w:rStyle w:val="FootnoteAnchor"/>
          <w:rtl w:val="true"/>
        </w:rPr>
        <w:footnoteReference w:id="1097"/>
      </w:r>
      <w:r>
        <w:rPr>
          <w:rFonts w:ascii="IRNazanin" w:hAnsi="IRNazanin" w:eastAsia="IRNazanin"/>
          <w:color w:val="111111"/>
          <w:sz w:val="28"/>
          <w:sz w:val="28"/>
          <w:szCs w:val="28"/>
          <w:rtl w:val="true"/>
          <w:lang w:bidi="fa-IR"/>
        </w:rPr>
        <w:t xml:space="preserve">و تلمیذه کاشف الغطاء </w:t>
      </w:r>
      <w:r>
        <w:rPr>
          <w:rStyle w:val="FootnoteAnchor"/>
          <w:rtl w:val="true"/>
        </w:rPr>
        <w:footnoteReference w:id="1098"/>
      </w:r>
      <w:r>
        <w:rPr>
          <w:rFonts w:ascii="IRNazanin" w:hAnsi="IRNazanin" w:eastAsia="IRNazanin"/>
          <w:color w:val="111111"/>
          <w:sz w:val="28"/>
          <w:sz w:val="28"/>
          <w:szCs w:val="28"/>
          <w:rtl w:val="true"/>
          <w:lang w:bidi="fa-IR"/>
        </w:rPr>
        <w:t>، بل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علیه و الأخبار </w:t>
      </w:r>
      <w:r>
        <w:rPr>
          <w:rStyle w:val="FootnoteAnchor"/>
          <w:rtl w:val="true"/>
        </w:rPr>
        <w:footnoteReference w:id="1099"/>
      </w:r>
      <w:r>
        <w:rPr>
          <w:rFonts w:ascii="IRNazanin" w:hAnsi="IRNazanin" w:eastAsia="IRNazanin"/>
          <w:color w:val="111111"/>
          <w:sz w:val="28"/>
          <w:sz w:val="28"/>
          <w:szCs w:val="28"/>
          <w:rtl w:val="true"/>
          <w:lang w:bidi="fa-IR"/>
        </w:rPr>
        <w:t xml:space="preserve">، و نسبه فی الغنیة </w:t>
      </w:r>
      <w:r>
        <w:rPr>
          <w:rStyle w:val="FootnoteAnchor"/>
          <w:rtl w:val="true"/>
        </w:rPr>
        <w:footnoteReference w:id="1100"/>
      </w:r>
      <w:r>
        <w:rPr>
          <w:rFonts w:ascii="IRNazanin" w:hAnsi="IRNazanin" w:eastAsia="IRNazanin"/>
          <w:color w:val="111111"/>
          <w:sz w:val="28"/>
          <w:sz w:val="28"/>
          <w:szCs w:val="28"/>
          <w:rtl w:val="true"/>
          <w:lang w:bidi="fa-IR"/>
        </w:rPr>
        <w:t xml:space="preserve">و المراسم </w:t>
      </w:r>
      <w:r>
        <w:rPr>
          <w:rStyle w:val="FootnoteAnchor"/>
          <w:rtl w:val="true"/>
        </w:rPr>
        <w:footnoteReference w:id="1101"/>
      </w:r>
      <w:r>
        <w:rPr>
          <w:rFonts w:ascii="IRNazanin" w:hAnsi="IRNazanin" w:eastAsia="IRNazanin"/>
          <w:color w:val="111111"/>
          <w:sz w:val="28"/>
          <w:sz w:val="28"/>
          <w:szCs w:val="28"/>
          <w:rtl w:val="true"/>
          <w:lang w:bidi="fa-IR"/>
        </w:rPr>
        <w:t>إلی أصحابنا، و جعله فی</w:t>
      </w:r>
    </w:p>
    <w:p>
      <w:pPr>
        <w:pStyle w:val="BookText"/>
        <w:rPr/>
      </w:pPr>
      <w:r>
        <w:rPr>
          <w:rFonts w:ascii="IRNazanin" w:hAnsi="IRNazanin" w:eastAsia="IRNazanin"/>
          <w:color w:val="111111"/>
          <w:sz w:val="28"/>
          <w:sz w:val="28"/>
          <w:szCs w:val="28"/>
          <w:rtl w:val="true"/>
          <w:lang w:bidi="fa-IR"/>
        </w:rPr>
        <w:t xml:space="preserve">الأمالی من دین الإمامیّة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کلّه ینجبر ضعف الروایات عن أبی الحسن الهادی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w:t>
      </w:r>
      <w:r>
        <w:rPr>
          <w:rStyle w:val="FootnoteAnchor"/>
          <w:rtl w:val="true"/>
        </w:rPr>
        <w:footnoteReference w:id="1103"/>
      </w:r>
      <w:r>
        <w:rPr>
          <w:rFonts w:ascii="IRNazanin" w:hAnsi="IRNazanin" w:eastAsia="IRNazanin"/>
          <w:color w:val="111111"/>
          <w:sz w:val="28"/>
          <w:sz w:val="28"/>
          <w:szCs w:val="28"/>
          <w:rtl w:val="true"/>
          <w:lang w:bidi="fa-IR"/>
        </w:rPr>
        <w:t>عن إدریس بن زیاد الکفرثوثی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یقول بالوقف، فدخل سرّ من رأی عهد أبی الحسن علیه السلام و أراد أن یسأله عن الثوب الذی یعرق فیه الجنب، أ یصلّی فیه؟ فبینما هو نائم فی طاق بابٍ لانتظاره، حرّکه الإمام علیه السلام بمقرعة، و قال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حلال فصلّ فیه و إن کان من حرام فلا تصلّ فیه</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و عن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وجد نحوها عن بعض المؤلّفات القدیمة مسندةً إلی الکاظم علیه السلام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المناقب لابن شهرآشوب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 بن مهزیار کان أراد أن یسأل أبا الحسن علیه السلام عن ذلک، و هو شاکٌّ فی إمامته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فوردت العسکر فرأیت السلطان قد خرج إلی الصید فی یومٍ من الربیع، إلّا أنّه صائف و الناس علیهم ثیاب الصیف، و علی أبی الحسن علیه السلام لبابید، و علی فرسه تجفاف لبود، و قد عقد ذنباً لفرسه، و الناس یتعجّبون منه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إلی هذا المدنی و ما فعل بنفسه؟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إماماً ما فعل هذا، فلمّا خرج الناس إلی الصحراء لم یلبثوا أن ارتفعت سحابة عظیمة هطلت، فلم یبق أحدٌ إلّا ابتلّ و غرق بالمطر، فعاد علیه السلام و هو سالم من جمیع ذلک،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أن یکون هو الإمام،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أسأله</w:t>
      </w:r>
    </w:p>
    <w:p>
      <w:pPr>
        <w:pStyle w:val="BookText"/>
        <w:rPr/>
      </w:pPr>
      <w:r>
        <w:rPr>
          <w:rFonts w:ascii="IRNazanin" w:hAnsi="IRNazanin" w:eastAsia="IRNazanin"/>
          <w:color w:val="111111"/>
          <w:sz w:val="28"/>
          <w:sz w:val="28"/>
          <w:szCs w:val="28"/>
          <w:rtl w:val="true"/>
          <w:lang w:bidi="fa-IR"/>
        </w:rPr>
        <w:t>عن الجنب إذا عرق فی الثوب،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کشف عن وجهه فهو الإمام، فلمّا قرب منّی کشف عن وجهه،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الجنب عرق فی الثوب و جنابته من حرام لا تجوز الصلاة فیه، و إن کانت جنابته من حلال فلا بأس به، فلم یبق فی نفسی بعدُ شبهةٌ فی 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 xml:space="preserve">، و نحوها الرضوی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النهی عن الاغتسال بغسالة الحمّام </w:t>
      </w:r>
      <w:r>
        <w:rPr>
          <w:rStyle w:val="FootnoteAnchor"/>
          <w:rtl w:val="true"/>
        </w:rPr>
        <w:footnoteReference w:id="1108"/>
      </w:r>
      <w:r>
        <w:rPr>
          <w:rFonts w:ascii="IRNazanin" w:hAnsi="IRNazanin" w:eastAsia="IRNazanin"/>
          <w:color w:val="111111"/>
          <w:sz w:val="28"/>
          <w:sz w:val="28"/>
          <w:szCs w:val="28"/>
          <w:rtl w:val="true"/>
          <w:lang w:bidi="fa-IR"/>
        </w:rPr>
        <w:t>، و قول أبی الحسن علیه السلام فی ردّ من زعم أنّ فیه شفاء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کذبوا، إنّه یغتسل فیه عن الجنب من الحرام الزنا </w:t>
      </w:r>
      <w:r>
        <w:rPr>
          <w:rStyle w:val="FootnoteAnchor"/>
          <w:rtl w:val="true"/>
        </w:rPr>
        <w:footnoteReference w:id="1109"/>
      </w:r>
      <w:r>
        <w:rPr>
          <w:rFonts w:ascii="IRNazanin" w:hAnsi="IRNazanin" w:eastAsia="IRNazanin"/>
          <w:color w:val="111111"/>
          <w:sz w:val="28"/>
          <w:sz w:val="28"/>
          <w:szCs w:val="28"/>
          <w:rtl w:val="true"/>
          <w:lang w:bidi="fa-IR"/>
        </w:rPr>
        <w:t>و الناصب، و هو شرّهما و کلّ من خلق، ثمّ یکون فیه شفاء العین</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النهی بأنّه یُغتسل فیه عن الزنا و ولد الزنا </w:t>
      </w:r>
      <w:r>
        <w:rPr>
          <w:rStyle w:val="FootnoteAnchor"/>
          <w:rtl w:val="true"/>
        </w:rPr>
        <w:footnoteReference w:id="1111"/>
      </w:r>
      <w:r>
        <w:rPr>
          <w:rFonts w:ascii="IRNazanin" w:hAnsi="IRNazanin" w:eastAsia="IRNazanin"/>
          <w:color w:val="111111"/>
          <w:sz w:val="28"/>
          <w:sz w:val="28"/>
          <w:szCs w:val="28"/>
          <w:rtl w:val="true"/>
          <w:lang w:bidi="fa-IR"/>
        </w:rPr>
        <w:t xml:space="preserve">و الناصب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و إن لم تدلّ علی النجاسة، إلّا أنّها لا تخلو عن 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فتمسّک بهما؛ بناءً علی أنّ الظاهر من التعلیل بیان حکم نجاسة الغسالة، و لا یقدح عدم نجاسة بعض من ذکر فیها مثل ولد الزنا فإنّ الخبر لا یسقط عن الاعتبار باشتماله علی ما یخالف بظاهره الدلیل الظنّی بل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فالإنصاف یقتضی حصول الظنّ القوی البالغ حدّ سکون النفس من نفس اشتهار الحکم بین القدماء مع کونه ممّا لا یمکن أن یستند فیه إلی شی‌ء سوی ورود الروایة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انجبار الروایات المتقدّمة بمثل هذه الشهرة المعتضدة بالاتّفاقات المحکیّة، مضافاً إلی أنّ المحکیّ عن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الروایة إلی أصحابنا </w:t>
      </w:r>
      <w:r>
        <w:rPr>
          <w:rStyle w:val="FootnoteAnchor"/>
          <w:rtl w:val="true"/>
        </w:rPr>
        <w:footnoteReference w:id="1113"/>
      </w:r>
      <w:r>
        <w:rPr>
          <w:rFonts w:ascii="IRNazanin" w:hAnsi="IRNazanin" w:eastAsia="IRNazanin"/>
          <w:color w:val="111111"/>
          <w:sz w:val="28"/>
          <w:sz w:val="28"/>
          <w:szCs w:val="28"/>
          <w:rtl w:val="true"/>
          <w:lang w:bidi="fa-IR"/>
        </w:rPr>
        <w:t>، الظاهرة فی اشتهارها بینهم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للمحکیّ عن المفید فی رسالته إلی ولده </w:t>
      </w:r>
      <w:r>
        <w:rPr>
          <w:rStyle w:val="FootnoteAnchor"/>
          <w:rtl w:val="true"/>
        </w:rPr>
        <w:footnoteReference w:id="1114"/>
      </w:r>
      <w:r>
        <w:rPr>
          <w:rFonts w:ascii="Amiri" w:hAnsi="Amiri" w:eastAsia="Amiri" w:cs="Amiri"/>
          <w:color w:val="111111"/>
          <w:sz w:val="28"/>
          <w:sz w:val="28"/>
          <w:szCs w:val="28"/>
          <w:rtl w:val="true"/>
          <w:lang w:bidi="ar-SA"/>
        </w:rPr>
        <w:t xml:space="preserve">و سلّار </w:t>
      </w:r>
      <w:r>
        <w:rPr>
          <w:rStyle w:val="FootnoteAnchor"/>
          <w:rtl w:val="true"/>
        </w:rPr>
        <w:footnoteReference w:id="1115"/>
      </w:r>
      <w:r>
        <w:rPr>
          <w:rFonts w:ascii="IRNazanin" w:hAnsi="IRNazanin" w:eastAsia="IRNazanin"/>
          <w:color w:val="111111"/>
          <w:sz w:val="28"/>
          <w:sz w:val="28"/>
          <w:szCs w:val="28"/>
          <w:rtl w:val="true"/>
          <w:lang w:bidi="fa-IR"/>
        </w:rPr>
        <w:t>مع ما تقدّم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نسبة القول بالنجاسة إلی أصحابنا </w:t>
      </w:r>
      <w:r>
        <w:rPr>
          <w:rStyle w:val="FootnoteAnchor"/>
          <w:rtl w:val="true"/>
        </w:rPr>
        <w:footnoteReference w:id="1116"/>
      </w:r>
      <w:r>
        <w:rPr>
          <w:rFonts w:ascii="IRNazanin" w:hAnsi="IRNazanin" w:eastAsia="IRNazanin"/>
          <w:color w:val="111111"/>
          <w:sz w:val="28"/>
          <w:sz w:val="28"/>
          <w:szCs w:val="28"/>
          <w:rtl w:val="true"/>
          <w:lang w:bidi="fa-IR"/>
        </w:rPr>
        <w:t xml:space="preserve">، فلعلّه أراد الشهرة القریبة من الاتّفاق و تبعهما الحلّی </w:t>
      </w:r>
      <w:r>
        <w:rPr>
          <w:rStyle w:val="FootnoteAnchor"/>
          <w:rtl w:val="true"/>
        </w:rPr>
        <w:footnoteReference w:id="1117"/>
      </w:r>
      <w:r>
        <w:rPr>
          <w:rFonts w:ascii="Amiri" w:hAnsi="Amiri" w:eastAsia="Amiri" w:cs="Amiri"/>
          <w:color w:val="111111"/>
          <w:sz w:val="28"/>
          <w:sz w:val="28"/>
          <w:szCs w:val="28"/>
          <w:rtl w:val="true"/>
          <w:lang w:bidi="ar-SA"/>
        </w:rPr>
        <w:t xml:space="preserve">و المحقّق </w:t>
      </w:r>
      <w:r>
        <w:rPr>
          <w:rStyle w:val="FootnoteAnchor"/>
          <w:rtl w:val="true"/>
        </w:rPr>
        <w:footnoteReference w:id="1118"/>
      </w:r>
      <w:r>
        <w:rPr>
          <w:rFonts w:ascii="IRNazanin" w:hAnsi="IRNazanin" w:eastAsia="IRNazanin"/>
          <w:color w:val="111111"/>
          <w:sz w:val="28"/>
          <w:sz w:val="28"/>
          <w:szCs w:val="28"/>
          <w:rtl w:val="true"/>
          <w:lang w:bidi="fa-IR"/>
        </w:rPr>
        <w:t xml:space="preserve">و الشهیدان </w:t>
      </w:r>
      <w:r>
        <w:rPr>
          <w:rStyle w:val="FootnoteAnchor"/>
          <w:rtl w:val="true"/>
        </w:rPr>
        <w:footnoteReference w:id="1119"/>
      </w:r>
      <w:r>
        <w:rPr>
          <w:rFonts w:ascii="IRNazanin" w:hAnsi="IRNazanin" w:eastAsia="IRNazanin"/>
          <w:color w:val="111111"/>
          <w:sz w:val="28"/>
          <w:sz w:val="28"/>
          <w:szCs w:val="28"/>
          <w:rtl w:val="true"/>
          <w:lang w:bidi="fa-IR"/>
        </w:rPr>
        <w:t xml:space="preserve">و عامّة المتأخّرین علی ما حکی </w:t>
      </w:r>
      <w:r>
        <w:rPr>
          <w:rStyle w:val="FootnoteAnchor"/>
          <w:rtl w:val="true"/>
        </w:rPr>
        <w:footnoteReference w:id="1120"/>
      </w:r>
      <w:r>
        <w:rPr>
          <w:rFonts w:ascii="IRNazanin" w:hAnsi="IRNazanin" w:eastAsia="IRNazanin"/>
          <w:color w:val="111111"/>
          <w:sz w:val="28"/>
          <w:sz w:val="28"/>
          <w:szCs w:val="28"/>
          <w:rtl w:val="true"/>
          <w:lang w:bidi="fa-IR"/>
        </w:rPr>
        <w:t>، بل عن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الطهارة </w:t>
      </w:r>
      <w:r>
        <w:rPr>
          <w:rStyle w:val="FootnoteAnchor"/>
          <w:rtl w:val="true"/>
        </w:rPr>
        <w:footnoteReference w:id="1121"/>
      </w:r>
      <w:r>
        <w:rPr>
          <w:rFonts w:ascii="Amiri" w:hAnsi="Amiri" w:eastAsia="Amiri" w:cs="Amiri"/>
          <w:color w:val="111111"/>
          <w:sz w:val="28"/>
          <w:sz w:val="28"/>
          <w:szCs w:val="28"/>
          <w:rtl w:val="true"/>
          <w:lang w:bidi="ar-SA"/>
        </w:rPr>
        <w:t xml:space="preserve">، و الظاهر أنّه استنبط الإجماع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عرق الجنب</w:t>
      </w:r>
      <w:r>
        <w:rPr>
          <w:rFonts w:eastAsia="Amiri" w:cs="Amiri" w:ascii="Amiri" w:hAnsi="Amiri"/>
          <w:color w:val="111111"/>
          <w:sz w:val="28"/>
          <w:szCs w:val="28"/>
          <w:rtl w:val="true"/>
          <w:lang w:bidi="ar-SA"/>
        </w:rPr>
        <w:t xml:space="preserve">» </w:t>
      </w:r>
      <w:r>
        <w:rPr>
          <w:rStyle w:val="FootnoteAnchor"/>
          <w:rtl w:val="true"/>
        </w:rPr>
        <w:footnoteReference w:id="1122"/>
      </w:r>
      <w:r>
        <w:rPr>
          <w:rFonts w:ascii="IRNazanin" w:hAnsi="IRNazanin" w:eastAsia="IRNazanin"/>
          <w:color w:val="111111"/>
          <w:sz w:val="28"/>
          <w:sz w:val="28"/>
          <w:szCs w:val="28"/>
          <w:rtl w:val="true"/>
          <w:lang w:bidi="fa-IR"/>
        </w:rPr>
        <w:t>و لا یخفی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أضعف منه ما عن شرح 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القول</w:t>
      </w:r>
    </w:p>
    <w:p>
      <w:pPr>
        <w:pStyle w:val="BookText"/>
        <w:rPr/>
      </w:pPr>
      <w:r>
        <w:rPr>
          <w:rFonts w:ascii="IRNazanin" w:hAnsi="IRNazanin" w:eastAsia="IRNazanin"/>
          <w:color w:val="111111"/>
          <w:sz w:val="28"/>
          <w:sz w:val="28"/>
          <w:szCs w:val="28"/>
          <w:rtl w:val="true"/>
          <w:lang w:bidi="fa-IR"/>
        </w:rPr>
        <w:t xml:space="preserve">بالنجاسة للشیخ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متروک، و لا مستند لهم سوی الأصل و العمومات و إطلاق طهارة عرق الجنب، المندفعة 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کما عن المنتهی بین کون الجنب رجلًا أو امرأة، و لا فرق فی الوطء بین أن یکون وطء امرأةٍ، أو لواط، أو وطء بهیمة، أو وطء میّتة و إن کانت زوجته، و سواء کان مع الجماع إنزالٌ أم لا، و الاستمناء بالید کالزنا،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الوطء فی الحیض و الصوم فالأقرب الطهارة، و فی المظاهرة إشکال </w:t>
      </w:r>
      <w:r>
        <w:rPr>
          <w:rStyle w:val="FootnoteAnchor"/>
          <w:rtl w:val="true"/>
        </w:rPr>
        <w:footnoteReference w:id="112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وجه الحکم بالطهارة فی الوطء فی الصوم و الحیض؛ أنّ المتبادر من الجنابة من الحرام کون الحرمة من جهة الفاعل أو القابل لا من جهة نفس الفعل، و أمّا الاستمناء فهو نکاح الید کما فی الروایة </w:t>
      </w:r>
      <w:r>
        <w:rPr>
          <w:rStyle w:val="FootnoteAnchor"/>
          <w:rtl w:val="true"/>
        </w:rPr>
        <w:footnoteReference w:id="1125"/>
      </w:r>
      <w:r>
        <w:rPr>
          <w:rFonts w:ascii="IRNazanin" w:hAnsi="IRNazanin" w:eastAsia="IRNazanin"/>
          <w:color w:val="111111"/>
          <w:sz w:val="28"/>
          <w:sz w:val="28"/>
          <w:szCs w:val="28"/>
          <w:rtl w:val="true"/>
          <w:lang w:bidi="fa-IR"/>
        </w:rPr>
        <w:t xml:space="preserve">، و الفرق بین الزوجة الحائض و المیّتة ممّا لا یخفی، خلافاً لکاشف اللثام فسوّی بین الکلّ فی النجاسة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وجه الإشکال فی المظاهرة؛ من حیث إنّ التحریم مستندٌ إلیها حیث جعلها کظَهر الأُمّ، أو إلی نفس الفعل لعارضٍ عرضها کالحیض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ممّا ذکرنا حکم الوطء الممنوع منه لمرضٍ أو 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العرق بین الحادث حال الفعل و الموجود بعده، و أمّا السابق الباقی إلی حال الفعل فهو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المناط فی التحریم هو التحریم الواقعی مع عدم تحقّق الحلّیة الظاهریّة، فلو انتفی الأوّل کالواطئ امرأته باعتقاد أنّها أجنبیّة، أو تحقّق الثانی کالواطی للشبهة، فالحکم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وطء الصغیر أجنبیّةً و ألحقنا به حکم الجنابة، ففی نجاسة عرقه إشکال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المحکیّ عن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حکی عن الإسکافی أنّه قال فی مختصره بعد الحکم بنجاسة عرق الجنب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عندی الاحتیاط من عرق جنابة الاحتلام، ثمّ اعترف فی المعالم بعدم الوقوف له علی موافق و لا علی دلیل </w:t>
      </w:r>
      <w:r>
        <w:rPr>
          <w:rStyle w:val="FootnoteAnchor"/>
          <w:rtl w:val="true"/>
        </w:rPr>
        <w:footnoteReference w:id="1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الجنابة لا یصدق علیها أنّها من حلال، و کونها من حرام أیضاً و إن کان غیر معلوم فیلحق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الجنابة من حرام؛ لأنّه من فعل الشیطان و إن کان الشخص غیر مکلّف، فحسن الاحتیاط لأجل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فیردّه الأصل و عمومات طهارة عرق الجنب</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عرق الحائض و النفساء فالمحکیّ عن جماعة </w:t>
      </w:r>
      <w:r>
        <w:rPr>
          <w:rStyle w:val="FootnoteAnchor"/>
          <w:rtl w:val="true"/>
        </w:rPr>
        <w:footnoteReference w:id="1129"/>
      </w:r>
      <w:r>
        <w:rPr>
          <w:rFonts w:ascii="IRNazanin" w:hAnsi="IRNazanin" w:eastAsia="IRNazanin"/>
          <w:color w:val="111111"/>
          <w:sz w:val="28"/>
          <w:sz w:val="28"/>
          <w:szCs w:val="28"/>
          <w:rtl w:val="true"/>
          <w:lang w:bidi="fa-IR"/>
        </w:rPr>
        <w:t xml:space="preserve">منهم المحقّق فی المعتبر </w:t>
      </w:r>
      <w:r>
        <w:rPr>
          <w:rStyle w:val="FootnoteAnchor"/>
          <w:rtl w:val="true"/>
        </w:rPr>
        <w:footnoteReference w:id="1130"/>
      </w:r>
      <w:r>
        <w:rPr>
          <w:rFonts w:ascii="IRNazanin" w:hAnsi="IRNazanin" w:eastAsia="IRNazanin"/>
          <w:color w:val="111111"/>
          <w:sz w:val="28"/>
          <w:sz w:val="28"/>
          <w:szCs w:val="28"/>
          <w:rtl w:val="true"/>
          <w:lang w:bidi="fa-IR"/>
        </w:rPr>
        <w:t>الإجماع علی طهارته</w:t>
      </w:r>
      <w:r>
        <w:rPr>
          <w:rFonts w:eastAsia="IRNazanin" w:cs="IRNazanin"/>
          <w:color w:val="111111"/>
          <w:sz w:val="28"/>
          <w:szCs w:val="28"/>
          <w:rtl w:val="true"/>
          <w:lang w:bidi="fa-IR"/>
        </w:rPr>
        <w:t>.</w:t>
      </w:r>
      <w:bookmarkStart w:id="77" w:name="pg16911_259649"/>
    </w:p>
    <w:p>
      <w:pPr>
        <w:pStyle w:val="Heading6"/>
        <w:numPr>
          <w:ilvl w:val="5"/>
          <w:numId w:val="1"/>
        </w:numPr>
        <w:rPr/>
      </w:pPr>
      <w:bookmarkStart w:id="78" w:name="__RefHeading___Toc6618668_3224264995"/>
      <w:bookmarkStart w:id="79" w:name="_Toc29"/>
      <w:bookmarkEnd w:id="77"/>
      <w:bookmarkEnd w:id="78"/>
      <w:r>
        <w:rPr>
          <w:rtl w:val="true"/>
        </w:rPr>
        <w:t>[</w:t>
      </w:r>
      <w:r>
        <w:rPr>
          <w:rtl w:val="true"/>
        </w:rPr>
        <w:t>عرق الإبل الجلّالة</w:t>
      </w:r>
      <w:r>
        <w:rPr>
          <w:rtl w:val="true"/>
        </w:rPr>
        <w:t>]</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عرق الإبل الجلّالة </w:t>
      </w:r>
      <w:r>
        <w:rPr>
          <w:rStyle w:val="FootnoteAnchor"/>
          <w:rtl w:val="true"/>
        </w:rPr>
        <w:footnoteReference w:id="1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الأقوی نجاسة عرق الإبل الجلّالة وفاقاً للمحکیّ عن الشیخین </w:t>
      </w:r>
      <w:r>
        <w:rPr>
          <w:rStyle w:val="FootnoteAnchor"/>
          <w:rtl w:val="true"/>
        </w:rPr>
        <w:footnoteReference w:id="1132"/>
      </w:r>
      <w:r>
        <w:rPr>
          <w:rFonts w:ascii="IRNazanin" w:hAnsi="IRNazanin" w:eastAsia="IRNazanin"/>
          <w:color w:val="111111"/>
          <w:sz w:val="28"/>
          <w:sz w:val="28"/>
          <w:szCs w:val="28"/>
          <w:rtl w:val="true"/>
          <w:lang w:bidi="fa-IR"/>
        </w:rPr>
        <w:t xml:space="preserve">و القاضی </w:t>
      </w:r>
      <w:r>
        <w:rPr>
          <w:rStyle w:val="FootnoteAnchor"/>
          <w:rtl w:val="true"/>
        </w:rPr>
        <w:footnoteReference w:id="1133"/>
      </w:r>
      <w:r>
        <w:rPr>
          <w:rFonts w:ascii="IRNazanin" w:hAnsi="IRNazanin" w:eastAsia="IRNazanin"/>
          <w:color w:val="111111"/>
          <w:sz w:val="28"/>
          <w:sz w:val="28"/>
          <w:szCs w:val="28"/>
          <w:rtl w:val="true"/>
          <w:lang w:bidi="fa-IR"/>
        </w:rPr>
        <w:t xml:space="preserve">و المصنّف فی المنتهی </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إلیه المحقّق الأردبیلی </w:t>
      </w:r>
      <w:r>
        <w:rPr>
          <w:rStyle w:val="FootnoteAnchor"/>
          <w:rtl w:val="true"/>
        </w:rPr>
        <w:footnoteReference w:id="1135"/>
      </w:r>
      <w:r>
        <w:rPr>
          <w:rFonts w:ascii="IRNazanin" w:hAnsi="IRNazanin" w:eastAsia="IRNazanin"/>
          <w:color w:val="111111"/>
          <w:sz w:val="28"/>
          <w:sz w:val="28"/>
          <w:szCs w:val="28"/>
          <w:rtl w:val="true"/>
          <w:lang w:bidi="fa-IR"/>
        </w:rPr>
        <w:t xml:space="preserve">و تلمیذه فی المدارک </w:t>
      </w:r>
      <w:r>
        <w:rPr>
          <w:rStyle w:val="FootnoteAnchor"/>
          <w:rtl w:val="true"/>
        </w:rPr>
        <w:footnoteReference w:id="1136"/>
      </w:r>
      <w:r>
        <w:rPr>
          <w:rFonts w:ascii="IRNazanin" w:hAnsi="IRNazanin" w:eastAsia="IRNazanin"/>
          <w:color w:val="111111"/>
          <w:sz w:val="28"/>
          <w:sz w:val="28"/>
          <w:szCs w:val="28"/>
          <w:rtl w:val="true"/>
          <w:lang w:bidi="fa-IR"/>
        </w:rPr>
        <w:t xml:space="preserve">و تلمیذه فی الذخیرة </w:t>
      </w:r>
      <w:r>
        <w:rPr>
          <w:rStyle w:val="FootnoteAnchor"/>
          <w:rtl w:val="true"/>
        </w:rPr>
        <w:footnoteReference w:id="1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جزم به فی الریاض مصرّحاً بشهرته بین القدماء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الغنیة </w:t>
      </w:r>
      <w:r>
        <w:rPr>
          <w:rStyle w:val="FootnoteAnchor"/>
          <w:rtl w:val="true"/>
        </w:rPr>
        <w:footnoteReference w:id="1139"/>
      </w:r>
      <w:r>
        <w:rPr>
          <w:rFonts w:ascii="IRNazanin" w:hAnsi="IRNazanin" w:eastAsia="IRNazanin"/>
          <w:color w:val="111111"/>
          <w:sz w:val="28"/>
          <w:sz w:val="28"/>
          <w:szCs w:val="28"/>
          <w:rtl w:val="true"/>
          <w:lang w:bidi="fa-IR"/>
        </w:rPr>
        <w:t xml:space="preserve">و المراسم </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الأصحاب و إن اختار الطهارة</w:t>
      </w:r>
    </w:p>
    <w:p>
      <w:pPr>
        <w:pStyle w:val="BookText"/>
        <w:rPr/>
      </w:pPr>
      <w:r>
        <w:rPr>
          <w:rFonts w:ascii="IRNazanin" w:hAnsi="IRNazanin" w:eastAsia="IRNazanin"/>
          <w:color w:val="111111"/>
          <w:sz w:val="28"/>
          <w:sz w:val="28"/>
          <w:szCs w:val="28"/>
          <w:rtl w:val="true"/>
          <w:lang w:bidi="fa-IR"/>
        </w:rPr>
        <w:t>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فی ذلک الحلّی </w:t>
      </w:r>
      <w:r>
        <w:rPr>
          <w:rStyle w:val="FootnoteAnchor"/>
          <w:rtl w:val="true"/>
        </w:rPr>
        <w:footnoteReference w:id="1141"/>
      </w:r>
      <w:r>
        <w:rPr>
          <w:rFonts w:ascii="Amiri" w:hAnsi="Amiri" w:eastAsia="Amiri" w:cs="Amiri"/>
          <w:color w:val="111111"/>
          <w:sz w:val="28"/>
          <w:sz w:val="28"/>
          <w:szCs w:val="28"/>
          <w:rtl w:val="true"/>
          <w:lang w:bidi="ar-SA"/>
        </w:rPr>
        <w:t xml:space="preserve">و المحقّق </w:t>
      </w:r>
      <w:r>
        <w:rPr>
          <w:rStyle w:val="FootnoteAnchor"/>
          <w:rtl w:val="true"/>
        </w:rPr>
        <w:footnoteReference w:id="1142"/>
      </w:r>
      <w:r>
        <w:rPr>
          <w:rFonts w:ascii="IRNazanin" w:hAnsi="IRNazanin" w:eastAsia="IRNazanin"/>
          <w:color w:val="111111"/>
          <w:sz w:val="28"/>
          <w:sz w:val="28"/>
          <w:szCs w:val="28"/>
          <w:rtl w:val="true"/>
          <w:lang w:bidi="fa-IR"/>
        </w:rPr>
        <w:t xml:space="preserve">و المصنّف فی کثیرٍ من کتبه </w:t>
      </w:r>
      <w:r>
        <w:rPr>
          <w:rStyle w:val="FootnoteAnchor"/>
          <w:rtl w:val="true"/>
        </w:rPr>
        <w:footnoteReference w:id="1143"/>
      </w:r>
      <w:r>
        <w:rPr>
          <w:rFonts w:ascii="Amiri" w:hAnsi="Amiri" w:eastAsia="Amiri" w:cs="Amiri"/>
          <w:color w:val="111111"/>
          <w:sz w:val="28"/>
          <w:sz w:val="28"/>
          <w:szCs w:val="28"/>
          <w:rtl w:val="true"/>
          <w:lang w:bidi="ar-SA"/>
        </w:rPr>
        <w:t xml:space="preserve">و عامّة المتأخّرین </w:t>
      </w:r>
      <w:r>
        <w:rPr>
          <w:rStyle w:val="FootnoteAnchor"/>
          <w:rtl w:val="true"/>
        </w:rPr>
        <w:footnoteReference w:id="1144"/>
      </w:r>
      <w:r>
        <w:rPr>
          <w:rFonts w:ascii="IRNazanin" w:hAnsi="IRNazanin" w:eastAsia="IRNazanin"/>
          <w:color w:val="111111"/>
          <w:sz w:val="28"/>
          <w:sz w:val="28"/>
          <w:szCs w:val="28"/>
          <w:rtl w:val="true"/>
          <w:lang w:bidi="fa-IR"/>
        </w:rPr>
        <w:t>عدا قلیلٍ منهم کما مرّ؛ للأصل و العمومات، المندفعة بصحیحة هشام بن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من لحوم الجلّالة، و إن أصابک شی‌ءٌ من عرقها فاغسله</w:t>
      </w:r>
      <w:r>
        <w:rPr>
          <w:rFonts w:eastAsia="IRNazanin" w:cs="IRNazanin"/>
          <w:color w:val="111111"/>
          <w:sz w:val="28"/>
          <w:szCs w:val="28"/>
          <w:rtl w:val="true"/>
          <w:lang w:bidi="fa-IR"/>
        </w:rPr>
        <w:t xml:space="preserve">» </w:t>
      </w:r>
      <w:r>
        <w:rPr>
          <w:rStyle w:val="FootnoteAnchor"/>
          <w:rtl w:val="true"/>
        </w:rPr>
        <w:footnoteReference w:id="1145"/>
      </w:r>
      <w:r>
        <w:rPr>
          <w:rFonts w:ascii="IRNazanin" w:hAnsi="IRNazanin" w:eastAsia="IRNazanin"/>
          <w:color w:val="111111"/>
          <w:sz w:val="28"/>
          <w:sz w:val="28"/>
          <w:szCs w:val="28"/>
          <w:rtl w:val="true"/>
          <w:lang w:bidi="fa-IR"/>
        </w:rPr>
        <w:t>و حسنة ابن البختری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تشرب من ألبان الجلّالة </w:t>
      </w:r>
      <w:r>
        <w:rPr>
          <w:rStyle w:val="FootnoteAnchor"/>
          <w:rtl w:val="true"/>
        </w:rPr>
        <w:footnoteReference w:id="1146"/>
      </w:r>
      <w:r>
        <w:rPr>
          <w:rFonts w:ascii="IRNazanin" w:hAnsi="IRNazanin" w:eastAsia="IRNazanin"/>
          <w:color w:val="111111"/>
          <w:sz w:val="28"/>
          <w:sz w:val="28"/>
          <w:szCs w:val="28"/>
          <w:rtl w:val="true"/>
          <w:lang w:bidi="fa-IR"/>
        </w:rPr>
        <w:t>، و إن أصابک من عرقها فاغسله</w:t>
      </w:r>
      <w:r>
        <w:rPr>
          <w:rFonts w:eastAsia="IRNazanin" w:cs="IRNazanin"/>
          <w:color w:val="111111"/>
          <w:sz w:val="28"/>
          <w:szCs w:val="28"/>
          <w:rtl w:val="true"/>
          <w:lang w:bidi="fa-IR"/>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 الصحیحة الأُولی کالحسنة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الحکم بالإبل، خلافاً للمحکیّ عن الأکثر، فخصّوه بها، و هو الأقوی؛ اقتصاراً فی مخالفة القواعد علی مورد العمل من الروایة المخالفة لها و إن کانت صحیحة</w:t>
      </w:r>
      <w:r>
        <w:rPr>
          <w:rFonts w:eastAsia="IRNazanin" w:cs="IRNazanin"/>
          <w:color w:val="111111"/>
          <w:sz w:val="28"/>
          <w:szCs w:val="28"/>
          <w:rtl w:val="true"/>
          <w:lang w:bidi="fa-IR"/>
        </w:rPr>
        <w:t>.</w:t>
      </w:r>
      <w:bookmarkStart w:id="80" w:name="pg16911_259651"/>
    </w:p>
    <w:p>
      <w:pPr>
        <w:pStyle w:val="Heading5"/>
        <w:numPr>
          <w:ilvl w:val="4"/>
          <w:numId w:val="1"/>
        </w:numPr>
        <w:rPr/>
      </w:pPr>
      <w:bookmarkStart w:id="81" w:name="__RefHeading___Toc6618670_3224264995"/>
      <w:bookmarkStart w:id="82" w:name="_Toc30"/>
      <w:bookmarkEnd w:id="80"/>
      <w:bookmarkEnd w:id="81"/>
      <w:r>
        <w:rPr>
          <w:rtl w:val="true"/>
        </w:rPr>
        <w:t>[</w:t>
      </w:r>
      <w:r>
        <w:rPr>
          <w:rtl w:val="true"/>
        </w:rPr>
        <w:t>العاشر الفقّاع</w:t>
      </w:r>
      <w:r>
        <w:rPr>
          <w:rtl w:val="true"/>
        </w:rPr>
        <w:t>]</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العاشر من النجاسات الفقّاع </w:t>
      </w:r>
      <w:r>
        <w:rPr>
          <w:rStyle w:val="FootnoteAnchor"/>
          <w:rtl w:val="true"/>
        </w:rPr>
        <w:footnoteReference w:id="11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من النجاسات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و لا خلاف ظاهراً فی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الانتصار </w:t>
      </w:r>
      <w:r>
        <w:rPr>
          <w:rStyle w:val="FootnoteAnchor"/>
          <w:rtl w:val="true"/>
        </w:rPr>
        <w:footnoteReference w:id="1149"/>
      </w:r>
      <w:r>
        <w:rPr>
          <w:rFonts w:ascii="IRNazanin" w:hAnsi="IRNazanin" w:eastAsia="IRNazanin"/>
          <w:color w:val="111111"/>
          <w:sz w:val="28"/>
          <w:sz w:val="28"/>
          <w:szCs w:val="28"/>
          <w:rtl w:val="true"/>
          <w:lang w:bidi="fa-IR"/>
        </w:rPr>
        <w:t xml:space="preserve">و الخلاف </w:t>
      </w:r>
      <w:r>
        <w:rPr>
          <w:rStyle w:val="FootnoteAnchor"/>
          <w:rtl w:val="true"/>
        </w:rPr>
        <w:footnoteReference w:id="1150"/>
      </w:r>
      <w:r>
        <w:rPr>
          <w:rFonts w:ascii="IRNazanin" w:hAnsi="IRNazanin" w:eastAsia="IRNazanin"/>
          <w:color w:val="111111"/>
          <w:sz w:val="28"/>
          <w:sz w:val="28"/>
          <w:szCs w:val="28"/>
          <w:rtl w:val="true"/>
          <w:lang w:bidi="fa-IR"/>
        </w:rPr>
        <w:t xml:space="preserve">و الغنیة </w:t>
      </w: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و کذا نقل عن المصنّف قدّس سرّه </w:t>
      </w:r>
      <w:r>
        <w:rPr>
          <w:rStyle w:val="FootnoteAnchor"/>
          <w:rtl w:val="true"/>
        </w:rPr>
        <w:footnoteReference w:id="1152"/>
      </w:r>
      <w:r>
        <w:rPr>
          <w:rFonts w:ascii="Amiri" w:hAnsi="Amiri" w:eastAsia="Amiri" w:cs="Amiri"/>
          <w:color w:val="111111"/>
          <w:sz w:val="28"/>
          <w:sz w:val="28"/>
          <w:szCs w:val="28"/>
          <w:rtl w:val="true"/>
          <w:lang w:bidi="ar-SA"/>
        </w:rPr>
        <w:t xml:space="preserve">و جماعةٍ من المتأخّرین </w:t>
      </w:r>
      <w:r>
        <w:rPr>
          <w:rStyle w:val="FootnoteAnchor"/>
          <w:rtl w:val="true"/>
        </w:rPr>
        <w:footnoteReference w:id="1153"/>
      </w:r>
      <w:r>
        <w:rPr>
          <w:rFonts w:ascii="IRNazanin" w:hAnsi="IRNazanin" w:eastAsia="IRNazanin"/>
          <w:color w:val="111111"/>
          <w:sz w:val="28"/>
          <w:sz w:val="28"/>
          <w:szCs w:val="28"/>
          <w:rtl w:val="true"/>
          <w:lang w:bidi="fa-IR"/>
        </w:rPr>
        <w:t>، و الظاهر أنّهم أرادوا الإجماع من کلّ من قال بنجاسة الخمر لا مطلقاً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مضافاً إلی استفاضة الأخبار بکونها خمراً </w:t>
      </w:r>
      <w:r>
        <w:rPr>
          <w:rStyle w:val="FootnoteAnchor"/>
          <w:rtl w:val="true"/>
        </w:rPr>
        <w:footnoteReference w:id="1154"/>
      </w:r>
      <w:r>
        <w:rPr>
          <w:rFonts w:ascii="IRNazanin" w:hAnsi="IRNazanin" w:eastAsia="IRNazanin"/>
          <w:color w:val="111111"/>
          <w:sz w:val="28"/>
          <w:sz w:val="28"/>
          <w:szCs w:val="28"/>
          <w:rtl w:val="true"/>
          <w:lang w:bidi="fa-IR"/>
        </w:rPr>
        <w:t>، المستلزم</w:t>
      </w:r>
    </w:p>
    <w:p>
      <w:pPr>
        <w:pStyle w:val="BookText"/>
        <w:rPr/>
      </w:pPr>
      <w:r>
        <w:rPr>
          <w:rFonts w:ascii="IRNazanin" w:hAnsi="IRNazanin" w:eastAsia="IRNazanin"/>
          <w:color w:val="111111"/>
          <w:sz w:val="28"/>
          <w:sz w:val="28"/>
          <w:szCs w:val="28"/>
          <w:rtl w:val="true"/>
          <w:lang w:bidi="fa-IR"/>
        </w:rPr>
        <w:t xml:space="preserve">لثبوت أحکامها له إمّا لثبوت الموضوع، و إمّا لعموم المنزلة أو اختصاصه بالأحکام الشائعة التی من أظهرها النجاسة بعد التحریم، روایة </w:t>
      </w:r>
      <w:r>
        <w:rPr>
          <w:rStyle w:val="FootnoteAnchor"/>
          <w:rtl w:val="true"/>
        </w:rPr>
        <w:footnoteReference w:id="1155"/>
      </w:r>
      <w:r>
        <w:rPr>
          <w:rFonts w:ascii="IRNazanin" w:hAnsi="IRNazanin" w:eastAsia="IRNazanin"/>
          <w:color w:val="111111"/>
          <w:sz w:val="28"/>
          <w:sz w:val="28"/>
          <w:szCs w:val="28"/>
          <w:rtl w:val="true"/>
          <w:lang w:bidi="fa-IR"/>
        </w:rPr>
        <w:t>أبی جمیلة عن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هشام بن الحکم أنّه سأل الصادق علیه السلام عن الفقّاع؟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تقربه فإنّه خمرٌ مجهول، فإذا أصاب ثوبک فاغسله</w:t>
      </w:r>
      <w:r>
        <w:rPr>
          <w:rFonts w:eastAsia="IRNazanin" w:cs="IRNazanin"/>
          <w:color w:val="111111"/>
          <w:sz w:val="28"/>
          <w:szCs w:val="28"/>
          <w:rtl w:val="true"/>
          <w:lang w:bidi="fa-IR"/>
        </w:rPr>
        <w:t xml:space="preserve">» </w:t>
      </w:r>
      <w:r>
        <w:rPr>
          <w:rStyle w:val="FootnoteAnchor"/>
          <w:rtl w:val="true"/>
        </w:rPr>
        <w:footnoteReference w:id="1156"/>
      </w:r>
      <w:r>
        <w:rPr>
          <w:rFonts w:ascii="IRNazanin" w:hAnsi="IRNazanin" w:eastAsia="IRNazanin"/>
          <w:color w:val="111111"/>
          <w:sz w:val="28"/>
          <w:sz w:val="28"/>
          <w:szCs w:val="28"/>
          <w:rtl w:val="true"/>
          <w:lang w:bidi="fa-IR"/>
        </w:rPr>
        <w:t>و ضعف سندها مجبور 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الفقّاع علی ما عن مجمع البحرین و المدنیّات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یتّخذ من ماء الشعیر </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السیّد فی الانتصار و الرازیّات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یعمل منه و من القمح </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قدیماً یتّخذ من الشعیر غالباً و یضع </w:t>
      </w:r>
      <w:r>
        <w:rPr>
          <w:rStyle w:val="FootnoteAnchor"/>
          <w:rtl w:val="true"/>
        </w:rPr>
        <w:footnoteReference w:id="1159"/>
      </w:r>
      <w:r>
        <w:rPr>
          <w:rFonts w:ascii="IRNazanin" w:hAnsi="IRNazanin" w:eastAsia="IRNazanin"/>
          <w:color w:val="111111"/>
          <w:sz w:val="28"/>
          <w:sz w:val="28"/>
          <w:szCs w:val="28"/>
          <w:rtl w:val="true"/>
          <w:lang w:bidi="fa-IR"/>
        </w:rPr>
        <w:t xml:space="preserve">حتّی یحصل له نشیش، و کأنّه الآن یتّخذ من الزبیب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فالمعتبر الصدق العرفی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المحکیّ عن الإسکافی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حرام لنشیشه و غلیانه </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منه اعتبار النشیش، و هو کما قیل </w:t>
      </w:r>
      <w:r>
        <w:rPr>
          <w:rStyle w:val="FootnoteAnchor"/>
          <w:rtl w:val="true"/>
        </w:rPr>
        <w:footnoteReference w:id="1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صوت الماء و غیره إذا غلا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ظاهر الشهید الثانی فی الروض،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فی الفقّاع أن یتّخذ من ماء الشعیر کما ذکره فی الانتصار لکن لمّا ورد النهی معلّقاً علی التسمیة ثبت له ذلک، سواء عمل منه أم من غیره إذا حصل فیه خاصّیته، و هو النشیش </w:t>
      </w:r>
      <w:r>
        <w:rPr>
          <w:rStyle w:val="FootnoteAnchor"/>
          <w:rtl w:val="true"/>
        </w:rPr>
        <w:footnoteReference w:id="1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فی الروضة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نقل عن أبی هاشم الواسطی أنّ الفقّاع نبیذ الشعیر، فإذا نشّ فهو خمر </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یعتبر فیه أن یوضع فی محلٍّ حتّی یحدث فیه فوران و نشیش </w:t>
      </w:r>
      <w:r>
        <w:rPr>
          <w:rStyle w:val="FootnoteAnchor"/>
          <w:rtl w:val="true"/>
        </w:rPr>
        <w:footnoteReference w:id="1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حاشیة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الحرمة و النجاسة یدوران مع الاسم و الغلیان دون الإسکار </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نجاسته و إن لم یکن مسکراً هو المعروف من أصحابنا؛ لتعلیق الحکم علی الاسم و إطلاق الخمر علیه منوطاً </w:t>
      </w:r>
      <w:r>
        <w:rPr>
          <w:rStyle w:val="FootnoteAnchor"/>
          <w:rtl w:val="true"/>
        </w:rPr>
        <w:footnoteReference w:id="1168"/>
      </w:r>
      <w:r>
        <w:rPr>
          <w:rFonts w:ascii="IRNazanin" w:hAnsi="IRNazanin" w:eastAsia="IRNazanin"/>
          <w:color w:val="111111"/>
          <w:sz w:val="28"/>
          <w:sz w:val="28"/>
          <w:szCs w:val="28"/>
          <w:rtl w:val="true"/>
          <w:lang w:bidi="fa-IR"/>
        </w:rPr>
        <w:t xml:space="preserve">بالغلیان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جزم به فی الحدائق </w:t>
      </w:r>
      <w:r>
        <w:rPr>
          <w:rStyle w:val="FootnoteAnchor"/>
          <w:rtl w:val="true"/>
        </w:rPr>
        <w:footnoteReference w:id="1170"/>
      </w:r>
      <w:r>
        <w:rPr>
          <w:rFonts w:ascii="IRNazanin" w:hAnsi="IRNazanin" w:eastAsia="IRNazanin"/>
          <w:color w:val="111111"/>
          <w:sz w:val="28"/>
          <w:sz w:val="28"/>
          <w:szCs w:val="28"/>
          <w:rtl w:val="true"/>
          <w:lang w:bidi="fa-IR"/>
        </w:rPr>
        <w:t>مستدلًا بمصحّحة ابن أبی عمیر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یعمل لأبی الحسن علیه السلام الفقّاع فی منزله، 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یعمل فقّاعٌ یغلی</w:t>
      </w:r>
      <w:r>
        <w:rPr>
          <w:rFonts w:eastAsia="IRNazanin" w:cs="IRNazanin"/>
          <w:color w:val="111111"/>
          <w:sz w:val="28"/>
          <w:szCs w:val="28"/>
          <w:rtl w:val="true"/>
          <w:lang w:bidi="fa-IR"/>
        </w:rPr>
        <w:t xml:space="preserve">» </w:t>
      </w:r>
      <w:r>
        <w:rPr>
          <w:rStyle w:val="FootnoteAnchor"/>
          <w:rtl w:val="true"/>
        </w:rPr>
        <w:footnoteReference w:id="1171"/>
      </w:r>
      <w:r>
        <w:rPr>
          <w:rFonts w:ascii="Amiri" w:hAnsi="Amiri" w:eastAsia="Amiri" w:cs="Amiri"/>
          <w:color w:val="111111"/>
          <w:sz w:val="28"/>
          <w:sz w:val="28"/>
          <w:szCs w:val="28"/>
          <w:rtl w:val="true"/>
          <w:lang w:bidi="ar-SA"/>
        </w:rPr>
        <w:t>و نحوها روایةٌ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مصحّحة ابن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شرب الفقّاع الذی یعمل فی السوق لا یدری کیف یعمل و لا متی عمل، أ یحلّ لی أن أشتریه؟ </w:t>
      </w:r>
      <w:r>
        <w:rPr>
          <w:rStyle w:val="FootnoteAnchor"/>
          <w:rtl w:val="true"/>
        </w:rPr>
        <w:footnoteReference w:id="11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أُحبّه</w:t>
      </w:r>
      <w:r>
        <w:rPr>
          <w:rFonts w:eastAsia="Amiri" w:cs="Amiri" w:ascii="Amiri" w:hAnsi="Amiri"/>
          <w:color w:val="111111"/>
          <w:sz w:val="28"/>
          <w:szCs w:val="28"/>
          <w:rtl w:val="true"/>
          <w:lang w:bidi="ar-SA"/>
        </w:rPr>
        <w:t xml:space="preserve">» </w:t>
      </w:r>
      <w:r>
        <w:rPr>
          <w:rStyle w:val="FootnoteAnchor"/>
          <w:rtl w:val="true"/>
        </w:rPr>
        <w:footnoteReference w:id="1173"/>
      </w:r>
      <w:r>
        <w:rPr>
          <w:rFonts w:ascii="IRNazanin" w:hAnsi="IRNazanin" w:eastAsia="IRNazanin"/>
          <w:color w:val="111111"/>
          <w:sz w:val="28"/>
          <w:sz w:val="28"/>
          <w:szCs w:val="28"/>
          <w:rtl w:val="true"/>
          <w:lang w:bidi="fa-IR"/>
        </w:rPr>
        <w:t>فإنّ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متی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الحرام منه ما یبقی حتّی یحصل له فوران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فظاهر النصوص و معاقد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 الإسکار فیه، و قد نسبه فی الحدائق إلی ظاهر الأصحاب </w:t>
      </w:r>
      <w:r>
        <w:rPr>
          <w:rStyle w:val="FootnoteAnchor"/>
          <w:rtl w:val="true"/>
        </w:rPr>
        <w:footnoteReference w:id="1174"/>
      </w:r>
      <w:r>
        <w:rPr>
          <w:rFonts w:ascii="IRNazanin" w:hAnsi="IRNazanin" w:eastAsia="IRNazanin"/>
          <w:color w:val="111111"/>
          <w:sz w:val="28"/>
          <w:sz w:val="28"/>
          <w:szCs w:val="28"/>
          <w:rtl w:val="true"/>
          <w:lang w:bidi="fa-IR"/>
        </w:rPr>
        <w:t>، و تقدّم فی 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نجاسته و إن لم یکن مسکراً هو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الفقّاع فی کلامهم نجساً علی حدةٍ غیر المسکرات، و عن الغنیة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شرابٍ مسکرٍ نجسٌ، و الفقّاع نجس بالإجماع </w:t>
      </w:r>
      <w:r>
        <w:rPr>
          <w:rStyle w:val="FootnoteAnchor"/>
          <w:rtl w:val="true"/>
        </w:rPr>
        <w:footnoteReference w:id="1175"/>
      </w:r>
      <w:r>
        <w:rPr>
          <w:rFonts w:ascii="IRNazanin" w:hAnsi="IRNazanin" w:eastAsia="IRNazanin"/>
          <w:color w:val="111111"/>
          <w:sz w:val="28"/>
          <w:sz w:val="28"/>
          <w:szCs w:val="28"/>
          <w:rtl w:val="true"/>
          <w:lang w:bidi="fa-IR"/>
        </w:rPr>
        <w:t xml:space="preserve">، و عدّ فی الوسیلة من النجاسة الخمر و کلّ شراب مسکر و الفقّاع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المصرّح به فی مجمع البحرین و کشف الغطاء کونه ممّا لا یسکر، قال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شی‌ءٌ یتّخذ من ماء الشعیر، و لیس بمسکر، لکن ورد النهی عنه </w:t>
      </w:r>
      <w:r>
        <w:rPr>
          <w:rStyle w:val="FootnoteAnchor"/>
          <w:rtl w:val="true"/>
        </w:rPr>
        <w:footnoteReference w:id="1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شراب مخصوص غیر مسکر متّخذ من الشعیر غالباً </w:t>
      </w: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تحفة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الأنبذة و لا یسکر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الأخبار الدالّة علی أنّها خمر أو بمنزلتها </w:t>
      </w:r>
      <w:r>
        <w:rPr>
          <w:rStyle w:val="FootnoteAnchor"/>
          <w:rtl w:val="true"/>
        </w:rPr>
        <w:footnoteReference w:id="1180"/>
      </w:r>
      <w:r>
        <w:rPr>
          <w:rFonts w:ascii="IRNazanin" w:hAnsi="IRNazanin" w:eastAsia="IRNazanin"/>
          <w:color w:val="111111"/>
          <w:sz w:val="28"/>
          <w:sz w:val="28"/>
          <w:szCs w:val="28"/>
          <w:rtl w:val="true"/>
          <w:lang w:bidi="fa-IR"/>
        </w:rPr>
        <w:t>اعتبار الإسکار فیه، سیّما بملاحظة ما دلّ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لم یحرّم الخمر لاسمها و إنّما حرّمها لعاقبتها، فما کان عاقبته عاقبة الخمر فهو خمر </w:t>
      </w:r>
      <w:r>
        <w:rPr>
          <w:rStyle w:val="FootnoteAnchor"/>
          <w:rtl w:val="true"/>
        </w:rPr>
        <w:footnoteReference w:id="1181"/>
      </w:r>
      <w:r>
        <w:rPr>
          <w:rFonts w:ascii="IRNazanin" w:hAnsi="IRNazanin" w:eastAsia="IRNazanin"/>
          <w:color w:val="111111"/>
          <w:sz w:val="28"/>
          <w:sz w:val="28"/>
          <w:szCs w:val="28"/>
          <w:rtl w:val="true"/>
          <w:lang w:bidi="fa-IR"/>
        </w:rPr>
        <w:t>، إلّا أن یلتزم بأنّه یحصل منه فتور و إن لم یبلغ حدّ 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ماء الشعیر الذی یتعاطاه الأطبّاء للدواء منه؛ لأنّ الظاهر أنّه یحصل منه فتور لا یبلغ حدّ السکر و لیس ذلک فی ماء الشعیر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أنّ الظاهر من بعض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الفقّاع فی البیان من ماء الشعیر دائماً أو غالباً، و علیه لا وجه لتعمیم الفقّاع فی الأدلّة لما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وضعها للقدر المشترک بین الکلّ ممنوع، إلّا أن یقال بعدم الاختصاص وضعاً و لا انصرافاً</w:t>
      </w:r>
      <w:r>
        <w:rPr>
          <w:rFonts w:eastAsia="IRNazanin" w:cs="IRNazanin"/>
          <w:color w:val="111111"/>
          <w:sz w:val="28"/>
          <w:szCs w:val="28"/>
          <w:rtl w:val="true"/>
          <w:lang w:bidi="fa-IR"/>
        </w:rPr>
        <w:t>.</w:t>
      </w:r>
      <w:bookmarkStart w:id="83" w:name="pg16911_259656"/>
    </w:p>
    <w:p>
      <w:pPr>
        <w:pStyle w:val="Heading5"/>
        <w:numPr>
          <w:ilvl w:val="4"/>
          <w:numId w:val="1"/>
        </w:numPr>
        <w:rPr/>
      </w:pPr>
      <w:bookmarkStart w:id="84" w:name="__RefHeading___Toc6618672_3224264995"/>
      <w:bookmarkStart w:id="85" w:name="_Toc31"/>
      <w:bookmarkEnd w:id="83"/>
      <w:bookmarkEnd w:id="84"/>
      <w:r>
        <w:rPr>
          <w:rtl w:val="true"/>
        </w:rPr>
        <w:t>[</w:t>
      </w:r>
      <w:r>
        <w:rPr>
          <w:rtl w:val="true"/>
        </w:rPr>
        <w:t>حکم المُسوخات</w:t>
      </w:r>
      <w:r>
        <w:rPr>
          <w:rtl w:val="true"/>
        </w:rPr>
        <w:t>]</w:t>
      </w:r>
      <w:bookmarkEnd w:id="8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المُسوخات </w:t>
      </w:r>
      <w:r>
        <w:rPr>
          <w:rStyle w:val="FootnoteAnchor"/>
          <w:rtl w:val="true"/>
        </w:rPr>
        <w:footnoteReference w:id="1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طهارة عین المسوخات و لعابها وفاقاً للمشهور، بل المجمع علیه کما ستعرف؛ للأصل و العمومات الدالّة علی طهارة سؤر کلّ حیوان من السباع و الوحش ما عدا الکلب کما فی روایة البقباق المتقدّمة فی باب السؤر </w:t>
      </w:r>
      <w:r>
        <w:rPr>
          <w:rStyle w:val="FootnoteAnchor"/>
          <w:rtl w:val="true"/>
        </w:rPr>
        <w:footnoteReference w:id="1184"/>
      </w:r>
      <w:r>
        <w:rPr>
          <w:rFonts w:ascii="IRNazanin" w:hAnsi="IRNazanin" w:eastAsia="IRNazanin"/>
          <w:color w:val="111111"/>
          <w:sz w:val="28"/>
          <w:sz w:val="28"/>
          <w:szCs w:val="28"/>
          <w:rtl w:val="true"/>
          <w:lang w:bidi="fa-IR"/>
        </w:rPr>
        <w:t xml:space="preserve">خرج عنه الخنزیر، و خصوص ما دلّ علی طهارة سؤر السباع الذی بعضها من المسوخ </w:t>
      </w:r>
      <w:r>
        <w:rPr>
          <w:rStyle w:val="FootnoteAnchor"/>
          <w:rtl w:val="true"/>
        </w:rPr>
        <w:footnoteReference w:id="1185"/>
      </w:r>
      <w:r>
        <w:rPr>
          <w:rFonts w:ascii="IRNazanin" w:hAnsi="IRNazanin" w:eastAsia="IRNazanin"/>
          <w:color w:val="111111"/>
          <w:sz w:val="28"/>
          <w:sz w:val="28"/>
          <w:szCs w:val="28"/>
          <w:rtl w:val="true"/>
          <w:lang w:bidi="fa-IR"/>
        </w:rPr>
        <w:t xml:space="preserve">، و ما دلّ علی طهارة میتة ما لا نفس له </w:t>
      </w:r>
      <w:r>
        <w:rPr>
          <w:rStyle w:val="FootnoteAnchor"/>
          <w:rtl w:val="true"/>
        </w:rPr>
        <w:footnoteReference w:id="1186"/>
      </w:r>
      <w:r>
        <w:rPr>
          <w:rFonts w:ascii="IRNazanin" w:hAnsi="IRNazanin" w:eastAsia="IRNazanin"/>
          <w:color w:val="111111"/>
          <w:sz w:val="28"/>
          <w:sz w:val="28"/>
          <w:szCs w:val="28"/>
          <w:rtl w:val="true"/>
          <w:lang w:bidi="fa-IR"/>
        </w:rPr>
        <w:t xml:space="preserve">و منه الزنبور و العنکبوت و الجراد و الوزغ و العقرب، و ما دلّ علی جواز التمشّط بالعاج </w:t>
      </w:r>
      <w:r>
        <w:rPr>
          <w:rStyle w:val="FootnoteAnchor"/>
          <w:rtl w:val="true"/>
        </w:rPr>
        <w:footnoteReference w:id="1187"/>
      </w:r>
      <w:r>
        <w:rPr>
          <w:rFonts w:ascii="IRNazanin" w:hAnsi="IRNazanin" w:eastAsia="IRNazanin"/>
          <w:color w:val="111111"/>
          <w:sz w:val="28"/>
          <w:sz w:val="28"/>
          <w:szCs w:val="28"/>
          <w:rtl w:val="true"/>
          <w:lang w:bidi="fa-IR"/>
        </w:rPr>
        <w:t xml:space="preserve">و هو من المسوخ، و ما دلّ علی استعمال وبر الأرانب </w:t>
      </w:r>
      <w:r>
        <w:rPr>
          <w:rStyle w:val="FootnoteAnchor"/>
          <w:rtl w:val="true"/>
        </w:rPr>
        <w:footnoteReference w:id="1188"/>
      </w:r>
      <w:r>
        <w:rPr>
          <w:rFonts w:ascii="Amiri" w:hAnsi="Amiri" w:eastAsia="Amiri" w:cs="Amiri"/>
          <w:color w:val="111111"/>
          <w:sz w:val="28"/>
          <w:sz w:val="28"/>
          <w:szCs w:val="28"/>
          <w:rtl w:val="true"/>
          <w:lang w:bidi="ar-SA"/>
        </w:rPr>
        <w:t>، و ما دلّ</w:t>
      </w:r>
    </w:p>
    <w:p>
      <w:pPr>
        <w:pStyle w:val="BookText"/>
        <w:rPr/>
      </w:pPr>
      <w:r>
        <w:rPr>
          <w:rFonts w:ascii="IRNazanin" w:hAnsi="IRNazanin" w:eastAsia="IRNazanin"/>
          <w:color w:val="111111"/>
          <w:sz w:val="28"/>
          <w:sz w:val="28"/>
          <w:szCs w:val="28"/>
          <w:rtl w:val="true"/>
          <w:lang w:bidi="fa-IR"/>
        </w:rPr>
        <w:t xml:space="preserve">علی طهارة سؤر مطلق الطیر </w:t>
      </w:r>
      <w:r>
        <w:rPr>
          <w:rStyle w:val="FootnoteAnchor"/>
          <w:rtl w:val="true"/>
        </w:rPr>
        <w:footnoteReference w:id="1189"/>
      </w:r>
      <w:r>
        <w:rPr>
          <w:rFonts w:ascii="IRNazanin" w:hAnsi="IRNazanin" w:eastAsia="IRNazanin"/>
          <w:color w:val="111111"/>
          <w:sz w:val="28"/>
          <w:sz w:val="28"/>
          <w:szCs w:val="28"/>
          <w:rtl w:val="true"/>
          <w:lang w:bidi="fa-IR"/>
        </w:rPr>
        <w:t xml:space="preserve">و منه الطاوس و الوطواط، و ما دلّ علی طهارة العقرب و الوزغ و الفأرة التی عدّت من المسوخ </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مضافاً إلی السیرة القطعیّة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للمحکیّ عن المبسوط،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بیع الأعیان النجسة کالکلب و الخنزیر و جمیع المسوخ </w:t>
      </w:r>
      <w:r>
        <w:rPr>
          <w:rStyle w:val="FootnoteAnchor"/>
          <w:rtl w:val="true"/>
        </w:rPr>
        <w:footnoteReference w:id="119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عطف الجمیع علی المثال لا الممثّل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فی کتاب الأطعمة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المسوخ کلّها نجسة </w:t>
      </w:r>
      <w:r>
        <w:rPr>
          <w:rStyle w:val="FootnoteAnchor"/>
          <w:rtl w:val="true"/>
        </w:rPr>
        <w:footnoteReference w:id="1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الإیضاح فی کتاب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القول بالتنجیس إلی المفید و الشیخ فی الخلاف و ابن حمزة و سلّار </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أکثر المتقدّمین علی منع بیع المسوخ؛ بناءً علی نجاستها، و أکثر المتأخّرین علی الجواز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احتمل استفادة القول بالنجاسة من بعض هؤلاء من جهة قوله بنجاسة لعاب المسوخ؛ فإنّ المحکیّ عن ابن حمزة و سلّار فی الوسیلة </w:t>
      </w:r>
      <w:r>
        <w:rPr>
          <w:rStyle w:val="FootnoteAnchor"/>
          <w:rtl w:val="true"/>
        </w:rPr>
        <w:footnoteReference w:id="1195"/>
      </w:r>
      <w:r>
        <w:rPr>
          <w:rFonts w:ascii="IRNazanin" w:hAnsi="IRNazanin" w:eastAsia="IRNazanin"/>
          <w:color w:val="111111"/>
          <w:sz w:val="28"/>
          <w:sz w:val="28"/>
          <w:szCs w:val="28"/>
          <w:rtl w:val="true"/>
          <w:lang w:bidi="fa-IR"/>
        </w:rPr>
        <w:t xml:space="preserve">و المراسم </w:t>
      </w:r>
      <w:r>
        <w:rPr>
          <w:rStyle w:val="FootnoteAnchor"/>
          <w:rtl w:val="true"/>
        </w:rPr>
        <w:footnoteReference w:id="1196"/>
      </w:r>
      <w:r>
        <w:rPr>
          <w:rFonts w:ascii="IRNazanin" w:hAnsi="IRNazanin" w:eastAsia="IRNazanin"/>
          <w:color w:val="111111"/>
          <w:sz w:val="28"/>
          <w:sz w:val="28"/>
          <w:szCs w:val="28"/>
          <w:rtl w:val="true"/>
          <w:lang w:bidi="fa-IR"/>
        </w:rPr>
        <w:t xml:space="preserve">و عن الإصباح </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اللعاب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احتمل فی کلام الشیخ إرادة النجاسة اللغویّة بمعنی الخباثة الموجبة لثبوت بعض أحکام النجاسة، و یشهد له مضافاً إلی ما عنه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التمشّط بالعاج و أخذ المداهن منه مدّعیاً علیه الإجماع </w:t>
      </w:r>
      <w:r>
        <w:rPr>
          <w:rStyle w:val="FootnoteAnchor"/>
          <w:rtl w:val="true"/>
        </w:rPr>
        <w:footnoteReference w:id="1198"/>
      </w:r>
      <w:r>
        <w:rPr>
          <w:rFonts w:ascii="IRNazanin" w:hAnsi="IRNazanin" w:eastAsia="IRNazanin"/>
          <w:color w:val="111111"/>
          <w:sz w:val="28"/>
          <w:sz w:val="28"/>
          <w:szCs w:val="28"/>
          <w:rtl w:val="true"/>
          <w:lang w:bidi="fa-IR"/>
        </w:rPr>
        <w:t>ما عنه فی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غیر الطیر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العین و نجس الحکم، فنجس العین هو الکلب و الخنزیر؛ فإنّه نجس العین نجس السؤر نجس اللعاب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عداه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مأکول و غیر مأکول، فما لیس بمأکول کالسباع و غیرها من المسوخات مباح السؤر و نجس الحکم </w:t>
      </w:r>
      <w:r>
        <w:rPr>
          <w:rStyle w:val="FootnoteAnchor"/>
          <w:rtl w:val="true"/>
        </w:rPr>
        <w:footnoteReference w:id="119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فما تقدّم من الأدلّة کافٍ فی طهارة عینها و سؤرها و لعابها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من الأدلّة یظهر الوجه فی طهارة الثعلب و الأرنب و الفأرة و الوزغة، مضافاً إلی ما دلّ علی جواز تذکیة الأوّلین </w:t>
      </w:r>
      <w:r>
        <w:rPr>
          <w:rStyle w:val="FootnoteAnchor"/>
          <w:rtl w:val="true"/>
        </w:rPr>
        <w:footnoteReference w:id="1200"/>
      </w:r>
      <w:r>
        <w:rPr>
          <w:rFonts w:ascii="IRNazanin" w:hAnsi="IRNazanin" w:eastAsia="IRNazanin"/>
          <w:color w:val="111111"/>
          <w:sz w:val="28"/>
          <w:sz w:val="28"/>
          <w:szCs w:val="28"/>
          <w:rtl w:val="true"/>
          <w:lang w:bidi="fa-IR"/>
        </w:rPr>
        <w:t xml:space="preserve">، و الروایات الخاصّة فی الأخیرین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للمحکیّ عن الشیخ فی موضعٍ من المبسوط، فجعل الأمر معه </w:t>
      </w:r>
      <w:r>
        <w:rPr>
          <w:rStyle w:val="FootnoteAnchor"/>
          <w:rtl w:val="true"/>
        </w:rPr>
        <w:footnoteReference w:id="1202"/>
      </w:r>
      <w:r>
        <w:rPr>
          <w:rFonts w:ascii="IRNazanin" w:hAnsi="IRNazanin" w:eastAsia="IRNazanin"/>
          <w:color w:val="111111"/>
          <w:sz w:val="28"/>
          <w:sz w:val="28"/>
          <w:szCs w:val="28"/>
          <w:rtl w:val="true"/>
          <w:lang w:bidi="fa-IR"/>
        </w:rPr>
        <w:t xml:space="preserve">کالکلب و الخنزیر فی وجوب إراقة ما باشرته من المیاه و غسل ما مسّته بیبوسة </w:t>
      </w:r>
      <w:r>
        <w:rPr>
          <w:rStyle w:val="FootnoteAnchor"/>
          <w:rtl w:val="true"/>
        </w:rPr>
        <w:footnoteReference w:id="1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و الخنزیر و الثعلب و الأرنب و الفأرة</w:t>
      </w:r>
    </w:p>
    <w:p>
      <w:pPr>
        <w:pStyle w:val="BookText"/>
        <w:rPr/>
      </w:pPr>
      <w:r>
        <w:rPr>
          <w:rFonts w:ascii="IRNazanin" w:hAnsi="IRNazanin" w:eastAsia="IRNazanin"/>
          <w:color w:val="111111"/>
          <w:sz w:val="28"/>
          <w:sz w:val="28"/>
          <w:szCs w:val="28"/>
          <w:rtl w:val="true"/>
          <w:lang w:bidi="fa-IR"/>
        </w:rPr>
        <w:t xml:space="preserve">و الوزغة و جسد الذمّی و الکافر و الناصب یجب غسل ما مسّ هذه رطباً و رشّه یابساً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للمحکیّ عن المقنعة، فجعل الأخیرین کالکلب و الخنزیر فی غسل ما مسّاه برطوبة و رشّ ما مسّاه بیبوسة </w:t>
      </w:r>
      <w:r>
        <w:rPr>
          <w:rStyle w:val="FootnoteAnchor"/>
          <w:rtl w:val="true"/>
        </w:rPr>
        <w:footnoteReference w:id="1205"/>
      </w:r>
      <w:r>
        <w:rPr>
          <w:rFonts w:ascii="IRNazanin" w:hAnsi="IRNazanin" w:eastAsia="IRNazanin"/>
          <w:color w:val="111111"/>
          <w:sz w:val="28"/>
          <w:sz w:val="28"/>
          <w:szCs w:val="28"/>
          <w:rtl w:val="true"/>
          <w:lang w:bidi="fa-IR"/>
        </w:rPr>
        <w:t xml:space="preserve">، و نحوه ما عن المراسم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للمحکیّ عن الحلبیّین فی نجاسة الأوّلین </w:t>
      </w:r>
      <w:r>
        <w:rPr>
          <w:rStyle w:val="FootnoteAnchor"/>
          <w:rtl w:val="true"/>
        </w:rPr>
        <w:footnoteReference w:id="1207"/>
      </w:r>
      <w:r>
        <w:rPr>
          <w:rFonts w:ascii="IRNazanin" w:hAnsi="IRNazanin" w:eastAsia="IRNazanin"/>
          <w:color w:val="111111"/>
          <w:sz w:val="28"/>
          <w:sz w:val="28"/>
          <w:szCs w:val="28"/>
          <w:rtl w:val="true"/>
          <w:lang w:bidi="fa-IR"/>
        </w:rPr>
        <w:t>، و 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للمحکیّ عن القاضی، فألحق الوزغة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المستند فی الکلّ لو صحّت الحکایات عِدّةٌ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یمسّ الثعلب و الأرنب أو شیئاً من السباع حیّاً أو میّتاً؟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یضرّه، و لکن یغسل یده</w:t>
      </w:r>
      <w:r>
        <w:rPr>
          <w:rFonts w:eastAsia="IRNazanin" w:cs="IRNazanin"/>
          <w:color w:val="111111"/>
          <w:sz w:val="28"/>
          <w:szCs w:val="28"/>
          <w:rtl w:val="true"/>
          <w:lang w:bidi="fa-IR"/>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المصحّح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الفأرة الرطبة قد وقعت فی الماء یمشی علی الثیاب، أ یصلّی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ما رأیت من أثرها، و ما لم تره فانضحه بالماء</w:t>
      </w:r>
      <w:r>
        <w:rPr>
          <w:rFonts w:eastAsia="IRNazanin" w:cs="IRNazanin"/>
          <w:color w:val="111111"/>
          <w:sz w:val="28"/>
          <w:szCs w:val="28"/>
          <w:rtl w:val="true"/>
          <w:lang w:bidi="fa-IR"/>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الخبر المروی من قرب الإسناد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الفأرة و العقرب و أشباه ذلک یقع فی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یسکب منه ثلاث مرّات، و قلیله و کثیره بمنزلةٍ واحدة، ثمّ یشرب و یتوضّأ منه، غیر الوزغ فإنّه لا ینتفع بما یقع</w:t>
      </w:r>
      <w:r>
        <w:rPr>
          <w:rFonts w:eastAsia="IRNazanin" w:cs="IRNazanin"/>
          <w:color w:val="111111"/>
          <w:sz w:val="28"/>
          <w:szCs w:val="28"/>
          <w:rtl w:val="true"/>
          <w:lang w:bidi="fa-IR"/>
        </w:rPr>
        <w:t xml:space="preserve">» </w:t>
      </w:r>
      <w:r>
        <w:rPr>
          <w:rStyle w:val="FootnoteAnchor"/>
          <w:rtl w:val="true"/>
        </w:rPr>
        <w:footnoteReference w:id="1212"/>
      </w:r>
      <w:r>
        <w:rPr>
          <w:rFonts w:ascii="IRNazanin" w:hAnsi="IRNazanin" w:eastAsia="IRNazanin"/>
          <w:color w:val="111111"/>
          <w:sz w:val="28"/>
          <w:sz w:val="28"/>
          <w:szCs w:val="28"/>
          <w:rtl w:val="true"/>
          <w:lang w:bidi="fa-IR"/>
        </w:rPr>
        <w:t xml:space="preserve">، و نحوه ما عن الرضوی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یخفی أنّ ذلک کلّه معارض بالعمومات </w:t>
      </w:r>
      <w:r>
        <w:rPr>
          <w:rStyle w:val="FootnoteAnchor"/>
          <w:rtl w:val="true"/>
        </w:rPr>
        <w:footnoteReference w:id="1214"/>
      </w:r>
      <w:r>
        <w:rPr>
          <w:rFonts w:ascii="IRNazanin" w:hAnsi="IRNazanin" w:eastAsia="IRNazanin"/>
          <w:color w:val="111111"/>
          <w:sz w:val="28"/>
          <w:sz w:val="28"/>
          <w:szCs w:val="28"/>
          <w:rtl w:val="true"/>
          <w:lang w:bidi="fa-IR"/>
        </w:rPr>
        <w:t xml:space="preserve">و الخصوصات فی طهارة الأربعة المذکورة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أضعف من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بنجاسة لبن الجاریة کما عن الإسکافی </w:t>
      </w:r>
      <w:r>
        <w:rPr>
          <w:rStyle w:val="FootnoteAnchor"/>
          <w:rtl w:val="true"/>
        </w:rPr>
        <w:footnoteReference w:id="1216"/>
      </w:r>
      <w:r>
        <w:rPr>
          <w:rFonts w:ascii="Amiri" w:hAnsi="Amiri" w:eastAsia="Amiri" w:cs="Amiri"/>
          <w:color w:val="111111"/>
          <w:sz w:val="28"/>
          <w:sz w:val="28"/>
          <w:szCs w:val="28"/>
          <w:rtl w:val="true"/>
          <w:lang w:bidi="ar-SA"/>
        </w:rPr>
        <w:t>للعلوی الضعیف المعلَّل بعلّةٍ ضعیفة مشعرةٍ بالاستحباب،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لبنها تخرج من مثانة أُمّها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أضعف من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ذرق الدجاج، و قد تقدّم فی البول و الغائط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أفرط من الکلّ فی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نجاسة الحدید، أو تخیّل حسن الاحتیاط، کما حکی عن بعض المتورّعین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یجتنب أکل الجزء المقطوع من البطّیخ بالحدید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بأس بالحکم باستحباب غسل الید أو مسّه لخباثةٍ باطنیّة فیه، المعبّر عنها فی الأخبار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إذا قصّ أظفاره بالحدید أو أخذ من شعره و حلق قفاه، فإنّ علیه أن یمسحه بالماء قبل أن یصلّی،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صلّی و لم یتمسّح ذلک بالماء؟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بالماء و یعید الصلاة؛ لأنّ الحدید نجس</w:t>
      </w:r>
      <w:r>
        <w:rPr>
          <w:rFonts w:eastAsia="IRNazanin" w:cs="IRNazanin"/>
          <w:color w:val="111111"/>
          <w:sz w:val="28"/>
          <w:szCs w:val="28"/>
          <w:rtl w:val="true"/>
          <w:lang w:bidi="fa-IR"/>
        </w:rPr>
        <w:t xml:space="preserve">» </w:t>
      </w:r>
      <w:r>
        <w:rPr>
          <w:rStyle w:val="FootnoteAnchor"/>
          <w:rtl w:val="true"/>
        </w:rPr>
        <w:footnoteReference w:id="1220"/>
      </w:r>
      <w:r>
        <w:rPr>
          <w:rFonts w:ascii="IRNazanin" w:hAnsi="IRNazanin" w:eastAsia="IRNazanin"/>
          <w:color w:val="111111"/>
          <w:sz w:val="28"/>
          <w:sz w:val="28"/>
          <w:szCs w:val="28"/>
          <w:rtl w:val="true"/>
          <w:lang w:bidi="fa-IR"/>
        </w:rPr>
        <w:t xml:space="preserve">و قریب منها موثّقته الأُخری </w:t>
      </w:r>
      <w:r>
        <w:rPr>
          <w:rStyle w:val="FootnoteAnchor"/>
          <w:rtl w:val="true"/>
        </w:rPr>
        <w:footnoteReference w:id="1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أبی بصیر عن الصادق علیه السلام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الصلاة فی شی‌ءٍ من الحدید؛ فإنّه نجس ممسوخ</w:t>
      </w:r>
      <w:r>
        <w:rPr>
          <w:rFonts w:eastAsia="IRNazanin" w:cs="IRNazanin"/>
          <w:color w:val="111111"/>
          <w:sz w:val="28"/>
          <w:szCs w:val="28"/>
          <w:rtl w:val="true"/>
          <w:lang w:bidi="fa-IR"/>
        </w:rPr>
        <w:t xml:space="preserve">» </w:t>
      </w:r>
      <w:r>
        <w:rPr>
          <w:rStyle w:val="FootnoteAnchor"/>
          <w:rtl w:val="true"/>
        </w:rPr>
        <w:footnoteReference w:id="1222"/>
      </w:r>
      <w:r>
        <w:rPr>
          <w:rFonts w:ascii="IRNazanin" w:hAnsi="IRNazanin" w:eastAsia="IRNazanin"/>
          <w:color w:val="111111"/>
          <w:sz w:val="28"/>
          <w:sz w:val="28"/>
          <w:szCs w:val="28"/>
          <w:rtl w:val="true"/>
          <w:lang w:bidi="fa-IR"/>
        </w:rPr>
        <w:t>و هی علی ظاهرها مخالفةٌ للسیرة الکاشفة عن کون الطهارة من الضروریّات عند العوام و الخواص</w:t>
      </w:r>
      <w:r>
        <w:rPr>
          <w:rFonts w:eastAsia="IRNazanin" w:cs="IRNazanin"/>
          <w:color w:val="111111"/>
          <w:sz w:val="28"/>
          <w:szCs w:val="28"/>
          <w:rtl w:val="true"/>
          <w:lang w:bidi="fa-IR"/>
        </w:rPr>
        <w:t>.</w:t>
      </w:r>
      <w:bookmarkStart w:id="86" w:name="pg16911_259663"/>
    </w:p>
    <w:p>
      <w:pPr>
        <w:pStyle w:val="Heading4"/>
        <w:numPr>
          <w:ilvl w:val="3"/>
          <w:numId w:val="1"/>
        </w:numPr>
        <w:rPr/>
      </w:pPr>
      <w:bookmarkStart w:id="87" w:name="__RefHeading___Toc6618674_3224264995"/>
      <w:bookmarkStart w:id="88" w:name="_Toc32"/>
      <w:bookmarkEnd w:id="86"/>
      <w:bookmarkEnd w:id="87"/>
      <w:r>
        <w:rPr>
          <w:rtl w:val="true"/>
        </w:rPr>
        <w:t>[</w:t>
      </w:r>
      <w:r>
        <w:rPr>
          <w:rtl w:val="true"/>
        </w:rPr>
        <w:t>أحکام النجاسات</w:t>
      </w:r>
      <w:r>
        <w:rPr>
          <w:rtl w:val="true"/>
        </w:rPr>
        <w:t>]</w:t>
      </w:r>
      <w:bookmarkEnd w:id="88"/>
    </w:p>
    <w:p>
      <w:pPr>
        <w:pStyle w:val="Heading5"/>
        <w:numPr>
          <w:ilvl w:val="4"/>
          <w:numId w:val="1"/>
        </w:numPr>
        <w:rPr/>
      </w:pPr>
      <w:bookmarkStart w:id="89" w:name="__RefHeading___Toc6618676_3224264995"/>
      <w:bookmarkStart w:id="90" w:name="_Toc33"/>
      <w:bookmarkEnd w:id="89"/>
      <w:r>
        <w:rPr>
          <w:rtl w:val="true"/>
        </w:rPr>
        <w:t>اشارة</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أحکام النجاسات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6618678_3224264995"/>
      <w:bookmarkStart w:id="92" w:name="_Toc34"/>
      <w:bookmarkEnd w:id="91"/>
      <w:r>
        <w:rPr>
          <w:rtl w:val="true"/>
        </w:rPr>
        <w:t>[</w:t>
      </w:r>
      <w:r>
        <w:rPr>
          <w:rtl w:val="true"/>
        </w:rPr>
        <w:t>وجوب إزالة النجاسة عن الثوب و البدن للصلاة و الطواف</w:t>
      </w:r>
      <w:r>
        <w:rPr>
          <w:rtl w:val="true"/>
        </w:rPr>
        <w:t>]</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بالوجوب الشرطی أو التکلیفی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إزالة النجاسة </w:t>
      </w:r>
      <w:r>
        <w:rPr>
          <w:rStyle w:val="FootnoteAnchor"/>
          <w:rtl w:val="true"/>
        </w:rPr>
        <w:footnoteReference w:id="1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الثوب و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المتنجّسین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بالإجماع المحقّق فی الجملة و بالکتاب </w:t>
      </w:r>
      <w:r>
        <w:rPr>
          <w:rStyle w:val="FootnoteAnchor"/>
          <w:rtl w:val="true"/>
        </w:rPr>
        <w:footnoteReference w:id="1225"/>
      </w:r>
      <w:r>
        <w:rPr>
          <w:rFonts w:ascii="Amiri" w:hAnsi="Amiri" w:eastAsia="Amiri" w:cs="Amiri"/>
          <w:color w:val="111111"/>
          <w:sz w:val="28"/>
          <w:sz w:val="28"/>
          <w:szCs w:val="28"/>
          <w:rtl w:val="true"/>
          <w:lang w:bidi="ar-SA"/>
        </w:rPr>
        <w:t xml:space="preserve">و السنّة المتواترة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کانت النجاسة ملاصقة لهما مع عدم تأثّرهما لم تجب الإزالة، إلّا إذا منعنا عن حمل النجاسة کما سیأتی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الثوب من باب المثال؛ فإنّ الواجب إزالة النجاسة عن کلّ ما یصلّی فیه؛ لما یستفاد من النصّ و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جواز الصلاة فی النجس</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مکاتبة خیران الخادم المتقدّمة فی مسألة الخمر فی الثوب الذی</w:t>
      </w:r>
    </w:p>
    <w:p>
      <w:pPr>
        <w:pStyle w:val="BookText"/>
        <w:rPr/>
      </w:pPr>
      <w:r>
        <w:rPr>
          <w:rFonts w:ascii="IRNazanin" w:hAnsi="IRNazanin" w:eastAsia="IRNazanin"/>
          <w:color w:val="111111"/>
          <w:sz w:val="28"/>
          <w:sz w:val="28"/>
          <w:szCs w:val="28"/>
          <w:rtl w:val="true"/>
          <w:lang w:bidi="fa-IR"/>
        </w:rPr>
        <w:t>أصابه خمر،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فیه فإنّه رجس</w:t>
      </w:r>
      <w:r>
        <w:rPr>
          <w:rFonts w:eastAsia="IRNazanin" w:cs="IRNazanin"/>
          <w:color w:val="111111"/>
          <w:sz w:val="28"/>
          <w:szCs w:val="28"/>
          <w:rtl w:val="true"/>
          <w:lang w:bidi="fa-IR"/>
        </w:rPr>
        <w:t xml:space="preserve">» </w:t>
      </w:r>
      <w:r>
        <w:rPr>
          <w:rStyle w:val="FootnoteAnchor"/>
          <w:rtl w:val="true"/>
        </w:rPr>
        <w:footnoteReference w:id="1228"/>
      </w:r>
      <w:r>
        <w:rPr>
          <w:rFonts w:ascii="IRNazanin" w:hAnsi="IRNazanin" w:eastAsia="IRNazanin"/>
          <w:color w:val="111111"/>
          <w:sz w:val="28"/>
          <w:sz w:val="28"/>
          <w:szCs w:val="28"/>
          <w:rtl w:val="true"/>
          <w:lang w:bidi="fa-IR"/>
        </w:rPr>
        <w:t>دلّ بمقتضی التعلیل علی عدم جواز الصلاة فی کلّ 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فی روایة أبی بصیر المتقدّمة فی طهارة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شی‌ءٍ من الحدید، فإنّه نجس ممسوخ</w:t>
      </w:r>
      <w:r>
        <w:rPr>
          <w:rFonts w:eastAsia="IRNazanin" w:cs="IRNazanin"/>
          <w:color w:val="111111"/>
          <w:sz w:val="28"/>
          <w:szCs w:val="28"/>
          <w:rtl w:val="true"/>
          <w:lang w:bidi="fa-IR"/>
        </w:rPr>
        <w:t xml:space="preserve">» </w:t>
      </w:r>
      <w:r>
        <w:rPr>
          <w:rStyle w:val="FootnoteAnchor"/>
          <w:rtl w:val="true"/>
        </w:rPr>
        <w:footnoteReference w:id="1229"/>
      </w:r>
      <w:r>
        <w:rPr>
          <w:rFonts w:ascii="IRNazanin" w:hAnsi="IRNazanin" w:eastAsia="IRNazanin"/>
          <w:color w:val="111111"/>
          <w:sz w:val="28"/>
          <w:sz w:val="28"/>
          <w:szCs w:val="28"/>
          <w:rtl w:val="true"/>
          <w:lang w:bidi="fa-IR"/>
        </w:rPr>
        <w:t xml:space="preserve">فإنّه و إن کان النهی للتنزیه و المراد بالنجاسة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یستفاد منه ثبوت حرمة الصلاة فی النجس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فی روایة وهب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السیف بمنزلة الرداء تصلی فیه ما لم ترَ فیه دماً</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بناءً علی عدم دخول السیف فی ما لا یتمّ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أوضح منها الأخبار الآتیة فیما لا یتمّ الصلاة فیه </w:t>
      </w:r>
      <w:r>
        <w:rPr>
          <w:rStyle w:val="FootnoteAnchor"/>
          <w:rtl w:val="true"/>
        </w:rPr>
        <w:footnoteReference w:id="1231"/>
      </w:r>
      <w:r>
        <w:rPr>
          <w:rFonts w:ascii="IRNazanin" w:hAnsi="IRNazanin" w:eastAsia="IRNazanin"/>
          <w:color w:val="111111"/>
          <w:sz w:val="28"/>
          <w:sz w:val="28"/>
          <w:szCs w:val="28"/>
          <w:rtl w:val="true"/>
          <w:lang w:bidi="fa-IR"/>
        </w:rPr>
        <w:t>، فإنّ الظاهر کون ذلک کالاستثناء من کلّیة المنع عن الصلاة فی النجس، مع أنّهم عدّوا من ذلک الخاتم و الدملج و الخلخال و السیف و السکّین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النصّ و الفتاوی أنّ المناط فی بطلان الصلاة صدق الصلاة فی النجس إلّا ما ثبت استثناؤه، کما سیأتی فی مسألة ما لا تتمّ الصلاة فیه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 فلو قلنا بجواز حمل النجس، فلا بدّ فی معرفة ما یصلّی فیه و تمییزه عن المحمول من الرجوع إلی العرف، فتراهم یفرّقون بین الخاتم و الثوب الملفوف الکائن مع المصلی، فلو حمل عمامةً تحت إبطه لم یصدق أنّه صلّی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العصابة المشدودة علی الأعضاء ممّا یصلّی فیه دون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تزول الحاجة إلی التمییز بین المحمول و ما یصلّی فیه إذا قلنا بالعفو عن قذارة کلّ ما لا تتمّ الصلاة فیه، سواء کان من الملابس أم من غیرها؛ لأنّ ما تتمّ به الصلاة داخل فی الثیاب قطعاً، و غیره معفوّ عنه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تزول الحاجة أیضاً إذا قلنا بالمنع عن المحمول کما عن المبسوط </w:t>
      </w:r>
      <w:r>
        <w:rPr>
          <w:rStyle w:val="FootnoteAnchor"/>
          <w:rtl w:val="true"/>
        </w:rPr>
        <w:footnoteReference w:id="1233"/>
      </w:r>
      <w:r>
        <w:rPr>
          <w:rFonts w:ascii="IRNazanin" w:hAnsi="IRNazanin" w:eastAsia="IRNazanin"/>
          <w:color w:val="111111"/>
          <w:sz w:val="28"/>
          <w:sz w:val="28"/>
          <w:szCs w:val="28"/>
          <w:rtl w:val="true"/>
          <w:lang w:bidi="fa-IR"/>
        </w:rPr>
        <w:t xml:space="preserve">و الإصباح </w:t>
      </w:r>
      <w:r>
        <w:rPr>
          <w:rStyle w:val="FootnoteAnchor"/>
          <w:rtl w:val="true"/>
        </w:rPr>
        <w:footnoteReference w:id="1234"/>
      </w:r>
      <w:r>
        <w:rPr>
          <w:rFonts w:ascii="IRNazanin" w:hAnsi="IRNazanin" w:eastAsia="IRNazanin"/>
          <w:color w:val="111111"/>
          <w:sz w:val="28"/>
          <w:sz w:val="28"/>
          <w:szCs w:val="28"/>
          <w:rtl w:val="true"/>
          <w:lang w:bidi="fa-IR"/>
        </w:rPr>
        <w:t xml:space="preserve">و السرائر </w:t>
      </w:r>
      <w:r>
        <w:rPr>
          <w:rStyle w:val="FootnoteAnchor"/>
          <w:rtl w:val="true"/>
        </w:rPr>
        <w:footnoteReference w:id="1235"/>
      </w:r>
      <w:r>
        <w:rPr>
          <w:rFonts w:ascii="IRNazanin" w:hAnsi="IRNazanin" w:eastAsia="IRNazanin"/>
          <w:color w:val="111111"/>
          <w:sz w:val="28"/>
          <w:sz w:val="28"/>
          <w:szCs w:val="28"/>
          <w:rtl w:val="true"/>
          <w:lang w:bidi="fa-IR"/>
        </w:rPr>
        <w:t xml:space="preserve">و الجواهر </w:t>
      </w:r>
      <w:r>
        <w:rPr>
          <w:rStyle w:val="FootnoteAnchor"/>
          <w:rtl w:val="true"/>
        </w:rPr>
        <w:footnoteReference w:id="1236"/>
      </w:r>
      <w:r>
        <w:rPr>
          <w:rFonts w:ascii="IRNazanin" w:hAnsi="IRNazanin" w:eastAsia="IRNazanin"/>
          <w:color w:val="111111"/>
          <w:sz w:val="28"/>
          <w:sz w:val="28"/>
          <w:szCs w:val="28"/>
          <w:rtl w:val="true"/>
          <w:lang w:bidi="fa-IR"/>
        </w:rPr>
        <w:t xml:space="preserve">و الجامع </w:t>
      </w:r>
      <w:r>
        <w:rPr>
          <w:rStyle w:val="FootnoteAnchor"/>
          <w:rtl w:val="true"/>
        </w:rPr>
        <w:footnoteReference w:id="1237"/>
      </w:r>
      <w:r>
        <w:rPr>
          <w:rFonts w:ascii="Amiri" w:hAnsi="Amiri" w:eastAsia="Amiri" w:cs="Amiri"/>
          <w:color w:val="111111"/>
          <w:sz w:val="28"/>
          <w:sz w:val="28"/>
          <w:szCs w:val="28"/>
          <w:rtl w:val="true"/>
          <w:lang w:bidi="ar-SA"/>
        </w:rPr>
        <w:t xml:space="preserve">و جملة من کتب المصنّف قدّس سرّه </w:t>
      </w:r>
      <w:r>
        <w:rPr>
          <w:rStyle w:val="FootnoteAnchor"/>
          <w:rtl w:val="true"/>
        </w:rPr>
        <w:footnoteReference w:id="1238"/>
      </w:r>
      <w:r>
        <w:rPr>
          <w:rFonts w:ascii="IRNazanin" w:hAnsi="IRNazanin" w:eastAsia="IRNazanin"/>
          <w:color w:val="111111"/>
          <w:sz w:val="28"/>
          <w:sz w:val="28"/>
          <w:szCs w:val="28"/>
          <w:rtl w:val="true"/>
          <w:lang w:bidi="fa-IR"/>
        </w:rPr>
        <w:t xml:space="preserve">و الموجز </w:t>
      </w:r>
      <w:r>
        <w:rPr>
          <w:rStyle w:val="FootnoteAnchor"/>
          <w:rtl w:val="true"/>
        </w:rPr>
        <w:footnoteReference w:id="1239"/>
      </w:r>
      <w:r>
        <w:rPr>
          <w:rFonts w:ascii="IRNazanin" w:hAnsi="IRNazanin" w:eastAsia="IRNazanin"/>
          <w:color w:val="111111"/>
          <w:sz w:val="28"/>
          <w:sz w:val="28"/>
          <w:szCs w:val="28"/>
          <w:rtl w:val="true"/>
          <w:lang w:bidi="fa-IR"/>
        </w:rPr>
        <w:t xml:space="preserve">و ظاهر البیان </w:t>
      </w:r>
      <w:r>
        <w:rPr>
          <w:rStyle w:val="FootnoteAnchor"/>
          <w:rtl w:val="true"/>
        </w:rPr>
        <w:footnoteReference w:id="1240"/>
      </w:r>
      <w:r>
        <w:rPr>
          <w:rFonts w:ascii="IRNazanin" w:hAnsi="IRNazanin" w:eastAsia="IRNazanin"/>
          <w:color w:val="111111"/>
          <w:sz w:val="28"/>
          <w:sz w:val="28"/>
          <w:szCs w:val="28"/>
          <w:rtl w:val="true"/>
          <w:lang w:bidi="fa-IR"/>
        </w:rPr>
        <w:t>، حیث حکموا بفساد الصلاة بحمل قارورة مشدودة الرأس فیها نجاسة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یظهر لهم مستند عدا ما ربما یظهر من المرویّ عن قرب الإسناد</w:t>
      </w:r>
    </w:p>
    <w:p>
      <w:pPr>
        <w:pStyle w:val="BookText"/>
        <w:rPr/>
      </w:pPr>
      <w:r>
        <w:rPr>
          <w:rFonts w:ascii="IRNazanin" w:hAnsi="IRNazanin" w:eastAsia="IRNazanin"/>
          <w:color w:val="111111"/>
          <w:sz w:val="28"/>
          <w:sz w:val="28"/>
          <w:szCs w:val="28"/>
          <w:rtl w:val="true"/>
          <w:lang w:bidi="fa-IR"/>
        </w:rPr>
        <w:t>عن علیّ بن جعفر، عن أخیه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یمرّ بالمکان فیه العذرة فتهبّ الریح فتسفی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من العذرة </w:t>
      </w:r>
      <w:r>
        <w:rPr>
          <w:rStyle w:val="FootnoteAnchor"/>
          <w:rtl w:val="true"/>
        </w:rPr>
        <w:footnoteReference w:id="1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فتصیب ثوبه و رأسه، أ یصلیّ فیه قبل أن یغسله؟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فینفضه و 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242"/>
      </w:r>
      <w:r>
        <w:rPr>
          <w:rFonts w:ascii="IRNazanin" w:hAnsi="IRNazanin" w:eastAsia="IRNazanin"/>
          <w:color w:val="111111"/>
          <w:sz w:val="28"/>
          <w:sz w:val="28"/>
          <w:szCs w:val="28"/>
          <w:rtl w:val="true"/>
          <w:lang w:bidi="fa-IR"/>
        </w:rPr>
        <w:t>فإنّها ظاهرة فی وجوب النفض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 ما ورد فی فأرة المسک إذا کان </w:t>
      </w:r>
      <w:r>
        <w:rPr>
          <w:rStyle w:val="FootnoteAnchor"/>
          <w:rtl w:val="true"/>
        </w:rPr>
        <w:footnoteReference w:id="1243"/>
      </w:r>
      <w:r>
        <w:rPr>
          <w:rFonts w:ascii="IRNazanin" w:hAnsi="IRNazanin" w:eastAsia="IRNazanin"/>
          <w:color w:val="111111"/>
          <w:sz w:val="28"/>
          <w:sz w:val="28"/>
          <w:szCs w:val="28"/>
          <w:rtl w:val="true"/>
          <w:lang w:bidi="fa-IR"/>
        </w:rPr>
        <w:t>مع المصلی،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کان ذکیّاً</w:t>
      </w:r>
      <w:r>
        <w:rPr>
          <w:rFonts w:eastAsia="IRNazanin" w:cs="IRNazanin"/>
          <w:color w:val="111111"/>
          <w:sz w:val="28"/>
          <w:szCs w:val="28"/>
          <w:rtl w:val="true"/>
          <w:lang w:bidi="fa-IR"/>
        </w:rPr>
        <w:t xml:space="preserve">» </w:t>
      </w:r>
      <w:r>
        <w:rPr>
          <w:rStyle w:val="FootnoteAnchor"/>
          <w:rtl w:val="true"/>
        </w:rPr>
        <w:footnoteReference w:id="1244"/>
      </w:r>
      <w:r>
        <w:rPr>
          <w:rFonts w:ascii="IRNazanin" w:hAnsi="IRNazanin" w:eastAsia="IRNazanin"/>
          <w:color w:val="111111"/>
          <w:sz w:val="28"/>
          <w:sz w:val="28"/>
          <w:szCs w:val="28"/>
          <w:rtl w:val="true"/>
          <w:lang w:bidi="fa-IR"/>
        </w:rPr>
        <w:t xml:space="preserve">أمّا بناءً علی أنّ المراد النظافة عن النجاسة العرضیّة فیثبت المطلوب، و أمّا بناءً علی إرادة الذکاة فی مقابلة المأخوذة من میّت بناءً علی نجاسة الفأرة إذا أُخذت من میتة فیدلّ علی عدم جواز استصحاب المیتة، و یلزمه بعدم القول بالفصل المنع عن استصحاب غیرها من النجاسات، إلّا أن یلتزم بالفرق؛ بناءً علی أنّ المنع عن المیتة لیس لنجاسته؛ و لذا منع عنها من یطهّرها بالدباغ، کالإسکافی </w:t>
      </w:r>
      <w:r>
        <w:rPr>
          <w:rStyle w:val="FootnoteAnchor"/>
          <w:rtl w:val="true"/>
        </w:rPr>
        <w:footnoteReference w:id="1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فی المقاصد العلیّة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الصلاة فی جلد السمک المیتة مع طهارته، و إن ردّه بعدم الدلیل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سقوط الاستدلال علی المدّعی بالروایة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w:t>
      </w:r>
    </w:p>
    <w:p>
      <w:pPr>
        <w:pStyle w:val="BookText"/>
        <w:rPr/>
      </w:pPr>
      <w:r>
        <w:rPr>
          <w:rFonts w:ascii="Amiri" w:hAnsi="Amiri" w:eastAsia="Amiri" w:cs="Amiri"/>
          <w:color w:val="111111"/>
          <w:sz w:val="28"/>
          <w:sz w:val="28"/>
          <w:szCs w:val="28"/>
          <w:rtl w:val="true"/>
          <w:lang w:bidi="ar-SA"/>
        </w:rPr>
        <w:t xml:space="preserve">یصلّی و معه دَبّة </w:t>
      </w:r>
      <w:r>
        <w:rPr>
          <w:rStyle w:val="FootnoteAnchor"/>
          <w:rtl w:val="true"/>
        </w:rPr>
        <w:footnoteReference w:id="1247"/>
      </w:r>
      <w:r>
        <w:rPr>
          <w:rFonts w:ascii="IRNazanin" w:hAnsi="IRNazanin" w:eastAsia="IRNazanin"/>
          <w:color w:val="111111"/>
          <w:sz w:val="28"/>
          <w:sz w:val="28"/>
          <w:szCs w:val="28"/>
          <w:rtl w:val="true"/>
          <w:lang w:bidi="fa-IR"/>
        </w:rPr>
        <w:t xml:space="preserve">من جلد حمار میّت </w:t>
      </w:r>
      <w:r>
        <w:rPr>
          <w:rStyle w:val="FootnoteAnchor"/>
          <w:rtl w:val="true"/>
        </w:rPr>
        <w:footnoteReference w:id="124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أن یصلّی</w:t>
      </w:r>
      <w:r>
        <w:rPr>
          <w:rFonts w:eastAsia="IRNazanin" w:cs="IRNazanin"/>
          <w:color w:val="111111"/>
          <w:sz w:val="28"/>
          <w:szCs w:val="28"/>
          <w:rtl w:val="true"/>
          <w:lang w:bidi="fa-IR"/>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کیف کان، فالمسألة محلّ إشکال؛ لعدم نهوض ما ذکر لإتمام المطلب؛ و لذا أفتی المحقّق فیما حکی عن المعتبر بالجواز </w:t>
      </w:r>
      <w:r>
        <w:rPr>
          <w:rStyle w:val="FootnoteAnchor"/>
          <w:rtl w:val="true"/>
        </w:rPr>
        <w:footnoteReference w:id="1250"/>
      </w:r>
      <w:r>
        <w:rPr>
          <w:rFonts w:ascii="IRNazanin" w:hAnsi="IRNazanin" w:eastAsia="IRNazanin"/>
          <w:color w:val="111111"/>
          <w:sz w:val="28"/>
          <w:sz w:val="28"/>
          <w:szCs w:val="28"/>
          <w:rtl w:val="true"/>
          <w:lang w:bidi="fa-IR"/>
        </w:rPr>
        <w:t xml:space="preserve">، و تبعه جماعة، منهم المحقّق الثانی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الجواز لا یخلو عن قوّة؛ لصدق الصلاة فی الشی‌ء إذا کان محمولًا؛ فإنّ الظاهر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هو التلبّس بالشی‌ء و استعماله، إلّا أنّ التتبّع فی استعماله فی الأخبار یشهد بأنّ المراد الأعمّ منه و من المصاحبة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له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روایة الصلاة فی السیف </w:t>
      </w:r>
      <w:r>
        <w:rPr>
          <w:rStyle w:val="FootnoteAnchor"/>
          <w:rtl w:val="true"/>
        </w:rPr>
        <w:footnoteReference w:id="1252"/>
      </w:r>
      <w:r>
        <w:rPr>
          <w:rFonts w:ascii="IRNazanin" w:hAnsi="IRNazanin" w:eastAsia="IRNazanin"/>
          <w:color w:val="111111"/>
          <w:sz w:val="28"/>
          <w:sz w:val="28"/>
          <w:szCs w:val="28"/>
          <w:rtl w:val="true"/>
          <w:lang w:bidi="fa-IR"/>
        </w:rPr>
        <w:t>و موثّقة ابن بکیر فی باب اللباس،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فالصلاة فی بوله و روثه</w:t>
      </w:r>
      <w:r>
        <w:rPr>
          <w:rFonts w:eastAsia="IRNazanin" w:cs="IRNazanin"/>
          <w:color w:val="111111"/>
          <w:sz w:val="28"/>
          <w:szCs w:val="28"/>
          <w:rtl w:val="true"/>
          <w:lang w:bidi="fa-IR"/>
        </w:rPr>
        <w:t xml:space="preserve">» </w:t>
      </w:r>
      <w:r>
        <w:rPr>
          <w:rStyle w:val="FootnoteAnchor"/>
          <w:rtl w:val="true"/>
        </w:rPr>
        <w:footnoteReference w:id="1253"/>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مندیل غیرک و صلّ فی مندیلک</w:t>
      </w:r>
      <w:r>
        <w:rPr>
          <w:rFonts w:eastAsia="IRNazanin" w:cs="IRNazanin"/>
          <w:color w:val="111111"/>
          <w:sz w:val="28"/>
          <w:szCs w:val="28"/>
          <w:rtl w:val="true"/>
          <w:lang w:bidi="fa-IR"/>
        </w:rPr>
        <w:t xml:space="preserve">» </w:t>
      </w:r>
      <w:r>
        <w:rPr>
          <w:rStyle w:val="FootnoteAnchor"/>
          <w:rtl w:val="true"/>
        </w:rPr>
        <w:footnoteReference w:id="1254"/>
      </w:r>
      <w:r>
        <w:rPr>
          <w:rFonts w:ascii="IRNazanin" w:hAnsi="IRNazanin" w:eastAsia="IRNazanin"/>
          <w:color w:val="111111"/>
          <w:sz w:val="28"/>
          <w:sz w:val="28"/>
          <w:szCs w:val="28"/>
          <w:rtl w:val="true"/>
          <w:lang w:bidi="fa-IR"/>
        </w:rPr>
        <w:t>و هذا یؤیّد أصل المطلب؛</w:t>
      </w:r>
      <w:bookmarkStart w:id="93" w:name="pg16911_259668"/>
    </w:p>
    <w:p>
      <w:pPr>
        <w:pStyle w:val="BookText"/>
        <w:rPr/>
      </w:pPr>
      <w:bookmarkEnd w:id="93"/>
      <w:r>
        <w:rPr>
          <w:rFonts w:ascii="IRNazanin" w:hAnsi="IRNazanin" w:eastAsia="IRNazanin"/>
          <w:color w:val="111111"/>
          <w:sz w:val="28"/>
          <w:sz w:val="28"/>
          <w:szCs w:val="28"/>
          <w:rtl w:val="true"/>
          <w:lang w:bidi="fa-IR"/>
        </w:rPr>
        <w:t>فإنّ النهی و إن کان محمولًا علی التنزیه، إلّا أنّ الظاهر منه ملاحظة احتمال النجاسة، فیدلّ علی المنع لو علم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أوضح منه ما دلّ علی جواز الصلاة فی خرقة الحنّاء إذا کانت طاهرة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إزالة النجاسة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و المندوب؛ لأنّها صلاة، لا لأنّ الطائف فی المسجد</w:t>
      </w:r>
      <w:r>
        <w:rPr>
          <w:rFonts w:eastAsia="IRNazanin" w:cs="IRNazanin"/>
          <w:color w:val="111111"/>
          <w:sz w:val="28"/>
          <w:szCs w:val="28"/>
          <w:rtl w:val="true"/>
          <w:lang w:bidi="fa-IR"/>
        </w:rPr>
        <w:t>.</w:t>
      </w:r>
    </w:p>
    <w:p>
      <w:pPr>
        <w:pStyle w:val="Heading5"/>
        <w:numPr>
          <w:ilvl w:val="4"/>
          <w:numId w:val="1"/>
        </w:numPr>
        <w:rPr/>
      </w:pPr>
      <w:bookmarkStart w:id="94" w:name="__RefHeading___Toc6618680_3224264995"/>
      <w:bookmarkStart w:id="95" w:name="_Toc35"/>
      <w:bookmarkEnd w:id="94"/>
      <w:r>
        <w:rPr>
          <w:rtl w:val="true"/>
        </w:rPr>
        <w:t>[</w:t>
      </w:r>
      <w:r>
        <w:rPr>
          <w:rtl w:val="true"/>
        </w:rPr>
        <w:t>وجوب إزالة النجاسة عن المساجد و عن المصاحف و المشاهد المشرفة</w:t>
      </w:r>
      <w:r>
        <w:rPr>
          <w:rtl w:val="true"/>
        </w:rPr>
        <w:t>]</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المساجد </w:t>
      </w:r>
      <w:r>
        <w:rPr>
          <w:rStyle w:val="FootnoteAnchor"/>
          <w:rtl w:val="true"/>
        </w:rPr>
        <w:footnoteReference w:id="1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علی الظاهر المصرّح به فی محکیّ الخلاف </w:t>
      </w:r>
      <w:r>
        <w:rPr>
          <w:rStyle w:val="FootnoteAnchor"/>
          <w:rtl w:val="true"/>
        </w:rPr>
        <w:footnoteReference w:id="1257"/>
      </w:r>
      <w:r>
        <w:rPr>
          <w:rFonts w:ascii="IRNazanin" w:hAnsi="IRNazanin" w:eastAsia="IRNazanin"/>
          <w:color w:val="111111"/>
          <w:sz w:val="28"/>
          <w:sz w:val="28"/>
          <w:szCs w:val="28"/>
          <w:rtl w:val="true"/>
          <w:lang w:bidi="fa-IR"/>
        </w:rPr>
        <w:t xml:space="preserve">و السرائر </w:t>
      </w:r>
      <w:r>
        <w:rPr>
          <w:rStyle w:val="FootnoteAnchor"/>
          <w:rtl w:val="true"/>
        </w:rPr>
        <w:footnoteReference w:id="1258"/>
      </w:r>
      <w:r>
        <w:rPr>
          <w:rFonts w:ascii="Amiri" w:hAnsi="Amiri" w:eastAsia="Amiri" w:cs="Amiri"/>
          <w:color w:val="111111"/>
          <w:sz w:val="28"/>
          <w:sz w:val="28"/>
          <w:szCs w:val="28"/>
          <w:rtl w:val="true"/>
          <w:lang w:bidi="ar-SA"/>
        </w:rPr>
        <w:t xml:space="preserve">و نهج الحقّ </w:t>
      </w:r>
      <w:r>
        <w:rPr>
          <w:rStyle w:val="FootnoteAnchor"/>
          <w:rtl w:val="true"/>
        </w:rPr>
        <w:footnoteReference w:id="1259"/>
      </w:r>
      <w:r>
        <w:rPr>
          <w:rFonts w:ascii="IRNazanin" w:hAnsi="IRNazanin" w:eastAsia="IRNazanin"/>
          <w:color w:val="111111"/>
          <w:sz w:val="28"/>
          <w:sz w:val="28"/>
          <w:szCs w:val="28"/>
          <w:rtl w:val="true"/>
          <w:lang w:bidi="fa-IR"/>
        </w:rPr>
        <w:t xml:space="preserve">و المفاتیح </w:t>
      </w:r>
      <w:r>
        <w:rPr>
          <w:rStyle w:val="FootnoteAnchor"/>
          <w:rtl w:val="true"/>
        </w:rPr>
        <w:footnoteReference w:id="1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الذخیرة عن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کونه إجماعیّاً </w:t>
      </w:r>
      <w:r>
        <w:rPr>
          <w:rStyle w:val="FootnoteAnchor"/>
          <w:rtl w:val="true"/>
        </w:rPr>
        <w:footnoteReference w:id="1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الإجماع عن العاملی </w:t>
      </w:r>
      <w:r>
        <w:rPr>
          <w:rStyle w:val="FootnoteAnchor"/>
          <w:rtl w:val="true"/>
        </w:rPr>
        <w:footnoteReference w:id="1262"/>
      </w:r>
      <w:r>
        <w:rPr>
          <w:rFonts w:ascii="IRNazanin" w:hAnsi="IRNazanin" w:eastAsia="IRNazanin"/>
          <w:color w:val="111111"/>
          <w:sz w:val="28"/>
          <w:sz w:val="28"/>
          <w:szCs w:val="28"/>
          <w:rtl w:val="true"/>
          <w:lang w:bidi="fa-IR"/>
        </w:rPr>
        <w:t>، و الظاهر أنّه أراد به الشهید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إِنَّمَا الْمُشْرِکُونَ نَجَسٌ فَلٰا یَقْرَبُوا الْمَسْجِدَ الْحَرٰامَ </w:t>
      </w:r>
      <w:r>
        <w:rPr>
          <w:rStyle w:val="FootnoteAnchor"/>
          <w:rtl w:val="true"/>
        </w:rPr>
        <w:footnoteReference w:id="1263"/>
      </w:r>
      <w:r>
        <w:rPr>
          <w:rFonts w:ascii="IRNazanin" w:hAnsi="IRNazanin" w:eastAsia="IRNazanin"/>
          <w:color w:val="111111"/>
          <w:sz w:val="28"/>
          <w:sz w:val="28"/>
          <w:szCs w:val="28"/>
          <w:rtl w:val="true"/>
          <w:lang w:bidi="fa-IR"/>
        </w:rPr>
        <w:t>فرّع حرمة دخولهم المسجد علی نجاستهم، و قد مرّ فی نجاسة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بها هنا و لو بالقرینة النجاسة الشرعیّة </w:t>
      </w:r>
      <w:r>
        <w:rPr>
          <w:rStyle w:val="FootnoteAnchor"/>
          <w:rtl w:val="true"/>
        </w:rPr>
        <w:footnoteReference w:id="1264"/>
      </w:r>
      <w:r>
        <w:rPr>
          <w:rFonts w:ascii="IRNazanin" w:hAnsi="IRNazanin" w:eastAsia="IRNazanin"/>
          <w:color w:val="111111"/>
          <w:sz w:val="28"/>
          <w:sz w:val="28"/>
          <w:szCs w:val="28"/>
          <w:rtl w:val="true"/>
          <w:lang w:bidi="fa-IR"/>
        </w:rPr>
        <w:t>، فدلّت علی المنع من إدخال کلّ نجس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النبویّ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مساجدکم النجاسة</w:t>
      </w:r>
      <w:r>
        <w:rPr>
          <w:rFonts w:eastAsia="Amiri" w:cs="Amiri" w:ascii="Amiri" w:hAnsi="Amiri"/>
          <w:color w:val="111111"/>
          <w:sz w:val="28"/>
          <w:szCs w:val="28"/>
          <w:rtl w:val="true"/>
          <w:lang w:bidi="ar-SA"/>
        </w:rPr>
        <w:t xml:space="preserve">» </w:t>
      </w:r>
      <w:r>
        <w:rPr>
          <w:rStyle w:val="FootnoteAnchor"/>
          <w:rtl w:val="true"/>
        </w:rPr>
        <w:footnoteReference w:id="1265"/>
      </w:r>
      <w:r>
        <w:rPr>
          <w:rFonts w:ascii="IRNazanin" w:hAnsi="IRNazanin" w:eastAsia="IRNazanin"/>
          <w:color w:val="111111"/>
          <w:sz w:val="28"/>
          <w:sz w:val="28"/>
          <w:szCs w:val="28"/>
          <w:rtl w:val="true"/>
          <w:lang w:bidi="fa-IR"/>
        </w:rPr>
        <w:t>بناءً علی أنّ الظاهر إرادة هذا المعنی، دون مسجد الجبهة و دون موضعها من الأرض؛ تسمیةً للصلاة باسم أشرف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الثمالی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إلی نبیّه أن طهّر مسجدک، و أخرج منه من یرقد فیه باللیل، و مر بسدّ الأبواب</w:t>
      </w:r>
      <w:r>
        <w:rPr>
          <w:rFonts w:eastAsia="IRNazanin" w:cs="IRNazanin"/>
          <w:color w:val="111111"/>
          <w:sz w:val="28"/>
          <w:szCs w:val="28"/>
          <w:rtl w:val="true"/>
          <w:lang w:bidi="fa-IR"/>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مع ما علم من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تعظیم المساجد، کما یستفاد من أحکام المساجد و آداب 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وجوب إزالتها من الضرائح المقدّسة و المصاحف مع ما علم من زیادة احترام المصاحف علی المساجد، و کذا المشاهد؛ بناءً علی ما یظهر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کلّ مسجد کان مکاناً أصابه دم نبیٍّ أو وصیٍّ صلوات اللّٰه و سلامه علی جمیع الأنبیاء و الأوصیاء فأحبّ اللّٰه أن یذکر فیه </w:t>
      </w:r>
      <w:r>
        <w:rPr>
          <w:rStyle w:val="FootnoteAnchor"/>
          <w:rtl w:val="true"/>
        </w:rPr>
        <w:footnoteReference w:id="1267"/>
      </w:r>
      <w:r>
        <w:rPr>
          <w:rFonts w:ascii="IRNazanin" w:hAnsi="IRNazanin" w:eastAsia="IRNazanin"/>
          <w:color w:val="111111"/>
          <w:sz w:val="28"/>
          <w:sz w:val="28"/>
          <w:szCs w:val="28"/>
          <w:rtl w:val="true"/>
          <w:lang w:bidi="fa-IR"/>
        </w:rPr>
        <w:t>، فاحترامه یستلزم احترام مدفن النبیّ و الوصیّ صلوات اللّٰه و سلامه علیهما بطریق أولی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الإزالة عن المسجد لیس للاحترام بل لحکمة الأمن عن تنجیس المصلّین؛ فإنّه موضع أُعدّ للصلاة، لم یتعدّ إلی غیره، و احتیج فی إثبات الحکم فی المشاهد و المصاحف إلی دلیل آخر، و لم نعثر علیه عدا ما ربما یظهر من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تعظیمهما و احترامهما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المسلّم حرمة الإهانة و الاستخفاف، و أمّا التعظیم فمراتبه مختلفة غیر محصورة، و لا دلیل علی وجوب الأعلی بناءً علی تسهیل الأمر علی العباد، و إلّا فاللازم عقلًا و شرعاً هو الاحترام فوق ما یتصوّر، إلّا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یحرم ترک بعض الاحترامات، فلم یصل من الشرع ما یدلّ علی وجوب هذا الاحترام؛ و لذا لم یُفتِ المشهور بحرمة دخول الجنب فی المشاهد و حرمة مسّ جلد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المرکوز فی أذهان المسلمین من مقدار احترامهما یقتضی وجوب الإزالة،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غیر خطّ المصحف، و أمّا فیه فلا إشکال فی وجوب الإزالة بفحوی حرمة مسّ المحدث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هل یختصّ المنع فی المساجد و ما الحق بها بالمتعدّیة، أم یعمّ غیرها؟ ظاهر الآیة و الروایة </w:t>
      </w:r>
      <w:r>
        <w:rPr>
          <w:rStyle w:val="FootnoteAnchor"/>
          <w:rtl w:val="true"/>
        </w:rPr>
        <w:footnoteReference w:id="1269"/>
      </w:r>
      <w:r>
        <w:rPr>
          <w:rFonts w:ascii="IRNazanin" w:hAnsi="IRNazanin" w:eastAsia="IRNazanin"/>
          <w:color w:val="111111"/>
          <w:sz w:val="28"/>
          <w:sz w:val="28"/>
          <w:szCs w:val="28"/>
          <w:rtl w:val="true"/>
          <w:lang w:bidi="fa-IR"/>
        </w:rPr>
        <w:t>هو الثانی، و فی اللوامع عن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w:t>
      </w:r>
      <w:r>
        <w:rPr>
          <w:rStyle w:val="FootnoteAnchor"/>
          <w:rtl w:val="true"/>
        </w:rPr>
        <w:footnoteReference w:id="1270"/>
      </w:r>
      <w:r>
        <w:rPr>
          <w:rFonts w:ascii="IRNazanin" w:hAnsi="IRNazanin" w:eastAsia="IRNazanin"/>
          <w:color w:val="111111"/>
          <w:sz w:val="28"/>
          <w:sz w:val="28"/>
          <w:szCs w:val="28"/>
          <w:rtl w:val="true"/>
          <w:lang w:bidi="fa-IR"/>
        </w:rPr>
        <w:t>، بل هو ظاهر معقد نفی الخلاف فی السرائر، بل صریحه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الأُمّة کافّة فی أنّ المساجد یجب أن تنزّه و تجنّب النجاسات العینیّة، و قد أجمعنا بلا خلاف فی ذلک بیننا علی أنّ من غسّل میّتاً له أن یدخل المسجد و یجلس فیه فضلًا عن دخوله و مروره، فلو کان نجس العین لم یجز له ذلک </w:t>
      </w:r>
      <w:r>
        <w:rPr>
          <w:rStyle w:val="FootnoteAnchor"/>
          <w:rtl w:val="true"/>
        </w:rPr>
        <w:footnoteReference w:id="127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قرّره فی المعتبر علی الإجماع الأوّل و منع الإجماع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w:t>
      </w:r>
    </w:p>
    <w:p>
      <w:pPr>
        <w:pStyle w:val="BookText"/>
        <w:rPr/>
      </w:pPr>
      <w:r>
        <w:rPr>
          <w:rFonts w:ascii="IRNazanin" w:hAnsi="IRNazanin" w:eastAsia="IRNazanin"/>
          <w:color w:val="111111"/>
          <w:sz w:val="28"/>
          <w:sz w:val="28"/>
          <w:szCs w:val="28"/>
          <w:rtl w:val="true"/>
          <w:lang w:bidi="fa-IR"/>
        </w:rPr>
        <w:t xml:space="preserve">نمنع الاستیطان کما نمنع من علی جسده نجاسة، و یقبح إثبات الدعوی بالمجازفات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مضافاً إلی السیرة المستمرّة فی إزالة النجاسات الغیر المتعدّیة عن المسجد، مثل العذرات الیابسة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للأصل </w:t>
      </w:r>
      <w:r>
        <w:rPr>
          <w:rStyle w:val="FootnoteAnchor"/>
          <w:rtl w:val="true"/>
        </w:rPr>
        <w:footnoteReference w:id="1273"/>
      </w:r>
      <w:r>
        <w:rPr>
          <w:rFonts w:ascii="IRNazanin" w:hAnsi="IRNazanin" w:eastAsia="IRNazanin"/>
          <w:color w:val="111111"/>
          <w:sz w:val="28"/>
          <w:sz w:val="28"/>
          <w:szCs w:val="28"/>
          <w:rtl w:val="true"/>
          <w:lang w:bidi="fa-IR"/>
        </w:rPr>
        <w:t>و عدم دلالة الآیة علی المدّعی بعد قوّة احتمال ورودها مورد الغالب من أنّ تجویز الدخول لهم کما کانوا علیه قبل نزول الآیة یستلزم سرایة النجاسة إلی المسجد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النبویّ، فالمراد بالنجاسة فیه إمّا المصدر،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جنّبوا مساجدکم عن أن ینجّس، و إمّا الاسم، و علیه فهو ظاهر فی النجاسات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یدلّ علی تحریم إدخال المتنجّس مطلقاً، إلّا بالإجماع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منعه؛ بناءً علی تخصیص المنع بعین النجاسة الملاصقة له أو لفرشه و إن لم یتعدّ إلیه، بناءً علی أنّه هتک لحرمته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عن العلّامة الطباطبائی المیل إلی الحرمة هنا و لو لم یتعدّ، فجعل المدار علی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التعدّی، أو هتک الحرمة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ضعیف لا حجّیّة فیه، إلّا بمعونة الاتّفاقات المحکیّة الموهونة</w:t>
      </w:r>
    </w:p>
    <w:p>
      <w:pPr>
        <w:pStyle w:val="BookText"/>
        <w:rPr/>
      </w:pPr>
      <w:r>
        <w:rPr>
          <w:rFonts w:ascii="IRNazanin" w:hAnsi="IRNazanin" w:eastAsia="IRNazanin"/>
          <w:color w:val="111111"/>
          <w:sz w:val="28"/>
          <w:sz w:val="28"/>
          <w:szCs w:val="28"/>
          <w:rtl w:val="true"/>
          <w:lang w:bidi="fa-IR"/>
        </w:rPr>
        <w:t xml:space="preserve">بمصیر کثیر من المتأخّرین إلی الخلاف </w:t>
      </w:r>
      <w:r>
        <w:rPr>
          <w:rStyle w:val="FootnoteAnchor"/>
          <w:rtl w:val="true"/>
        </w:rPr>
        <w:footnoteReference w:id="1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کالإجماع المحکیّ عن الخلاف </w:t>
      </w:r>
      <w:r>
        <w:rPr>
          <w:rStyle w:val="FootnoteAnchor"/>
          <w:rtl w:val="true"/>
        </w:rPr>
        <w:footnoteReference w:id="1276"/>
      </w:r>
      <w:r>
        <w:rPr>
          <w:rFonts w:ascii="IRNazanin" w:hAnsi="IRNazanin" w:eastAsia="IRNazanin"/>
          <w:color w:val="111111"/>
          <w:sz w:val="28"/>
          <w:sz w:val="28"/>
          <w:szCs w:val="28"/>
          <w:rtl w:val="true"/>
          <w:lang w:bidi="fa-IR"/>
        </w:rPr>
        <w:t xml:space="preserve">، بل دعوی الإجماع المتقدّمة من الحلیّ علی جواز أن یجلس من غسّل میّتاً فی المسجد </w:t>
      </w:r>
      <w:r>
        <w:rPr>
          <w:rStyle w:val="FootnoteAnchor"/>
          <w:rtl w:val="true"/>
        </w:rPr>
        <w:footnoteReference w:id="1277"/>
      </w:r>
      <w:r>
        <w:rPr>
          <w:rFonts w:ascii="IRNazanin" w:hAnsi="IRNazanin" w:eastAsia="IRNazanin"/>
          <w:color w:val="111111"/>
          <w:sz w:val="28"/>
          <w:sz w:val="28"/>
          <w:szCs w:val="28"/>
          <w:rtl w:val="true"/>
          <w:lang w:bidi="fa-IR"/>
        </w:rPr>
        <w:t>، و إن أنکرها المحقّق بعد تسلیم الإجماع علی تحریم إدخال النجاسة مطلقاً بناءً منه علی تنافی الإجماعین، کما زعمه الحلیّ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لا نسلّم التنافی، فنأخذ بروایة الحلیّ و نطرح درایته، شکر اللّٰه سعیه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دلّ من الروایات علی جواز دخول الحائض المسجد، ففی صحیحة زرارة و محمّد بن مسلم عن أبی جعفر،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و الجنب یدخلان المسجد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و الجنب لا یدخلان المسجد إلّا مجتازین</w:t>
      </w:r>
      <w:r>
        <w:rPr>
          <w:rFonts w:eastAsia="IRNazanin" w:cs="IRNazanin"/>
          <w:color w:val="111111"/>
          <w:sz w:val="28"/>
          <w:szCs w:val="28"/>
          <w:rtl w:val="true"/>
          <w:lang w:bidi="fa-IR"/>
        </w:rPr>
        <w:t xml:space="preserve">» </w:t>
      </w:r>
      <w:r>
        <w:rPr>
          <w:rStyle w:val="FootnoteAnchor"/>
          <w:rtl w:val="true"/>
        </w:rPr>
        <w:footnoteReference w:id="1278"/>
      </w:r>
      <w:r>
        <w:rPr>
          <w:rFonts w:ascii="IRNazanin" w:hAnsi="IRNazanin" w:eastAsia="IRNazanin"/>
          <w:color w:val="111111"/>
          <w:sz w:val="28"/>
          <w:sz w:val="28"/>
          <w:szCs w:val="28"/>
          <w:rtl w:val="true"/>
          <w:lang w:bidi="fa-IR"/>
        </w:rPr>
        <w:t>و فی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یمرّا فی سائر المساجد</w:t>
      </w:r>
      <w:r>
        <w:rPr>
          <w:rFonts w:eastAsia="IRNazanin" w:cs="IRNazanin"/>
          <w:color w:val="111111"/>
          <w:sz w:val="28"/>
          <w:szCs w:val="28"/>
          <w:rtl w:val="true"/>
          <w:lang w:bidi="fa-IR"/>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بیان الجواز فی مقام توهّم المنع عن الدخول من حیث حدثی الجنابة و الحیض فلا ینافی المنع من حیث النجاسة، مسموعة لو لم تکن الحیثیّة الأُخری غالبة المصاحبة مع تلک الحیثیّة،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بدن الحائض لا ینفکّ عن النجاسة إلّا نادراً، بل و کذا الجنب بناءً علی أنّ المتعارف عدم إزالة النجاسة عن الحشفة إلّا عند إرادة الاغتسال، کما یظهر</w:t>
      </w:r>
    </w:p>
    <w:p>
      <w:pPr>
        <w:pStyle w:val="BookText"/>
        <w:rPr/>
      </w:pPr>
      <w:r>
        <w:rPr>
          <w:rFonts w:ascii="IRNazanin" w:hAnsi="IRNazanin" w:eastAsia="IRNazanin"/>
          <w:color w:val="111111"/>
          <w:sz w:val="28"/>
          <w:sz w:val="28"/>
          <w:szCs w:val="28"/>
          <w:rtl w:val="true"/>
          <w:lang w:bidi="fa-IR"/>
        </w:rPr>
        <w:t xml:space="preserve">من الأخبار الواردة فی بیان کیفیّته </w:t>
      </w:r>
      <w:r>
        <w:rPr>
          <w:rStyle w:val="FootnoteAnchor"/>
          <w:rtl w:val="true"/>
        </w:rPr>
        <w:footnoteReference w:id="1280"/>
      </w:r>
      <w:r>
        <w:rPr>
          <w:rFonts w:ascii="IRNazanin" w:hAnsi="IRNazanin" w:eastAsia="IRNazanin"/>
          <w:color w:val="111111"/>
          <w:sz w:val="28"/>
          <w:sz w:val="28"/>
          <w:szCs w:val="28"/>
          <w:rtl w:val="true"/>
          <w:lang w:bidi="fa-IR"/>
        </w:rPr>
        <w:t>، فترک الاستفصال یفید العموم من هذه الحیثیّة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بل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صحیحة معاویة بن عمّار فی المستحاضة،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لم یثقب الدم الکرسف توضّأت و دخلت المسجد و صلّت کلّ صلاة بوضوء</w:t>
      </w:r>
      <w:r>
        <w:rPr>
          <w:rFonts w:eastAsia="IRNazanin" w:cs="IRNazanin"/>
          <w:color w:val="111111"/>
          <w:sz w:val="28"/>
          <w:szCs w:val="28"/>
          <w:rtl w:val="true"/>
          <w:lang w:bidi="fa-IR"/>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لا یبعد أن یراد بالمسجد هنا مصلّی المرأة فی بیتها، کما یلوح من صدر الروایة و غیرها من الروایات الأُخر الواردة فی أنّ المرأة إذا طمثت فی الصلاة تقوم من مسجدها </w:t>
      </w:r>
      <w:r>
        <w:rPr>
          <w:rStyle w:val="FootnoteAnchor"/>
          <w:rtl w:val="true"/>
        </w:rPr>
        <w:footnoteReference w:id="1282"/>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عدّة 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المستحاضة تطوف بالبیت بعد العمل بما یجب علیها، ففی موثّقة عبد الرحمن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استحلّت به الصلاة فلیأتها زوجها و لتطف بالبیت</w:t>
      </w:r>
      <w:r>
        <w:rPr>
          <w:rFonts w:eastAsia="IRNazanin" w:cs="IRNazanin"/>
          <w:color w:val="111111"/>
          <w:sz w:val="28"/>
          <w:szCs w:val="28"/>
          <w:rtl w:val="true"/>
          <w:lang w:bidi="fa-IR"/>
        </w:rPr>
        <w:t xml:space="preserve">» </w:t>
      </w:r>
      <w:r>
        <w:rPr>
          <w:rStyle w:val="FootnoteAnchor"/>
          <w:rtl w:val="true"/>
        </w:rPr>
        <w:footnoteReference w:id="1283"/>
      </w:r>
      <w:r>
        <w:rPr>
          <w:rFonts w:ascii="IRNazanin" w:hAnsi="IRNazanin" w:eastAsia="IRNazanin"/>
          <w:color w:val="111111"/>
          <w:sz w:val="28"/>
          <w:sz w:val="28"/>
          <w:szCs w:val="28"/>
          <w:rtl w:val="true"/>
          <w:lang w:bidi="fa-IR"/>
        </w:rPr>
        <w:t>و ظاهره الطواف المندوب</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مضافاً إلی ما علم من السیرة علی عدم منع أصحاب القروح و الجروح و من به الدم القلیل عن الجمعة و الجماعات، و عدم منع الناس </w:t>
      </w:r>
      <w:r>
        <w:rPr>
          <w:rStyle w:val="FootnoteAnchor"/>
          <w:rtl w:val="true"/>
        </w:rPr>
        <w:footnoteReference w:id="1284"/>
      </w:r>
      <w:r>
        <w:rPr>
          <w:rFonts w:ascii="IRNazanin" w:hAnsi="IRNazanin" w:eastAsia="IRNazanin"/>
          <w:color w:val="111111"/>
          <w:sz w:val="28"/>
          <w:sz w:val="28"/>
          <w:szCs w:val="28"/>
          <w:rtl w:val="true"/>
          <w:lang w:bidi="fa-IR"/>
        </w:rPr>
        <w:t>عن المرور فی المساجد لأجل الأغراض الأُخر کالمرافعة کما فی زمان أمیر المؤمنین علیه السلام، و مذاکرة العلم کما فی زمان الصادق علیه السلام بالنسبة إلی المسجد الأعظم بالکوفة، إلی غیر ذلک من الأغراض و عدم تحریم تمکین الصبیان، مع أنّ الإنصاف یقتضی القطع بنجاستهم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أنّ المسجد یصدق علی أرضه و فضائه و سطحه و جدرانه ظاهرها و باطنها، و إن کان ظاهر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تحریم تلویث ظواهر جدرانها من الخارج، إلّا أنّ معاقد الإجماعات یشملها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به فرشه کالبواری؛ و کذا الآنیة المخصوصة، و حکی عن ظاهر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علیه </w:t>
      </w:r>
      <w:r>
        <w:rPr>
          <w:rStyle w:val="FootnoteAnchor"/>
          <w:rtl w:val="true"/>
        </w:rPr>
        <w:footnoteReference w:id="1285"/>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یشعر به عبارة مجمع البرهان </w:t>
      </w:r>
      <w:r>
        <w:rPr>
          <w:rStyle w:val="FootnoteAnchor"/>
          <w:rtl w:val="true"/>
        </w:rPr>
        <w:footnoteReference w:id="1286"/>
      </w:r>
      <w:r>
        <w:rPr>
          <w:rFonts w:ascii="IRNazanin" w:hAnsi="IRNazanin" w:eastAsia="IRNazanin"/>
          <w:color w:val="111111"/>
          <w:sz w:val="28"/>
          <w:sz w:val="28"/>
          <w:szCs w:val="28"/>
          <w:rtl w:val="true"/>
          <w:lang w:bidi="fa-IR"/>
        </w:rPr>
        <w:t>، و لعلّه لأنّه المتبادر من تجنیب المساجد من النجاسة، کما أنّ تجنیب الإنسان نفسه عنها یشمل تجنیب ثیابه و ما یلازمه غالباً أو دائماً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الظاهر أنّ وجوب إزالة النجاسة عن المسجد علی الفور بلا خلاف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المدارک و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الأصحاب </w:t>
      </w:r>
      <w:r>
        <w:rPr>
          <w:rStyle w:val="FootnoteAnchor"/>
          <w:rtl w:val="true"/>
        </w:rPr>
        <w:footnoteReference w:id="1287"/>
      </w:r>
      <w:r>
        <w:rPr>
          <w:rFonts w:ascii="IRNazanin" w:hAnsi="IRNazanin" w:eastAsia="IRNazanin"/>
          <w:color w:val="111111"/>
          <w:sz w:val="28"/>
          <w:sz w:val="28"/>
          <w:szCs w:val="28"/>
          <w:rtl w:val="true"/>
          <w:lang w:bidi="fa-IR"/>
        </w:rPr>
        <w:t xml:space="preserve">، لا لأجل الأمر بل لقرینة المقام؛ حیث إنّ الحکمة فیه إمّا الاحترام، و إمّا من جهة کونه أُعدّ للصلاة، فإنّا نقطع بأنّ المراد من النبویّ </w:t>
      </w:r>
      <w:r>
        <w:rPr>
          <w:rStyle w:val="FootnoteAnchor"/>
          <w:rtl w:val="true"/>
        </w:rPr>
        <w:footnoteReference w:id="1288"/>
      </w:r>
      <w:r>
        <w:rPr>
          <w:rFonts w:ascii="IRNazanin" w:hAnsi="IRNazanin" w:eastAsia="IRNazanin"/>
          <w:color w:val="111111"/>
          <w:sz w:val="28"/>
          <w:sz w:val="28"/>
          <w:szCs w:val="28"/>
          <w:rtl w:val="true"/>
          <w:lang w:bidi="fa-IR"/>
        </w:rPr>
        <w:t xml:space="preserve">لیس هو مجرّد تجنیب المسجد عن النجاسة فی زمان من الأزمنة المستقبلة، مع أنّ المستفاد من الإجماع علی حرمة تنجیس المسجد </w:t>
      </w:r>
      <w:r>
        <w:rPr>
          <w:rStyle w:val="FootnoteAnchor"/>
          <w:rtl w:val="true"/>
        </w:rPr>
        <w:footnoteReference w:id="1289"/>
      </w:r>
      <w:r>
        <w:rPr>
          <w:rFonts w:ascii="IRNazanin" w:hAnsi="IRNazanin" w:eastAsia="IRNazanin"/>
          <w:color w:val="111111"/>
          <w:sz w:val="28"/>
          <w:sz w:val="28"/>
          <w:szCs w:val="28"/>
          <w:rtl w:val="true"/>
          <w:lang w:bidi="fa-IR"/>
        </w:rPr>
        <w:t xml:space="preserve">تنجیسها بمنع </w:t>
      </w:r>
      <w:r>
        <w:rPr>
          <w:rStyle w:val="FootnoteAnchor"/>
          <w:rtl w:val="true"/>
        </w:rPr>
        <w:footnoteReference w:id="1290"/>
      </w:r>
      <w:r>
        <w:rPr>
          <w:rFonts w:ascii="IRNazanin" w:hAnsi="IRNazanin" w:eastAsia="IRNazanin"/>
          <w:color w:val="111111"/>
          <w:sz w:val="28"/>
          <w:sz w:val="28"/>
          <w:szCs w:val="28"/>
          <w:rtl w:val="true"/>
          <w:lang w:bidi="fa-IR"/>
        </w:rPr>
        <w:t>إحداث النجاسة فیها هو تحریم إبقائها، بناءً علی ما هو الظاهر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المناط هو وجود النجاسة فیها، من دون فرق بین الوجود الأوّلی و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أنّه لا إشکال فی کونه کفائیّاً بالنسبة إلی من استجمع شرائط هذا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ممّا عن الذکری وجوبه علی من أدخله </w:t>
      </w:r>
      <w:r>
        <w:rPr>
          <w:rStyle w:val="FootnoteAnchor"/>
          <w:rtl w:val="true"/>
        </w:rPr>
        <w:footnoteReference w:id="1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أنّ فعل الغیر مسقطٌ، لا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لاستصحاب الحرمة بالنسبة إلیه، فکما یحرم علیه الإحداث یحرم علیه الإبقاء؛ بناءً 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مناط الحرمة هو الوجود المشترک بین الحدوث و البقاء، و لکن هذا لا ینافی الوجوب الکفائی بالنسبة إلی من عداه، فکما أنّه یعاقب علی الوجود الأوّل یعاقب علی الوجود الثانی، فلو ترک الکلّ عوقبوا أجمع، هذا علی ترک الواجب العینی و من عداه علی ترک الکفائی، و لو فعله هذا سقط عن الباقی، لا من باب الإتیان بالواجب 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العکس لو فعل الباقون سقط عنه من باب السقوط، لا البدلیّة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وجوبه الکفائی ثابت علی تقدیر ترک من عیّن علیه، نظیر وجوب إنفاق الولد الفقیر عیناً علی والده و کفایةً علی 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ذلک بالنسبة إلی العنوان الواحد المستفاد وجوبه من دلیل واحد، فإنّ المفروض أنّ الإزالة الواجبة علی من أدخل النجاسة واجبة بنفس أدلّة وجوب التجنّب الشامل لجمیع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اشتغل التارک للإزالة بعبادةٍ، بُنی صحّتها و فسادها علی النزاع المشهور فی مسألة الضدّ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بعض مشایخنا </w:t>
      </w:r>
      <w:r>
        <w:rPr>
          <w:rStyle w:val="FootnoteAnchor"/>
          <w:rtl w:val="true"/>
        </w:rPr>
        <w:footnoteReference w:id="1292"/>
      </w:r>
      <w:r>
        <w:rPr>
          <w:rFonts w:ascii="IRNazanin" w:hAnsi="IRNazanin" w:eastAsia="IRNazanin"/>
          <w:color w:val="111111"/>
          <w:sz w:val="28"/>
          <w:sz w:val="28"/>
          <w:szCs w:val="28"/>
          <w:rtl w:val="true"/>
          <w:lang w:bidi="fa-IR"/>
        </w:rPr>
        <w:t>عدم ابتناء الصحّة علیه؛ لأنّ الفساد علی</w:t>
      </w:r>
    </w:p>
    <w:p>
      <w:pPr>
        <w:pStyle w:val="BookText"/>
        <w:rPr/>
      </w:pPr>
      <w:r>
        <w:rPr>
          <w:rFonts w:ascii="IRNazanin" w:hAnsi="IRNazanin" w:eastAsia="IRNazanin"/>
          <w:color w:val="111111"/>
          <w:sz w:val="28"/>
          <w:sz w:val="28"/>
          <w:szCs w:val="28"/>
          <w:rtl w:val="true"/>
          <w:lang w:bidi="fa-IR"/>
        </w:rPr>
        <w:t>تقدیر حرمة الضدّ فرع وجود الدلیل علی فوریّة وجوب الإزالة حتّی فیما إذا اشتغلت ذمّته بواجب موسّع، و هو ممنوع؛ فإنّ الدلیل إن کان هو الإجماع فلم یثبت، و إن کان دلیلًا لفظیّاً فهو معارض بما دلّ علی عموم وجوب ذلک الموسّع، و مع فقد المرجّح یثبت التخییر، و لازمه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ارتکب مباحاً یکون علیه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ما لا یخفی؛ فإنّ منع الإجماع علی الفوریّة فی مقام اشتغال الذمّة بواجب موسّع إن کان من جهة مجرّد اشتغال الذمّة فلا تعارض بینهما؛ لأنّ دلیل الواجب الموسّع کدلیل إباحة الشی‌ء إنّما یفید جواز فعله من حیث هو، فلا ینافیه عروض الحرمة من جهة منافاته لواجب مضیّق؛ و لذا لا یعارض بأدلّة </w:t>
      </w:r>
      <w:r>
        <w:rPr>
          <w:rStyle w:val="FootnoteAnchor"/>
          <w:rtl w:val="true"/>
        </w:rPr>
        <w:footnoteReference w:id="1293"/>
      </w:r>
      <w:r>
        <w:rPr>
          <w:rFonts w:ascii="IRNazanin" w:hAnsi="IRNazanin" w:eastAsia="IRNazanin"/>
          <w:color w:val="111111"/>
          <w:sz w:val="28"/>
          <w:sz w:val="28"/>
          <w:szCs w:val="28"/>
          <w:rtl w:val="true"/>
          <w:lang w:bidi="fa-IR"/>
        </w:rPr>
        <w:t>فوریّة الواجبات علی القول باقتضاء الأمر بالشی‌ء النهی عن الضدّ الخاصّ بأدلّة إباحة المباحات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المنع من جهة خصوصیّة أُخری غیر اشتغال الذمّة فهو منعٌ للفوریّة، کما یشهد به إطلاقات کلمات المجمعین و نقلة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فساد التعارض بین ما دلّ علی فوریّة الوجوب و ما دلّ علی عموم الوجوب لجمیع أزمنة الواجب الموسّع، کفساد أخذه بینه و بین أدلّة إباحة الضدّ فی غیر العبادات؛ مع أنّ التعارض لا یجدی فی المقام بعد استفادة الفوریّة من مساق الوجوب؛ لأنّ إلغاء الفوریّة یکون کإلغاء القید دون المقیّد، و إلغاء أصل الوجوب خلاف الإجماع</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التخییر المقتضی للصحّة فاسد؛ لأنّ المدار فی العموم من وجه علی التوقّف فی مادّة الاجتماع و الرجوع إلی الأُصول،</w:t>
      </w:r>
      <w:bookmarkStart w:id="96" w:name="pg16911_259677"/>
    </w:p>
    <w:p>
      <w:pPr>
        <w:pStyle w:val="BookText"/>
        <w:rPr/>
      </w:pPr>
      <w:bookmarkEnd w:id="96"/>
      <w:r>
        <w:rPr>
          <w:rFonts w:ascii="IRNazanin" w:hAnsi="IRNazanin" w:eastAsia="IRNazanin"/>
          <w:color w:val="111111"/>
          <w:sz w:val="28"/>
          <w:sz w:val="28"/>
          <w:szCs w:val="28"/>
          <w:rtl w:val="true"/>
          <w:lang w:bidi="fa-IR"/>
        </w:rPr>
        <w:t>و الأصل هنا فساد الواجب الموسّع؛ للشکّ فی تعلّق الأمر به، و أمّا الإزالة فهی مباحة قطعاً؛ لعدم فوریّة الضدّ الموسّع، مع أنّ صحّتها لا یتوقّف علی إباحتها، مع أنّه لو سلّمنا التخییر فهو لا یقتضی الصحّة؛ لأنّ الفرض التخییر بین البناء علی فوریّة وجوب الإزالة حتّی یحکم بالفساد و بین البناء علی وجوب الواجب الموسّع و عدم فوریّة الإزالة حتّی یحکم بالصحّة، فلا بدّ من اختیار المجتهد أو المقلّد لأحدهما، و لیس هذا من باب التخییر بین فعل الإزالة و فعل الصلاة حتّی یصحّ الصلاة</w:t>
      </w:r>
      <w:r>
        <w:rPr>
          <w:rFonts w:eastAsia="IRNazanin" w:cs="IRNazanin"/>
          <w:color w:val="111111"/>
          <w:sz w:val="28"/>
          <w:szCs w:val="28"/>
          <w:rtl w:val="true"/>
          <w:lang w:bidi="fa-IR"/>
        </w:rPr>
        <w:t>.</w:t>
      </w:r>
    </w:p>
    <w:p>
      <w:pPr>
        <w:pStyle w:val="Heading5"/>
        <w:numPr>
          <w:ilvl w:val="4"/>
          <w:numId w:val="1"/>
        </w:numPr>
        <w:rPr/>
      </w:pPr>
      <w:bookmarkStart w:id="97" w:name="__RefHeading___Toc6618682_3224264995"/>
      <w:bookmarkStart w:id="98" w:name="_Toc36"/>
      <w:bookmarkEnd w:id="97"/>
      <w:r>
        <w:rPr>
          <w:rtl w:val="true"/>
        </w:rPr>
        <w:t>[</w:t>
      </w:r>
      <w:r>
        <w:rPr>
          <w:rtl w:val="true"/>
        </w:rPr>
        <w:t>العفو عن دم القروح و الجروح</w:t>
      </w:r>
      <w:r>
        <w:rPr>
          <w:rtl w:val="true"/>
        </w:rPr>
        <w:t>]</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عفی فی الثوب و البدن عن دم القروح و الجروح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التی لم تبرء کما عن المحقّق الثانی </w:t>
      </w:r>
      <w:r>
        <w:rPr>
          <w:rStyle w:val="FootnoteAnchor"/>
          <w:rtl w:val="true"/>
        </w:rPr>
        <w:footnoteReference w:id="1294"/>
      </w:r>
      <w:r>
        <w:rPr>
          <w:rFonts w:ascii="IRNazanin" w:hAnsi="IRNazanin" w:eastAsia="IRNazanin"/>
          <w:color w:val="111111"/>
          <w:sz w:val="28"/>
          <w:sz w:val="28"/>
          <w:szCs w:val="28"/>
          <w:rtl w:val="true"/>
          <w:lang w:bidi="fa-IR"/>
        </w:rPr>
        <w:t xml:space="preserve">أو المستمرّة الجروح بحیث لا ینقطع أصلًا أو ینقطع زماناً لا یسع لأداء الفریضة مع إزالتها کما فسّره فی الروض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اعتبار الاستمرار بهذا المعنی کأنه مذهب الأکثر، کما فی مفتاح الکرامة،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کلام الأکثر أنّ المدار علی المشقّة و الحرج، و کلامهم یعطی لزوم الاستمرار علی وجهٍ لا یتیسّر الصلاة بدون الدم، فیکون حالهما حال صاحب السلس و المبطون و المستحاضة و دائم النجاسة </w:t>
      </w:r>
      <w:r>
        <w:rPr>
          <w:rStyle w:val="FootnoteAnchor"/>
          <w:rtl w:val="true"/>
        </w:rPr>
        <w:footnoteReference w:id="129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استظهره من عبائر الأکثر هو الظاهر منها فی أوّل النظر، ففی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سیلان الدم </w:t>
      </w:r>
      <w:r>
        <w:rPr>
          <w:rStyle w:val="FootnoteAnchor"/>
          <w:rtl w:val="true"/>
        </w:rPr>
        <w:footnoteReference w:id="1297"/>
      </w:r>
      <w:r>
        <w:rPr>
          <w:rFonts w:ascii="IRNazanin" w:hAnsi="IRNazanin" w:eastAsia="IRNazanin"/>
          <w:color w:val="111111"/>
          <w:sz w:val="28"/>
          <w:sz w:val="28"/>
          <w:szCs w:val="28"/>
          <w:rtl w:val="true"/>
          <w:lang w:bidi="fa-IR"/>
        </w:rPr>
        <w:t>، و عن 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القروح إذا شقّ إزالته و لم</w:t>
      </w:r>
    </w:p>
    <w:p>
      <w:pPr>
        <w:pStyle w:val="BookText"/>
        <w:rPr/>
      </w:pPr>
      <w:r>
        <w:rPr>
          <w:rFonts w:ascii="IRNazanin" w:hAnsi="IRNazanin" w:eastAsia="IRNazanin"/>
          <w:color w:val="111111"/>
          <w:sz w:val="28"/>
          <w:sz w:val="28"/>
          <w:szCs w:val="28"/>
          <w:rtl w:val="true"/>
          <w:lang w:bidi="fa-IR"/>
        </w:rPr>
        <w:t xml:space="preserve">یقف سیلانه </w:t>
      </w:r>
      <w:r>
        <w:rPr>
          <w:rStyle w:val="FootnoteAnchor"/>
          <w:rtl w:val="true"/>
        </w:rPr>
        <w:footnoteReference w:id="1298"/>
      </w:r>
      <w:r>
        <w:rPr>
          <w:rFonts w:ascii="Amiri" w:hAnsi="Amiri" w:eastAsia="Amiri" w:cs="Amiri"/>
          <w:color w:val="111111"/>
          <w:sz w:val="28"/>
          <w:sz w:val="28"/>
          <w:szCs w:val="28"/>
          <w:rtl w:val="true"/>
          <w:lang w:bidi="ar-SA"/>
        </w:rPr>
        <w:t>، و 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المشقّة </w:t>
      </w:r>
      <w:r>
        <w:rPr>
          <w:rStyle w:val="FootnoteAnchor"/>
          <w:rtl w:val="true"/>
        </w:rPr>
        <w:footnoteReference w:id="1299"/>
      </w:r>
      <w:r>
        <w:rPr>
          <w:rFonts w:ascii="IRNazanin" w:hAnsi="IRNazanin" w:eastAsia="IRNazanin"/>
          <w:color w:val="111111"/>
          <w:sz w:val="28"/>
          <w:sz w:val="28"/>
          <w:szCs w:val="28"/>
          <w:rtl w:val="true"/>
          <w:lang w:bidi="fa-IR"/>
        </w:rPr>
        <w:t>، و عن الوسیلة و کشف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القروح الدامیة و الجروح اللازمة </w:t>
      </w:r>
      <w:r>
        <w:rPr>
          <w:rStyle w:val="FootnoteAnchor"/>
          <w:rtl w:val="true"/>
        </w:rPr>
        <w:footnoteReference w:id="1300"/>
      </w:r>
      <w:r>
        <w:rPr>
          <w:rFonts w:ascii="IRNazanin" w:hAnsi="IRNazanin" w:eastAsia="IRNazanin"/>
          <w:color w:val="111111"/>
          <w:sz w:val="28"/>
          <w:sz w:val="28"/>
          <w:szCs w:val="28"/>
          <w:rtl w:val="true"/>
          <w:lang w:bidi="fa-IR"/>
        </w:rPr>
        <w:t>، و عن الخلاف و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اللزوم فی القروح و الجروح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المراد باللزوم کما عن التذکرة </w:t>
      </w:r>
      <w:r>
        <w:rPr>
          <w:rStyle w:val="FootnoteAnchor"/>
          <w:rtl w:val="true"/>
        </w:rPr>
        <w:footnoteReference w:id="1302"/>
      </w:r>
      <w:r>
        <w:rPr>
          <w:rFonts w:ascii="IRNazanin" w:hAnsi="IRNazanin" w:eastAsia="IRNazanin"/>
          <w:color w:val="111111"/>
          <w:sz w:val="28"/>
          <w:sz w:val="28"/>
          <w:szCs w:val="28"/>
          <w:rtl w:val="true"/>
          <w:lang w:bidi="fa-IR"/>
        </w:rPr>
        <w:t xml:space="preserve">لزوم الدم، و فسّر به فی الروض عبارة المصنّف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 و الدروس و البیان و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عدم الرقإ </w:t>
      </w:r>
      <w:r>
        <w:rPr>
          <w:rStyle w:val="FootnoteAnchor"/>
          <w:rtl w:val="true"/>
        </w:rPr>
        <w:footnoteReference w:id="1304"/>
      </w:r>
      <w:r>
        <w:rPr>
          <w:rFonts w:ascii="IRNazanin" w:hAnsi="IRNazanin" w:eastAsia="IRNazanin"/>
          <w:color w:val="111111"/>
          <w:sz w:val="28"/>
          <w:sz w:val="28"/>
          <w:szCs w:val="28"/>
          <w:rtl w:val="true"/>
          <w:lang w:bidi="fa-IR"/>
        </w:rPr>
        <w:t>، و الرقأ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 الدم و سکونه، کما عن المسالک و المدارک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هذا کلّه للاقتصار فی مخالفة الأصل علی المتیقّن من النصّ و الفتوی؛ و لذا زاد المصنّف فی النهایة علی ما حکی اعتبار الضرورة فی العفو و أوجب إبدال الثوب مع الإمکان محتجّاً بزوال المشقّة </w:t>
      </w:r>
      <w:r>
        <w:rPr>
          <w:rStyle w:val="FootnoteAnchor"/>
          <w:rtl w:val="true"/>
        </w:rPr>
        <w:footnoteReference w:id="1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لمضمرة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به القرح و الجرح لا یستطیع أن یربط و لا یغسل 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و لا یغسل ثوبه کلّ یوم إلّا مرّة، فإنّه لا یستطیع أن یغسل ثوبه کلّ ساعة</w:t>
      </w:r>
      <w:r>
        <w:rPr>
          <w:rFonts w:eastAsia="IRNazanin" w:cs="IRNazanin"/>
          <w:color w:val="111111"/>
          <w:sz w:val="28"/>
          <w:szCs w:val="28"/>
          <w:rtl w:val="true"/>
          <w:lang w:bidi="fa-IR"/>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مستطرفات السرائر عن البزنطی عن العلاء عن محمّد بن مسلم، 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صاحب القرحة التی لا یستطیع ربطها و لا حبس دمها یصلّی و لا یغسل ثوبه فی الیوم أکثر من مرّة</w:t>
      </w:r>
      <w:r>
        <w:rPr>
          <w:rFonts w:eastAsia="IRNazanin" w:cs="IRNazanin"/>
          <w:color w:val="111111"/>
          <w:sz w:val="28"/>
          <w:szCs w:val="28"/>
          <w:rtl w:val="true"/>
          <w:lang w:bidi="fa-IR"/>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دلّت الموثّقة بمقتضی تعلیلها و المضمرة بمفهوم قیدها علی أنّ الوجه فی عدم وجوب غسل الثوب أزید من المرّة هو عدم تیسّره، فدلّ علی وجوب الإزالة إذا تیسّرت بغیر الغسل کالإبدال، و علی وجوب الإزالة إذا کان له زمان فتور الدم لو کان له فترة، کما فی الذکری </w:t>
      </w:r>
      <w:r>
        <w:rPr>
          <w:rStyle w:val="FootnoteAnchor"/>
          <w:rtl w:val="true"/>
        </w:rPr>
        <w:footnoteReference w:id="1309"/>
      </w: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1310"/>
      </w:r>
      <w:r>
        <w:rPr>
          <w:rFonts w:ascii="IRNazanin" w:hAnsi="IRNazanin" w:eastAsia="IRNazanin"/>
          <w:color w:val="111111"/>
          <w:sz w:val="28"/>
          <w:sz w:val="28"/>
          <w:szCs w:val="28"/>
          <w:rtl w:val="true"/>
          <w:lang w:bidi="fa-IR"/>
        </w:rPr>
        <w:t xml:space="preserve">و عن المعتبر </w:t>
      </w:r>
      <w:r>
        <w:rPr>
          <w:rStyle w:val="FootnoteAnchor"/>
          <w:rtl w:val="true"/>
        </w:rPr>
        <w:footnoteReference w:id="1311"/>
      </w:r>
      <w:r>
        <w:rPr>
          <w:rFonts w:ascii="IRNazanin" w:hAnsi="IRNazanin" w:eastAsia="IRNazanin"/>
          <w:color w:val="111111"/>
          <w:sz w:val="28"/>
          <w:sz w:val="28"/>
          <w:szCs w:val="28"/>
          <w:rtl w:val="true"/>
          <w:lang w:bidi="fa-IR"/>
        </w:rPr>
        <w:t xml:space="preserve">و کشف الالتباس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للمحکیّ عن الشیخ فی النهایة </w:t>
      </w:r>
      <w:r>
        <w:rPr>
          <w:rStyle w:val="FootnoteAnchor"/>
          <w:rtl w:val="true"/>
        </w:rPr>
        <w:footnoteReference w:id="1313"/>
      </w:r>
      <w:r>
        <w:rPr>
          <w:rFonts w:ascii="IRNazanin" w:hAnsi="IRNazanin" w:eastAsia="IRNazanin"/>
          <w:color w:val="111111"/>
          <w:sz w:val="28"/>
          <w:sz w:val="28"/>
          <w:szCs w:val="28"/>
          <w:rtl w:val="true"/>
          <w:lang w:bidi="fa-IR"/>
        </w:rPr>
        <w:t xml:space="preserve">و المحقّق و الشهید الثانیین </w:t>
      </w:r>
      <w:r>
        <w:rPr>
          <w:rStyle w:val="FootnoteAnchor"/>
          <w:rtl w:val="true"/>
        </w:rPr>
        <w:footnoteReference w:id="1314"/>
      </w:r>
      <w:r>
        <w:rPr>
          <w:rFonts w:ascii="Amiri" w:hAnsi="Amiri" w:eastAsia="Amiri" w:cs="Amiri"/>
          <w:color w:val="111111"/>
          <w:sz w:val="28"/>
          <w:sz w:val="28"/>
          <w:szCs w:val="28"/>
          <w:rtl w:val="true"/>
          <w:lang w:bidi="ar-SA"/>
        </w:rPr>
        <w:t xml:space="preserve">و جماعة </w:t>
      </w:r>
      <w:r>
        <w:rPr>
          <w:rStyle w:val="FootnoteAnchor"/>
          <w:rtl w:val="true"/>
        </w:rPr>
        <w:footnoteReference w:id="1315"/>
      </w:r>
      <w:r>
        <w:rPr>
          <w:rFonts w:ascii="IRNazanin" w:hAnsi="IRNazanin" w:eastAsia="IRNazanin"/>
          <w:color w:val="111111"/>
          <w:sz w:val="28"/>
          <w:sz w:val="28"/>
          <w:szCs w:val="28"/>
          <w:rtl w:val="true"/>
          <w:lang w:bidi="fa-IR"/>
        </w:rPr>
        <w:t xml:space="preserve">، بل نسبه بعض إلی الأکثر تارةً و إلی المشهور اخری </w:t>
      </w:r>
      <w:r>
        <w:rPr>
          <w:rStyle w:val="FootnoteAnchor"/>
          <w:rtl w:val="true"/>
        </w:rPr>
        <w:footnoteReference w:id="1316"/>
      </w:r>
      <w:r>
        <w:rPr>
          <w:rFonts w:ascii="IRNazanin" w:hAnsi="IRNazanin" w:eastAsia="IRNazanin"/>
          <w:color w:val="111111"/>
          <w:sz w:val="28"/>
          <w:sz w:val="28"/>
          <w:szCs w:val="28"/>
          <w:rtl w:val="true"/>
          <w:lang w:bidi="fa-IR"/>
        </w:rPr>
        <w:t>، فلم یعتبروا فی ظاهر کلامهم استمرار الجریان و لا إبدال الثوب و لا مراعاة الفترات؛ لکثیر من الروایات المطلقة، مثل روایة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w:t>
      </w:r>
    </w:p>
    <w:p>
      <w:pPr>
        <w:pStyle w:val="BookText"/>
        <w:rPr/>
      </w:pPr>
      <w:r>
        <w:rPr>
          <w:rFonts w:ascii="IRNazanin" w:hAnsi="IRNazanin" w:eastAsia="IRNazanin"/>
          <w:color w:val="111111"/>
          <w:sz w:val="28"/>
          <w:sz w:val="28"/>
          <w:szCs w:val="28"/>
          <w:rtl w:val="true"/>
          <w:lang w:bidi="fa-IR"/>
        </w:rPr>
        <w:t>علی أبی جعفر علیه السلام و هو یصلّی، فقال لی قائدی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ثوبه دماً، فلمّا فرغ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قائدی أنّ بثوبک دماً،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 دمامیل و لست أغسل ثوبی حتّی تبرأ</w:t>
      </w:r>
      <w:r>
        <w:rPr>
          <w:rFonts w:eastAsia="IRNazanin" w:cs="IRNazanin"/>
          <w:color w:val="111111"/>
          <w:sz w:val="28"/>
          <w:szCs w:val="28"/>
          <w:rtl w:val="true"/>
          <w:lang w:bidi="fa-IR"/>
        </w:rPr>
        <w:t xml:space="preserve">» </w:t>
      </w:r>
      <w:r>
        <w:rPr>
          <w:rStyle w:val="FootnoteAnchor"/>
          <w:rtl w:val="true"/>
        </w:rPr>
        <w:footnoteReference w:id="1317"/>
      </w:r>
      <w:r>
        <w:rPr>
          <w:rFonts w:ascii="IRNazanin" w:hAnsi="IRNazanin" w:eastAsia="IRNazanin"/>
          <w:color w:val="111111"/>
          <w:sz w:val="28"/>
          <w:sz w:val="28"/>
          <w:szCs w:val="28"/>
          <w:rtl w:val="true"/>
          <w:lang w:bidi="fa-IR"/>
        </w:rPr>
        <w:t>فإنّ الظاهر بل المقطوع تمکّن الإمام علیه السلام من إزالة الدم عن الثوب و من إبداله، و المتعارف من الدمامیل ما لها فترة أحیاناً بل فی کثیر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بالرجل جرح سائل فأصاب ثوبه من دمه، فلا یغسله حتّی یبرأ و ینقطع الدم</w:t>
      </w:r>
      <w:r>
        <w:rPr>
          <w:rFonts w:eastAsia="IRNazanin" w:cs="IRNazanin"/>
          <w:color w:val="111111"/>
          <w:sz w:val="28"/>
          <w:szCs w:val="28"/>
          <w:rtl w:val="true"/>
          <w:lang w:bidi="fa-IR"/>
        </w:rPr>
        <w:t xml:space="preserve">» </w:t>
      </w:r>
      <w:r>
        <w:rPr>
          <w:rStyle w:val="FootnoteAnchor"/>
          <w:rtl w:val="true"/>
        </w:rPr>
        <w:footnoteReference w:id="1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بالسیلان لیس استمرار الجریان بمعنی عدم الفترة، بل المراد ما لم ینقطع عنه الدم بل یسیل أحیاناً فی مقابل ما اندمل أو أشرف علی الاندمال، فإطلاق المشتقّ إنّما هو باعتبار الملکة دون الحال، أو باعتبار کون التلبّس بالمبدإ أکثریّاً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لیث المرادی،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به الدمامیل و القروح، فجلده و ثیابه مملوّة دماً و قیحاً، و ثیابه بمنزلة جلده؟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فی ثیابه و لا یغسلها و لا شی‌ء علیه</w:t>
      </w:r>
      <w:r>
        <w:rPr>
          <w:rFonts w:eastAsia="IRNazanin" w:cs="IRNazanin"/>
          <w:color w:val="111111"/>
          <w:sz w:val="28"/>
          <w:szCs w:val="28"/>
          <w:rtl w:val="true"/>
          <w:lang w:bidi="fa-IR"/>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عبد الرحمن،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یکون فی مکان لا یقدر علی ربطه، فیسیل منه الدم و القیح فیصیب ثوبی؟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و لا یضرّک أن لا تغسله</w:t>
      </w:r>
      <w:r>
        <w:rPr>
          <w:rFonts w:eastAsia="IRNazanin" w:cs="IRNazanin"/>
          <w:color w:val="111111"/>
          <w:sz w:val="28"/>
          <w:szCs w:val="28"/>
          <w:rtl w:val="true"/>
          <w:lang w:bidi="fa-IR"/>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یخرج منه القروح فلا تزال</w:t>
      </w:r>
    </w:p>
    <w:p>
      <w:pPr>
        <w:pStyle w:val="BookText"/>
        <w:rPr/>
      </w:pPr>
      <w:r>
        <w:rPr>
          <w:rFonts w:ascii="IRNazanin" w:hAnsi="IRNazanin" w:eastAsia="IRNazanin"/>
          <w:color w:val="111111"/>
          <w:sz w:val="28"/>
          <w:sz w:val="28"/>
          <w:szCs w:val="28"/>
          <w:rtl w:val="true"/>
          <w:lang w:bidi="fa-IR"/>
        </w:rPr>
        <w:t>تدمی، کیف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و إن کانت الدماء تسیل</w:t>
      </w:r>
      <w:r>
        <w:rPr>
          <w:rFonts w:eastAsia="IRNazanin" w:cs="IRNazanin"/>
          <w:color w:val="111111"/>
          <w:sz w:val="28"/>
          <w:szCs w:val="28"/>
          <w:rtl w:val="true"/>
          <w:lang w:bidi="fa-IR"/>
        </w:rPr>
        <w:t xml:space="preserve">» </w:t>
      </w:r>
      <w:r>
        <w:rPr>
          <w:rStyle w:val="FootnoteAnchor"/>
          <w:rtl w:val="true"/>
        </w:rPr>
        <w:footnoteReference w:id="1321"/>
      </w: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 الخروج دفعة بعد دفعة لا استمرار الجریان و اتّصال الدم، و هو نظیر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فلان یتردّد إلی بیت فلان، أو یقول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کانت الدماء تسیل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کونه من بعض الأفراد الخفیّة للمسألة، لا کونه نفس المسألة،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لهذا الشخص الذی به جروح لا تزال تدمی الصلاة فی جمیع الأحوال حتّی حال سیلان الدم،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الجعفی،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أبا جعفر علیه السلام یصلّی و الدم یسیل من ساقه</w:t>
      </w:r>
      <w:r>
        <w:rPr>
          <w:rFonts w:eastAsia="IRNazanin" w:cs="IRNazanin"/>
          <w:color w:val="111111"/>
          <w:sz w:val="28"/>
          <w:szCs w:val="28"/>
          <w:rtl w:val="true"/>
          <w:lang w:bidi="fa-IR"/>
        </w:rPr>
        <w:t xml:space="preserve">» </w:t>
      </w:r>
      <w:r>
        <w:rPr>
          <w:rStyle w:val="FootnoteAnchor"/>
          <w:rtl w:val="true"/>
        </w:rPr>
        <w:footnoteReference w:id="1322"/>
      </w:r>
      <w:r>
        <w:rPr>
          <w:rFonts w:ascii="IRNazanin" w:hAnsi="IRNazanin" w:eastAsia="IRNazanin"/>
          <w:color w:val="111111"/>
          <w:sz w:val="28"/>
          <w:sz w:val="28"/>
          <w:szCs w:val="28"/>
          <w:rtl w:val="true"/>
          <w:lang w:bidi="fa-IR"/>
        </w:rPr>
        <w:t>و الظاهر أنّ ما کان بالإمام علیه السلام کان من الجروح المتعارفة دون ما لا یزال یسیل منه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الدمامیل تکون بالرجل فتنفجر و هو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یمسحه و یمسح یده بالحائط أو بالأرض و لا یقطع الصلاة</w:t>
      </w:r>
      <w:r>
        <w:rPr>
          <w:rFonts w:eastAsia="IRNazanin" w:cs="IRNazanin"/>
          <w:color w:val="111111"/>
          <w:sz w:val="28"/>
          <w:szCs w:val="28"/>
          <w:rtl w:val="true"/>
          <w:lang w:bidi="fa-IR"/>
        </w:rPr>
        <w:t xml:space="preserve">» </w:t>
      </w:r>
      <w:r>
        <w:rPr>
          <w:rStyle w:val="FootnoteAnchor"/>
          <w:rtl w:val="true"/>
        </w:rPr>
        <w:footnoteReference w:id="1323"/>
      </w:r>
      <w:r>
        <w:rPr>
          <w:rFonts w:ascii="IRNazanin" w:hAnsi="IRNazanin" w:eastAsia="IRNazanin"/>
          <w:color w:val="111111"/>
          <w:sz w:val="28"/>
          <w:sz w:val="28"/>
          <w:szCs w:val="28"/>
          <w:rtl w:val="true"/>
          <w:lang w:bidi="fa-IR"/>
        </w:rPr>
        <w:t xml:space="preserve">لم یستفصل علیه السلام بین الکثیر و القلیل، مع أنّه حکم فی غیر واحد من الأخبار بانقطاع الصلاة بالرعاف إذا لم یقدر علی إزالته فی الصلاة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فظاهر هذه الروایات کون الأمر فی هذا الدم أسهل ممّا تقدّم عن المحقّق و المصنّف و الشهید و غیرهم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لا یبعد حمل کلمات أکثر من تقدّم النقل عنه علی ما حملنا علیه الأخبار، فیکون المراد بالقروح و الجروح اللازمة فی محکیّ الخلاف و الغنیة الذی هو معقد الإجماع هی التی لم تبرأ، کما تقدّم عن المحقّق الثانی تفسیر اللزوم به فی کلام المصنّف هنا </w:t>
      </w:r>
      <w:r>
        <w:rPr>
          <w:rStyle w:val="FootnoteAnchor"/>
          <w:rtl w:val="true"/>
        </w:rPr>
        <w:footnoteReference w:id="1326"/>
      </w:r>
      <w:r>
        <w:rPr>
          <w:rFonts w:ascii="IRNazanin" w:hAnsi="IRNazanin" w:eastAsia="IRNazanin"/>
          <w:color w:val="111111"/>
          <w:sz w:val="28"/>
          <w:sz w:val="28"/>
          <w:szCs w:val="28"/>
          <w:rtl w:val="true"/>
          <w:lang w:bidi="fa-IR"/>
        </w:rPr>
        <w:t>و إن اعترضه فی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لیس مذهباً للمصنّف </w:t>
      </w:r>
      <w:r>
        <w:rPr>
          <w:rStyle w:val="FootnoteAnchor"/>
          <w:rtl w:val="true"/>
        </w:rPr>
        <w:footnoteReference w:id="1327"/>
      </w:r>
      <w:r>
        <w:rPr>
          <w:rFonts w:ascii="IRNazanin" w:hAnsi="IRNazanin" w:eastAsia="IRNazanin"/>
          <w:color w:val="111111"/>
          <w:sz w:val="28"/>
          <w:sz w:val="28"/>
          <w:szCs w:val="28"/>
          <w:rtl w:val="true"/>
          <w:lang w:bidi="fa-IR"/>
        </w:rPr>
        <w:t>، إلّا أنّ هذا الاعتراض غیر وارد کما اعترف به ولده فی المعالم منتصراً للمحقّق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من هذا الوصف إرادة کون الجرح باقیاً غیر مندمل، و مجرّد کون العلّامة قدّس سرّه لم یصرّح بهذا القول فی غیر هذا الکتاب لا یسوّغ حمل اللفظ علی خلاف ظاهره، سیّما مع ما هو معلوم من حال العلّامة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الالتزام بالقول الواحد فی الکتاب الواحد فضلًا عن الکتب المختلفة </w:t>
      </w:r>
      <w:r>
        <w:rPr>
          <w:rStyle w:val="FootnoteAnchor"/>
          <w:rtl w:val="true"/>
        </w:rPr>
        <w:footnoteReference w:id="132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یمکن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من اعتبرها علی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تقدّم فی تفسیر روایة سماعة المتقدّمة </w:t>
      </w:r>
      <w:r>
        <w:rPr>
          <w:rStyle w:val="FootnoteAnchor"/>
          <w:rtl w:val="true"/>
        </w:rPr>
        <w:footnoteReference w:id="1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إطلاق المشتقّ باعتبار کون التلبّس بالمبدإ أکثریّاً أو باعتبار التلبّس بالملکة، فیکون مقابلًا لما خرج عنه هذا الوصف بأن جفّ رطوباته و أشرف علی الاندمال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الوجه یظهر أنّ ما مرّ 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باللزوم لزوم الدم </w:t>
      </w:r>
      <w:r>
        <w:rPr>
          <w:rStyle w:val="FootnoteAnchor"/>
          <w:rtl w:val="true"/>
        </w:rPr>
        <w:footnoteReference w:id="1330"/>
      </w:r>
      <w:r>
        <w:rPr>
          <w:rFonts w:ascii="IRNazanin" w:hAnsi="IRNazanin" w:eastAsia="IRNazanin"/>
          <w:color w:val="111111"/>
          <w:sz w:val="28"/>
          <w:sz w:val="28"/>
          <w:szCs w:val="28"/>
          <w:rtl w:val="true"/>
          <w:lang w:bidi="fa-IR"/>
        </w:rPr>
        <w:t xml:space="preserve">، بمعنی عدم انقطاعه رأساً، لا استمرار الجریان و اتّصاله حتّی تنافی ما استظهرناه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للمحقّق الثانی و صاحب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إرادة هذین المعنیین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المصنّف قدّس سرّه فی القواعد بینها و بین التقیید بمشقّة الإزالة </w:t>
      </w:r>
      <w:r>
        <w:rPr>
          <w:rStyle w:val="FootnoteAnchor"/>
          <w:rtl w:val="true"/>
        </w:rPr>
        <w:footnoteReference w:id="1331"/>
      </w:r>
      <w:r>
        <w:rPr>
          <w:rFonts w:ascii="IRNazanin" w:hAnsi="IRNazanin" w:eastAsia="IRNazanin"/>
          <w:color w:val="111111"/>
          <w:sz w:val="28"/>
          <w:sz w:val="28"/>
          <w:szCs w:val="28"/>
          <w:rtl w:val="true"/>
          <w:lang w:bidi="fa-IR"/>
        </w:rPr>
        <w:t>فإنّ المراد بها لو کان ما لم ینقطع سیلانه لم یحتج إلی اعتبار مشقّة الإزالة، لأنّ المشقّة حاصلة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تقدر علی حمل سائر الأوصاف المذکورة فی کلمات من تقدّم کعدم الرقإ و عدم وقوف السیلان و نحو ذلک علی عدم البرء و بقاء المادّة الموجبة لسیلان الدم أحیاناً، لا عدم حصول الفترة فی جریان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کلمات کثیر منهم بظاهرها أو صریحها یأبی عن هذا المعنی الذی اعتبره جماعة علی ما تقدّم النقل عنهم و ألغاه ظاهر صحیحة ابن مسلم و روایة الجعفی المتقدّمتین </w:t>
      </w:r>
      <w:r>
        <w:rPr>
          <w:rStyle w:val="FootnoteAnchor"/>
          <w:rtl w:val="true"/>
        </w:rPr>
        <w:footnoteReference w:id="1332"/>
      </w:r>
      <w:r>
        <w:rPr>
          <w:rFonts w:ascii="IRNazanin" w:hAnsi="IRNazanin" w:eastAsia="IRNazanin"/>
          <w:color w:val="111111"/>
          <w:sz w:val="28"/>
          <w:sz w:val="28"/>
          <w:szCs w:val="28"/>
          <w:rtl w:val="true"/>
          <w:lang w:bidi="fa-IR"/>
        </w:rPr>
        <w:t>بناءً علی ما ذکرنا فی تقریب دلالتهما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بما ذکرنا عدم اعتبار استمرار الجریان و عدم حصول الفترة فی العفو، و إطلاق الأخبار بل ظهورها فی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مشقّة الإزالة، فهل هی معتبرة شخصاً فی العفو حتّی یکون مداراً و علّة، أو الاعتبار فی العفو بنوعها حتّی تکون حکمة، نظیر العفو عن قلیل الدم؟ قولان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هو الأوّل، و هو ظاهر کلّ من استدلّ علی العفو بلزوم المشقّة، کما عن المقنعة </w:t>
      </w:r>
      <w:r>
        <w:rPr>
          <w:rStyle w:val="FootnoteAnchor"/>
          <w:rtl w:val="true"/>
        </w:rPr>
        <w:footnoteReference w:id="1333"/>
      </w:r>
      <w:r>
        <w:rPr>
          <w:rFonts w:ascii="IRNazanin" w:hAnsi="IRNazanin" w:eastAsia="IRNazanin"/>
          <w:color w:val="111111"/>
          <w:sz w:val="28"/>
          <w:sz w:val="28"/>
          <w:szCs w:val="28"/>
          <w:rtl w:val="true"/>
          <w:lang w:bidi="fa-IR"/>
        </w:rPr>
        <w:t xml:space="preserve">و التهذیب </w:t>
      </w:r>
      <w:r>
        <w:rPr>
          <w:rStyle w:val="FootnoteAnchor"/>
          <w:rtl w:val="true"/>
        </w:rPr>
        <w:footnoteReference w:id="1334"/>
      </w:r>
      <w:r>
        <w:rPr>
          <w:rFonts w:ascii="IRNazanin" w:hAnsi="IRNazanin" w:eastAsia="IRNazanin"/>
          <w:color w:val="111111"/>
          <w:sz w:val="28"/>
          <w:sz w:val="28"/>
          <w:szCs w:val="28"/>
          <w:rtl w:val="true"/>
          <w:lang w:bidi="fa-IR"/>
        </w:rPr>
        <w:t xml:space="preserve">و فقه القرآن للراوندی </w:t>
      </w:r>
      <w:r>
        <w:rPr>
          <w:rStyle w:val="FootnoteAnchor"/>
          <w:rtl w:val="true"/>
        </w:rPr>
        <w:footnoteReference w:id="1335"/>
      </w:r>
      <w:r>
        <w:rPr>
          <w:rFonts w:ascii="IRNazanin" w:hAnsi="IRNazanin" w:eastAsia="IRNazanin"/>
          <w:color w:val="111111"/>
          <w:sz w:val="28"/>
          <w:sz w:val="28"/>
          <w:szCs w:val="28"/>
          <w:rtl w:val="true"/>
          <w:lang w:bidi="fa-IR"/>
        </w:rPr>
        <w:t xml:space="preserve">و ابنی إدریس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و زهرة </w:t>
      </w:r>
      <w:r>
        <w:rPr>
          <w:rStyle w:val="FootnoteAnchor"/>
          <w:rtl w:val="true"/>
        </w:rPr>
        <w:footnoteReference w:id="1337"/>
      </w:r>
      <w:r>
        <w:rPr>
          <w:rFonts w:ascii="IRNazanin" w:hAnsi="IRNazanin" w:eastAsia="IRNazanin"/>
          <w:color w:val="111111"/>
          <w:sz w:val="28"/>
          <w:sz w:val="28"/>
          <w:szCs w:val="28"/>
          <w:rtl w:val="true"/>
          <w:lang w:bidi="fa-IR"/>
        </w:rPr>
        <w:t xml:space="preserve">و الفاضلین </w:t>
      </w:r>
      <w:r>
        <w:rPr>
          <w:rStyle w:val="FootnoteAnchor"/>
          <w:rtl w:val="true"/>
        </w:rPr>
        <w:footnoteReference w:id="1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الأقوی؛ لأنّه المنصرف للإطلاقات بحکم الغلبة، بل هو المنوط به الحکم فی تعلیل موثّقة سماعة المتقدّمة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ینافی عدم التزام المشهور بمورد التعلیل من حیث عدم إیجابهم لغسل الثوب فی الیوم مرّة؛ لأنّه لو سلّم الإجماع علی عدم وجوبه و لو علی سبیل التخییر مع الإبدال، إلّا أنّه یمکن 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یغسل فی الیوم إلّا مرّة</w:t>
      </w:r>
      <w:r>
        <w:rPr>
          <w:rFonts w:eastAsia="IRNazanin" w:cs="IRNazanin"/>
          <w:color w:val="111111"/>
          <w:sz w:val="28"/>
          <w:szCs w:val="28"/>
          <w:rtl w:val="true"/>
          <w:lang w:bidi="fa-IR"/>
        </w:rPr>
        <w:t xml:space="preserve">» </w:t>
      </w:r>
      <w:r>
        <w:rPr>
          <w:rStyle w:val="FootnoteAnchor"/>
          <w:rtl w:val="true"/>
        </w:rPr>
        <w:footnoteReference w:id="1340"/>
      </w:r>
      <w:r>
        <w:rPr>
          <w:rFonts w:ascii="Amiri" w:hAnsi="Amiri" w:eastAsia="Amiri" w:cs="Amiri"/>
          <w:color w:val="111111"/>
          <w:sz w:val="28"/>
          <w:sz w:val="28"/>
          <w:szCs w:val="28"/>
          <w:rtl w:val="true"/>
          <w:lang w:bidi="ar-SA"/>
        </w:rPr>
        <w:t>علی نفی مطلوبیّة أزید من مرّة معلّلًا بعدم التیسّر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فالتعلیل دلیل علی أنّ رفع أحکام النجاسة لأجل الحرج الشخصی لا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التعلیل إنّما هو لحکم الشخص </w:t>
      </w:r>
      <w:r>
        <w:rPr>
          <w:rStyle w:val="FootnoteAnchor"/>
          <w:rtl w:val="true"/>
        </w:rPr>
        <w:footnoteReference w:id="1341"/>
      </w:r>
      <w:r>
        <w:rPr>
          <w:rFonts w:ascii="IRNazanin" w:hAnsi="IRNazanin" w:eastAsia="IRNazanin"/>
          <w:color w:val="111111"/>
          <w:sz w:val="28"/>
          <w:sz w:val="28"/>
          <w:szCs w:val="28"/>
          <w:rtl w:val="true"/>
          <w:lang w:bidi="fa-IR"/>
        </w:rPr>
        <w:t>السائل حیث فرض تعذّر غسل الدم و ربطه، فلا یدلّ علی أنّ الحکم مطلقاً منوط بالمشقّة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فإذا حصل الحرج فی الإزالة بالکلّیة فلا یجب و لو مع تیسّر التخفیف و إزالة البعض، و لا إبدال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للمحکیّ عن النهایة فاستشکل فی وجوب إزالة البعض </w:t>
      </w:r>
      <w:r>
        <w:rPr>
          <w:rStyle w:val="FootnoteAnchor"/>
          <w:rtl w:val="true"/>
        </w:rPr>
        <w:footnoteReference w:id="1342"/>
      </w:r>
      <w:r>
        <w:rPr>
          <w:rFonts w:ascii="IRNazanin" w:hAnsi="IRNazanin" w:eastAsia="IRNazanin"/>
          <w:color w:val="111111"/>
          <w:sz w:val="28"/>
          <w:sz w:val="28"/>
          <w:szCs w:val="28"/>
          <w:rtl w:val="true"/>
          <w:lang w:bidi="fa-IR"/>
        </w:rPr>
        <w:t xml:space="preserve">، و للمحکیّ عنها و عن المنتهی فأوجب الإبدال معلّلًا بانتفاء المشقّة و نفی الترخیص؛ لانتفاء المعلول عند انتفاء علّته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جعل شارح الروضة الإبدال لازماً لکلّ من اعتبر المشقّة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 فإنّ من الجائز أن یکون مشقّة الإزالة عن البدن کافیة فی الرخصة و رفع الحکم عن الثوب، فإنّ المستند هی الأخبار، و هی منصرفة إلی الغالب، و هی صورة مشقّة الإزالة عن البدن و صورة التمکّن من إبدال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حمل کلام کلّ من اعتبر المشقّة علی مشقّة الإزالة رأساً، فیکون ذلک مسوّغاً لوجوده فی الثوب و إن تیسّر إبداله، فیکون الثوب و البدن هنا بمنزلة شی‌ء واحد، فمرجع وجوب الإزالة عن الثوب فقط بمنزلة تخفیف النجاسة، و یؤیّده 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الإجماع علی عدم وجوب عصب الجرح و تقلیل الدم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فإبدال الثوب و إن تیسّر خلاف ظاهر الأخبار؛ من حیث السکوت عن إبدال الثوب، مع أنّ الغالب تیسّره للغالب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یزیده وضوحاً عدم التفصیل فی الموثّقة الأخیرة </w:t>
      </w:r>
      <w:r>
        <w:rPr>
          <w:rStyle w:val="FootnoteAnchor"/>
          <w:rtl w:val="true"/>
        </w:rPr>
        <w:footnoteReference w:id="1345"/>
      </w:r>
      <w:r>
        <w:rPr>
          <w:rFonts w:ascii="IRNazanin" w:hAnsi="IRNazanin" w:eastAsia="IRNazanin"/>
          <w:color w:val="111111"/>
          <w:sz w:val="28"/>
          <w:sz w:val="28"/>
          <w:szCs w:val="28"/>
          <w:rtl w:val="true"/>
          <w:lang w:bidi="fa-IR"/>
        </w:rPr>
        <w:t xml:space="preserve">بین التمکّن من إزالة البعض و من الإبدال و من إبقاء الثوب الملوّث إذا کان علیه ساتر آخر و عدم التمکّن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بعضها، مثل روایتی أبی بصیر و الجعفی </w:t>
      </w:r>
      <w:r>
        <w:rPr>
          <w:rStyle w:val="FootnoteAnchor"/>
          <w:rtl w:val="true"/>
        </w:rPr>
        <w:footnoteReference w:id="1347"/>
      </w:r>
      <w:r>
        <w:rPr>
          <w:rFonts w:ascii="IRNazanin" w:hAnsi="IRNazanin" w:eastAsia="IRNazanin"/>
          <w:color w:val="111111"/>
          <w:sz w:val="28"/>
          <w:sz w:val="28"/>
          <w:szCs w:val="28"/>
          <w:rtl w:val="true"/>
          <w:lang w:bidi="fa-IR"/>
        </w:rPr>
        <w:t>الحاکیین لفعل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خلاف ظاهر الأصحاب؛ حیث إنّهم و إن اختلفوا فی ضابط ما یعفی عنه من حیث اعتبار دوام السیلان و عدمه، إلّا أنّهم جعلوا هذا الدم فی موضع العفو کالعدم، حتّی جعله فی الوسیلة و الجمل و المبسوط نظیر دم البراغیث، فقال فی الأوّل و محکیّ الثانیین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لا یجب إزالة قلیله و لا کثیره فهو دم البراغیث و البقّ و السمک و الجراح اللازمة و القروح الدامیة، انتهی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اعترض فی المعالم علی ما ذکره فی المنتهی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عدم ثبوت خصوصیّة لهذا الدم من مطلق الدم، فإنّ إیجاب إزالة البعض مع عدم المشقّة یقضی بوجوب التحفّظ مع کثرة التعدّی، و ذلک ثابت فی مطلق الدم، بل فی مطلق النجاسات؛ مع أنّ ظاهر جماعة من الأصحاب أنّ الخصوصیّة هنا ثابتة عند الکلّ و إن اختلفوا فی مقدارها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الفاضل الشیخ علیّ فی بعض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الشیخ نقل الإجماع علی عدم وجوب عَصْبِ الجرح و تقلیل الدم، بل یصلّی کیف کان و إن سال و تفاحش إلی أن یبرأ، و هذا بخلاف المستحاضة و السلس و المبطون، إذ یجب علیهم الاحتیاط و تقلیل النجاسة بحسب الإمکان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الظاهر من الأخبار بحکم التبادر هو اختصاص العفو بغیر ما تعدّی منه فی غیر محلّ الضرورة، کما عن المنتهی </w:t>
      </w:r>
      <w:r>
        <w:rPr>
          <w:rStyle w:val="FootnoteAnchor"/>
          <w:rtl w:val="true"/>
        </w:rPr>
        <w:footnoteReference w:id="1350"/>
      </w:r>
      <w:r>
        <w:rPr>
          <w:rFonts w:ascii="IRNazanin" w:hAnsi="IRNazanin" w:eastAsia="IRNazanin"/>
          <w:color w:val="111111"/>
          <w:sz w:val="28"/>
          <w:sz w:val="28"/>
          <w:szCs w:val="28"/>
          <w:rtl w:val="true"/>
          <w:lang w:bidi="fa-IR"/>
        </w:rPr>
        <w:t xml:space="preserve">، و استحسنه فی محکیّ المعالم </w:t>
      </w:r>
      <w:r>
        <w:rPr>
          <w:rStyle w:val="FootnoteAnchor"/>
          <w:rtl w:val="true"/>
        </w:rPr>
        <w:footnoteReference w:id="1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فی الحدائق بین ما تعدّی إلیه بنفسه و بین ما عدّاه المکلّف</w:t>
      </w:r>
      <w:bookmarkStart w:id="99" w:name="pg16911_259687"/>
    </w:p>
    <w:p>
      <w:pPr>
        <w:pStyle w:val="BookText"/>
        <w:rPr/>
      </w:pPr>
      <w:bookmarkEnd w:id="99"/>
      <w:r>
        <w:rPr>
          <w:rFonts w:ascii="IRNazanin" w:hAnsi="IRNazanin" w:eastAsia="IRNazanin"/>
          <w:color w:val="111111"/>
          <w:sz w:val="28"/>
          <w:sz w:val="28"/>
          <w:szCs w:val="28"/>
          <w:rtl w:val="true"/>
          <w:lang w:bidi="fa-IR"/>
        </w:rPr>
        <w:t xml:space="preserve">بأن وضع یده الطاهرة علی دم الجرح </w:t>
      </w:r>
      <w:r>
        <w:rPr>
          <w:rStyle w:val="FootnoteAnchor"/>
          <w:rtl w:val="true"/>
        </w:rPr>
        <w:footnoteReference w:id="1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 و إن کان الاقتصار علی غیر المتعدّی أحسن، و إن کان ظاهر الموثّقة الأخیرة هو العفو مطلقاً،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أنّه لو لاقی هذا الدم نجاسة أُخری فلا عفو، کما صرّح به بعض </w:t>
      </w:r>
      <w:r>
        <w:rPr>
          <w:rStyle w:val="FootnoteAnchor"/>
          <w:rtl w:val="true"/>
        </w:rPr>
        <w:footnoteReference w:id="1353"/>
      </w:r>
      <w:r>
        <w:rPr>
          <w:rFonts w:ascii="IRNazanin" w:hAnsi="IRNazanin" w:eastAsia="IRNazanin"/>
          <w:color w:val="111111"/>
          <w:sz w:val="28"/>
          <w:sz w:val="28"/>
          <w:szCs w:val="28"/>
          <w:rtl w:val="true"/>
          <w:lang w:bidi="fa-IR"/>
        </w:rPr>
        <w:t>، و عن 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متّفق علیه </w:t>
      </w:r>
      <w:r>
        <w:rPr>
          <w:rStyle w:val="FootnoteAnchor"/>
          <w:rtl w:val="true"/>
        </w:rPr>
        <w:footnoteReference w:id="1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ثبوت العفو عن الفضلات الطاهرة المتنجّسة به إذا کانت فی محلّه، کالقیح و العرق و نحوهما ممّا لا ینفکّ عن الجرح غالباً، و أمّا ما ینفکّ عنه ففیه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المرجع فی الجروح و القروح إلی العرف، و الظاهر أنّ الکیّ من قبیل الجروح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دم جروح الغیر بمنزلة النجاسة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لصاحب القروح أن یغسل ثوبه فی کلّ یوم مرّة؛ للموثّقة و المضمرة المذکورتین </w:t>
      </w:r>
      <w:r>
        <w:rPr>
          <w:rStyle w:val="FootnoteAnchor"/>
          <w:rtl w:val="true"/>
        </w:rPr>
        <w:footnoteReference w:id="1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فی الحدائق إلی وجوبه </w:t>
      </w:r>
      <w:r>
        <w:rPr>
          <w:rStyle w:val="FootnoteAnchor"/>
          <w:rtl w:val="true"/>
        </w:rPr>
        <w:footnoteReference w:id="1356"/>
      </w:r>
      <w:r>
        <w:rPr>
          <w:rFonts w:ascii="IRNazanin" w:hAnsi="IRNazanin" w:eastAsia="IRNazanin"/>
          <w:color w:val="111111"/>
          <w:sz w:val="28"/>
          <w:sz w:val="28"/>
          <w:szCs w:val="28"/>
          <w:rtl w:val="true"/>
          <w:lang w:bidi="fa-IR"/>
        </w:rPr>
        <w:t xml:space="preserve">، و جعل الأقرب فی النهایة عدمه </w:t>
      </w:r>
      <w:r>
        <w:rPr>
          <w:rStyle w:val="FootnoteAnchor"/>
          <w:rtl w:val="true"/>
        </w:rPr>
        <w:footnoteReference w:id="1357"/>
      </w:r>
      <w:r>
        <w:rPr>
          <w:rFonts w:ascii="IRNazanin" w:hAnsi="IRNazanin" w:eastAsia="IRNazanin"/>
          <w:color w:val="111111"/>
          <w:sz w:val="28"/>
          <w:sz w:val="28"/>
          <w:szCs w:val="28"/>
          <w:rtl w:val="true"/>
          <w:lang w:bidi="fa-IR"/>
        </w:rPr>
        <w:t>، و الظاهر أنّه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بحکم غسل الثوب إبداله</w:t>
      </w:r>
      <w:r>
        <w:rPr>
          <w:rFonts w:eastAsia="IRNazanin" w:cs="IRNazanin"/>
          <w:color w:val="111111"/>
          <w:sz w:val="28"/>
          <w:szCs w:val="28"/>
          <w:rtl w:val="true"/>
          <w:lang w:bidi="fa-IR"/>
        </w:rPr>
        <w:t>.</w:t>
      </w:r>
    </w:p>
    <w:p>
      <w:pPr>
        <w:pStyle w:val="Heading5"/>
        <w:numPr>
          <w:ilvl w:val="4"/>
          <w:numId w:val="1"/>
        </w:numPr>
        <w:rPr/>
      </w:pPr>
      <w:bookmarkStart w:id="100" w:name="__RefHeading___Toc6618684_3224264995"/>
      <w:bookmarkStart w:id="101" w:name="_Toc37"/>
      <w:bookmarkEnd w:id="100"/>
      <w:r>
        <w:rPr>
          <w:rtl w:val="true"/>
        </w:rPr>
        <w:t>[</w:t>
      </w:r>
      <w:r>
        <w:rPr>
          <w:rtl w:val="true"/>
        </w:rPr>
        <w:t>العفو عمّا دون سعة الدرهم البغلی</w:t>
      </w:r>
      <w:r>
        <w:rPr>
          <w:rtl w:val="true"/>
        </w:rPr>
        <w:t>]</w:t>
      </w:r>
      <w:bookmarkEnd w:id="10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دون سعة الدرهم البغلی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بإسکان الغین</w:t>
      </w:r>
    </w:p>
    <w:p>
      <w:pPr>
        <w:pStyle w:val="BookText"/>
        <w:rPr/>
      </w:pPr>
      <w:r>
        <w:rPr>
          <w:rFonts w:ascii="IRNazanin" w:hAnsi="IRNazanin" w:eastAsia="IRNazanin"/>
          <w:color w:val="111111"/>
          <w:sz w:val="28"/>
          <w:sz w:val="28"/>
          <w:szCs w:val="28"/>
          <w:rtl w:val="true"/>
          <w:lang w:bidi="fa-IR"/>
        </w:rPr>
        <w:t xml:space="preserve">و تخفیف اللام، أو بالفتح و التشدید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الدم المسفوح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الکائن علی الثوب إجماعاً مستفیضاً کالأخبار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البدن کالثوب عند الأصحاب کافّة علی الظاهر و إن کانت الأخبار مختصّة بالثوب، عدا روایة مثنّی بن عبد السلام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حککت جلدی فخرج منه 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اجتمع قدر الحمّصة فاغسله، و إلّا فلا</w:t>
      </w:r>
      <w:r>
        <w:rPr>
          <w:rFonts w:eastAsia="IRNazanin" w:cs="IRNazanin"/>
          <w:color w:val="111111"/>
          <w:sz w:val="28"/>
          <w:szCs w:val="28"/>
          <w:rtl w:val="true"/>
          <w:lang w:bidi="fa-IR"/>
        </w:rPr>
        <w:t xml:space="preserve">» </w:t>
      </w:r>
      <w:r>
        <w:rPr>
          <w:rStyle w:val="FootnoteAnchor"/>
          <w:rtl w:val="true"/>
        </w:rPr>
        <w:footnoteReference w:id="1359"/>
      </w:r>
      <w:r>
        <w:rPr>
          <w:rFonts w:ascii="IRNazanin" w:hAnsi="IRNazanin" w:eastAsia="IRNazanin"/>
          <w:color w:val="111111"/>
          <w:sz w:val="28"/>
          <w:sz w:val="28"/>
          <w:szCs w:val="28"/>
          <w:rtl w:val="true"/>
          <w:lang w:bidi="fa-IR"/>
        </w:rPr>
        <w:t>و ربما حمل علی إرادة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المقدار ربّما یصبغ أضعاف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احتمل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 المراد به أخمص الراحة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لا یخفی؛ من حیث الخلل فی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حملها علی ظاهرها، فإنّ خروج مقدار الحمصة من البدن أوّلًا ملازم لانتشاره بنفسه فی البدن بقدر سعة الدرهم، کما هو شأن الدم الخارج من البدن غالباً حیث إنّه مجتمع أوّلًا، سیّما إذا خرج مستدیرة </w:t>
      </w:r>
      <w:r>
        <w:rPr>
          <w:rStyle w:val="FootnoteAnchor"/>
          <w:rtl w:val="true"/>
        </w:rPr>
        <w:footnoteReference w:id="1361"/>
      </w:r>
      <w:r>
        <w:rPr>
          <w:rFonts w:ascii="IRNazanin" w:hAnsi="IRNazanin" w:eastAsia="IRNazanin"/>
          <w:color w:val="111111"/>
          <w:sz w:val="28"/>
          <w:sz w:val="28"/>
          <w:szCs w:val="28"/>
          <w:rtl w:val="true"/>
          <w:lang w:bidi="fa-IR"/>
        </w:rPr>
        <w:t>ثمّ ینتشر بنفسه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فالظاهر أنّه لا إشکال فی إلحاق البدن بالثوب، و إن أبیت إلّا عن أنّ مقتضی العمومات وجوب إزالة الدم بقول مطلق عن البدن منعنا وجود مثل هذا العموم فإنّ بعض أخبار الرعاف </w:t>
      </w:r>
      <w:r>
        <w:rPr>
          <w:rStyle w:val="FootnoteAnchor"/>
          <w:rtl w:val="true"/>
        </w:rPr>
        <w:footnoteReference w:id="1362"/>
      </w:r>
      <w:r>
        <w:rPr>
          <w:rFonts w:ascii="IRNazanin" w:hAnsi="IRNazanin" w:eastAsia="IRNazanin"/>
          <w:color w:val="111111"/>
          <w:sz w:val="28"/>
          <w:sz w:val="28"/>
          <w:szCs w:val="28"/>
          <w:rtl w:val="true"/>
          <w:lang w:bidi="fa-IR"/>
        </w:rPr>
        <w:t>و نحوها و إن دلّ علی</w:t>
      </w:r>
    </w:p>
    <w:p>
      <w:pPr>
        <w:pStyle w:val="BookText"/>
        <w:rPr/>
      </w:pPr>
      <w:r>
        <w:rPr>
          <w:rFonts w:ascii="IRNazanin" w:hAnsi="IRNazanin" w:eastAsia="IRNazanin"/>
          <w:color w:val="111111"/>
          <w:sz w:val="28"/>
          <w:sz w:val="28"/>
          <w:szCs w:val="28"/>
          <w:rtl w:val="true"/>
          <w:lang w:bidi="fa-IR"/>
        </w:rPr>
        <w:t>ذلک إلّا أنّ المتبادر منها ما یبلغ الدرهم؛ لأنّ الرعاف فی الصلاة یوجب تلویث أکثر من ذلک من البدن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فی إلحاق البدن بالثوب تارة، و الثوب بالبدن أُخری إلی غیر ذلک من التعدّیات عن ظواهر النصوص هو الإجماع المستفاد من إرسالهم المسألة إرسال المسلّمات المفروغ عنها، لا من مشاهدة فتاوی کلّ واحد منهم حتّی یستبعد الاطّلاع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یمکن تحصیل الإجماع فی رؤوس المسائل التی نعلم بعدم تعرّض الفقهاء لها عادة من فتوی جماعة قلیلة، فضلًا عن فتوی المشهور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سعة الدرهم هل هی نهایة للرخصة أو للمنع؟ توقّف فیه الفاضلان فی النافع و التذکرة </w:t>
      </w:r>
      <w:r>
        <w:rPr>
          <w:rStyle w:val="FootnoteAnchor"/>
          <w:rtl w:val="true"/>
        </w:rPr>
        <w:footnoteReference w:id="1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المحکیّ عن السیّد فی الانتصار </w:t>
      </w:r>
      <w:r>
        <w:rPr>
          <w:rStyle w:val="FootnoteAnchor"/>
          <w:rtl w:val="true"/>
        </w:rPr>
        <w:footnoteReference w:id="1364"/>
      </w:r>
      <w:r>
        <w:rPr>
          <w:rFonts w:ascii="Amiri" w:hAnsi="Amiri" w:eastAsia="Amiri" w:cs="Amiri"/>
          <w:color w:val="111111"/>
          <w:sz w:val="28"/>
          <w:sz w:val="28"/>
          <w:szCs w:val="28"/>
          <w:rtl w:val="true"/>
          <w:lang w:bidi="ar-SA"/>
        </w:rPr>
        <w:t xml:space="preserve">و سلّار هو الأوّل </w:t>
      </w:r>
      <w:r>
        <w:rPr>
          <w:rStyle w:val="FootnoteAnchor"/>
          <w:rtl w:val="true"/>
        </w:rPr>
        <w:footnoteReference w:id="1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الأظهر هو الثانی، و هو المحکیّ عن الصدوقین </w:t>
      </w:r>
      <w:r>
        <w:rPr>
          <w:rStyle w:val="FootnoteAnchor"/>
          <w:rtl w:val="true"/>
        </w:rPr>
        <w:footnoteReference w:id="1366"/>
      </w:r>
      <w:r>
        <w:rPr>
          <w:rFonts w:ascii="IRNazanin" w:hAnsi="IRNazanin" w:eastAsia="IRNazanin"/>
          <w:color w:val="111111"/>
          <w:sz w:val="28"/>
          <w:sz w:val="28"/>
          <w:szCs w:val="28"/>
          <w:rtl w:val="true"/>
          <w:lang w:bidi="fa-IR"/>
        </w:rPr>
        <w:t xml:space="preserve">و الشیخین </w:t>
      </w:r>
      <w:r>
        <w:rPr>
          <w:rStyle w:val="FootnoteAnchor"/>
          <w:rtl w:val="true"/>
        </w:rPr>
        <w:footnoteReference w:id="1367"/>
      </w:r>
      <w:r>
        <w:rPr>
          <w:rFonts w:ascii="IRNazanin" w:hAnsi="IRNazanin" w:eastAsia="IRNazanin"/>
          <w:color w:val="111111"/>
          <w:sz w:val="28"/>
          <w:sz w:val="28"/>
          <w:szCs w:val="28"/>
          <w:rtl w:val="true"/>
          <w:lang w:bidi="fa-IR"/>
        </w:rPr>
        <w:t xml:space="preserve">و الفاضلین </w:t>
      </w:r>
      <w:r>
        <w:rPr>
          <w:rStyle w:val="FootnoteAnchor"/>
          <w:rtl w:val="true"/>
        </w:rPr>
        <w:footnoteReference w:id="1368"/>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1369"/>
      </w:r>
      <w:r>
        <w:rPr>
          <w:rFonts w:ascii="IRNazanin" w:hAnsi="IRNazanin" w:eastAsia="IRNazanin"/>
          <w:color w:val="111111"/>
          <w:sz w:val="28"/>
          <w:sz w:val="28"/>
          <w:szCs w:val="28"/>
          <w:rtl w:val="true"/>
          <w:lang w:bidi="fa-IR"/>
        </w:rPr>
        <w:t xml:space="preserve">، و به صرّح فی الوسیلة </w:t>
      </w:r>
      <w:r>
        <w:rPr>
          <w:rStyle w:val="FootnoteAnchor"/>
          <w:rtl w:val="true"/>
        </w:rPr>
        <w:footnoteReference w:id="1370"/>
      </w:r>
      <w:r>
        <w:rPr>
          <w:rFonts w:ascii="IRNazanin" w:hAnsi="IRNazanin" w:eastAsia="IRNazanin"/>
          <w:color w:val="111111"/>
          <w:sz w:val="28"/>
          <w:sz w:val="28"/>
          <w:szCs w:val="28"/>
          <w:rtl w:val="true"/>
          <w:lang w:bidi="fa-IR"/>
        </w:rPr>
        <w:t xml:space="preserve">، و حکاه شارح الروضة </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 xml:space="preserve">عن علم الهدی فی صریح الجمل </w:t>
      </w:r>
      <w:r>
        <w:rPr>
          <w:rStyle w:val="FootnoteAnchor"/>
          <w:rtl w:val="true"/>
        </w:rPr>
        <w:footnoteReference w:id="1372"/>
      </w:r>
      <w:r>
        <w:rPr>
          <w:rFonts w:ascii="IRNazanin" w:hAnsi="IRNazanin" w:eastAsia="IRNazanin"/>
          <w:color w:val="111111"/>
          <w:sz w:val="28"/>
          <w:sz w:val="28"/>
          <w:szCs w:val="28"/>
          <w:rtl w:val="true"/>
          <w:lang w:bidi="fa-IR"/>
        </w:rPr>
        <w:t xml:space="preserve">و ظاهر الانتصار </w:t>
      </w:r>
      <w:r>
        <w:rPr>
          <w:rStyle w:val="FootnoteAnchor"/>
          <w:rtl w:val="true"/>
        </w:rPr>
        <w:footnoteReference w:id="1373"/>
      </w:r>
      <w:r>
        <w:rPr>
          <w:rFonts w:ascii="IRNazanin" w:hAnsi="IRNazanin" w:eastAsia="IRNazanin"/>
          <w:color w:val="111111"/>
          <w:sz w:val="28"/>
          <w:sz w:val="28"/>
          <w:szCs w:val="28"/>
          <w:rtl w:val="true"/>
          <w:lang w:bidi="fa-IR"/>
        </w:rPr>
        <w:t xml:space="preserve">و عن فخر الإسلام فی حاشیة الکتاب </w:t>
      </w:r>
      <w:r>
        <w:rPr>
          <w:rStyle w:val="FootnoteAnchor"/>
          <w:rtl w:val="true"/>
        </w:rPr>
        <w:footnoteReference w:id="1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المشهور کما اعترف به الشارح المذکور کما عن المسالک </w:t>
      </w:r>
      <w:r>
        <w:rPr>
          <w:rStyle w:val="FootnoteAnchor"/>
          <w:rtl w:val="true"/>
        </w:rPr>
        <w:footnoteReference w:id="1375"/>
      </w:r>
      <w:r>
        <w:rPr>
          <w:rFonts w:ascii="IRNazanin" w:hAnsi="IRNazanin" w:eastAsia="IRNazanin"/>
          <w:color w:val="111111"/>
          <w:sz w:val="28"/>
          <w:sz w:val="28"/>
          <w:szCs w:val="28"/>
          <w:rtl w:val="true"/>
          <w:lang w:bidi="fa-IR"/>
        </w:rPr>
        <w:t xml:space="preserve">و کشف الالتباس </w:t>
      </w:r>
      <w:r>
        <w:rPr>
          <w:rStyle w:val="FootnoteAnchor"/>
          <w:rtl w:val="true"/>
        </w:rPr>
        <w:footnoteReference w:id="1376"/>
      </w:r>
      <w:r>
        <w:rPr>
          <w:rFonts w:ascii="IRNazanin" w:hAnsi="IRNazanin" w:eastAsia="IRNazanin"/>
          <w:color w:val="111111"/>
          <w:sz w:val="28"/>
          <w:sz w:val="28"/>
          <w:szCs w:val="28"/>
          <w:rtl w:val="true"/>
          <w:lang w:bidi="fa-IR"/>
        </w:rPr>
        <w:t>،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المحکیّ عن ظاهر السرائر أو صریحها و عن الخلاف و کشف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علیه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یناقش فی دلالة عبارة الأخیرین فی معقد الإجماع کعبارتی الحلبی و ابن سعید فی إشارة السبق </w:t>
      </w:r>
      <w:r>
        <w:rPr>
          <w:rStyle w:val="FootnoteAnchor"/>
          <w:rtl w:val="true"/>
        </w:rPr>
        <w:footnoteReference w:id="1378"/>
      </w:r>
      <w:r>
        <w:rPr>
          <w:rFonts w:ascii="IRNazanin" w:hAnsi="IRNazanin" w:eastAsia="IRNazanin"/>
          <w:color w:val="111111"/>
          <w:sz w:val="28"/>
          <w:sz w:val="28"/>
          <w:szCs w:val="28"/>
          <w:rtl w:val="true"/>
          <w:lang w:bidi="fa-IR"/>
        </w:rPr>
        <w:t xml:space="preserve">و الجامع </w:t>
      </w:r>
      <w:r>
        <w:rPr>
          <w:rStyle w:val="FootnoteAnchor"/>
          <w:rtl w:val="true"/>
        </w:rPr>
        <w:footnoteReference w:id="1379"/>
      </w:r>
      <w:r>
        <w:rPr>
          <w:rFonts w:ascii="IRNazanin" w:hAnsi="IRNazanin" w:eastAsia="IRNazanin"/>
          <w:color w:val="111111"/>
          <w:sz w:val="28"/>
          <w:sz w:val="28"/>
          <w:szCs w:val="28"/>
          <w:rtl w:val="true"/>
          <w:lang w:bidi="fa-IR"/>
        </w:rPr>
        <w:t>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و المتّبع هو الدلیل،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ما دلّ علی وجوب إزالة النجاسة للصلاة، و خصوص ما دلّ علی وجوب إزالة الدم، خرج المتیقّن و بقی المشکوک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خصوص مصحّحة ابن أبی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دم البراغیث؟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یکثر و یتفاحش؟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کثر و تفاحش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یکون فی ثوبه نقط الدم لا یعلم ثمّ یعلم فینسی أن یغسله فیصلّی، ثمّ یذکر بعد ما صلّی، أ یعید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w:t>
      </w:r>
    </w:p>
    <w:p>
      <w:pPr>
        <w:pStyle w:val="BookText"/>
        <w:rPr/>
      </w:pPr>
      <w:r>
        <w:rPr>
          <w:rFonts w:ascii="IRNazanin" w:hAnsi="IRNazanin" w:eastAsia="IRNazanin"/>
          <w:color w:val="111111"/>
          <w:sz w:val="28"/>
          <w:sz w:val="28"/>
          <w:szCs w:val="28"/>
          <w:rtl w:val="true"/>
          <w:lang w:bidi="fa-IR"/>
        </w:rPr>
        <w:t>و لا یعید صلاته، إلّا أن یکون مقدار الدرهم مجتمعاً فیغسله و یعید الصلاة</w:t>
      </w:r>
      <w:r>
        <w:rPr>
          <w:rFonts w:eastAsia="IRNazanin" w:cs="IRNazanin"/>
          <w:color w:val="111111"/>
          <w:sz w:val="28"/>
          <w:szCs w:val="28"/>
          <w:rtl w:val="true"/>
          <w:lang w:bidi="fa-IR"/>
        </w:rPr>
        <w:t xml:space="preserve">» </w:t>
      </w:r>
      <w:r>
        <w:rPr>
          <w:rStyle w:val="FootnoteAnchor"/>
          <w:rtl w:val="true"/>
        </w:rPr>
        <w:footnoteReference w:id="1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الروایة کما فی الذکری من جهة الأمر بغسل ما دون الدرهم مع عدم وجوبه إجماعاً؛ لأنّ الأمر محمول علی الإرشاد لئلّا یلاقیه شی‌ء فینجس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مرسلة جمیل عن بعض أصحابنا عن الباقر و الصادق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یصلّی الرجل فی الثوب و فیه الدم متفرّقاً شبیه النضح، و إن کان رآه صاحبه قبل ذلک فلا بأس به ما لم یکن مجتمعاً قدر الدرهم</w:t>
      </w:r>
      <w:r>
        <w:rPr>
          <w:rFonts w:eastAsia="IRNazanin" w:cs="IRNazanin"/>
          <w:color w:val="111111"/>
          <w:sz w:val="28"/>
          <w:szCs w:val="28"/>
          <w:rtl w:val="true"/>
          <w:lang w:bidi="fa-IR"/>
        </w:rPr>
        <w:t xml:space="preserve">» </w:t>
      </w:r>
      <w:r>
        <w:rPr>
          <w:rStyle w:val="FootnoteAnchor"/>
          <w:rtl w:val="true"/>
        </w:rPr>
        <w:footnoteReference w:id="1381"/>
      </w:r>
      <w:r>
        <w:rPr>
          <w:rFonts w:ascii="IRNazanin" w:hAnsi="IRNazanin" w:eastAsia="IRNazanin"/>
          <w:color w:val="111111"/>
          <w:sz w:val="28"/>
          <w:sz w:val="28"/>
          <w:szCs w:val="28"/>
          <w:rtl w:val="true"/>
          <w:lang w:bidi="fa-IR"/>
        </w:rPr>
        <w:t xml:space="preserve">و لا یقدح الإرسال؛ لأنّ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الراوی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یُخرج من قم من یروی عن الضعفاء و یعتمد المراسیل، فکیف یروی بنفسه عن الضعیف؟ إلّا أن یکون عنده قرینة علی صدقه، مثل کون الروایة معلومة الانتساب إلی من یروی عنه هذا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الجعفی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الدم یکون فی 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أقلّ من الدرهم فلا یعید الصلاة، و إن کان أکثر من الدرهم و کان قد رآه و لم یغسله حتّی صلّی فلیعد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یؤیّدها الرضوی </w:t>
      </w:r>
      <w:r>
        <w:rPr>
          <w:rStyle w:val="FootnoteAnchor"/>
          <w:rtl w:val="true"/>
        </w:rPr>
        <w:footnoteReference w:id="1383"/>
      </w:r>
      <w:r>
        <w:rPr>
          <w:rFonts w:ascii="IRNazanin" w:hAnsi="IRNazanin" w:eastAsia="IRNazanin"/>
          <w:color w:val="111111"/>
          <w:sz w:val="28"/>
          <w:sz w:val="28"/>
          <w:szCs w:val="28"/>
          <w:rtl w:val="true"/>
          <w:lang w:bidi="fa-IR"/>
        </w:rPr>
        <w:t xml:space="preserve">، و ما دلّ علی تحدید المقدار بالدینار الذی هو قریب من الدرهم، کما عن الوسائل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یشهد للقول الآخر حسنة ابن مسلم المرویّة فی الفقیه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الدم فی الثوب علیَّ و أنا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رأیته و علیک ثوب غیره فاطرحه و صلّ فی غیره، و إن لم یکن علیک ثوب غیره فامض فی صلاتک و لا إعادة علیک ما لم یزد علی مقدار الدرهم، و ما کان أقلّ من ذلک فلیس بشی‌ء رأیته أو لم تره، و إذا کنت قد رأیته و هو أکثر من مقدار الدرهم فضیّعت غسله و صلّیت فیه صلوات کثیرة فأعد ما صلّیت فیه</w:t>
      </w:r>
      <w:r>
        <w:rPr>
          <w:rFonts w:eastAsia="IRNazanin" w:cs="IRNazanin"/>
          <w:color w:val="111111"/>
          <w:sz w:val="28"/>
          <w:szCs w:val="28"/>
          <w:rtl w:val="true"/>
          <w:lang w:bidi="fa-IR"/>
        </w:rPr>
        <w:t xml:space="preserve">» </w:t>
      </w:r>
      <w:r>
        <w:rPr>
          <w:rStyle w:val="FootnoteAnchor"/>
          <w:rtl w:val="true"/>
        </w:rPr>
        <w:footnoteReference w:id="1385"/>
      </w:r>
      <w:r>
        <w:rPr>
          <w:rFonts w:ascii="IRNazanin" w:hAnsi="IRNazanin" w:eastAsia="IRNazanin"/>
          <w:color w:val="111111"/>
          <w:sz w:val="28"/>
          <w:sz w:val="28"/>
          <w:szCs w:val="28"/>
          <w:rtl w:val="true"/>
          <w:lang w:bidi="fa-IR"/>
        </w:rPr>
        <w:t xml:space="preserve">، و ربما یؤیّد بذیل روایة الجعفی المتقدّمة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فی أمثال المقام أنّ الحدّ للحکم و المعیار فیه هو المذکور فی الشرطیّة الاولی، فلا بدّ من إدخال ما هو خارج عن الشرطیّتین فی موضوع الشرطیّة الثانیة دخولًا موضوعیّاً إن أمکن، و إلّا فإلحاقه بها فی الحکم،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الاقتصار علی هذا الفرد من جهة کونه غالب الأفراد کما فی المقام، حیث إنّ الغالب و لو بحسب اعتقاد الناظر فی سعة الدم إمّا القطع بکونه أقلّ من الدرهم، و إمّا القطع بکونه أکثر، و أنّ اتّفاق کون الدم مقدار الدرهم فحسبُ بعید جدّاً، بل الغالب إمّا الزیادة و إمّا النقصان </w:t>
      </w: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العلّة غیر متحقّقة فی مقدار الدم بالنسبة إلی الواقع</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الإدخال الموضوعی فی نظائر المقام شائع، بأن یراد من الأکثر من الدرهم الدرهم فالأکثر منه، نظیر قوله تعالی فَإِنْ کُنَّ نِسٰاءً</w:t>
      </w:r>
    </w:p>
    <w:p>
      <w:pPr>
        <w:pStyle w:val="BookText"/>
        <w:rPr/>
      </w:pPr>
      <w:r>
        <w:rPr>
          <w:rFonts w:ascii="Amiri" w:hAnsi="Amiri" w:eastAsia="Amiri" w:cs="Amiri"/>
          <w:color w:val="111111"/>
          <w:sz w:val="28"/>
          <w:sz w:val="28"/>
          <w:szCs w:val="28"/>
          <w:rtl w:val="true"/>
          <w:lang w:bidi="ar-SA"/>
        </w:rPr>
        <w:t xml:space="preserve">فَوْقَ اثْنَتَیْنِ </w:t>
      </w:r>
      <w:r>
        <w:rPr>
          <w:rStyle w:val="FootnoteAnchor"/>
          <w:rtl w:val="true"/>
        </w:rPr>
        <w:footnoteReference w:id="1388"/>
      </w:r>
      <w:r>
        <w:rPr>
          <w:rFonts w:ascii="IRNazanin" w:hAnsi="IRNazanin" w:eastAsia="IRNazanin"/>
          <w:color w:val="111111"/>
          <w:sz w:val="28"/>
          <w:sz w:val="28"/>
          <w:szCs w:val="28"/>
          <w:rtl w:val="true"/>
          <w:lang w:bidi="fa-IR"/>
        </w:rPr>
        <w:t>و ما ورد فی تحدید انقطاع کثرة سفر المکاری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یقوم فی بلده أکثر من عشرة أیّام </w:t>
      </w:r>
      <w:r>
        <w:rPr>
          <w:rStyle w:val="FootnoteAnchor"/>
          <w:rtl w:val="true"/>
        </w:rPr>
        <w:footnoteReference w:id="1389"/>
      </w:r>
      <w:r>
        <w:rPr>
          <w:rFonts w:ascii="IRNazanin" w:hAnsi="IRNazanin" w:eastAsia="IRNazanin"/>
          <w:color w:val="111111"/>
          <w:sz w:val="28"/>
          <w:sz w:val="28"/>
          <w:szCs w:val="28"/>
          <w:rtl w:val="true"/>
          <w:lang w:bidi="fa-IR"/>
        </w:rPr>
        <w:t xml:space="preserve">مع أنّ الحدّ العشرة، و ما ورد فی تحدید الفصل بین الرجل و المرأة فی الصلاة بأکثر من عشرة أذرع </w:t>
      </w:r>
      <w:r>
        <w:rPr>
          <w:rStyle w:val="FootnoteAnchor"/>
          <w:rtl w:val="true"/>
        </w:rPr>
        <w:footnoteReference w:id="1390"/>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توجیه عدم التعرّض لأصل الدرهم، یظهر الجواب عن روایة ابن مسلم </w:t>
      </w:r>
      <w:r>
        <w:rPr>
          <w:rStyle w:val="FootnoteAnchor"/>
          <w:rtl w:val="true"/>
        </w:rPr>
        <w:footnoteReference w:id="1391"/>
      </w:r>
      <w:r>
        <w:rPr>
          <w:rFonts w:ascii="IRNazanin" w:hAnsi="IRNazanin" w:eastAsia="IRNazanin"/>
          <w:color w:val="111111"/>
          <w:sz w:val="28"/>
          <w:sz w:val="28"/>
          <w:szCs w:val="28"/>
          <w:rtl w:val="true"/>
          <w:lang w:bidi="fa-IR"/>
        </w:rPr>
        <w:t>فإنّ الظاهر من المشار إلیه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أقلّ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الدرهم لا ما زاد علیه، فهذه الروایة نظیر روایة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 تقدیر، فلا یعارض ما ذکرنا من الصحیحة و المرسلة کالصحیحة؛ لکونها </w:t>
      </w:r>
      <w:r>
        <w:rPr>
          <w:rStyle w:val="FootnoteAnchor"/>
          <w:rtl w:val="true"/>
        </w:rPr>
        <w:footnoteReference w:id="1392"/>
      </w:r>
      <w:r>
        <w:rPr>
          <w:rFonts w:ascii="IRNazanin" w:hAnsi="IRNazanin" w:eastAsia="IRNazanin"/>
          <w:color w:val="111111"/>
          <w:sz w:val="28"/>
          <w:sz w:val="28"/>
          <w:szCs w:val="28"/>
          <w:rtl w:val="true"/>
          <w:lang w:bidi="fa-IR"/>
        </w:rPr>
        <w:t>أظهر دلالة و أشهر اعتباراً و أوفق بروایة 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التکافؤ فلا بدّ من الرجوع إلی العمومات المانعة عن الصلاة فی النجاسة و خصوص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یعکس الأمر، فیدّعی أنّ المراد بالدرهم فی الصحیحة و المرسلة هو ما زاد منه تسامحاً، لغلبة عدم معرفة مقدار الدرهم إلّا بالزیادة علیه، و إلّا فلیس المراد المساوی له حقیقة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 ربما یستظهر </w:t>
      </w:r>
      <w:r>
        <w:rPr>
          <w:rStyle w:val="FootnoteAnchor"/>
          <w:rtl w:val="true"/>
        </w:rPr>
        <w:footnoteReference w:id="1393"/>
      </w:r>
      <w:r>
        <w:rPr>
          <w:rFonts w:ascii="IRNazanin" w:hAnsi="IRNazanin" w:eastAsia="IRNazanin"/>
          <w:color w:val="111111"/>
          <w:sz w:val="28"/>
          <w:sz w:val="28"/>
          <w:szCs w:val="28"/>
          <w:rtl w:val="true"/>
          <w:lang w:bidi="fa-IR"/>
        </w:rPr>
        <w:t>ذلک من فتاوی کثیر ممّن تقدّم علی الفاضلین، حیث إنّه لم یعنون الخلاف فی المسألة قبل الفاضلین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استشهد علی ذلک بما</w:t>
      </w:r>
    </w:p>
    <w:p>
      <w:pPr>
        <w:pStyle w:val="BookText"/>
        <w:rPr/>
      </w:pPr>
      <w:r>
        <w:rPr>
          <w:rFonts w:ascii="IRNazanin" w:hAnsi="IRNazanin" w:eastAsia="IRNazanin"/>
          <w:color w:val="111111"/>
          <w:sz w:val="28"/>
          <w:sz w:val="28"/>
          <w:szCs w:val="28"/>
          <w:rtl w:val="true"/>
          <w:lang w:bidi="fa-IR"/>
        </w:rPr>
        <w:t>حکاه عبارة الانتصار و الخلاف و کشف الحقّ و الجامع، حیث إنّ الظاهر من صدر هذه العبائر هو ما نسب إلیهم، إلّا أنّ کلامهم فی الأثناء مشعر بإرادة الزائد،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ذلک أنّه لم یعنون هذا الخلاف قبل الفاضلین </w:t>
      </w:r>
      <w:r>
        <w:rPr>
          <w:rStyle w:val="FootnoteAnchor"/>
          <w:rtl w:val="true"/>
        </w:rPr>
        <w:footnoteReference w:id="139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 الاستظهارین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استظهره من الفتاوی فمخالف لظواهر أکثرها، کما یظهر بالتأمّل فی عبائرهم و إرجاع ما یوهم خلاف ظواهرها إلی النصّ من کلامهم؛ و لذا لم ینسب أحد ممّن عنون هذا الخلاف القول الأوّل إلی غیر سلّار، حتّی صرّح شارح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لم یظهر الخلاف قبل الفاضلین إلّا من سلّار و علم الهدی علی ما قیل مع تصریحه بخلاف ذلک فی الجُمل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استظهره من الصحیحة و المرسلة، ففیه ما لا یخفی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الظاهر أنّ المراد بالدرهم لیس هذا الدرهم المتعارف الذی وزنه ستّة دوانیق قطعاً؛ لأنّ الأصحاب بین من قیّده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وزنه درهم و ثُلث درهم من الدرهم المتعارف، کالمحکیّ عن الفقیه </w:t>
      </w:r>
      <w:r>
        <w:rPr>
          <w:rStyle w:val="FootnoteAnchor"/>
          <w:rtl w:val="true"/>
        </w:rPr>
        <w:footnoteReference w:id="1396"/>
      </w:r>
      <w:r>
        <w:rPr>
          <w:rFonts w:ascii="IRNazanin" w:hAnsi="IRNazanin" w:eastAsia="IRNazanin"/>
          <w:color w:val="111111"/>
          <w:sz w:val="28"/>
          <w:sz w:val="28"/>
          <w:szCs w:val="28"/>
          <w:rtl w:val="true"/>
          <w:lang w:bidi="fa-IR"/>
        </w:rPr>
        <w:t xml:space="preserve">و الهدایة </w:t>
      </w:r>
      <w:r>
        <w:rPr>
          <w:rStyle w:val="FootnoteAnchor"/>
          <w:rtl w:val="true"/>
        </w:rPr>
        <w:footnoteReference w:id="1397"/>
      </w:r>
      <w:r>
        <w:rPr>
          <w:rFonts w:ascii="Amiri" w:hAnsi="Amiri" w:eastAsia="Amiri" w:cs="Amiri"/>
          <w:color w:val="111111"/>
          <w:sz w:val="28"/>
          <w:sz w:val="28"/>
          <w:szCs w:val="28"/>
          <w:rtl w:val="true"/>
          <w:lang w:bidi="ar-SA"/>
        </w:rPr>
        <w:t xml:space="preserve">و المقنعة </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 xml:space="preserve">و الانتصار </w:t>
      </w:r>
      <w:r>
        <w:rPr>
          <w:rStyle w:val="FootnoteAnchor"/>
          <w:rtl w:val="true"/>
        </w:rPr>
        <w:footnoteReference w:id="1399"/>
      </w:r>
      <w:r>
        <w:rPr>
          <w:rFonts w:ascii="IRNazanin" w:hAnsi="IRNazanin" w:eastAsia="IRNazanin"/>
          <w:color w:val="111111"/>
          <w:sz w:val="28"/>
          <w:sz w:val="28"/>
          <w:szCs w:val="28"/>
          <w:rtl w:val="true"/>
          <w:lang w:bidi="fa-IR"/>
        </w:rPr>
        <w:t xml:space="preserve">و الخلاف </w:t>
      </w:r>
      <w:r>
        <w:rPr>
          <w:rStyle w:val="FootnoteAnchor"/>
          <w:rtl w:val="true"/>
        </w:rPr>
        <w:footnoteReference w:id="1400"/>
      </w:r>
      <w:r>
        <w:rPr>
          <w:rFonts w:ascii="IRNazanin" w:hAnsi="IRNazanin" w:eastAsia="IRNazanin"/>
          <w:color w:val="111111"/>
          <w:sz w:val="28"/>
          <w:sz w:val="28"/>
          <w:szCs w:val="28"/>
          <w:rtl w:val="true"/>
          <w:lang w:bidi="fa-IR"/>
        </w:rPr>
        <w:t xml:space="preserve">و الغنیة </w:t>
      </w:r>
      <w:r>
        <w:rPr>
          <w:rStyle w:val="FootnoteAnchor"/>
          <w:rtl w:val="true"/>
        </w:rPr>
        <w:footnoteReference w:id="1401"/>
      </w:r>
      <w:r>
        <w:rPr>
          <w:rFonts w:ascii="IRNazanin" w:hAnsi="IRNazanin" w:eastAsia="IRNazanin"/>
          <w:color w:val="111111"/>
          <w:sz w:val="28"/>
          <w:sz w:val="28"/>
          <w:szCs w:val="28"/>
          <w:rtl w:val="true"/>
          <w:lang w:bidi="fa-IR"/>
        </w:rPr>
        <w:t>،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معقد الإجماع فی الثلاثة الأخیرة </w:t>
      </w:r>
      <w:r>
        <w:rPr>
          <w:rStyle w:val="FootnoteAnchor"/>
          <w:rtl w:val="true"/>
        </w:rPr>
        <w:footnoteReference w:id="1402"/>
      </w:r>
      <w:r>
        <w:rPr>
          <w:rFonts w:ascii="Amiri" w:hAnsi="Amiri" w:eastAsia="Amiri" w:cs="Amiri"/>
          <w:color w:val="111111"/>
          <w:sz w:val="28"/>
          <w:sz w:val="28"/>
          <w:szCs w:val="28"/>
          <w:rtl w:val="true"/>
          <w:lang w:bidi="ar-SA"/>
        </w:rPr>
        <w:t xml:space="preserve">، و بین من قیّده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کالفاضلین </w:t>
      </w:r>
      <w:r>
        <w:rPr>
          <w:rStyle w:val="FootnoteAnchor"/>
          <w:rtl w:val="true"/>
        </w:rPr>
        <w:footnoteReference w:id="1403"/>
      </w:r>
      <w:r>
        <w:rPr>
          <w:rFonts w:ascii="IRNazanin" w:hAnsi="IRNazanin" w:eastAsia="IRNazanin"/>
          <w:color w:val="111111"/>
          <w:sz w:val="28"/>
          <w:sz w:val="28"/>
          <w:szCs w:val="28"/>
          <w:rtl w:val="true"/>
          <w:lang w:bidi="fa-IR"/>
        </w:rPr>
        <w:t xml:space="preserve">و من تأخّر عنهما </w:t>
      </w:r>
      <w:r>
        <w:rPr>
          <w:rStyle w:val="FootnoteAnchor"/>
          <w:rtl w:val="true"/>
        </w:rPr>
        <w:footnoteReference w:id="1404"/>
      </w:r>
      <w:r>
        <w:rPr>
          <w:rFonts w:ascii="Amiri" w:hAnsi="Amiri" w:eastAsia="Amiri" w:cs="Amiri"/>
          <w:color w:val="111111"/>
          <w:sz w:val="28"/>
          <w:sz w:val="28"/>
          <w:szCs w:val="28"/>
          <w:rtl w:val="true"/>
          <w:lang w:bidi="ar-SA"/>
        </w:rPr>
        <w:t>، و عن کشف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الإمامیّة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البَغْلی علی ما فی الذکری بإسکان الغین منسوب إلی رأس البَغْل، ضربه الثانی فی ولایته بسکة کسرویّة وزنه ثمانیة دوانیق، و البَغْلیّة کانت تسمّی قبل الإسلام بالکسرویّة، فحدث لها هذا الاسم فی الإسلام و الوزن بحاله، و جرت فی المعاملة مع الطبریّة، و هی أربعة دوانیق، فلمّا کان زمان عبد الملک جمع بینهما و اتّخذ الدرهم منهما و استقرّ أمر الإسلام علی ستّة دوانیق، و هذه التسمیة ذکرها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إلی بغل، قریة بالجامعین، کان یوجد فیها دراهم سعتها من أخمص الراحة، لتقدّم الدراهم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تقدّمها و إنّما التسمیة حادثة، فالرجوع إلی المنقول أولی </w:t>
      </w:r>
      <w:r>
        <w:rPr>
          <w:rStyle w:val="FootnoteAnchor"/>
          <w:rtl w:val="true"/>
        </w:rPr>
        <w:footnoteReference w:id="140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البغلی منسوب إلی مدینة قدیمة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بابل، بینها و بینها قریب من فرسخ متّصلة ببلدة الجامعین، تجد فیها الحَفَرةُ و الغسّالون و النبّاشون دراهم واسعة، شاهدت درهماً من تلک الدراهم، و هذا الدرهم أوسع من الدینار المضروب بمدینة السلام المعتاد، یقرب سعته من سعة أخمص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من عاصرته ممّن له اطّلاع بأخبار الناس و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المدینة و الدراهم منسوبة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کبار أهل الکوفة، اتّخذ هذا الموضع قدیماً و ضرب هذا الدرهم الواسع، فنسب إلیه الدرهم البغلی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غیر صحیح؛ لأنّ الدراهم البغلیّة کانت فی زمن الرسول صلّی اللّٰه علیه و آله و قبل الکوفة </w:t>
      </w:r>
      <w:r>
        <w:rPr>
          <w:rStyle w:val="FootnoteAnchor"/>
          <w:rtl w:val="true"/>
        </w:rPr>
        <w:footnoteReference w:id="140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المخالفة بینه و بین المحکیّ عن ابن درید فی وجه التسمیة، کما أنّ المحکیّ عن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البَغَلیّ بفتح الغین و تشدید اللام هو الذی سمعناه من الشیوخ رحمهم اللّٰه، قال بعد نقل ما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اتّباع المشهور بین الفقهاء أولی من اتّباع المنقول عن ابن درید </w:t>
      </w:r>
      <w:r>
        <w:rPr>
          <w:rStyle w:val="FootnoteAnchor"/>
          <w:rtl w:val="true"/>
        </w:rPr>
        <w:footnoteReference w:id="1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مثل ذلک أیضاً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الظاهر أنّ البَغْلی و الوافی واحد، و لذا جمع بینهما فی الذکری </w:t>
      </w:r>
      <w:r>
        <w:rPr>
          <w:rStyle w:val="FootnoteAnchor"/>
          <w:rtl w:val="true"/>
        </w:rPr>
        <w:footnoteReference w:id="1409"/>
      </w:r>
      <w:r>
        <w:rPr>
          <w:rFonts w:ascii="IRNazanin" w:hAnsi="IRNazanin" w:eastAsia="IRNazanin"/>
          <w:color w:val="111111"/>
          <w:sz w:val="28"/>
          <w:sz w:val="28"/>
          <w:szCs w:val="28"/>
          <w:rtl w:val="true"/>
          <w:lang w:bidi="fa-IR"/>
        </w:rPr>
        <w:t xml:space="preserve">و عن أکثر کتب المتأخّرین </w:t>
      </w:r>
      <w:r>
        <w:rPr>
          <w:rStyle w:val="FootnoteAnchor"/>
          <w:rtl w:val="true"/>
        </w:rPr>
        <w:footnoteReference w:id="1410"/>
      </w:r>
      <w:r>
        <w:rPr>
          <w:rFonts w:ascii="IRNazanin" w:hAnsi="IRNazanin" w:eastAsia="IRNazanin"/>
          <w:color w:val="111111"/>
          <w:sz w:val="28"/>
          <w:sz w:val="28"/>
          <w:szCs w:val="28"/>
          <w:rtl w:val="true"/>
          <w:lang w:bidi="fa-IR"/>
        </w:rPr>
        <w:t xml:space="preserve">، و هی قضیّة الجمع بین الإجماع المتقدّم المحکیّ عن الانتصار و الخلاف و الغنیة </w:t>
      </w:r>
      <w:r>
        <w:rPr>
          <w:rStyle w:val="FootnoteAnchor"/>
          <w:rtl w:val="true"/>
        </w:rPr>
        <w:footnoteReference w:id="1411"/>
      </w:r>
      <w:r>
        <w:rPr>
          <w:rFonts w:ascii="IRNazanin" w:hAnsi="IRNazanin" w:eastAsia="IRNazanin"/>
          <w:color w:val="111111"/>
          <w:sz w:val="28"/>
          <w:sz w:val="28"/>
          <w:szCs w:val="28"/>
          <w:rtl w:val="true"/>
          <w:lang w:bidi="fa-IR"/>
        </w:rPr>
        <w:t>و بین نسبة البغلی إلی مذهب الإمامیّة، فلا یبعد</w:t>
      </w:r>
    </w:p>
    <w:p>
      <w:pPr>
        <w:pStyle w:val="BookText"/>
        <w:rPr/>
      </w:pPr>
      <w:r>
        <w:rPr>
          <w:rFonts w:ascii="IRNazanin" w:hAnsi="IRNazanin" w:eastAsia="IRNazanin"/>
          <w:color w:val="111111"/>
          <w:sz w:val="28"/>
          <w:sz w:val="28"/>
          <w:szCs w:val="28"/>
          <w:rtl w:val="true"/>
          <w:lang w:bidi="fa-IR"/>
        </w:rPr>
        <w:t>حینئذٍ دعوی الاتّفاق علی أنّ المراد بالبغلی و الوافی درهم واحد کان وزنه ثمانیة دوانیق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فما فی المدارک من الإشکال فی ذلک؛ من جهة أنّ الواجب حمل الخطابات الواردة عن الأئمّة صلوات اللّٰه علیهم علی المتعارف فی زمانهم و أنّ البغلی تُرک فی زمان عبد الملک و هو مقدّم علی زمان الصادق علیه السلام و المسألة قویّة الإشکال </w:t>
      </w:r>
      <w:r>
        <w:rPr>
          <w:rStyle w:val="FootnoteAnchor"/>
          <w:rtl w:val="true"/>
        </w:rPr>
        <w:footnoteReference w:id="1412"/>
      </w:r>
      <w:r>
        <w:rPr>
          <w:rFonts w:ascii="IRNazanin" w:hAnsi="IRNazanin" w:eastAsia="IRNazanin"/>
          <w:color w:val="111111"/>
          <w:sz w:val="28"/>
          <w:sz w:val="28"/>
          <w:szCs w:val="28"/>
          <w:rtl w:val="true"/>
          <w:lang w:bidi="fa-IR"/>
        </w:rPr>
        <w:t xml:space="preserve">محلّ نظر؛ لأنّ غیر واحد من الروایات من مولانا الباقر علیه السلام، و الظاهر عدم هجر إطلاق الدرهم علی البغلیّ فی زمانه علیه السلام، فإنّ مولد الصادق علیه السلام کما قیل قبل وفاة عبد الملک بثلاث سنین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یدفع هذا الإشکال کما عن شیخنا البهائی رحمه اللّٰه </w:t>
      </w:r>
      <w:r>
        <w:rPr>
          <w:rStyle w:val="FootnoteAnchor"/>
          <w:rtl w:val="true"/>
        </w:rPr>
        <w:footnoteReference w:id="1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الواجب حمل کلامهم علی ما یوافق زمان النبیّ صلّی اللّٰه علیه و آله لأنّ أحکامهم متلقّاة عنه و هی عندهم مثبتة فی صحیفة بإملاء رسول اللّٰه صلّی اللّٰه علیه و آله و خطّ علیّ صلوات اللّٰه علیهما و آلهما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ظاهر؛ لأنّ ذلک لا ینافی جواز التعبیر بل وجوبه باصطلاح أهل زمانهم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مغایرة هذا الدرهم لدراهم الإسلام، إنّما ینفع مع معروفیّة سعته، و إلّا فمجرّد العلم بوزنه لا ینفع، و لیس هنا ما یعلم منه ذلک</w:t>
      </w:r>
    </w:p>
    <w:p>
      <w:pPr>
        <w:pStyle w:val="BookText"/>
        <w:rPr/>
      </w:pPr>
      <w:r>
        <w:rPr>
          <w:rFonts w:ascii="IRNazanin" w:hAnsi="IRNazanin" w:eastAsia="IRNazanin"/>
          <w:color w:val="111111"/>
          <w:sz w:val="28"/>
          <w:sz w:val="28"/>
          <w:szCs w:val="28"/>
          <w:rtl w:val="true"/>
          <w:lang w:bidi="fa-IR"/>
        </w:rPr>
        <w:t>إلّا ما عرفت من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شهادته بأنّه بمقدار أخمص الراحة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مقدار أخمص الدم </w:t>
      </w:r>
      <w:r>
        <w:rPr>
          <w:rStyle w:val="FootnoteAnchor"/>
          <w:rtl w:val="true"/>
        </w:rPr>
        <w:footnoteReference w:id="1416"/>
      </w:r>
      <w:r>
        <w:rPr>
          <w:rFonts w:ascii="IRNazanin" w:hAnsi="IRNazanin" w:eastAsia="IRNazanin"/>
          <w:color w:val="111111"/>
          <w:sz w:val="28"/>
          <w:sz w:val="28"/>
          <w:szCs w:val="28"/>
          <w:rtl w:val="true"/>
          <w:lang w:bidi="fa-IR"/>
        </w:rPr>
        <w:t xml:space="preserve">بالدینار </w:t>
      </w:r>
      <w:r>
        <w:rPr>
          <w:rStyle w:val="FootnoteAnchor"/>
          <w:rtl w:val="true"/>
        </w:rPr>
        <w:footnoteReference w:id="1417"/>
      </w:r>
      <w:r>
        <w:rPr>
          <w:rFonts w:ascii="IRNazanin" w:hAnsi="IRNazanin" w:eastAsia="IRNazanin"/>
          <w:color w:val="111111"/>
          <w:sz w:val="28"/>
          <w:sz w:val="28"/>
          <w:szCs w:val="28"/>
          <w:rtl w:val="true"/>
          <w:lang w:bidi="fa-IR"/>
        </w:rPr>
        <w:t>، و عن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الدرهم بعقد الإبهام الأعلی من غیر تعرّض لکونه البغلی أو غیره </w:t>
      </w:r>
      <w:r>
        <w:rPr>
          <w:rStyle w:val="FootnoteAnchor"/>
          <w:rtl w:val="true"/>
        </w:rPr>
        <w:footnoteReference w:id="1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 متقارب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أنّ کلام العمانی لتحدید الدرهم، و الإسکافی لم یتعرّض لخصوص البغلی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نسب فی المعتبر تقدیر الحلیّ إلی الأشهر، و تبعه فی ذلک شارح الروضة </w:t>
      </w:r>
      <w:r>
        <w:rPr>
          <w:rStyle w:val="FootnoteAnchor"/>
          <w:rtl w:val="true"/>
        </w:rPr>
        <w:footnoteReference w:id="1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الروض جزم بقبول شهادة الحلیّ </w:t>
      </w:r>
      <w:r>
        <w:rPr>
          <w:rStyle w:val="FootnoteAnchor"/>
          <w:rtl w:val="true"/>
        </w:rPr>
        <w:footnoteReference w:id="1421"/>
      </w:r>
      <w:r>
        <w:rPr>
          <w:rFonts w:ascii="IRNazanin" w:hAnsi="IRNazanin" w:eastAsia="IRNazanin"/>
          <w:color w:val="111111"/>
          <w:sz w:val="28"/>
          <w:sz w:val="28"/>
          <w:szCs w:val="28"/>
          <w:rtl w:val="true"/>
          <w:lang w:bidi="fa-IR"/>
        </w:rPr>
        <w:t>، و اعترضه ولده فی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الشهادة یعتبر فیها التعدّد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باب حصول الاطمئنان بل القطع بقوله، لا من باب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بل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فیه إلی الأقلّ، لأنّه المتیقّن فی تخصیص عمومات إزالة مطلق النجاسة و خصوص الدم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یمنع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العمومات مخصَّصة قطعاً بالدرهم، فصار الدرهم من حیث المقدار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یجب إزالته، و الآخر لا یجب،</w:t>
      </w:r>
      <w:bookmarkStart w:id="102" w:name="pg16911_259699"/>
    </w:p>
    <w:p>
      <w:pPr>
        <w:pStyle w:val="BookText"/>
        <w:rPr/>
      </w:pPr>
      <w:bookmarkEnd w:id="102"/>
      <w:r>
        <w:rPr>
          <w:rFonts w:ascii="IRNazanin" w:hAnsi="IRNazanin" w:eastAsia="IRNazanin"/>
          <w:color w:val="111111"/>
          <w:sz w:val="28"/>
          <w:sz w:val="28"/>
          <w:szCs w:val="28"/>
          <w:rtl w:val="true"/>
          <w:lang w:bidi="fa-IR"/>
        </w:rPr>
        <w:t>فلا بدّ فی المشتبه منهما من الرجوع إلی الأصل، و هو استصحاب بقاء الثوب علی 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ظاهر؛ لأنّه قاسه علی الشبهة المصداقیّة، کما لو شکّ فی کون الدم ممّا یعفی عنه أو من غیره کالحیض،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خلاف فی عدم العفو عن الزائد عن المقدار المذکور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 و فی المتفرّق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 عن ذلک المقدار علی تقدیر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6618686_3224264995"/>
      <w:bookmarkStart w:id="104" w:name="_Toc38"/>
      <w:bookmarkEnd w:id="103"/>
      <w:r>
        <w:rPr>
          <w:rtl w:val="true"/>
        </w:rPr>
        <w:t>[</w:t>
      </w:r>
      <w:r>
        <w:rPr>
          <w:rtl w:val="true"/>
        </w:rPr>
        <w:t>عدم العفو عن دم الثلاثة و دم نجس العین</w:t>
      </w:r>
      <w:r>
        <w:rPr>
          <w:rtl w:val="true"/>
        </w:rPr>
        <w:t>]</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نجس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 الحیض و أخویه </w:t>
      </w:r>
      <w:r>
        <w:rPr>
          <w:rStyle w:val="FootnoteAnchor"/>
          <w:rtl w:val="true"/>
        </w:rPr>
        <w:footnoteReference w:id="1424"/>
      </w:r>
      <w:r>
        <w:rPr>
          <w:rFonts w:ascii="IRNazanin" w:hAnsi="IRNazanin" w:eastAsia="IRNazanin"/>
          <w:color w:val="111111"/>
          <w:sz w:val="28"/>
          <w:sz w:val="28"/>
          <w:szCs w:val="28"/>
          <w:rtl w:val="true"/>
          <w:lang w:bidi="fa-IR"/>
        </w:rPr>
        <w:t xml:space="preserve">، و عُلّل بتضاعف النجاسة بعلاقاته لنجس العین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مبنیّ علی ثبوت تضاعف النجاسة أو المتنجّس للتنجّس؛ و بسط المقال فی ذلک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تضاعف النجاسة علی أربعة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تنجّس المتنجّس، و تنجّس نجس العین، و نجاسة نجس العین کموت الکافر، و نجاسة المتنجّس کصیرورة ماء العنب المتنجّس خمراً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الشرعی إن کان مترتّباً علی نفس عنوان النجس</w:t>
      </w:r>
      <w:bookmarkStart w:id="105" w:name="pg16911_259700"/>
    </w:p>
    <w:p>
      <w:pPr>
        <w:pStyle w:val="BookText"/>
        <w:rPr/>
      </w:pPr>
      <w:bookmarkEnd w:id="105"/>
      <w:r>
        <w:rPr>
          <w:rFonts w:ascii="IRNazanin" w:hAnsi="IRNazanin" w:eastAsia="IRNazanin"/>
          <w:color w:val="111111"/>
          <w:sz w:val="28"/>
          <w:sz w:val="28"/>
          <w:szCs w:val="28"/>
          <w:rtl w:val="true"/>
          <w:lang w:bidi="fa-IR"/>
        </w:rPr>
        <w:t>أو المتنجّس، فلا ینبغی الإشکال فی وجوب ترتیب حکم العنوانین، فإذا قال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الکافر حکمه کذا، و المیتة حکمها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فالکافر المیّت یجتمع فیه الحکمان، إلّا أن یکونا متماثلین یتداخلان أو یکون أحدهما قابلًا للدخول تحت الآخر، کما إذا ورد الدلیل علی وجوب غَسل ما أصابه البول مرّتین و ما أصابه الدم مرّة، فیکفی المرّتان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یشکل التداخل، فإذا </w:t>
      </w:r>
      <w:r>
        <w:rPr>
          <w:rStyle w:val="FootnoteAnchor"/>
          <w:rtl w:val="true"/>
        </w:rPr>
        <w:footnoteReference w:id="1426"/>
      </w:r>
      <w:r>
        <w:rPr>
          <w:rFonts w:ascii="IRNazanin" w:hAnsi="IRNazanin" w:eastAsia="IRNazanin"/>
          <w:color w:val="111111"/>
          <w:sz w:val="28"/>
          <w:sz w:val="28"/>
          <w:szCs w:val="28"/>
          <w:rtl w:val="true"/>
          <w:lang w:bidi="fa-IR"/>
        </w:rPr>
        <w:t>قال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نزح الثلاثین مثلًا للکافر و أربعین للمیتة و فرضنا إطلاق کلّ منهما بحیث یشمل مادّة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الحکم الشرعی مترتّباً علی النجاسة، فإن کان مترتّباً علی مطلق النجاسة فلا إشکال فی اتّحاد الحکم، فإذا قال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غسل کلّ نجس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المرّتان و لو لاقی الثوب ألف فرد من النجاسة؛ إذ النجس لا یقبل الاتّصاف بالنجاسة؛ لامتناع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الحکم الشرعی مترتّباً علی نجاسة خاصّة کما إذا ثبت بالدلیل أنّ نجاسة الخنزیر حکمها کذا و نجاسة الدم معفوّ عنها و لم یثبت أنّ نجاسة البول کذلک أو ثبت خلافه فالظاهر تضاعف النجاسة، سواء جعلنا النجاسة صفة منتزعة عن الأحکام الشرعیّة التی حکم بها الشارع علی العنوانات النجسة أو الأجسام الملاقیة لها، أم جعلناها صفة أصلیّة یتفرّع علیها تلک الأحکام، إذ لا استحالة فی قیام نجاستین فی جسم واحد إذا کانتا متغایرتین بأن کشف عن ذلک تغایر أحکامهما، سیّما الواردة فی النجاسات الواقعة فی البئر</w:t>
      </w:r>
      <w:r>
        <w:rPr>
          <w:rFonts w:eastAsia="IRNazanin" w:cs="IRNazanin"/>
          <w:color w:val="111111"/>
          <w:sz w:val="28"/>
          <w:szCs w:val="28"/>
          <w:rtl w:val="true"/>
          <w:lang w:bidi="fa-IR"/>
        </w:rPr>
        <w:t>.</w:t>
      </w:r>
    </w:p>
    <w:p>
      <w:pPr>
        <w:pStyle w:val="Heading5"/>
        <w:numPr>
          <w:ilvl w:val="4"/>
          <w:numId w:val="1"/>
        </w:numPr>
        <w:rPr/>
      </w:pPr>
      <w:bookmarkStart w:id="106" w:name="__RefHeading___Toc6618688_3224264995"/>
      <w:bookmarkStart w:id="107" w:name="_Toc39"/>
      <w:bookmarkEnd w:id="106"/>
      <w:r>
        <w:rPr>
          <w:rtl w:val="true"/>
        </w:rPr>
        <w:t>[</w:t>
      </w:r>
      <w:r>
        <w:rPr>
          <w:rtl w:val="true"/>
        </w:rPr>
        <w:t>العفو عن نجاسة ما لا تتمّ الصلاة فیه</w:t>
      </w:r>
      <w:r>
        <w:rPr>
          <w:rtl w:val="true"/>
        </w:rPr>
        <w:t>]</w:t>
      </w:r>
      <w:bookmarkEnd w:id="107"/>
    </w:p>
    <w:p>
      <w:pPr>
        <w:pStyle w:val="Heading6"/>
        <w:numPr>
          <w:ilvl w:val="5"/>
          <w:numId w:val="1"/>
        </w:numPr>
        <w:rPr/>
      </w:pPr>
      <w:bookmarkStart w:id="108" w:name="__RefHeading___Toc6618690_3224264995"/>
      <w:bookmarkStart w:id="109" w:name="_Toc40"/>
      <w:bookmarkEnd w:id="108"/>
      <w:r>
        <w:rPr>
          <w:rtl w:val="true"/>
        </w:rPr>
        <w:t>اشارة</w:t>
      </w:r>
      <w:bookmarkEnd w:id="10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ما لا تتمّ الصلاة فیه منفرداً،</w:t>
      </w:r>
    </w:p>
    <w:p>
      <w:pPr>
        <w:pStyle w:val="BookText"/>
        <w:rPr/>
      </w:pPr>
      <w:r>
        <w:rPr>
          <w:rFonts w:ascii="IRNazanin" w:hAnsi="IRNazanin" w:eastAsia="IRNazanin"/>
          <w:color w:val="111111"/>
          <w:sz w:val="28"/>
          <w:sz w:val="28"/>
          <w:szCs w:val="28"/>
          <w:rtl w:val="true"/>
          <w:lang w:bidi="fa-IR"/>
        </w:rPr>
        <w:t>کالتکّة و الجورب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نعل مخصوص معرّب </w:t>
      </w:r>
      <w:r>
        <w:rPr>
          <w:rStyle w:val="FootnoteAnchor"/>
          <w:rtl w:val="true"/>
        </w:rPr>
        <w:footnoteReference w:id="1427"/>
      </w:r>
      <w:r>
        <w:rPr>
          <w:rFonts w:ascii="IRNazanin" w:hAnsi="IRNazanin" w:eastAsia="IRNazanin"/>
          <w:color w:val="111111"/>
          <w:sz w:val="28"/>
          <w:sz w:val="28"/>
          <w:szCs w:val="28"/>
          <w:rtl w:val="true"/>
          <w:lang w:bidi="fa-IR"/>
        </w:rPr>
        <w:t>، و القلنسوة بضمّ السین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ذلک قبل الإجماع المستفیض بل المحقّق فی الجملة قوله علیه السلام فی روایة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علی الإنسان أو معه ممّا لا تجوز الصلاة فیه وحده فلا بأس أن یصلّی فیه و إن کان فیه قذر، مثل القَلَنْسُوَة و التکَّة و الکَمَرَة و النعل و الخُفّین و ما أشبه ذلک</w:t>
      </w:r>
      <w:r>
        <w:rPr>
          <w:rFonts w:eastAsia="IRNazanin" w:cs="IRNazanin"/>
          <w:color w:val="111111"/>
          <w:sz w:val="28"/>
          <w:szCs w:val="28"/>
          <w:rtl w:val="true"/>
          <w:lang w:bidi="fa-IR"/>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اقتصر بعضهم علی خمسة بإبدال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بالجَوْرَب </w:t>
      </w:r>
      <w:r>
        <w:rPr>
          <w:rStyle w:val="FootnoteAnchor"/>
          <w:rtl w:val="true"/>
        </w:rPr>
        <w:footnoteReference w:id="1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مراده التمثیل، و إلّا فلفظتا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بعدم جواز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عدمه من جهة صغره، لا من جهة رقّته، و لا من جهة اشتمالها </w:t>
      </w:r>
      <w:r>
        <w:rPr>
          <w:rStyle w:val="FootnoteAnchor"/>
          <w:rtl w:val="true"/>
        </w:rPr>
        <w:footnoteReference w:id="1430"/>
      </w:r>
      <w:r>
        <w:rPr>
          <w:rFonts w:ascii="IRNazanin" w:hAnsi="IRNazanin" w:eastAsia="IRNazanin"/>
          <w:color w:val="111111"/>
          <w:sz w:val="28"/>
          <w:sz w:val="28"/>
          <w:szCs w:val="28"/>
          <w:rtl w:val="true"/>
          <w:lang w:bidi="fa-IR"/>
        </w:rPr>
        <w:t>علی فُرَج کثیرة لا تستر الفرجین، فیدخل فی الموضوع الخاتم و السوار و الدملج</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إدریس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السکّین</w:t>
      </w:r>
      <w:r>
        <w:rPr>
          <w:rFonts w:eastAsia="IRNazanin" w:cs="IRNazanin"/>
          <w:color w:val="111111"/>
          <w:sz w:val="28"/>
          <w:szCs w:val="28"/>
          <w:rtl w:val="true"/>
          <w:lang w:bidi="fa-IR"/>
        </w:rPr>
        <w:t xml:space="preserve">» </w:t>
      </w:r>
      <w:r>
        <w:rPr>
          <w:rStyle w:val="FootnoteAnchor"/>
          <w:rtl w:val="true"/>
        </w:rPr>
        <w:footnoteReference w:id="1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مراده کما فی کشف اللثام </w:t>
      </w:r>
      <w:r>
        <w:rPr>
          <w:rStyle w:val="FootnoteAnchor"/>
          <w:rtl w:val="true"/>
        </w:rPr>
        <w:footnoteReference w:id="1432"/>
      </w:r>
      <w:r>
        <w:rPr>
          <w:rFonts w:ascii="IRNazanin" w:hAnsi="IRNazanin" w:eastAsia="IRNazanin"/>
          <w:color w:val="111111"/>
          <w:sz w:val="28"/>
          <w:sz w:val="28"/>
          <w:szCs w:val="28"/>
          <w:rtl w:val="true"/>
          <w:lang w:bidi="fa-IR"/>
        </w:rPr>
        <w:t>السیر و النجاد، لا نفسُهما أو غلافهما؛ بقرینة أنّه خصّ الحکم بالملابس، إلّا أن یلتزم بإرادة ما یعمّ السیف من الملابس، بأن یراد منها کلّ ما یصدق الصلاة فیه، و قد ورد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w:t>
      </w:r>
    </w:p>
    <w:p>
      <w:pPr>
        <w:pStyle w:val="BookText"/>
        <w:rPr/>
      </w:pPr>
      <w:r>
        <w:rPr>
          <w:rFonts w:ascii="Amiri" w:hAnsi="Amiri" w:eastAsia="Amiri" w:cs="Amiri"/>
          <w:color w:val="111111"/>
          <w:sz w:val="28"/>
          <w:sz w:val="28"/>
          <w:szCs w:val="28"/>
          <w:rtl w:val="true"/>
          <w:lang w:bidi="ar-SA"/>
        </w:rPr>
        <w:t>السیف ما لم یُرَ فیه دم</w:t>
      </w:r>
      <w:r>
        <w:rPr>
          <w:rFonts w:eastAsia="Amiri" w:cs="Amiri" w:ascii="Amiri" w:hAnsi="Amiri"/>
          <w:color w:val="111111"/>
          <w:sz w:val="28"/>
          <w:szCs w:val="28"/>
          <w:rtl w:val="true"/>
          <w:lang w:bidi="ar-SA"/>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کما عن الصدوق </w:t>
      </w:r>
      <w:r>
        <w:rPr>
          <w:rStyle w:val="FootnoteAnchor"/>
          <w:rtl w:val="true"/>
        </w:rPr>
        <w:footnoteReference w:id="1434"/>
      </w:r>
      <w:r>
        <w:rPr>
          <w:rFonts w:ascii="IRNazanin" w:hAnsi="IRNazanin" w:eastAsia="IRNazanin"/>
          <w:color w:val="111111"/>
          <w:sz w:val="28"/>
          <w:sz w:val="28"/>
          <w:szCs w:val="28"/>
          <w:rtl w:val="true"/>
          <w:lang w:bidi="fa-IR"/>
        </w:rPr>
        <w:t xml:space="preserve">، و حُمل علی الصغیرة التی لم تستر </w:t>
      </w:r>
      <w:r>
        <w:rPr>
          <w:rStyle w:val="FootnoteAnchor"/>
          <w:rtl w:val="true"/>
        </w:rPr>
        <w:footnoteReference w:id="1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العمامة بهیئتها لا تستر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یردّه أیضاً صحیحة العیص بن 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یصلّی فی ثوب المرأة و إزارها و تعتمّ بخمارها؟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مأمونة</w:t>
      </w:r>
      <w:r>
        <w:rPr>
          <w:rFonts w:eastAsia="IRNazanin" w:cs="IRNazanin"/>
          <w:color w:val="111111"/>
          <w:sz w:val="28"/>
          <w:szCs w:val="28"/>
          <w:rtl w:val="true"/>
          <w:lang w:bidi="fa-IR"/>
        </w:rPr>
        <w:t xml:space="preserve">» </w:t>
      </w:r>
      <w:r>
        <w:rPr>
          <w:rStyle w:val="FootnoteAnchor"/>
          <w:rtl w:val="true"/>
        </w:rPr>
        <w:footnoteReference w:id="1437"/>
      </w:r>
      <w:r>
        <w:rPr>
          <w:rFonts w:ascii="IRNazanin" w:hAnsi="IRNazanin" w:eastAsia="IRNazanin"/>
          <w:color w:val="111111"/>
          <w:sz w:val="28"/>
          <w:sz w:val="28"/>
          <w:szCs w:val="28"/>
          <w:rtl w:val="true"/>
          <w:lang w:bidi="fa-IR"/>
        </w:rPr>
        <w:t>دلّت علی عدم جواز الصلاة فی العمامة مع العلم بنجاستها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الظاهر من الروایات المشتملة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فیما لا یتمّ الصلاة</w:t>
      </w:r>
      <w:r>
        <w:rPr>
          <w:rFonts w:eastAsia="IRNazanin" w:cs="IRNazanin"/>
          <w:color w:val="111111"/>
          <w:sz w:val="28"/>
          <w:szCs w:val="28"/>
          <w:rtl w:val="true"/>
          <w:lang w:bidi="fa-IR"/>
        </w:rPr>
        <w:t xml:space="preserve">» </w:t>
      </w:r>
      <w:r>
        <w:rPr>
          <w:rStyle w:val="FootnoteAnchor"/>
          <w:rtl w:val="true"/>
        </w:rPr>
        <w:footnoteReference w:id="1438"/>
      </w:r>
      <w:r>
        <w:rPr>
          <w:rFonts w:ascii="IRNazanin" w:hAnsi="IRNazanin" w:eastAsia="IRNazanin"/>
          <w:color w:val="111111"/>
          <w:sz w:val="28"/>
          <w:sz w:val="28"/>
          <w:szCs w:val="28"/>
          <w:rtl w:val="true"/>
          <w:lang w:bidi="fa-IR"/>
        </w:rPr>
        <w:t xml:space="preserve">هو اختصاص العفو بالملابس، وفاقاً للمحکیّ عن صریح السرائر </w:t>
      </w:r>
      <w:r>
        <w:rPr>
          <w:rStyle w:val="FootnoteAnchor"/>
          <w:rtl w:val="true"/>
        </w:rPr>
        <w:footnoteReference w:id="1439"/>
      </w:r>
      <w:r>
        <w:rPr>
          <w:rFonts w:ascii="IRNazanin" w:hAnsi="IRNazanin" w:eastAsia="IRNazanin"/>
          <w:color w:val="111111"/>
          <w:sz w:val="28"/>
          <w:sz w:val="28"/>
          <w:szCs w:val="28"/>
          <w:rtl w:val="true"/>
          <w:lang w:bidi="fa-IR"/>
        </w:rPr>
        <w:t xml:space="preserve">و ظاهر الأکثر، منهم المصنّف و الشهید فی التذکرة </w:t>
      </w:r>
      <w:r>
        <w:rPr>
          <w:rStyle w:val="FootnoteAnchor"/>
          <w:rtl w:val="true"/>
        </w:rPr>
        <w:footnoteReference w:id="1440"/>
      </w:r>
      <w:r>
        <w:rPr>
          <w:rFonts w:ascii="IRNazanin" w:hAnsi="IRNazanin" w:eastAsia="IRNazanin"/>
          <w:color w:val="111111"/>
          <w:sz w:val="28"/>
          <w:sz w:val="28"/>
          <w:szCs w:val="28"/>
          <w:rtl w:val="true"/>
          <w:lang w:bidi="fa-IR"/>
        </w:rPr>
        <w:t xml:space="preserve">و المنتهی </w:t>
      </w:r>
      <w:r>
        <w:rPr>
          <w:rStyle w:val="FootnoteAnchor"/>
          <w:rtl w:val="true"/>
        </w:rPr>
        <w:footnoteReference w:id="1441"/>
      </w:r>
      <w:r>
        <w:rPr>
          <w:rFonts w:ascii="IRNazanin" w:hAnsi="IRNazanin" w:eastAsia="IRNazanin"/>
          <w:color w:val="111111"/>
          <w:sz w:val="28"/>
          <w:sz w:val="28"/>
          <w:szCs w:val="28"/>
          <w:rtl w:val="true"/>
          <w:lang w:bidi="fa-IR"/>
        </w:rPr>
        <w:t xml:space="preserve">و البیان </w:t>
      </w:r>
      <w:r>
        <w:rPr>
          <w:rStyle w:val="FootnoteAnchor"/>
          <w:rtl w:val="true"/>
        </w:rPr>
        <w:footnoteReference w:id="1442"/>
      </w:r>
      <w:r>
        <w:rPr>
          <w:rFonts w:ascii="IRNazanin" w:hAnsi="IRNazanin" w:eastAsia="IRNazanin"/>
          <w:color w:val="111111"/>
          <w:sz w:val="28"/>
          <w:sz w:val="28"/>
          <w:szCs w:val="28"/>
          <w:rtl w:val="true"/>
          <w:lang w:bidi="fa-IR"/>
        </w:rPr>
        <w:t>، بل ظاهر کلّ من عبّر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الصلاة فیما لا یتمّ الصلاة فیه</w:t>
      </w:r>
    </w:p>
    <w:p>
      <w:pPr>
        <w:pStyle w:val="BookText"/>
        <w:rPr/>
      </w:pP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 xml:space="preserve">» </w:t>
      </w:r>
      <w:r>
        <w:rPr>
          <w:rStyle w:val="FootnoteAnchor"/>
          <w:rtl w:val="true"/>
        </w:rPr>
        <w:footnoteReference w:id="1443"/>
      </w:r>
      <w:r>
        <w:rPr>
          <w:rFonts w:ascii="IRNazanin" w:hAnsi="IRNazanin" w:eastAsia="IRNazanin"/>
          <w:color w:val="111111"/>
          <w:sz w:val="28"/>
          <w:sz w:val="28"/>
          <w:szCs w:val="28"/>
          <w:rtl w:val="true"/>
          <w:lang w:bidi="fa-IR"/>
        </w:rPr>
        <w:t>فإنّ ظاهر الصلاة فی الشی‌ء التلبّس به حال الصلاة، فلا یدخل مثل الدرهم و العصابة المحمولة فی الجیب، و فی العصابة المشدودة علی الجرح أو علی العین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للمحکیّ عن المصنّف فی المختلف </w:t>
      </w:r>
      <w:r>
        <w:rPr>
          <w:rStyle w:val="FootnoteAnchor"/>
          <w:rtl w:val="true"/>
        </w:rPr>
        <w:footnoteReference w:id="1444"/>
      </w:r>
      <w:r>
        <w:rPr>
          <w:rFonts w:ascii="IRNazanin" w:hAnsi="IRNazanin" w:eastAsia="IRNazanin"/>
          <w:color w:val="111111"/>
          <w:sz w:val="28"/>
          <w:sz w:val="28"/>
          <w:szCs w:val="28"/>
          <w:rtl w:val="true"/>
          <w:lang w:bidi="fa-IR"/>
        </w:rPr>
        <w:t xml:space="preserve">و الشهیدین فی الذکری </w:t>
      </w:r>
      <w:r>
        <w:rPr>
          <w:rStyle w:val="FootnoteAnchor"/>
          <w:rtl w:val="true"/>
        </w:rPr>
        <w:footnoteReference w:id="1445"/>
      </w:r>
      <w:r>
        <w:rPr>
          <w:rFonts w:ascii="IRNazanin" w:hAnsi="IRNazanin" w:eastAsia="IRNazanin"/>
          <w:color w:val="111111"/>
          <w:sz w:val="28"/>
          <w:sz w:val="28"/>
          <w:szCs w:val="28"/>
          <w:rtl w:val="true"/>
          <w:lang w:bidi="fa-IR"/>
        </w:rPr>
        <w:t xml:space="preserve">و الدروس </w:t>
      </w:r>
      <w:r>
        <w:rPr>
          <w:rStyle w:val="FootnoteAnchor"/>
          <w:rtl w:val="true"/>
        </w:rPr>
        <w:footnoteReference w:id="1446"/>
      </w:r>
      <w:r>
        <w:rPr>
          <w:rFonts w:ascii="IRNazanin" w:hAnsi="IRNazanin" w:eastAsia="IRNazanin"/>
          <w:color w:val="111111"/>
          <w:sz w:val="28"/>
          <w:sz w:val="28"/>
          <w:szCs w:val="28"/>
          <w:rtl w:val="true"/>
          <w:lang w:bidi="fa-IR"/>
        </w:rPr>
        <w:t xml:space="preserve">و المسالک </w:t>
      </w:r>
      <w:r>
        <w:rPr>
          <w:rStyle w:val="FootnoteAnchor"/>
          <w:rtl w:val="true"/>
        </w:rPr>
        <w:footnoteReference w:id="1447"/>
      </w:r>
      <w:r>
        <w:rPr>
          <w:rFonts w:ascii="IRNazanin" w:hAnsi="IRNazanin" w:eastAsia="IRNazanin"/>
          <w:color w:val="111111"/>
          <w:sz w:val="28"/>
          <w:sz w:val="28"/>
          <w:szCs w:val="28"/>
          <w:rtl w:val="true"/>
          <w:lang w:bidi="fa-IR"/>
        </w:rPr>
        <w:t xml:space="preserve">و المحقّق الثانی فی جامع المقاصد </w:t>
      </w:r>
      <w:r>
        <w:rPr>
          <w:rStyle w:val="FootnoteAnchor"/>
          <w:rtl w:val="true"/>
        </w:rPr>
        <w:footnoteReference w:id="1448"/>
      </w:r>
      <w:r>
        <w:rPr>
          <w:rFonts w:ascii="IRNazanin" w:hAnsi="IRNazanin" w:eastAsia="IRNazanin"/>
          <w:color w:val="111111"/>
          <w:sz w:val="28"/>
          <w:sz w:val="28"/>
          <w:szCs w:val="28"/>
          <w:rtl w:val="true"/>
          <w:lang w:bidi="fa-IR"/>
        </w:rPr>
        <w:t xml:space="preserve">و أصحاب المدارک </w:t>
      </w:r>
      <w:r>
        <w:rPr>
          <w:rStyle w:val="FootnoteAnchor"/>
          <w:rtl w:val="true"/>
        </w:rPr>
        <w:footnoteReference w:id="1449"/>
      </w:r>
      <w:r>
        <w:rPr>
          <w:rFonts w:ascii="IRNazanin" w:hAnsi="IRNazanin" w:eastAsia="IRNazanin"/>
          <w:color w:val="111111"/>
          <w:sz w:val="28"/>
          <w:sz w:val="28"/>
          <w:szCs w:val="28"/>
          <w:rtl w:val="true"/>
          <w:lang w:bidi="fa-IR"/>
        </w:rPr>
        <w:t xml:space="preserve">و الذخیرة </w:t>
      </w:r>
      <w:r>
        <w:rPr>
          <w:rStyle w:val="FootnoteAnchor"/>
          <w:rtl w:val="true"/>
        </w:rPr>
        <w:footnoteReference w:id="1450"/>
      </w:r>
      <w:r>
        <w:rPr>
          <w:rFonts w:ascii="IRNazanin" w:hAnsi="IRNazanin" w:eastAsia="IRNazanin"/>
          <w:color w:val="111111"/>
          <w:sz w:val="28"/>
          <w:sz w:val="28"/>
          <w:szCs w:val="28"/>
          <w:rtl w:val="true"/>
          <w:lang w:bidi="fa-IR"/>
        </w:rPr>
        <w:t xml:space="preserve">و الدلائل </w:t>
      </w:r>
      <w:r>
        <w:rPr>
          <w:rStyle w:val="FootnoteAnchor"/>
          <w:rtl w:val="true"/>
        </w:rPr>
        <w:footnoteReference w:id="1451"/>
      </w:r>
      <w:r>
        <w:rPr>
          <w:rFonts w:ascii="IRNazanin" w:hAnsi="IRNazanin" w:eastAsia="IRNazanin"/>
          <w:color w:val="111111"/>
          <w:sz w:val="28"/>
          <w:sz w:val="28"/>
          <w:szCs w:val="28"/>
          <w:rtl w:val="true"/>
          <w:lang w:bidi="fa-IR"/>
        </w:rPr>
        <w:t xml:space="preserve">و ظاهر التنقیح </w:t>
      </w:r>
      <w:r>
        <w:rPr>
          <w:rStyle w:val="FootnoteAnchor"/>
          <w:rtl w:val="true"/>
        </w:rPr>
        <w:footnoteReference w:id="1452"/>
      </w:r>
      <w:r>
        <w:rPr>
          <w:rFonts w:ascii="IRNazanin" w:hAnsi="IRNazanin" w:eastAsia="IRNazanin"/>
          <w:color w:val="111111"/>
          <w:sz w:val="28"/>
          <w:sz w:val="28"/>
          <w:szCs w:val="28"/>
          <w:rtl w:val="true"/>
          <w:lang w:bidi="fa-IR"/>
        </w:rPr>
        <w:t>فعمّموا الحکم لغیرها؛ و لعلّه لقوله علیه السلام فی الروایة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علی الإنسان أو معه</w:t>
      </w:r>
      <w:r>
        <w:rPr>
          <w:rFonts w:eastAsia="IRNazanin" w:cs="IRNazanin"/>
          <w:color w:val="111111"/>
          <w:sz w:val="28"/>
          <w:szCs w:val="28"/>
          <w:rtl w:val="true"/>
          <w:lang w:bidi="fa-IR"/>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ذیله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بأس أن 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الاختصاص بالملابس؛ إذ 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صلّی فی الدراهم</w:t>
      </w:r>
      <w:r>
        <w:rPr>
          <w:rFonts w:eastAsia="IRNazanin" w:cs="IRNazanin"/>
          <w:color w:val="111111"/>
          <w:sz w:val="28"/>
          <w:szCs w:val="28"/>
          <w:rtl w:val="true"/>
          <w:lang w:bidi="fa-IR"/>
        </w:rPr>
        <w:t>».</w:t>
      </w:r>
      <w:bookmarkStart w:id="110" w:name="pg16911_259704"/>
    </w:p>
    <w:p>
      <w:pPr>
        <w:pStyle w:val="BookText"/>
        <w:rPr/>
      </w:pPr>
      <w:bookmarkEnd w:id="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للمحکیّ فی مفتاح الکرامة عن کلّ من لم یخصّ الحکم بالملابس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یعتبر أیضاً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المتبادر من إطلاق النصّ و معاقد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 فلو شدّ تکّته علی وسطه أو حملها علی عاتقه لم یجز الصلاة، و کذا لو أخذ القلنسوة بیده بناءً علی المنع من حمل النجاسة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العفو عن الملابس التی لا تتمّ الصلاة فیها مستلزم للعفو عن المحمول الذی لا تتمّ الصلاة فیه بطریق أولی؛ لأنّ التلبّس بالنجاسة أقوی من الحمل، مع أنّ 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و هو کیس یدخل فیه الذکر خوفاً من سرایة النجاسة عند الاحتلام لیس فی حال الصلاة ملبوساً و لا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التلبّس بالنسبة إلیه شدّه فی الوسط لیجعل فیه الذکر عند مخافة الاحتلام،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قول المصنّف قدّس سرّه فی مقام التعمیم</w:t>
      </w:r>
    </w:p>
    <w:p>
      <w:pPr>
        <w:pStyle w:val="Heading6"/>
        <w:numPr>
          <w:ilvl w:val="5"/>
          <w:numId w:val="1"/>
        </w:numPr>
        <w:rPr/>
      </w:pPr>
      <w:bookmarkStart w:id="111" w:name="__RefHeading___Toc6618692_3224264995"/>
      <w:bookmarkStart w:id="112" w:name="_Toc41"/>
      <w:bookmarkEnd w:id="111"/>
      <w:r>
        <w:rPr>
          <w:rtl w:val="true"/>
        </w:rPr>
        <w:t>[</w:t>
      </w:r>
      <w:r>
        <w:rPr>
          <w:rtl w:val="true"/>
        </w:rPr>
        <w:t>و إن تنجّس بغیر الدم</w:t>
      </w:r>
      <w:r>
        <w:rPr>
          <w:rtl w:val="true"/>
        </w:rPr>
        <w:t>]</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تنجّس </w:t>
      </w:r>
      <w:r>
        <w:rPr>
          <w:rStyle w:val="FootnoteAnchor"/>
          <w:rtl w:val="true"/>
        </w:rPr>
        <w:footnoteReference w:id="1456"/>
      </w:r>
      <w:r>
        <w:rPr>
          <w:rFonts w:ascii="IRNazanin" w:hAnsi="IRNazanin" w:eastAsia="IRNazanin"/>
          <w:color w:val="111111"/>
          <w:sz w:val="28"/>
          <w:sz w:val="28"/>
          <w:szCs w:val="28"/>
          <w:rtl w:val="true"/>
          <w:lang w:bidi="fa-IR"/>
        </w:rPr>
        <w:t>بغیر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کالمستدرک؛ إذ لا مجال لتوهّم اختصاص الحکم بالدم، فهو لمجرّد التوضیح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لمّا ذکر ما یُعفی عن إزالته شَرَع فی کیفیّة الإزالة فی ما یجب إزالته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یُعلم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أنّه یعتبر فی التطهیر إزالة</w:t>
      </w:r>
    </w:p>
    <w:p>
      <w:pPr>
        <w:pStyle w:val="BookText"/>
        <w:rPr/>
      </w:pPr>
      <w:r>
        <w:rPr>
          <w:rFonts w:ascii="IRNazanin" w:hAnsi="IRNazanin" w:eastAsia="IRNazanin"/>
          <w:color w:val="111111"/>
          <w:sz w:val="28"/>
          <w:sz w:val="28"/>
          <w:szCs w:val="28"/>
          <w:rtl w:val="true"/>
          <w:lang w:bidi="fa-IR"/>
        </w:rPr>
        <w:t xml:space="preserve">عین النجاسة و أثرها الکاشف عن وجود العین، لا العرض الباقی منها علی المحلّ و إن کان ذلک أیضاً جوهراً فی الحقیقة؛ لاستحالة انتقال العرض، إلّا أنّ هذا لا یصدق علیه عرفاً أحد عنوانات النجاسات، و لو صدق فلا ریب فی انصراف الإطلاقات إلی العنوانات العرفیّة، فلون الدم الباقی فی الثوب بعد المبالغة فی غسله بحیث لا یخرج منه الأجزاء الدمویّة إلّا بمعالجات غیر متعارفة لا یصدق علیه أو لا ینصرف إلیه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یحکم بنجاسته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دام یحکم علیه عرفاً بوجود الدم فیه و إن احتاج إخراجه إلی عصر شدید أو فرک بلیغ فیحکم بنجاسته، و کثیراً ما یحصل الشکّ فی بعض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یحصل الجمع بین ما ادّعی علیه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وجوب إزالة العَرَض من اللون و الرائحة کما عن المعتبر </w:t>
      </w:r>
      <w:r>
        <w:rPr>
          <w:rStyle w:val="FootnoteAnchor"/>
          <w:rtl w:val="true"/>
        </w:rPr>
        <w:footnoteReference w:id="1457"/>
      </w:r>
      <w:r>
        <w:rPr>
          <w:rFonts w:ascii="IRNazanin" w:hAnsi="IRNazanin" w:eastAsia="IRNazanin"/>
          <w:color w:val="111111"/>
          <w:sz w:val="28"/>
          <w:sz w:val="28"/>
          <w:szCs w:val="28"/>
          <w:rtl w:val="true"/>
          <w:lang w:bidi="fa-IR"/>
        </w:rPr>
        <w:t>، و بین ما عن المصنّف فی المنتهی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الجزم بوجوب إزالة اللون مع الإمکان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إزالة الطعم لسهولتها </w:t>
      </w:r>
      <w:r>
        <w:rPr>
          <w:rStyle w:val="FootnoteAnchor"/>
          <w:rtl w:val="true"/>
        </w:rPr>
        <w:footnoteReference w:id="1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بقیت الرائحة و اللون و عسر إزالتها ففی الطهارة إشکال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محکیّ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بالعسر العسر عادةً، فلو کانت بحیث تزول بمبالغة کثیرة لم 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تتعیّن نحو الأشنان و الصابون أم یتحقّق العُسر بمجرّد الغسل بالماء إذا لم تزل؟ کلّ محتمل، و الأصل یقتضی الثانی، و الاحتیاط یقتضی الأوّل </w:t>
      </w:r>
      <w:r>
        <w:rPr>
          <w:rStyle w:val="FootnoteAnchor"/>
          <w:rtl w:val="true"/>
        </w:rPr>
        <w:footnoteReference w:id="146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بالعسر ما کان ناشئاً عن المبالغة فی الغسل علی الوجه المتعارف، دون تعسّر الوصول إلی السبب المتعارف للإزالة، فإنّه داخل فی تعسّر الإزالة، و لا مدخلیّة له فی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زوال العین عرفاً لو عولج المحلّ فاستخرج منه لون تلوّن الماء به، ففی نجاسة هذا الماء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تغیّر بعین النجاسة، و من أنّ العین غیر موجودة بحکم العرف فکان بمنزلة التغییر الحاصل من المجاورة دون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فالظاهر تنجّس الثوب ثانیاً بهذا الماء المتلوّن المستخرج منه، و لا مانع من التزامه؛ لأنّ الأجزاء اللطیفة لم یحکم بنجاستها من جهة إناطة حکم النجاسة بالموجود العرفی للأعیان، لا الوجود الواقعی المفهوم بالدقّة الحِکَمیّة و البراهین الإنّیة باستکشاف وجود الجوهر من وجود عرضه الذی یستحیل انتقاله عنه ثمّ إلی غیره، و المسألة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الأکثر علی وجوب تعدّد الغسل عن البول فی الثوب و البدن، و عن المعتبر دعوی الاتّفاق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الأخبار فی الثوب و البدن، و فی صحیحة ابن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البول یصیب 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 xml:space="preserve">» </w:t>
      </w:r>
      <w:r>
        <w:rPr>
          <w:rStyle w:val="FootnoteAnchor"/>
          <w:rtl w:val="true"/>
        </w:rPr>
        <w:footnoteReference w:id="1463"/>
      </w:r>
      <w:r>
        <w:rPr>
          <w:rFonts w:ascii="IRNazanin" w:hAnsi="IRNazanin" w:eastAsia="IRNazanin"/>
          <w:color w:val="111111"/>
          <w:sz w:val="28"/>
          <w:sz w:val="28"/>
          <w:szCs w:val="28"/>
          <w:rtl w:val="true"/>
          <w:lang w:bidi="fa-IR"/>
        </w:rPr>
        <w:t xml:space="preserve">و نحوها صحیحة ابن أبی یعفور </w:t>
      </w:r>
      <w:r>
        <w:rPr>
          <w:rStyle w:val="FootnoteAnchor"/>
          <w:rtl w:val="true"/>
        </w:rPr>
        <w:footnoteReference w:id="1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أبی إسحاق النحوی،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البول یصیب الجسد؟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علیه الماء مرّتین، فإنّما هو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الثوب یصیبه البول؟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 xml:space="preserve">» </w:t>
      </w:r>
      <w:r>
        <w:rPr>
          <w:rStyle w:val="FootnoteAnchor"/>
          <w:rtl w:val="true"/>
        </w:rPr>
        <w:footnoteReference w:id="1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فی المتن ما عن الحلیّ</w:t>
      </w:r>
    </w:p>
    <w:p>
      <w:pPr>
        <w:pStyle w:val="BookText"/>
        <w:rPr/>
      </w:pPr>
      <w:r>
        <w:rPr>
          <w:rFonts w:ascii="IRNazanin" w:hAnsi="IRNazanin" w:eastAsia="IRNazanin"/>
          <w:color w:val="111111"/>
          <w:sz w:val="28"/>
          <w:sz w:val="28"/>
          <w:szCs w:val="28"/>
          <w:rtl w:val="true"/>
          <w:lang w:bidi="fa-IR"/>
        </w:rPr>
        <w:t xml:space="preserve">فی مستطرفات السرائر نقلًا عن جامع البزنطی </w:t>
      </w:r>
      <w:r>
        <w:rPr>
          <w:rStyle w:val="FootnoteAnchor"/>
          <w:rtl w:val="true"/>
        </w:rPr>
        <w:footnoteReference w:id="1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صحیحة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الثوب یصیبه البول؟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فی المرکن مرّتین، و إن غسلته فی ماءٍ جارٍ فمرّة واحدة</w:t>
      </w:r>
      <w:r>
        <w:rPr>
          <w:rFonts w:eastAsia="IRNazanin" w:cs="IRNazanin"/>
          <w:color w:val="111111"/>
          <w:sz w:val="28"/>
          <w:szCs w:val="28"/>
          <w:rtl w:val="true"/>
          <w:lang w:bidi="fa-IR"/>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فی أخبار الاستنجاء من البول ما یظهر منه الاکتفاء بالمرّة </w:t>
      </w:r>
      <w:r>
        <w:rPr>
          <w:rStyle w:val="FootnoteAnchor"/>
          <w:rtl w:val="true"/>
        </w:rPr>
        <w:footnoteReference w:id="1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تمّ هذا الظهور أمکن التفصیل بین الاستنجاء و غیره؛ لأنّ أخبار التعدّد ظاهرة فی الإصابة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المسألة محلّ إشکال، و قد مرّ بعض الکلام فی الاستنجاء، فراجع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الأقوی اعتبار ورود الماء علی المحلّ، فلو عکس انفعل الماء و لم یفد المحلّ طهارة؛ للأصل، و لعموم ما دلّ علی انفعال القلیل </w:t>
      </w:r>
      <w:r>
        <w:rPr>
          <w:rStyle w:val="FootnoteAnchor"/>
          <w:rtl w:val="true"/>
        </w:rPr>
        <w:footnoteReference w:id="1470"/>
      </w:r>
      <w:r>
        <w:rPr>
          <w:rFonts w:ascii="IRNazanin" w:hAnsi="IRNazanin" w:eastAsia="IRNazanin"/>
          <w:color w:val="111111"/>
          <w:sz w:val="28"/>
          <w:sz w:val="28"/>
          <w:szCs w:val="28"/>
          <w:rtl w:val="true"/>
          <w:lang w:bidi="fa-IR"/>
        </w:rPr>
        <w:t>، و أنّ کلّ نجس منجِّس، و عدم جواز التطهیر بالنجس، خرج من القاعدتین الأخیرتین الماء الوارد علی النجاسة، و بقی المورود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انصراف الغسل إلی هذا النحو إذا کان الماء قلیلًا،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ظهور أدلّة الصبّ فی تعیین الورود، و حملها علی إرادة مطلق الملاقاة و ذکر الصبّ من باب الغلبة یحتاج إلی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یقیّد إطلاقات ظهور الغسل لو فرض عدم انصرافها إلی صورة الورود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فرق فیما ذکر بین الإناء و غیره، فإنّ استقرار الماء فی الإناء بعد</w:t>
      </w:r>
    </w:p>
    <w:p>
      <w:pPr>
        <w:pStyle w:val="BookText"/>
        <w:rPr/>
      </w:pPr>
      <w:r>
        <w:rPr>
          <w:rFonts w:ascii="IRNazanin" w:hAnsi="IRNazanin" w:eastAsia="IRNazanin"/>
          <w:color w:val="111111"/>
          <w:sz w:val="28"/>
          <w:sz w:val="28"/>
          <w:szCs w:val="28"/>
          <w:rtl w:val="true"/>
          <w:lang w:bidi="fa-IR"/>
        </w:rPr>
        <w:t xml:space="preserve">صبّه منه لا ینافی اعتبار الورود، بل هو نظیر الماء المستقرّ فی الثوب قبل العصر، فالعبرة بالورود فی أوّل الأمر، کما نبّه علیه فی الذکری أخیراً بعد استثنائه الإناء و نحوه من عموم اشتراط الورود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هنا یظهر أنّه لا ینافی ما ذکرنا صحیحة ابن مسلم الواردة فی غسل الثوب فی المرکن </w:t>
      </w:r>
      <w:r>
        <w:rPr>
          <w:rStyle w:val="FootnoteAnchor"/>
          <w:rtl w:val="true"/>
        </w:rPr>
        <w:footnoteReference w:id="1472"/>
      </w:r>
      <w:r>
        <w:rPr>
          <w:rFonts w:ascii="IRNazanin" w:hAnsi="IRNazanin" w:eastAsia="IRNazanin"/>
          <w:color w:val="111111"/>
          <w:sz w:val="28"/>
          <w:sz w:val="28"/>
          <w:szCs w:val="28"/>
          <w:rtl w:val="true"/>
          <w:lang w:bidi="fa-IR"/>
        </w:rPr>
        <w:t>، فإنّه لا دلالة فیه علی جواز جعل الماء فی المرکن أوّلًا ثمّ نقل الثوب فیه، بل المتبادر جعل الثوب فی المرکن و صبّ الماء علیه، و لا یقدح استقرار الغسالة قبل العصر کما ذکرنا؛ و لذا عدل فی الذکری عن الاستشهاد بها لتقویة عدم الفرق بین الورودین إلی روایة ابن محبوب، و فیها السؤال عن الجصّ توقد علیه العذرة و عظام الموتی فیجصّص به المسجد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الماء و النار قد طهّراه</w:t>
      </w:r>
      <w:r>
        <w:rPr>
          <w:rFonts w:eastAsia="IRNazanin" w:cs="IRNazanin"/>
          <w:color w:val="111111"/>
          <w:sz w:val="28"/>
          <w:szCs w:val="28"/>
          <w:rtl w:val="true"/>
          <w:lang w:bidi="fa-IR"/>
        </w:rPr>
        <w:t xml:space="preserve">» </w:t>
      </w:r>
      <w:r>
        <w:rPr>
          <w:rStyle w:val="FootnoteAnchor"/>
          <w:rtl w:val="true"/>
        </w:rPr>
        <w:footnoteReference w:id="1473"/>
      </w:r>
      <w:r>
        <w:rPr>
          <w:rFonts w:ascii="IRNazanin" w:hAnsi="IRNazanin" w:eastAsia="IRNazanin"/>
          <w:color w:val="111111"/>
          <w:sz w:val="28"/>
          <w:sz w:val="28"/>
          <w:szCs w:val="28"/>
          <w:rtl w:val="true"/>
          <w:lang w:bidi="fa-IR"/>
        </w:rPr>
        <w:t>فإنّ الغالب فی تعجین الجصّ أن یجعل الماء أوّلًا فی الإناء ثمّ یجعل فیه الجصّ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وهن دلالة الروایة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الأقوی إلحاق سائر النجاسات بالبول فی لزوم التعدّد إذا غسلت بالقلیل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فقد الإطلاقات عدا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أصابک النجاسة الفلانیّة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من أبوال ما لا یؤکل</w:t>
      </w:r>
      <w:r>
        <w:rPr>
          <w:rFonts w:eastAsia="IRNazanin" w:cs="IRNazanin"/>
          <w:color w:val="111111"/>
          <w:sz w:val="28"/>
          <w:szCs w:val="28"/>
          <w:rtl w:val="true"/>
          <w:lang w:bidi="fa-IR"/>
        </w:rPr>
        <w:t xml:space="preserve">» </w:t>
      </w:r>
      <w:r>
        <w:rPr>
          <w:rStyle w:val="FootnoteAnchor"/>
          <w:rtl w:val="true"/>
        </w:rPr>
        <w:footnoteReference w:id="1474"/>
      </w:r>
      <w:r>
        <w:rPr>
          <w:rFonts w:ascii="IRNazanin" w:hAnsi="IRNazanin" w:eastAsia="IRNazanin"/>
          <w:color w:val="111111"/>
          <w:sz w:val="28"/>
          <w:sz w:val="28"/>
          <w:szCs w:val="28"/>
          <w:rtl w:val="true"/>
          <w:lang w:bidi="fa-IR"/>
        </w:rPr>
        <w:t>و 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ورودها فی بیان وجوب أصل الغسل و عدم جواز الصلاة قبله، مضافاً إلی فحوی قوله فی روایة أبی العلاء المتقدّمة و صحیحة البزنطی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هو ماء</w:t>
      </w:r>
      <w:r>
        <w:rPr>
          <w:rFonts w:eastAsia="IRNazanin" w:cs="IRNazanin"/>
          <w:color w:val="111111"/>
          <w:sz w:val="28"/>
          <w:szCs w:val="28"/>
          <w:rtl w:val="true"/>
          <w:lang w:bidi="fa-IR"/>
        </w:rPr>
        <w:t xml:space="preserve">» </w:t>
      </w:r>
      <w:r>
        <w:rPr>
          <w:rStyle w:val="FootnoteAnchor"/>
          <w:rtl w:val="true"/>
        </w:rPr>
        <w:footnoteReference w:id="1475"/>
      </w:r>
      <w:r>
        <w:rPr>
          <w:rFonts w:ascii="IRNazanin" w:hAnsi="IRNazanin" w:eastAsia="IRNazanin"/>
          <w:color w:val="111111"/>
          <w:sz w:val="28"/>
          <w:sz w:val="28"/>
          <w:szCs w:val="28"/>
          <w:rtl w:val="true"/>
          <w:lang w:bidi="fa-IR"/>
        </w:rPr>
        <w:t>فإنّ المراد من ذلک و إن کان بیان عدم وجوب الدلک، إلّا</w:t>
      </w:r>
      <w:bookmarkStart w:id="113" w:name="pg16911_259709"/>
    </w:p>
    <w:p>
      <w:pPr>
        <w:pStyle w:val="BookText"/>
        <w:rPr/>
      </w:pPr>
      <w:bookmarkEnd w:id="113"/>
      <w:r>
        <w:rPr>
          <w:rFonts w:ascii="IRNazanin" w:hAnsi="IRNazanin" w:eastAsia="IRNazanin"/>
          <w:color w:val="111111"/>
          <w:sz w:val="28"/>
          <w:sz w:val="28"/>
          <w:szCs w:val="28"/>
          <w:rtl w:val="true"/>
          <w:lang w:bidi="fa-IR"/>
        </w:rPr>
        <w:t>أنّه یظهر منه أنّ الاکتفاء بالصبّ لرقّة البول، فغیره یحتاج مضافاً إلی الصبّ مرّتین إلی الدلک لیزول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ذلک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 للاستنجاء إلّا النقاء</w:t>
      </w:r>
      <w:r>
        <w:rPr>
          <w:rFonts w:eastAsia="IRNazanin" w:cs="IRNazanin"/>
          <w:color w:val="111111"/>
          <w:sz w:val="28"/>
          <w:szCs w:val="28"/>
          <w:rtl w:val="true"/>
          <w:lang w:bidi="fa-IR"/>
        </w:rPr>
        <w:t xml:space="preserve">» </w:t>
      </w:r>
      <w:r>
        <w:rPr>
          <w:rStyle w:val="FootnoteAnchor"/>
          <w:rtl w:val="true"/>
        </w:rPr>
        <w:footnoteReference w:id="1476"/>
      </w:r>
      <w:r>
        <w:rPr>
          <w:rFonts w:ascii="IRNazanin" w:hAnsi="IRNazanin" w:eastAsia="IRNazanin"/>
          <w:color w:val="111111"/>
          <w:sz w:val="28"/>
          <w:sz w:val="28"/>
          <w:szCs w:val="28"/>
          <w:rtl w:val="true"/>
          <w:lang w:bidi="fa-IR"/>
        </w:rPr>
        <w:t>مع عدم القائل بالتعدّد فیه، لجواز اختصاصه بهذا الحکم، کما اختصّ ماؤه بالعفو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غسل بالقلیل، و سیأتی حکم الغسل بالکثیر و الجاری</w:t>
      </w:r>
      <w:r>
        <w:rPr>
          <w:rFonts w:eastAsia="IRNazanin" w:cs="IRNazanin"/>
          <w:color w:val="111111"/>
          <w:sz w:val="28"/>
          <w:szCs w:val="28"/>
          <w:rtl w:val="true"/>
          <w:lang w:bidi="fa-IR"/>
        </w:rPr>
        <w:t>.</w:t>
      </w:r>
    </w:p>
    <w:p>
      <w:pPr>
        <w:pStyle w:val="Heading5"/>
        <w:numPr>
          <w:ilvl w:val="4"/>
          <w:numId w:val="1"/>
        </w:numPr>
        <w:rPr/>
      </w:pPr>
      <w:bookmarkStart w:id="114" w:name="__RefHeading___Toc6618694_3224264995"/>
      <w:bookmarkStart w:id="115" w:name="_Toc42"/>
      <w:bookmarkEnd w:id="114"/>
      <w:r>
        <w:rPr>
          <w:rtl w:val="true"/>
        </w:rPr>
        <w:t>[</w:t>
      </w:r>
      <w:r>
        <w:rPr>
          <w:rtl w:val="true"/>
        </w:rPr>
        <w:t>و لا بدّ من العصر إلا من الرضیع</w:t>
      </w:r>
      <w:r>
        <w:rPr>
          <w:rtl w:val="true"/>
        </w:rPr>
        <w:t>]</w:t>
      </w:r>
      <w:bookmarkEnd w:id="11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غسل الثوب و نحوه ممّا ینفذ فیه ماء الغسالة علی المشهور، کما عن جماعة </w:t>
      </w:r>
      <w:r>
        <w:rPr>
          <w:rStyle w:val="FootnoteAnchor"/>
          <w:rtl w:val="true"/>
        </w:rPr>
        <w:footnoteReference w:id="1477"/>
      </w:r>
      <w:r>
        <w:rPr>
          <w:rFonts w:ascii="IRNazanin" w:hAnsi="IRNazanin" w:eastAsia="IRNazanin"/>
          <w:color w:val="111111"/>
          <w:sz w:val="28"/>
          <w:sz w:val="28"/>
          <w:szCs w:val="28"/>
          <w:rtl w:val="true"/>
          <w:lang w:bidi="fa-IR"/>
        </w:rPr>
        <w:t xml:space="preserve">بلا خلاف نعرف کما عن الحدائق </w:t>
      </w:r>
      <w:r>
        <w:rPr>
          <w:rStyle w:val="FootnoteAnchor"/>
          <w:rtl w:val="true"/>
        </w:rPr>
        <w:footnoteReference w:id="1478"/>
      </w:r>
      <w:r>
        <w:rPr>
          <w:rFonts w:ascii="IRNazanin" w:hAnsi="IRNazanin" w:eastAsia="IRNazanin"/>
          <w:color w:val="111111"/>
          <w:sz w:val="28"/>
          <w:sz w:val="28"/>
          <w:szCs w:val="28"/>
          <w:rtl w:val="true"/>
          <w:lang w:bidi="fa-IR"/>
        </w:rPr>
        <w:t xml:space="preserve">، بل عند علمائنا کما عن المعتبر </w:t>
      </w:r>
      <w:r>
        <w:rPr>
          <w:rStyle w:val="FootnoteAnchor"/>
          <w:rtl w:val="true"/>
        </w:rPr>
        <w:footnoteReference w:id="1479"/>
      </w:r>
      <w:r>
        <w:rPr>
          <w:rFonts w:ascii="IRNazanin" w:hAnsi="IRNazanin" w:eastAsia="IRNazanin"/>
          <w:color w:val="111111"/>
          <w:sz w:val="28"/>
          <w:sz w:val="28"/>
          <w:szCs w:val="28"/>
          <w:rtl w:val="true"/>
          <w:lang w:bidi="fa-IR"/>
        </w:rPr>
        <w:t xml:space="preserve">، مستدلا فیه کما عن المنتهی </w:t>
      </w:r>
      <w:r>
        <w:rPr>
          <w:rStyle w:val="FootnoteAnchor"/>
          <w:rtl w:val="true"/>
        </w:rPr>
        <w:footnoteReference w:id="1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بدخول العصر فی مفهومه فإن انتفی فهو 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مضافاً إلی تبادره من غسل الثوب أو من الأمر بغسل الثوب بجعل تعارف العصر بعد غسل الثیاب قرینة علی إرادة العصر و إن لم نقل بدخوله فیه وضعاً أو انصرافاً سیّما مع أنّ المرکوز فی الأذهان کون النجاسة نوعاً من الوسخ فی نظر الشارع نافذاً فی الأجسام بحسب قابلیّتها من حیث الصلابة و عدمها ما تقدّم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التعبیر</w:t>
      </w:r>
    </w:p>
    <w:p>
      <w:pPr>
        <w:pStyle w:val="BookText"/>
        <w:rPr/>
      </w:pPr>
      <w:r>
        <w:rPr>
          <w:rFonts w:ascii="IRNazanin" w:hAnsi="IRNazanin" w:eastAsia="IRNazanin"/>
          <w:color w:val="111111"/>
          <w:sz w:val="28"/>
          <w:sz w:val="28"/>
          <w:szCs w:val="28"/>
          <w:rtl w:val="true"/>
          <w:lang w:bidi="fa-IR"/>
        </w:rPr>
        <w:t xml:space="preserve">فی تطهیر البدن بالصبّ و فی تطهیر الثوب بالغسل </w:t>
      </w:r>
      <w:r>
        <w:rPr>
          <w:rStyle w:val="FootnoteAnchor"/>
          <w:rtl w:val="true"/>
        </w:rPr>
        <w:footnoteReference w:id="1481"/>
      </w:r>
      <w:r>
        <w:rPr>
          <w:rFonts w:ascii="IRNazanin" w:hAnsi="IRNazanin" w:eastAsia="IRNazanin"/>
          <w:color w:val="111111"/>
          <w:sz w:val="28"/>
          <w:sz w:val="28"/>
          <w:szCs w:val="28"/>
          <w:rtl w:val="true"/>
          <w:lang w:bidi="fa-IR"/>
        </w:rPr>
        <w:t>، مضافاً إلی حسنة الحلبی بابن هاشم فی بول الصبیّ،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تصبّ علیه الماء فإن کان قد أکل فاغسله غسلًا</w:t>
      </w:r>
      <w:r>
        <w:rPr>
          <w:rFonts w:eastAsia="IRNazanin" w:cs="IRNazanin"/>
          <w:color w:val="111111"/>
          <w:sz w:val="28"/>
          <w:szCs w:val="28"/>
          <w:rtl w:val="true"/>
          <w:lang w:bidi="fa-IR"/>
        </w:rPr>
        <w:t xml:space="preserve">» </w:t>
      </w:r>
      <w:r>
        <w:rPr>
          <w:rStyle w:val="FootnoteAnchor"/>
          <w:rtl w:val="true"/>
        </w:rPr>
        <w:footnoteReference w:id="1482"/>
      </w:r>
      <w:r>
        <w:rPr>
          <w:rFonts w:ascii="IRNazanin" w:hAnsi="IRNazanin" w:eastAsia="IRNazanin"/>
          <w:color w:val="111111"/>
          <w:sz w:val="28"/>
          <w:sz w:val="28"/>
          <w:szCs w:val="28"/>
          <w:rtl w:val="true"/>
          <w:lang w:bidi="fa-IR"/>
        </w:rPr>
        <w:t>و قوله فی موثّقة الفضل أبی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ثوبک من الکلب رطوبة فاغسله، و إن مسّه جافّاً فاصبب علیه الماء</w:t>
      </w:r>
      <w:r>
        <w:rPr>
          <w:rFonts w:eastAsia="IRNazanin" w:cs="IRNazanin"/>
          <w:color w:val="111111"/>
          <w:sz w:val="28"/>
          <w:szCs w:val="28"/>
          <w:rtl w:val="true"/>
          <w:lang w:bidi="fa-IR"/>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لو فرضنا عدم العلم بدخول العصر فی مفهوم الغسل کفانا الشکّ فی ذلک لما تقدّم من الأصل و فقد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علّله أیضاً فی المنتهی </w:t>
      </w:r>
      <w:r>
        <w:rPr>
          <w:rStyle w:val="FootnoteAnchor"/>
          <w:rtl w:val="true"/>
        </w:rPr>
        <w:footnoteReference w:id="1484"/>
      </w:r>
      <w:r>
        <w:rPr>
          <w:rFonts w:ascii="IRNazanin" w:hAnsi="IRNazanin" w:eastAsia="IRNazanin"/>
          <w:color w:val="111111"/>
          <w:sz w:val="28"/>
          <w:sz w:val="28"/>
          <w:szCs w:val="28"/>
          <w:rtl w:val="true"/>
          <w:lang w:bidi="fa-IR"/>
        </w:rPr>
        <w:t xml:space="preserve">کما فی الروض </w:t>
      </w:r>
      <w:r>
        <w:rPr>
          <w:rStyle w:val="FootnoteAnchor"/>
          <w:rtl w:val="true"/>
        </w:rPr>
        <w:footnoteReference w:id="1485"/>
      </w:r>
      <w:r>
        <w:rPr>
          <w:rFonts w:ascii="IRNazanin" w:hAnsi="IRNazanin" w:eastAsia="IRNazanin"/>
          <w:color w:val="111111"/>
          <w:sz w:val="28"/>
          <w:sz w:val="28"/>
          <w:szCs w:val="28"/>
          <w:rtl w:val="true"/>
          <w:lang w:bidi="fa-IR"/>
        </w:rPr>
        <w:t xml:space="preserve">و عن جامع المقاصد </w:t>
      </w:r>
      <w:r>
        <w:rPr>
          <w:rStyle w:val="FootnoteAnchor"/>
          <w:rtl w:val="true"/>
        </w:rPr>
        <w:footnoteReference w:id="1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أجزاء النجاسة لا تزول إلّا به، و لأنّ الماء القلیل تنجّس بها، فلو بقی فی المحلّ لم یطهر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زاد فی محکیّ النهایة </w:t>
      </w:r>
      <w:r>
        <w:rPr>
          <w:rStyle w:val="FootnoteAnchor"/>
          <w:rtl w:val="true"/>
        </w:rPr>
        <w:footnoteReference w:id="1487"/>
      </w:r>
      <w:r>
        <w:rPr>
          <w:rFonts w:ascii="IRNazanin" w:hAnsi="IRNazanin" w:eastAsia="IRNazanin"/>
          <w:color w:val="111111"/>
          <w:sz w:val="28"/>
          <w:sz w:val="28"/>
          <w:szCs w:val="28"/>
          <w:rtl w:val="true"/>
          <w:lang w:bidi="fa-IR"/>
        </w:rPr>
        <w:t>علی الوجه الأخیر الاستناد إلی قوله علیه السلام فی روایة ابن أبی العلاء فی بول الصبیّ یصیب الثوب،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تصبّ علیه الماء قلیلًا ثمّ تعصره</w:t>
      </w:r>
      <w:r>
        <w:rPr>
          <w:rFonts w:eastAsia="IRNazanin" w:cs="IRNazanin"/>
          <w:color w:val="111111"/>
          <w:sz w:val="28"/>
          <w:szCs w:val="28"/>
          <w:rtl w:val="true"/>
          <w:lang w:bidi="fa-IR"/>
        </w:rPr>
        <w:t xml:space="preserve">» </w:t>
      </w:r>
      <w:r>
        <w:rPr>
          <w:rStyle w:val="FootnoteAnchor"/>
          <w:rtl w:val="true"/>
        </w:rPr>
        <w:footnoteReference w:id="1488"/>
      </w:r>
      <w:r>
        <w:rPr>
          <w:rFonts w:ascii="IRNazanin" w:hAnsi="IRNazanin" w:eastAsia="IRNazanin"/>
          <w:color w:val="111111"/>
          <w:sz w:val="28"/>
          <w:sz w:val="28"/>
          <w:szCs w:val="28"/>
          <w:rtl w:val="true"/>
          <w:lang w:bidi="fa-IR"/>
        </w:rPr>
        <w:t xml:space="preserve">و کأنّه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علی من أکل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 کما فی دعوی عدم زوال أجزاء النجاسة إلّا بالعصر، 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بول الصبیّ لا بدّ من أن یزول أجزاؤه مع عدم وجوب العصر فیه اتّفاقاً، و بعض المائعات المتنجّسة أرقّ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فالعمدة فی الاستدلال بعد الشهرة و الاتّفاق المحکیّ هو الوجه الأوّل و الثالث، و علیهما فاللازم فیما یحتاج إلی تعدّد الغسل عصرتان، کما هو المحکیّ عن صریح السرائر </w:t>
      </w:r>
      <w:r>
        <w:rPr>
          <w:rStyle w:val="FootnoteAnchor"/>
          <w:rtl w:val="true"/>
        </w:rPr>
        <w:footnoteReference w:id="1489"/>
      </w:r>
      <w:r>
        <w:rPr>
          <w:rFonts w:ascii="IRNazanin" w:hAnsi="IRNazanin" w:eastAsia="IRNazanin"/>
          <w:color w:val="111111"/>
          <w:sz w:val="28"/>
          <w:sz w:val="28"/>
          <w:szCs w:val="28"/>
          <w:rtl w:val="true"/>
          <w:lang w:bidi="fa-IR"/>
        </w:rPr>
        <w:t xml:space="preserve">و المعتبر </w:t>
      </w:r>
      <w:r>
        <w:rPr>
          <w:rStyle w:val="FootnoteAnchor"/>
          <w:rtl w:val="true"/>
        </w:rPr>
        <w:footnoteReference w:id="1490"/>
      </w:r>
      <w:r>
        <w:rPr>
          <w:rFonts w:ascii="IRNazanin" w:hAnsi="IRNazanin" w:eastAsia="IRNazanin"/>
          <w:color w:val="111111"/>
          <w:sz w:val="28"/>
          <w:sz w:val="28"/>
          <w:szCs w:val="28"/>
          <w:rtl w:val="true"/>
          <w:lang w:bidi="fa-IR"/>
        </w:rPr>
        <w:t xml:space="preserve">، و هو لازم المنتهی حیث ذکر الوجه الأوّل، بل لازم کلّ من لم یتعرّض للعصر، کالمحکیّ عن کثیر من کتب الشیخ و الانتصار و الناصریّات </w:t>
      </w:r>
      <w:r>
        <w:rPr>
          <w:rStyle w:val="FootnoteAnchor"/>
          <w:rtl w:val="true"/>
        </w:rPr>
        <w:footnoteReference w:id="1491"/>
      </w:r>
      <w:r>
        <w:rPr>
          <w:rFonts w:ascii="IRNazanin" w:hAnsi="IRNazanin" w:eastAsia="IRNazanin"/>
          <w:color w:val="111111"/>
          <w:sz w:val="28"/>
          <w:sz w:val="28"/>
          <w:szCs w:val="28"/>
          <w:rtl w:val="true"/>
          <w:lang w:bidi="fa-IR"/>
        </w:rPr>
        <w:t xml:space="preserve">، لظهور اکتفائهم عنه بالغسل، و إلّا فیبعد عدم قولهم بوجوب العصر مع ما سمعت من دعوی المعتبر </w:t>
      </w:r>
      <w:r>
        <w:rPr>
          <w:rStyle w:val="FootnoteAnchor"/>
          <w:rtl w:val="true"/>
        </w:rPr>
        <w:footnoteReference w:id="1492"/>
      </w:r>
      <w:r>
        <w:rPr>
          <w:rFonts w:ascii="IRNazanin" w:hAnsi="IRNazanin" w:eastAsia="IRNazanin"/>
          <w:color w:val="111111"/>
          <w:sz w:val="28"/>
          <w:sz w:val="28"/>
          <w:szCs w:val="28"/>
          <w:rtl w:val="true"/>
          <w:lang w:bidi="fa-IR"/>
        </w:rPr>
        <w:t>الاتّفاق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فوجه لزوم تعدّد العصر علی الوجه الأوّل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الثانی؛ فلأنّ بقاء الغسالة المتنجّسة بعد الغسلة الأُولی یوجب انفعال الماء الثانی، فیخرج عن قابلیّة التطهیر، فإنّ القدر الثابت من الإجماع و لزوم الحرج هو أنّ الماء الثانی لا ینفعل بملاقاة نفس المحلّ، و أمّا عدم انفعاله بملاقاة الغسالة الباقیة فی المحلّ فلم یقم علیه دلیل یخرجه من عموم أدلّة انفعال القلیل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حکمة تعدّد الغسل لعلّها حصول خفّة النجاسة</w:t>
      </w:r>
    </w:p>
    <w:p>
      <w:pPr>
        <w:pStyle w:val="BookText"/>
        <w:rPr/>
      </w:pPr>
      <w:r>
        <w:rPr>
          <w:rFonts w:ascii="IRNazanin" w:hAnsi="IRNazanin" w:eastAsia="IRNazanin"/>
          <w:color w:val="111111"/>
          <w:sz w:val="28"/>
          <w:sz w:val="28"/>
          <w:szCs w:val="28"/>
          <w:rtl w:val="true"/>
          <w:lang w:bidi="fa-IR"/>
        </w:rPr>
        <w:t>بالغسلة الأُولی لتزول بالمرّة فی الثانیة، و ما دام ماء الغسل فی المحلّ لا یعلم حصول الخفّة، بل ربما یظنّ عدم 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تظهر الثمرة بین الوجهین فیما إذا غسل فی المرّة الثانیة بالکثیر أو الجاری، فإنّ العصر یسقط رأساً علی الوجه الثالث؛ و لذا قیّد فی الروض </w:t>
      </w:r>
      <w:r>
        <w:rPr>
          <w:rStyle w:val="FootnoteAnchor"/>
          <w:rtl w:val="true"/>
        </w:rPr>
        <w:footnoteReference w:id="1493"/>
      </w:r>
      <w:r>
        <w:rPr>
          <w:rFonts w:ascii="Amiri" w:hAnsi="Amiri" w:eastAsia="Amiri" w:cs="Amiri"/>
          <w:color w:val="111111"/>
          <w:sz w:val="28"/>
          <w:sz w:val="28"/>
          <w:szCs w:val="28"/>
          <w:rtl w:val="true"/>
          <w:lang w:bidi="ar-SA"/>
        </w:rPr>
        <w:t xml:space="preserve">تبعاً للمصنّف </w:t>
      </w:r>
      <w:r>
        <w:rPr>
          <w:rStyle w:val="FootnoteAnchor"/>
          <w:rtl w:val="true"/>
        </w:rPr>
        <w:footnoteReference w:id="1494"/>
      </w:r>
      <w:r>
        <w:rPr>
          <w:rFonts w:ascii="IRNazanin" w:hAnsi="IRNazanin" w:eastAsia="IRNazanin"/>
          <w:color w:val="111111"/>
          <w:sz w:val="28"/>
          <w:sz w:val="28"/>
          <w:szCs w:val="28"/>
          <w:rtl w:val="true"/>
          <w:lang w:bidi="fa-IR"/>
        </w:rPr>
        <w:t xml:space="preserve">و الشهید </w:t>
      </w:r>
      <w:r>
        <w:rPr>
          <w:rStyle w:val="FootnoteAnchor"/>
          <w:rtl w:val="true"/>
        </w:rPr>
        <w:footnoteReference w:id="1495"/>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496"/>
      </w:r>
      <w:r>
        <w:rPr>
          <w:rFonts w:ascii="IRNazanin" w:hAnsi="IRNazanin" w:eastAsia="IRNazanin"/>
          <w:color w:val="111111"/>
          <w:sz w:val="28"/>
          <w:sz w:val="28"/>
          <w:szCs w:val="28"/>
          <w:rtl w:val="true"/>
          <w:lang w:bidi="fa-IR"/>
        </w:rPr>
        <w:t xml:space="preserve">و صاحب الموجز </w:t>
      </w:r>
      <w:r>
        <w:rPr>
          <w:rStyle w:val="FootnoteAnchor"/>
          <w:rtl w:val="true"/>
        </w:rPr>
        <w:footnoteReference w:id="1497"/>
      </w:r>
      <w:r>
        <w:rPr>
          <w:rFonts w:ascii="IRNazanin" w:hAnsi="IRNazanin" w:eastAsia="IRNazanin"/>
          <w:color w:val="111111"/>
          <w:sz w:val="28"/>
          <w:sz w:val="28"/>
          <w:szCs w:val="28"/>
          <w:rtl w:val="true"/>
          <w:lang w:bidi="fa-IR"/>
        </w:rPr>
        <w:t xml:space="preserve">و شارحه </w:t>
      </w:r>
      <w:r>
        <w:rPr>
          <w:rStyle w:val="FootnoteAnchor"/>
          <w:rtl w:val="true"/>
        </w:rPr>
        <w:footnoteReference w:id="1498"/>
      </w:r>
      <w:r>
        <w:rPr>
          <w:rFonts w:ascii="IRNazanin" w:hAnsi="IRNazanin" w:eastAsia="IRNazanin"/>
          <w:color w:val="111111"/>
          <w:sz w:val="28"/>
          <w:sz w:val="28"/>
          <w:szCs w:val="28"/>
          <w:rtl w:val="true"/>
          <w:lang w:bidi="fa-IR"/>
        </w:rPr>
        <w:t xml:space="preserve">بل یحکی عن بعض من عاصرناه نفی الخلاف منه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المصرَّح به فی البحار وجود القائل بالتعدّد فی غیر القلیل </w:t>
      </w:r>
      <w:r>
        <w:rPr>
          <w:rStyle w:val="FootnoteAnchor"/>
          <w:rtl w:val="true"/>
        </w:rPr>
        <w:footnoteReference w:id="1500"/>
      </w:r>
      <w:r>
        <w:rPr>
          <w:rFonts w:ascii="IRNazanin" w:hAnsi="IRNazanin" w:eastAsia="IRNazanin"/>
          <w:color w:val="111111"/>
          <w:sz w:val="28"/>
          <w:sz w:val="28"/>
          <w:szCs w:val="28"/>
          <w:rtl w:val="true"/>
          <w:lang w:bidi="fa-IR"/>
        </w:rPr>
        <w:t>، و لعلّه لازم من أدخل العصر فی مفهوم الغسل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عرفت أنّه یکفی الشکّ فی ذلک، فاللازم الحکم بوجوب العصر فی الجاری لولا قوله علیه السلام فی مرسلة الکاهلی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یراه ماء المطر فقد طهر</w:t>
      </w:r>
      <w:r>
        <w:rPr>
          <w:rFonts w:eastAsia="IRNazanin" w:cs="IRNazanin"/>
          <w:color w:val="111111"/>
          <w:sz w:val="28"/>
          <w:szCs w:val="28"/>
          <w:rtl w:val="true"/>
          <w:lang w:bidi="fa-IR"/>
        </w:rPr>
        <w:t xml:space="preserve">» </w:t>
      </w:r>
      <w:r>
        <w:rPr>
          <w:rStyle w:val="FootnoteAnchor"/>
          <w:rtl w:val="true"/>
        </w:rPr>
        <w:footnoteReference w:id="1501"/>
      </w:r>
      <w:r>
        <w:rPr>
          <w:rFonts w:ascii="IRNazanin" w:hAnsi="IRNazanin" w:eastAsia="IRNazanin"/>
          <w:color w:val="111111"/>
          <w:sz w:val="28"/>
          <w:sz w:val="28"/>
          <w:szCs w:val="28"/>
          <w:rtl w:val="true"/>
          <w:lang w:bidi="fa-IR"/>
        </w:rPr>
        <w:t>و یثبت الحکم فی الجاری بضمیمة عدم القول بالفرق بین المطر و الجاری، بل یمکن إجراء الحکم فی الکثیر أیضاً؛ لأجل عدم الفرق ظاهراً، مضافاً إلی قوله علیه السلام فی بعض الروایات مشیراً إلی غدیر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w:t>
      </w:r>
    </w:p>
    <w:p>
      <w:pPr>
        <w:pStyle w:val="BookText"/>
        <w:rPr/>
      </w:pPr>
      <w:r>
        <w:rPr>
          <w:rFonts w:ascii="Amiri" w:hAnsi="Amiri" w:eastAsia="Amiri" w:cs="Amiri"/>
          <w:color w:val="111111"/>
          <w:sz w:val="28"/>
          <w:sz w:val="28"/>
          <w:szCs w:val="28"/>
          <w:rtl w:val="true"/>
          <w:lang w:bidi="ar-SA"/>
        </w:rPr>
        <w:t>لا یصیب شیئاً إلّا طهّره</w:t>
      </w:r>
      <w:r>
        <w:rPr>
          <w:rFonts w:eastAsia="Amiri" w:cs="Amiri" w:ascii="Amiri" w:hAnsi="Amiri"/>
          <w:color w:val="111111"/>
          <w:sz w:val="28"/>
          <w:szCs w:val="28"/>
          <w:rtl w:val="true"/>
          <w:lang w:bidi="ar-SA"/>
        </w:rPr>
        <w:t xml:space="preserve">» </w:t>
      </w:r>
      <w:r>
        <w:rPr>
          <w:rStyle w:val="FootnoteAnchor"/>
          <w:rtl w:val="true"/>
        </w:rPr>
        <w:footnoteReference w:id="1502"/>
      </w:r>
      <w:r>
        <w:rPr>
          <w:rFonts w:ascii="IRNazanin" w:hAnsi="IRNazanin" w:eastAsia="IRNazanin"/>
          <w:color w:val="111111"/>
          <w:sz w:val="28"/>
          <w:sz w:val="28"/>
          <w:szCs w:val="28"/>
          <w:rtl w:val="true"/>
          <w:lang w:bidi="fa-IR"/>
        </w:rPr>
        <w:t>مضافاً إلی 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ماء الحمّام بمنزلة الجاری</w:t>
      </w:r>
      <w:r>
        <w:rPr>
          <w:rFonts w:eastAsia="IRNazanin" w:cs="IRNazanin"/>
          <w:color w:val="111111"/>
          <w:sz w:val="28"/>
          <w:szCs w:val="28"/>
          <w:rtl w:val="true"/>
          <w:lang w:bidi="fa-IR"/>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فالأقوی عدم وجوب العصر فی الکثیر و الجاری، وفاقاً للأکثر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ذلک یظهر قوّة الاکتفاء بالغسلة الواحدة فی الجاری و الکثیر فی البول و غیره، مضافاً فی البول إلی ما تقدّم من صحیحة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غسلته فی ماءٍ جارٍ فمرّة واحدة</w:t>
      </w:r>
      <w:r>
        <w:rPr>
          <w:rFonts w:eastAsia="IRNazanin" w:cs="IRNazanin"/>
          <w:color w:val="111111"/>
          <w:sz w:val="28"/>
          <w:szCs w:val="28"/>
          <w:rtl w:val="true"/>
          <w:lang w:bidi="fa-IR"/>
        </w:rPr>
        <w:t xml:space="preserve">» </w:t>
      </w:r>
      <w:r>
        <w:rPr>
          <w:rStyle w:val="FootnoteAnchor"/>
          <w:rtl w:val="true"/>
        </w:rPr>
        <w:footnoteReference w:id="1504"/>
      </w:r>
      <w:r>
        <w:rPr>
          <w:rFonts w:ascii="IRNazanin" w:hAnsi="IRNazanin" w:eastAsia="IRNazanin"/>
          <w:color w:val="111111"/>
          <w:sz w:val="28"/>
          <w:sz w:val="28"/>
          <w:szCs w:val="28"/>
          <w:rtl w:val="true"/>
          <w:lang w:bidi="fa-IR"/>
        </w:rPr>
        <w:t xml:space="preserve">و نحوها الرضویّ </w:t>
      </w:r>
      <w:r>
        <w:rPr>
          <w:rStyle w:val="FootnoteAnchor"/>
          <w:rtl w:val="true"/>
        </w:rPr>
        <w:footnoteReference w:id="1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الاستدلال بها علی ثبوت الحکم فی غیر البول بضمیمة عدم القول بالفصل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فی دلیل العصر یعلم وجوب الدقّ و التغمیز فیما یعسر عصره، کالفراش الغلیظ و المحشوّ بالصوف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یظهر من بعض الروایات کفایة صبّ الماء علیها حتّی ینفذ إلی جانبها الآخر </w:t>
      </w:r>
      <w:r>
        <w:rPr>
          <w:rStyle w:val="FootnoteAnchor"/>
          <w:rtl w:val="true"/>
        </w:rPr>
        <w:footnoteReference w:id="1506"/>
      </w:r>
      <w:r>
        <w:rPr>
          <w:rFonts w:ascii="IRNazanin" w:hAnsi="IRNazanin" w:eastAsia="IRNazanin"/>
          <w:color w:val="111111"/>
          <w:sz w:val="28"/>
          <w:sz w:val="28"/>
          <w:szCs w:val="28"/>
          <w:rtl w:val="true"/>
          <w:lang w:bidi="fa-IR"/>
        </w:rPr>
        <w:t>، و لا بدّ من تقییده بکونه مع الغمز أو الدقّ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الحکم بوجوب العصر ثابت فی إزالة کلّ بول نجس، بل کلّ 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بول الرضیع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العصر فیه بلا خلاف ظاهراً؛ لحسنة الحلبی المتقدّمة عن بول الصبیّ،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یصبّ علیه الماء و إن کان قد أکل فاغسله غسلًا، و الغلام و الجاریة فی ذلک شرع سواء</w:t>
      </w:r>
      <w:r>
        <w:rPr>
          <w:rFonts w:eastAsia="IRNazanin" w:cs="IRNazanin"/>
          <w:color w:val="111111"/>
          <w:sz w:val="28"/>
          <w:szCs w:val="28"/>
          <w:rtl w:val="true"/>
          <w:lang w:bidi="fa-IR"/>
        </w:rPr>
        <w:t xml:space="preserve">» </w:t>
      </w:r>
      <w:r>
        <w:rPr>
          <w:rStyle w:val="FootnoteAnchor"/>
          <w:rtl w:val="true"/>
        </w:rPr>
        <w:footnoteReference w:id="1507"/>
      </w:r>
      <w:r>
        <w:rPr>
          <w:rFonts w:ascii="IRNazanin" w:hAnsi="IRNazanin" w:eastAsia="IRNazanin"/>
          <w:color w:val="111111"/>
          <w:sz w:val="28"/>
          <w:sz w:val="28"/>
          <w:szCs w:val="28"/>
          <w:rtl w:val="true"/>
          <w:lang w:bidi="fa-IR"/>
        </w:rPr>
        <w:t xml:space="preserve">و ظاهرها جریان الحکم فی الصبیّة کما عن والد الصدوق </w:t>
      </w:r>
      <w:r>
        <w:rPr>
          <w:rStyle w:val="FootnoteAnchor"/>
          <w:rtl w:val="true"/>
        </w:rPr>
        <w:footnoteReference w:id="1508"/>
      </w:r>
      <w:r>
        <w:rPr>
          <w:rFonts w:ascii="IRNazanin" w:hAnsi="IRNazanin" w:eastAsia="IRNazanin"/>
          <w:color w:val="111111"/>
          <w:sz w:val="28"/>
          <w:sz w:val="28"/>
          <w:szCs w:val="28"/>
          <w:rtl w:val="true"/>
          <w:lang w:bidi="fa-IR"/>
        </w:rPr>
        <w:t>، إلّا أن یرجع الذیل إلی الجملة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قد 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المتحصّل ممّا ذکرنا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التطهیر مداخلة الماء المطلق لأجزاء المتنجّس علی وجه الغلبة ثمّ خروج الغسالة عنها أو اتّصالها بماء عاصم، و یتفرّع علی هذا أنّه لا یطهر المائعات المنجمدة بعد التنجیس کالشمع و القیر و الشحم لعدم مداخلة الماء لباطنها، فلا یطهر إلّا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یشکّ فی المداخلة علی وجه الغلبة کما فی الصابون؛ إذ یحتمل قویّاً کون الواصل إلی الباطن بسبب المجاورة أجزاء مائیّة لطیفة یشکّ فی صدق الماء أو انصرافه إلیها، فضلًا عن تحقّق غلبتها علی الأجزاء الباطنة، فإنّ الحکم بتحقّق الغسل هنا مشکل، و لم یقم علی کفایة مجرّد ملاقاة الماء فی التطهیر دلیل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قوله علیه السلام فی مرسلة الکاهلی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یراه ماء المطر فقد طهر</w:t>
      </w:r>
      <w:r>
        <w:rPr>
          <w:rFonts w:eastAsia="IRNazanin" w:cs="IRNazanin"/>
          <w:color w:val="111111"/>
          <w:sz w:val="28"/>
          <w:szCs w:val="28"/>
          <w:rtl w:val="true"/>
          <w:lang w:bidi="fa-IR"/>
        </w:rPr>
        <w:t xml:space="preserve">» </w:t>
      </w:r>
      <w:r>
        <w:rPr>
          <w:rStyle w:val="FootnoteAnchor"/>
          <w:rtl w:val="true"/>
        </w:rPr>
        <w:footnoteReference w:id="1509"/>
      </w:r>
      <w:r>
        <w:rPr>
          <w:rFonts w:ascii="IRNazanin" w:hAnsi="IRNazanin" w:eastAsia="IRNazanin"/>
          <w:color w:val="111111"/>
          <w:sz w:val="28"/>
          <w:sz w:val="28"/>
          <w:szCs w:val="28"/>
          <w:rtl w:val="true"/>
          <w:lang w:bidi="fa-IR"/>
        </w:rPr>
        <w:t>و قوله علیه السلام فی الخبر المتقدّم أیضاً مشیراً إلی غدیر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یصیب شیئاً إلّا طهّره</w:t>
      </w:r>
      <w:r>
        <w:rPr>
          <w:rFonts w:eastAsia="IRNazanin" w:cs="IRNazanin"/>
          <w:color w:val="111111"/>
          <w:sz w:val="28"/>
          <w:szCs w:val="28"/>
          <w:rtl w:val="true"/>
          <w:lang w:bidi="fa-IR"/>
        </w:rPr>
        <w:t xml:space="preserve">» </w:t>
      </w:r>
      <w:r>
        <w:rPr>
          <w:rStyle w:val="FootnoteAnchor"/>
          <w:rtl w:val="true"/>
        </w:rPr>
        <w:footnoteReference w:id="1510"/>
      </w:r>
      <w:r>
        <w:rPr>
          <w:rFonts w:ascii="IRNazanin" w:hAnsi="IRNazanin" w:eastAsia="IRNazanin"/>
          <w:color w:val="111111"/>
          <w:sz w:val="28"/>
          <w:sz w:val="28"/>
          <w:szCs w:val="28"/>
          <w:rtl w:val="true"/>
          <w:lang w:bidi="fa-IR"/>
        </w:rPr>
        <w:t>یدلّان علی کفایة</w:t>
      </w:r>
    </w:p>
    <w:p>
      <w:pPr>
        <w:pStyle w:val="BookText"/>
        <w:rPr/>
      </w:pPr>
      <w:r>
        <w:rPr>
          <w:rFonts w:ascii="IRNazanin" w:hAnsi="IRNazanin" w:eastAsia="IRNazanin"/>
          <w:color w:val="111111"/>
          <w:sz w:val="28"/>
          <w:sz w:val="28"/>
          <w:szCs w:val="28"/>
          <w:rtl w:val="true"/>
          <w:lang w:bidi="fa-IR"/>
        </w:rPr>
        <w:t>مجرّد الملاقاة فی الکثیر و الجاری، فیکفی فی القلیل الإجماع علی عدم الفرق بینها من جهة لابدّیة صدق الغَسل؛ و إن کان بینها فرق من جهة وجوب إخراج الغسالة فی القلیل و عدم وجوبه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یراه ماء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یصیب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یشمل مثل نفوذ الرطوبة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الواصل هو الماء تمّت الدعوی، 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دخول الأجزاء المائیّة، و أمّا الغلبة فهی حاصلة فی کلّ جزء بحسب حاله من الصغر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الروایتین المتقدّمتین تدلّان علی طهارة کلّ متنجّس بالکرّ و المطر، و فی حکمه الجاری، و یلحق بهما الغسل بالقلیل؛ للإجماع علی عدم الفرق بینها من هذه الجهة و إنّما منع جماعة </w:t>
      </w:r>
      <w:r>
        <w:rPr>
          <w:rStyle w:val="FootnoteAnchor"/>
          <w:rtl w:val="true"/>
        </w:rPr>
        <w:footnoteReference w:id="1511"/>
      </w:r>
      <w:r>
        <w:rPr>
          <w:rFonts w:ascii="IRNazanin" w:hAnsi="IRNazanin" w:eastAsia="IRNazanin"/>
          <w:color w:val="111111"/>
          <w:sz w:val="28"/>
          <w:sz w:val="28"/>
          <w:szCs w:val="28"/>
          <w:rtl w:val="true"/>
          <w:lang w:bidi="fa-IR"/>
        </w:rPr>
        <w:t>طهارة ما ذکر بالقلیل من جهة عدم خروج الغسالة، مع أنّه یمکن أن یستفاد من الأخبار مثل روایة السکونی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 المؤمنین علیه السلام سئل عن قِدر طبخ فإذا فیه فأرة،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یهراق المرق و یغسل اللحم و یؤکل</w:t>
      </w:r>
      <w:r>
        <w:rPr>
          <w:rFonts w:eastAsia="IRNazanin" w:cs="IRNazanin"/>
          <w:color w:val="111111"/>
          <w:sz w:val="28"/>
          <w:szCs w:val="28"/>
          <w:rtl w:val="true"/>
          <w:lang w:bidi="fa-IR"/>
        </w:rPr>
        <w:t xml:space="preserve">» </w:t>
      </w:r>
      <w:r>
        <w:rPr>
          <w:rStyle w:val="FootnoteAnchor"/>
          <w:rtl w:val="true"/>
        </w:rPr>
        <w:footnoteReference w:id="1512"/>
      </w:r>
      <w:r>
        <w:rPr>
          <w:rFonts w:ascii="IRNazanin" w:hAnsi="IRNazanin" w:eastAsia="IRNazanin"/>
          <w:color w:val="111111"/>
          <w:sz w:val="28"/>
          <w:sz w:val="28"/>
          <w:szCs w:val="28"/>
          <w:rtl w:val="true"/>
          <w:lang w:bidi="fa-IR"/>
        </w:rPr>
        <w:t xml:space="preserve">و نحوها روایة زکریّا بن آدم فی قِدرٍ قطر فیه قطرة نبیذ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مضافاً إلی ما ذکره بعض </w:t>
      </w:r>
      <w:r>
        <w:rPr>
          <w:rStyle w:val="FootnoteAnchor"/>
          <w:rtl w:val="true"/>
        </w:rPr>
        <w:footnoteReference w:id="1514"/>
      </w:r>
      <w:r>
        <w:rPr>
          <w:rFonts w:ascii="IRNazanin" w:hAnsi="IRNazanin" w:eastAsia="IRNazanin"/>
          <w:color w:val="111111"/>
          <w:sz w:val="28"/>
          <w:sz w:val="28"/>
          <w:szCs w:val="28"/>
          <w:rtl w:val="true"/>
          <w:lang w:bidi="fa-IR"/>
        </w:rPr>
        <w:t>بل اکتفی به فی الاستدلال به علی هذا المطلب ردّاً علی صاحب الذخیرة، حیث أنکر عموم الدلیل علی طهارة</w:t>
      </w:r>
    </w:p>
    <w:p>
      <w:pPr>
        <w:pStyle w:val="BookText"/>
        <w:rPr/>
      </w:pPr>
      <w:r>
        <w:rPr>
          <w:rFonts w:ascii="Amiri" w:hAnsi="Amiri" w:eastAsia="Amiri" w:cs="Amiri"/>
          <w:color w:val="111111"/>
          <w:sz w:val="28"/>
          <w:sz w:val="28"/>
          <w:szCs w:val="28"/>
          <w:rtl w:val="true"/>
          <w:lang w:bidi="ar-SA"/>
        </w:rPr>
        <w:t xml:space="preserve">کلّ شی‌ءٍ بالماء </w:t>
      </w:r>
      <w:r>
        <w:rPr>
          <w:rStyle w:val="FootnoteAnchor"/>
          <w:rtl w:val="true"/>
        </w:rPr>
        <w:footnoteReference w:id="1515"/>
      </w:r>
      <w:r>
        <w:rPr>
          <w:rFonts w:ascii="IRNazanin" w:hAnsi="IRNazanin" w:eastAsia="IRNazanin"/>
          <w:color w:val="111111"/>
          <w:sz w:val="28"/>
          <w:sz w:val="28"/>
          <w:szCs w:val="28"/>
          <w:rtl w:val="true"/>
          <w:lang w:bidi="fa-IR"/>
        </w:rPr>
        <w:t xml:space="preserve">ردّاً علی صاحب المدارک المستدلّ بإطلاق أدلّة الغسل </w:t>
      </w:r>
      <w:r>
        <w:rPr>
          <w:rStyle w:val="FootnoteAnchor"/>
          <w:rtl w:val="true"/>
        </w:rPr>
        <w:footnoteReference w:id="1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تطهیر کلّ متنجّس إذا غسل علی الوجه المعتبر قاعدة کلّیة استفیدت من استقراء الموارد الخاصّة و إلّا لاحتجنا إلی الدلیل فی کلّ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فالظاهر أنّه لا إشکال فی تطهیر الأُمور المذکورة إذا علم وصول الماء إلی الأجزاء الباطنة، إنّما الإشکال فیها من جهة التقیید الثانی من التقییدین اللذین اعتبرناهما فی حصول الطهارة، و هو خروج الغسالة أو اتّصالها بالعاصم، و فقد الأمرین فی الغسل بالقلیل واضح؛ و لذا ذکر جماعة منهم الشهیدان </w:t>
      </w:r>
      <w:r>
        <w:rPr>
          <w:rStyle w:val="FootnoteAnchor"/>
          <w:rtl w:val="true"/>
        </w:rPr>
        <w:footnoteReference w:id="1517"/>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518"/>
      </w:r>
      <w:r>
        <w:rPr>
          <w:rFonts w:ascii="IRNazanin" w:hAnsi="IRNazanin" w:eastAsia="IRNazanin"/>
          <w:color w:val="111111"/>
          <w:sz w:val="28"/>
          <w:sz w:val="28"/>
          <w:szCs w:val="28"/>
          <w:rtl w:val="true"/>
          <w:lang w:bidi="fa-IR"/>
        </w:rPr>
        <w:t xml:space="preserve">بل نسب فی محکیّ المعالم إلی المعروف بین المتأخّرین </w:t>
      </w:r>
      <w:r>
        <w:rPr>
          <w:rStyle w:val="FootnoteAnchor"/>
          <w:rtl w:val="true"/>
        </w:rPr>
        <w:footnoteReference w:id="1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یطهر بالقلیل ما لا یخرج منه الماء</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للمحکیّ عن صریح المنتهی </w:t>
      </w:r>
      <w:r>
        <w:rPr>
          <w:rStyle w:val="FootnoteAnchor"/>
          <w:rtl w:val="true"/>
        </w:rPr>
        <w:footnoteReference w:id="1520"/>
      </w:r>
      <w:r>
        <w:rPr>
          <w:rFonts w:ascii="IRNazanin" w:hAnsi="IRNazanin" w:eastAsia="IRNazanin"/>
          <w:color w:val="111111"/>
          <w:sz w:val="28"/>
          <w:sz w:val="28"/>
          <w:szCs w:val="28"/>
          <w:rtl w:val="true"/>
          <w:lang w:bidi="fa-IR"/>
        </w:rPr>
        <w:t xml:space="preserve">و النهایة </w:t>
      </w:r>
      <w:r>
        <w:rPr>
          <w:rStyle w:val="FootnoteAnchor"/>
          <w:rtl w:val="true"/>
        </w:rPr>
        <w:footnoteReference w:id="1521"/>
      </w:r>
      <w:r>
        <w:rPr>
          <w:rFonts w:ascii="Amiri" w:hAnsi="Amiri" w:eastAsia="Amiri" w:cs="Amiri"/>
          <w:color w:val="111111"/>
          <w:sz w:val="28"/>
          <w:sz w:val="28"/>
          <w:szCs w:val="28"/>
          <w:rtl w:val="true"/>
          <w:lang w:bidi="ar-SA"/>
        </w:rPr>
        <w:t xml:space="preserve">و مجمع الفائدة </w:t>
      </w:r>
      <w:r>
        <w:rPr>
          <w:rStyle w:val="FootnoteAnchor"/>
          <w:rtl w:val="true"/>
        </w:rPr>
        <w:footnoteReference w:id="1522"/>
      </w:r>
      <w:r>
        <w:rPr>
          <w:rFonts w:ascii="IRNazanin" w:hAnsi="IRNazanin" w:eastAsia="IRNazanin"/>
          <w:color w:val="111111"/>
          <w:sz w:val="28"/>
          <w:sz w:val="28"/>
          <w:szCs w:val="28"/>
          <w:rtl w:val="true"/>
          <w:lang w:bidi="fa-IR"/>
        </w:rPr>
        <w:t xml:space="preserve">و المدارک </w:t>
      </w:r>
      <w:r>
        <w:rPr>
          <w:rStyle w:val="FootnoteAnchor"/>
          <w:rtl w:val="true"/>
        </w:rPr>
        <w:footnoteReference w:id="1523"/>
      </w:r>
      <w:r>
        <w:rPr>
          <w:rFonts w:ascii="IRNazanin" w:hAnsi="IRNazanin" w:eastAsia="IRNazanin"/>
          <w:color w:val="111111"/>
          <w:sz w:val="28"/>
          <w:sz w:val="28"/>
          <w:szCs w:val="28"/>
          <w:rtl w:val="true"/>
          <w:lang w:bidi="fa-IR"/>
        </w:rPr>
        <w:t>، فجوّزوا غسل هذه الأشیاء بالقلیل؛ تمسّکاً بلزوم الحرج، و إطلاق أدلّة الغسل، و أنّ المتخلّف فی هذه لیس بأکثر من المتخلّف فی الحشایا بعد الدقّ و التغمیز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 ما لا یخفی؛ لأنّ العسر و الحرج لا یوجبان رفع نجاسة المتنجّس إذا لم یحصل تطهیره علی الوجه المعتبر، و لذا لا یحکم بطهارة المائعات بالقلیل و إن تضرّر الشخص بنجاستها، و سیجی‌ء عدم طهارة ما یفسده التعفیر بدون التراب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یصلحان لتأسیس الحکم إذا دلّ علیه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الإطلاقات فهی ساکتة عن حال الغسالة حتّی لو قلنا بعدم اعتبار إخراج الماء فی غسل الأُمور المذکورة، فیمکن تقیید ظاهر أدلّة سببیّة الغسل للطهارة بما بعد إخراج الماء المتنجّس بالغسل جمعاً بینها و بین ما دلّ علی انفعال الماء القلیل بالملاقاة </w:t>
      </w:r>
      <w:r>
        <w:rPr>
          <w:rStyle w:val="FootnoteAnchor"/>
          <w:rtl w:val="true"/>
        </w:rPr>
        <w:footnoteReference w:id="1524"/>
      </w:r>
      <w:r>
        <w:rPr>
          <w:rFonts w:ascii="IRNazanin" w:hAnsi="IRNazanin" w:eastAsia="IRNazanin"/>
          <w:color w:val="111111"/>
          <w:sz w:val="28"/>
          <w:sz w:val="28"/>
          <w:szCs w:val="28"/>
          <w:rtl w:val="true"/>
          <w:lang w:bidi="fa-IR"/>
        </w:rPr>
        <w:t>و لذا لا یحکم بطهارة الغسالة بإطلاق غسل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قیاسه علی المتخلّف فی الحشایا فهو فاسد من أصله، مع ظهور الفرق بأنّ الباقی فی الحشایا قلیل من الغسالة و الباقی فی هذه الأُمور مجموع الماء الملاقی للباطن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اللازم من ذلک وجوب تجفیفها بالشمس بعد الغسل لتزول الغسالة المتنجّسة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نظر؛ لاحتمال دخول إخراج ماء الغسالة فی مفهوم الغسل أو کون مطلقات الغسل منصرفة إلی ذلک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ففی غسل هذه الأُمور بالقلیل إشکال، بل ربما یشکل غسلها بالکثیر و إن کان الظاهر من الذخیرة </w:t>
      </w:r>
      <w:r>
        <w:rPr>
          <w:rStyle w:val="FootnoteAnchor"/>
          <w:rtl w:val="true"/>
        </w:rPr>
        <w:footnoteReference w:id="1525"/>
      </w:r>
      <w:r>
        <w:rPr>
          <w:rFonts w:ascii="IRNazanin" w:hAnsi="IRNazanin" w:eastAsia="IRNazanin"/>
          <w:color w:val="111111"/>
          <w:sz w:val="28"/>
          <w:sz w:val="28"/>
          <w:szCs w:val="28"/>
          <w:rtl w:val="true"/>
          <w:lang w:bidi="fa-IR"/>
        </w:rPr>
        <w:t xml:space="preserve">کما فی المعالم </w:t>
      </w:r>
      <w:r>
        <w:rPr>
          <w:rStyle w:val="FootnoteAnchor"/>
          <w:rtl w:val="true"/>
        </w:rPr>
        <w:footnoteReference w:id="1526"/>
      </w:r>
      <w:r>
        <w:rPr>
          <w:rFonts w:ascii="IRNazanin" w:hAnsi="IRNazanin" w:eastAsia="IRNazanin"/>
          <w:color w:val="111111"/>
          <w:sz w:val="28"/>
          <w:sz w:val="28"/>
          <w:szCs w:val="28"/>
          <w:rtl w:val="true"/>
          <w:lang w:bidi="fa-IR"/>
        </w:rPr>
        <w:t>عدم الخلاف</w:t>
      </w:r>
    </w:p>
    <w:p>
      <w:pPr>
        <w:pStyle w:val="BookText"/>
        <w:rPr/>
      </w:pPr>
      <w:r>
        <w:rPr>
          <w:rFonts w:ascii="IRNazanin" w:hAnsi="IRNazanin" w:eastAsia="IRNazanin"/>
          <w:color w:val="111111"/>
          <w:sz w:val="28"/>
          <w:sz w:val="28"/>
          <w:szCs w:val="28"/>
          <w:rtl w:val="true"/>
          <w:lang w:bidi="fa-IR"/>
        </w:rPr>
        <w:t>فی جواز غسلها بالکثیر من حیث إنّ الماء النافذ فی أعماق الجسم لا یتّصل بالکثیر علی وجه یصدق اتّحاده معه عرفاً حتّی یصدق علی المجموع عنوان الکرّ أو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منعقد علی عدم انفعال المتّصل بالکثیر و الجاری مطلقاً، إلّا أن یدّعی ضعف الاتّصال بحیث یلحق عرفاً بالانقطاع؛ و لهذا لو فرضنا أنّ نجاسة عینیّة وقعت فی الکثیر و کان بعض جوانبه خارجاً عن الماء فنفذ الماء من الکثیر إلی ذلک الجانب فتقاطر علی جسم، فلا یلزم بقاء ذلک الجسم علی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الأمر الشکّ فی الاتّحاد فیرجع إلی أصالة عدم انفعال تلک الأجزاء، فیطهر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یحصل الإشکال فیما لو انتقع الشی‌ء بالماء و وقع فی الکثیر و فرضنا عدم نفوذ الکثیر إلی أعماقه من جهة وجود أجزاء الماء المتنجّس فیه، فحینئذٍ لا یکفی مجرّد اتّصال تلک الأجزاء بأجزاء الکثیر، أمّا علی اعتبار الامتزاج فظاهر، و أمّا علی مطلق الاتّصال فلعدم تحقّق الاتّحاد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فالأحوط بل الأقوی لزوم تجفیف الجسم النجس أوّلًا ثمّ وضعه فی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أحوط من ذلک تجفیفه بالشمس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أحوط من ذلک وضعه فی الکثیر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أحوط من الکلّ تجفیفه ثانیاً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یشکل العمل بالروایتین المتقدّمتین من حیث شمول إطلاقها أو ظهوره </w:t>
      </w:r>
      <w:r>
        <w:rPr>
          <w:rStyle w:val="FootnoteAnchor"/>
          <w:rtl w:val="true"/>
        </w:rPr>
        <w:footnoteReference w:id="1527"/>
      </w:r>
      <w:r>
        <w:rPr>
          <w:rFonts w:ascii="IRNazanin" w:hAnsi="IRNazanin" w:eastAsia="IRNazanin"/>
          <w:color w:val="111111"/>
          <w:sz w:val="28"/>
          <w:sz w:val="28"/>
          <w:szCs w:val="28"/>
          <w:rtl w:val="true"/>
          <w:lang w:bidi="fa-IR"/>
        </w:rPr>
        <w:t>فی کفایة غسل اللحم المتنجّس بالماء القلیل؛ لما ذکرنا من عدم</w:t>
      </w:r>
    </w:p>
    <w:p>
      <w:pPr>
        <w:pStyle w:val="BookText"/>
        <w:rPr/>
      </w:pPr>
      <w:r>
        <w:rPr>
          <w:rFonts w:ascii="IRNazanin" w:hAnsi="IRNazanin" w:eastAsia="IRNazanin"/>
          <w:color w:val="111111"/>
          <w:sz w:val="28"/>
          <w:sz w:val="28"/>
          <w:szCs w:val="28"/>
          <w:rtl w:val="true"/>
          <w:lang w:bidi="fa-IR"/>
        </w:rPr>
        <w:t xml:space="preserve">انفصال الغسالة عنه، إلّا أن یدّعی قابلیّة اللحم المطبوخ للعصر، أو یراد غسله فی الکثیر، أو یحمل علی عدم نفوذ النجاسة فی أعماقه، و إلّا فالعمل بهما فی مقابل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 الماء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و إن ذکره الشیخ فی النهایة </w:t>
      </w:r>
      <w:r>
        <w:rPr>
          <w:rStyle w:val="FootnoteAnchor"/>
          <w:rtl w:val="true"/>
        </w:rPr>
        <w:footnoteReference w:id="1528"/>
      </w:r>
      <w:r>
        <w:rPr>
          <w:rFonts w:ascii="IRNazanin" w:hAnsi="IRNazanin" w:eastAsia="IRNazanin"/>
          <w:color w:val="111111"/>
          <w:sz w:val="28"/>
          <w:sz w:val="28"/>
          <w:szCs w:val="28"/>
          <w:rtl w:val="true"/>
          <w:lang w:bidi="fa-IR"/>
        </w:rPr>
        <w:t xml:space="preserve">و المصنّف فی المنتهی </w:t>
      </w:r>
      <w:r>
        <w:rPr>
          <w:rStyle w:val="FootnoteAnchor"/>
          <w:rtl w:val="true"/>
        </w:rPr>
        <w:footnoteReference w:id="1529"/>
      </w:r>
      <w:r>
        <w:rPr>
          <w:rFonts w:ascii="IRNazanin" w:hAnsi="IRNazanin" w:eastAsia="IRNazanin"/>
          <w:color w:val="111111"/>
          <w:sz w:val="28"/>
          <w:sz w:val="28"/>
          <w:szCs w:val="28"/>
          <w:rtl w:val="true"/>
          <w:lang w:bidi="fa-IR"/>
        </w:rPr>
        <w:t xml:space="preserve">و المختلف </w:t>
      </w:r>
      <w:r>
        <w:rPr>
          <w:rStyle w:val="FootnoteAnchor"/>
          <w:rtl w:val="true"/>
        </w:rPr>
        <w:footnoteReference w:id="1530"/>
      </w:r>
      <w:r>
        <w:rPr>
          <w:rFonts w:ascii="IRNazanin" w:hAnsi="IRNazanin" w:eastAsia="IRNazanin"/>
          <w:color w:val="111111"/>
          <w:sz w:val="28"/>
          <w:sz w:val="28"/>
          <w:szCs w:val="28"/>
          <w:rtl w:val="true"/>
          <w:lang w:bidi="fa-IR"/>
        </w:rPr>
        <w:t>کما حکی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الأوّل یورد ما فی متون الأخبار، و بناء الثانی علی تطهیر أمثاله بالماء القلیل، کما تقدّم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القاضی الفرق بین وقوع قلیل الخمر فی القدر و کثیره، فیطهر اللحم بالغسل فی الأوّل دون الثانی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ذکرنا یظهر عدم طهارة الأرض الرخوة بإلقاء الماء القلیل علیه، کما عن جماعة، منهم المحقّق </w:t>
      </w:r>
      <w:r>
        <w:rPr>
          <w:rStyle w:val="FootnoteAnchor"/>
          <w:rtl w:val="true"/>
        </w:rPr>
        <w:footnoteReference w:id="1533"/>
      </w:r>
      <w:r>
        <w:rPr>
          <w:rFonts w:ascii="Amiri" w:hAnsi="Amiri" w:eastAsia="Amiri" w:cs="Amiri"/>
          <w:color w:val="111111"/>
          <w:sz w:val="28"/>
          <w:sz w:val="28"/>
          <w:szCs w:val="28"/>
          <w:rtl w:val="true"/>
          <w:lang w:bidi="ar-SA"/>
        </w:rPr>
        <w:t xml:space="preserve">و المصنّف </w:t>
      </w:r>
      <w:r>
        <w:rPr>
          <w:rStyle w:val="FootnoteAnchor"/>
          <w:rtl w:val="true"/>
        </w:rPr>
        <w:footnoteReference w:id="1534"/>
      </w:r>
      <w:r>
        <w:rPr>
          <w:rFonts w:ascii="IRNazanin" w:hAnsi="IRNazanin" w:eastAsia="IRNazanin"/>
          <w:color w:val="111111"/>
          <w:sz w:val="28"/>
          <w:sz w:val="28"/>
          <w:szCs w:val="28"/>
          <w:rtl w:val="true"/>
          <w:lang w:bidi="fa-IR"/>
        </w:rPr>
        <w:t xml:space="preserve">و الشهید </w:t>
      </w:r>
      <w:r>
        <w:rPr>
          <w:rStyle w:val="FootnoteAnchor"/>
          <w:rtl w:val="true"/>
        </w:rPr>
        <w:footnoteReference w:id="1535"/>
      </w:r>
      <w:r>
        <w:rPr>
          <w:rFonts w:ascii="IRNazanin" w:hAnsi="IRNazanin" w:eastAsia="IRNazanin"/>
          <w:color w:val="111111"/>
          <w:sz w:val="28"/>
          <w:sz w:val="28"/>
          <w:szCs w:val="28"/>
          <w:rtl w:val="true"/>
          <w:lang w:bidi="fa-IR"/>
        </w:rPr>
        <w:t>إذ لا یخرج منها الماء المغسول به، و الخارج منه هو المقدار الزائد الذی یصبّ بعد تحقّق أقلّ الغسل کما لا یخفی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للمحکیّ عن الشیخ </w:t>
      </w:r>
      <w:r>
        <w:rPr>
          <w:rStyle w:val="FootnoteAnchor"/>
          <w:rtl w:val="true"/>
        </w:rPr>
        <w:footnoteReference w:id="1536"/>
      </w:r>
      <w:r>
        <w:rPr>
          <w:rFonts w:ascii="Amiri" w:hAnsi="Amiri" w:eastAsia="Amiri" w:cs="Amiri"/>
          <w:color w:val="111111"/>
          <w:sz w:val="28"/>
          <w:sz w:val="28"/>
          <w:szCs w:val="28"/>
          <w:rtl w:val="true"/>
          <w:lang w:bidi="ar-SA"/>
        </w:rPr>
        <w:t xml:space="preserve">و الحلیّ </w:t>
      </w:r>
      <w:r>
        <w:rPr>
          <w:rStyle w:val="FootnoteAnchor"/>
          <w:rtl w:val="true"/>
        </w:rPr>
        <w:footnoteReference w:id="1537"/>
      </w:r>
      <w:r>
        <w:rPr>
          <w:rFonts w:ascii="IRNazanin" w:hAnsi="IRNazanin" w:eastAsia="IRNazanin"/>
          <w:color w:val="111111"/>
          <w:sz w:val="28"/>
          <w:sz w:val="28"/>
          <w:szCs w:val="28"/>
          <w:rtl w:val="true"/>
          <w:lang w:bidi="fa-IR"/>
        </w:rPr>
        <w:t>، فطهّراها بإلقاء</w:t>
      </w:r>
    </w:p>
    <w:p>
      <w:pPr>
        <w:pStyle w:val="BookText"/>
        <w:rPr/>
      </w:pPr>
      <w:r>
        <w:rPr>
          <w:rFonts w:ascii="Amiri" w:hAnsi="Amiri" w:eastAsia="Amiri" w:cs="Amiri"/>
          <w:color w:val="111111"/>
          <w:sz w:val="28"/>
          <w:sz w:val="28"/>
          <w:szCs w:val="28"/>
          <w:rtl w:val="true"/>
          <w:lang w:bidi="ar-SA"/>
        </w:rPr>
        <w:t xml:space="preserve">الذَّنوب </w:t>
      </w:r>
      <w:r>
        <w:rPr>
          <w:rStyle w:val="FootnoteAnchor"/>
          <w:rtl w:val="true"/>
        </w:rPr>
        <w:footnoteReference w:id="1538"/>
      </w:r>
      <w:r>
        <w:rPr>
          <w:rFonts w:ascii="IRNazanin" w:hAnsi="IRNazanin" w:eastAsia="IRNazanin"/>
          <w:color w:val="111111"/>
          <w:sz w:val="28"/>
          <w:sz w:val="28"/>
          <w:szCs w:val="28"/>
          <w:rtl w:val="true"/>
          <w:lang w:bidi="fa-IR"/>
        </w:rPr>
        <w:t>من الماء؛ لروایة أبی هریرة فی أعرابیٍّ دخل المسجد فبال فیه، فأمر رسول اللّٰه صلّی اللّٰه علیه و آله و سلم بإلقاء ذَنوبٍ من ماء، 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و یسّروا و لا تعسّروا</w:t>
      </w:r>
      <w:r>
        <w:rPr>
          <w:rFonts w:eastAsia="IRNazanin" w:cs="IRNazanin"/>
          <w:color w:val="111111"/>
          <w:sz w:val="28"/>
          <w:szCs w:val="28"/>
          <w:rtl w:val="true"/>
          <w:lang w:bidi="fa-IR"/>
        </w:rPr>
        <w:t xml:space="preserve">» </w:t>
      </w:r>
      <w:r>
        <w:rPr>
          <w:rStyle w:val="FootnoteAnchor"/>
          <w:rtl w:val="true"/>
        </w:rPr>
        <w:footnoteReference w:id="1539"/>
      </w:r>
      <w:r>
        <w:rPr>
          <w:rFonts w:ascii="IRNazanin" w:hAnsi="IRNazanin" w:eastAsia="IRNazanin"/>
          <w:color w:val="111111"/>
          <w:sz w:val="28"/>
          <w:sz w:val="28"/>
          <w:szCs w:val="28"/>
          <w:rtl w:val="true"/>
          <w:lang w:bidi="fa-IR"/>
        </w:rPr>
        <w:t xml:space="preserve">و حملت الروایة علی کرّیّة الذَّنوب أو کون الأرض حجراً و خرج غسالته إلی خارج المسجد، أو أراد علیه السلام رطوبة الأرض لتجفّفها الشمس، و کلّ ذلک بعید، مع أنّ الروایة مشهورة کما عن البیان </w:t>
      </w:r>
      <w:r>
        <w:rPr>
          <w:rStyle w:val="FootnoteAnchor"/>
          <w:rtl w:val="true"/>
        </w:rPr>
        <w:footnoteReference w:id="1540"/>
      </w:r>
      <w:r>
        <w:rPr>
          <w:rFonts w:ascii="IRNazanin" w:hAnsi="IRNazanin" w:eastAsia="IRNazanin"/>
          <w:color w:val="111111"/>
          <w:sz w:val="28"/>
          <w:sz w:val="28"/>
          <w:szCs w:val="28"/>
          <w:rtl w:val="true"/>
          <w:lang w:bidi="fa-IR"/>
        </w:rPr>
        <w:t xml:space="preserve">و الموجز </w:t>
      </w:r>
      <w:r>
        <w:rPr>
          <w:rStyle w:val="FootnoteAnchor"/>
          <w:rtl w:val="true"/>
        </w:rPr>
        <w:footnoteReference w:id="1541"/>
      </w:r>
      <w:r>
        <w:rPr>
          <w:rFonts w:ascii="IRNazanin" w:hAnsi="IRNazanin" w:eastAsia="IRNazanin"/>
          <w:color w:val="111111"/>
          <w:sz w:val="28"/>
          <w:sz w:val="28"/>
          <w:szCs w:val="28"/>
          <w:rtl w:val="true"/>
          <w:lang w:bidi="fa-IR"/>
        </w:rPr>
        <w:t xml:space="preserve">، و مقبولة کما عن الذکری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الإنصاف أنّ مخالفتها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الغسالة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أوهنها، مضافاً إلی اشتهار حال راویها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روی الشیخ فی الموثّق عن عمّار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 عن الموضع القذر یکون فی البیت أو غیره فلا تصیبه الشمس و لکنّه قد یبس الموضع القذر؟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یصلّی فیه و أعلِم موضعه حتّی تغسله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ظاهرها جواز غسلها بالماء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السند لا یخلو عن قوّة،</w:t>
      </w:r>
    </w:p>
    <w:p>
      <w:pPr>
        <w:pStyle w:val="BookText"/>
        <w:rPr/>
      </w:pPr>
      <w:r>
        <w:rPr>
          <w:rFonts w:ascii="IRNazanin" w:hAnsi="IRNazanin" w:eastAsia="IRNazanin"/>
          <w:color w:val="111111"/>
          <w:sz w:val="28"/>
          <w:sz w:val="28"/>
          <w:szCs w:val="28"/>
          <w:rtl w:val="true"/>
          <w:lang w:bidi="fa-IR"/>
        </w:rPr>
        <w:t>لوجود بنی فضّال فیها الذین ورد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رووا و ذروا ما رأوا</w:t>
      </w:r>
      <w:r>
        <w:rPr>
          <w:rFonts w:eastAsia="IRNazanin" w:cs="IRNazanin"/>
          <w:color w:val="111111"/>
          <w:sz w:val="28"/>
          <w:szCs w:val="28"/>
          <w:rtl w:val="true"/>
          <w:lang w:bidi="fa-IR"/>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المسلّم من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الغسالة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جذبت الأرض جمیع الغسالة أو أکثرها، و إلّا فلا یخلو جسم من أن یجذب من الغسالة شیئاً علی حسب استعداده، فإذا کان فی الأرض صلابة بحیث ینفصل عنه أکثر الغسالة فلا ینبغی الإشکال فی طهارتها بالقلیل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یحکم بنجاسة الموضع الذی ینتقل إلیه الغسالة، وفاقاً لظاهر المحکیّ عن المحقّق حیث عدّ من جملة ما یطهّر الأرض أن یغسل بماء یغمرها ثمّ یجری إلی موضع آخر فیکون ما انتهی إلیه الماء نجساً </w:t>
      </w:r>
      <w:r>
        <w:rPr>
          <w:rStyle w:val="FootnoteAnchor"/>
          <w:rtl w:val="true"/>
        </w:rPr>
        <w:footnoteReference w:id="154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یستظهر من عبارة الخلاف عدم الخلاف بیننا فی ذلک؛ حیث لم ینسب الخلاف إلّا إلی بعض أهل الخلاف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لو أُرید أن لا یتنجّس بالغسالة موضع آخر من الأرض فلیحفر وسط الأرض حفیرة ینزل إلیها الماء ثمّ یطمّها بالتراب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حال التنّور إذا تنجّس</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ما لا یطهر بالغسالة </w:t>
      </w:r>
      <w:r>
        <w:rPr>
          <w:rStyle w:val="FootnoteAnchor"/>
          <w:rtl w:val="true"/>
        </w:rPr>
        <w:footnoteReference w:id="1547"/>
      </w:r>
      <w:r>
        <w:rPr>
          <w:rFonts w:ascii="IRNazanin" w:hAnsi="IRNazanin" w:eastAsia="IRNazanin"/>
          <w:color w:val="111111"/>
          <w:sz w:val="28"/>
          <w:sz w:val="28"/>
          <w:szCs w:val="28"/>
          <w:rtl w:val="true"/>
          <w:lang w:bidi="fa-IR"/>
        </w:rPr>
        <w:t xml:space="preserve">الفضّة و الرصاص إذا تنجّسا فی حال المیعان، فإنّ المحکیّ عن العلّامة الطباطبائی أنّه لا یطهر بالغسل إلّا ظاهرهما، و یجب غسله حیناً بعد حین إذا حکّ بعض ظاهره و خرج الباطن حذراً عن المسّ بالرطوبة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bookmarkStart w:id="116" w:name="pg16911_259722"/>
    </w:p>
    <w:p>
      <w:pPr>
        <w:pStyle w:val="Heading5"/>
        <w:numPr>
          <w:ilvl w:val="4"/>
          <w:numId w:val="1"/>
        </w:numPr>
        <w:rPr/>
      </w:pPr>
      <w:bookmarkStart w:id="117" w:name="__RefHeading___Toc6618696_3224264995"/>
      <w:bookmarkStart w:id="118" w:name="_Toc43"/>
      <w:bookmarkEnd w:id="116"/>
      <w:bookmarkEnd w:id="117"/>
      <w:r>
        <w:rPr>
          <w:rtl w:val="true"/>
        </w:rPr>
        <w:t>[</w:t>
      </w:r>
      <w:r>
        <w:rPr>
          <w:rtl w:val="true"/>
        </w:rPr>
        <w:t>حکم المربّیة للصبیّ</w:t>
      </w:r>
      <w:r>
        <w:rPr>
          <w:rtl w:val="true"/>
        </w:rPr>
        <w:t>]</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تکتفی المربّیة للصبیّ بغسل ثوبها الواحد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Style w:val="FootnoteAnchor"/>
          <w:rtl w:val="true"/>
        </w:rPr>
        <w:footnoteReference w:id="1549"/>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المستند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حفص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امرأة لیس لها إلّا قمیص واحد و لها مولود، فیبول علیه </w:t>
      </w:r>
      <w:r>
        <w:rPr>
          <w:rStyle w:val="FootnoteAnchor"/>
          <w:rtl w:val="true"/>
        </w:rPr>
        <w:footnoteReference w:id="155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قمیصه فی الیوم مرّة</w:t>
      </w:r>
      <w:r>
        <w:rPr>
          <w:rFonts w:eastAsia="IRNazanin" w:cs="IRNazanin"/>
          <w:color w:val="111111"/>
          <w:sz w:val="28"/>
          <w:szCs w:val="28"/>
          <w:rtl w:val="true"/>
          <w:lang w:bidi="fa-IR"/>
        </w:rPr>
        <w:t xml:space="preserve">» </w:t>
      </w:r>
      <w:r>
        <w:rPr>
          <w:rStyle w:val="FootnoteAnchor"/>
          <w:rtl w:val="true"/>
        </w:rPr>
        <w:footnoteReference w:id="1551"/>
      </w:r>
      <w:r>
        <w:rPr>
          <w:rFonts w:ascii="IRNazanin" w:hAnsi="IRNazanin" w:eastAsia="IRNazanin"/>
          <w:color w:val="111111"/>
          <w:sz w:val="28"/>
          <w:sz w:val="28"/>
          <w:szCs w:val="28"/>
          <w:rtl w:val="true"/>
          <w:lang w:bidi="fa-IR"/>
        </w:rPr>
        <w:t>و العمل بمضمونها مشهور بین المتأخّرین، و به ینجبر ضعف الروایة لو کان، إلّا أنّ اللازم من ذلک وجوب الاقتصار علی المتیقّن من مادّة اجتماع الجابر و المنجبر، و عدم کفایة وجود أحدهما فضلًا عن مورد فقدهما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فلا یلحق المربی بالمربیة، وفاقاً لظاهر المنتهی و النهایة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الصبیّة بالصبیّ، وفاقاً للمحکیّ عن المعتبر و التحریر </w:t>
      </w:r>
      <w:r>
        <w:rPr>
          <w:rStyle w:val="FootnoteAnchor"/>
          <w:rtl w:val="true"/>
        </w:rPr>
        <w:footnoteReference w:id="1553"/>
      </w:r>
      <w:r>
        <w:rPr>
          <w:rFonts w:ascii="IRNazanin" w:hAnsi="IRNazanin" w:eastAsia="IRNazanin"/>
          <w:color w:val="111111"/>
          <w:sz w:val="28"/>
          <w:sz w:val="28"/>
          <w:szCs w:val="28"/>
          <w:rtl w:val="true"/>
          <w:lang w:bidi="fa-IR"/>
        </w:rPr>
        <w:t xml:space="preserve">بل عن الشیخ و الأکثر </w:t>
      </w:r>
      <w:r>
        <w:rPr>
          <w:rStyle w:val="FootnoteAnchor"/>
          <w:rtl w:val="true"/>
        </w:rPr>
        <w:footnoteReference w:id="1554"/>
      </w:r>
      <w:r>
        <w:rPr>
          <w:rFonts w:ascii="IRNazanin" w:hAnsi="IRNazanin" w:eastAsia="IRNazanin"/>
          <w:color w:val="111111"/>
          <w:sz w:val="28"/>
          <w:sz w:val="28"/>
          <w:szCs w:val="28"/>
          <w:rtl w:val="true"/>
          <w:lang w:bidi="fa-IR"/>
        </w:rPr>
        <w:t xml:space="preserve">حیث اقتصروا علی ذکر الصبیّ، و خلافاً للمحکیّ عن الشهیدین </w:t>
      </w:r>
      <w:r>
        <w:rPr>
          <w:rStyle w:val="FootnoteAnchor"/>
          <w:rtl w:val="true"/>
        </w:rPr>
        <w:footnoteReference w:id="1555"/>
      </w:r>
      <w:r>
        <w:rPr>
          <w:rFonts w:ascii="IRNazanin" w:hAnsi="IRNazanin" w:eastAsia="IRNazanin"/>
          <w:color w:val="111111"/>
          <w:sz w:val="28"/>
          <w:sz w:val="28"/>
          <w:szCs w:val="28"/>
          <w:rtl w:val="true"/>
          <w:lang w:bidi="fa-IR"/>
        </w:rPr>
        <w:t xml:space="preserve">و أکثر المتأخّرین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الغائط بالبول، وفاقاً للمحکیّ عن ظاهر المعتبر </w:t>
      </w:r>
      <w:r>
        <w:rPr>
          <w:rStyle w:val="FootnoteAnchor"/>
          <w:rtl w:val="true"/>
        </w:rPr>
        <w:footnoteReference w:id="1557"/>
      </w:r>
      <w:r>
        <w:rPr>
          <w:rFonts w:ascii="IRNazanin" w:hAnsi="IRNazanin" w:eastAsia="IRNazanin"/>
          <w:color w:val="111111"/>
          <w:sz w:val="28"/>
          <w:sz w:val="28"/>
          <w:szCs w:val="28"/>
          <w:rtl w:val="true"/>
          <w:lang w:bidi="fa-IR"/>
        </w:rPr>
        <w:t xml:space="preserve">، خلافاً للمصنّف هنا و فی التحریر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البدن بالثوب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الفرق بین تولّد المولود منها أو من غیرها؛ و لذا عُنون المسألة فی کلماتهم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المتعیّن هو الغسل، فلا یکفی الصبّ و إن اکتفی به فی بول الصبیّ الذی لم یطعم وفاقاً للمحکیّ عن ظاهر النهایة </w:t>
      </w:r>
      <w:r>
        <w:rPr>
          <w:rStyle w:val="FootnoteAnchor"/>
          <w:rtl w:val="true"/>
        </w:rPr>
        <w:footnoteReference w:id="1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الظاهر أنّ المراد بالغسل هنا ما یعمّ الصبّ،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من بول کلّ ما لا یؤکل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الصبیّ لم یخرج من هذا العموم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الروایة أیضاً التخییر فی زمان إیقاع الغسل حتّی فی غیر وقت الصلاة و إن اقتضت العادة طروء النجاسة إذا تقدّمت علی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الروایة فی وجوب الغسل فهو لا یکون إلّا بعد دخول الوقت فلا دلیل علی الإجزاء قبله، فمدفوعة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المقام مقام بیان علاج هذه النجاسة و لو فی زمان عدم وجوب الصلاة، فظاهره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الغسل مرّة فی کلّ یوم بدل عن غسله فی کلّ مرّة عرضت النجاسة لها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ذکر جماعة </w:t>
      </w:r>
      <w:r>
        <w:rPr>
          <w:rStyle w:val="FootnoteAnchor"/>
          <w:rtl w:val="true"/>
        </w:rPr>
        <w:footnoteReference w:id="1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الأولی تأخیر الغَسل إلی آخر النهار لتدرک</w:t>
      </w:r>
      <w:bookmarkStart w:id="119" w:name="pg16911_259724"/>
    </w:p>
    <w:p>
      <w:pPr>
        <w:pStyle w:val="BookText"/>
        <w:rPr/>
      </w:pPr>
      <w:bookmarkEnd w:id="119"/>
      <w:r>
        <w:rPr>
          <w:rFonts w:ascii="IRNazanin" w:hAnsi="IRNazanin" w:eastAsia="IRNazanin"/>
          <w:color w:val="111111"/>
          <w:sz w:val="28"/>
          <w:sz w:val="28"/>
          <w:szCs w:val="28"/>
          <w:rtl w:val="true"/>
          <w:lang w:bidi="fa-IR"/>
        </w:rPr>
        <w:t>الصلوات الأربع مع الطهارة و لا ریب فی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اللیل داخل فی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أُخلّ بغسل الثوب، فالظاهر فساد کلّ صلاة وقعت بعد الإخلال بالواجب</w:t>
      </w:r>
      <w:r>
        <w:rPr>
          <w:rFonts w:eastAsia="IRNazanin" w:cs="IRNazanin"/>
          <w:color w:val="111111"/>
          <w:sz w:val="28"/>
          <w:szCs w:val="28"/>
          <w:rtl w:val="true"/>
          <w:lang w:bidi="fa-IR"/>
        </w:rPr>
        <w:t>.</w:t>
      </w:r>
    </w:p>
    <w:p>
      <w:pPr>
        <w:pStyle w:val="Heading5"/>
        <w:numPr>
          <w:ilvl w:val="4"/>
          <w:numId w:val="1"/>
        </w:numPr>
        <w:rPr/>
      </w:pPr>
      <w:bookmarkStart w:id="120" w:name="__RefHeading___Toc6618698_3224264995"/>
      <w:bookmarkStart w:id="121" w:name="_Toc44"/>
      <w:bookmarkEnd w:id="120"/>
      <w:r>
        <w:rPr>
          <w:rtl w:val="true"/>
        </w:rPr>
        <w:t>[</w:t>
      </w:r>
      <w:r>
        <w:rPr>
          <w:rtl w:val="true"/>
        </w:rPr>
        <w:t>الصلاة فی الثوب و البدن النجس</w:t>
      </w:r>
      <w:r>
        <w:rPr>
          <w:rtl w:val="true"/>
        </w:rPr>
        <w:t>]</w:t>
      </w:r>
      <w:bookmarkEnd w:id="121"/>
    </w:p>
    <w:p>
      <w:pPr>
        <w:pStyle w:val="Heading6"/>
        <w:numPr>
          <w:ilvl w:val="5"/>
          <w:numId w:val="1"/>
        </w:numPr>
        <w:rPr/>
      </w:pPr>
      <w:bookmarkStart w:id="122" w:name="__RefHeading___Toc6618700_3224264995"/>
      <w:bookmarkStart w:id="123" w:name="_Toc45"/>
      <w:bookmarkEnd w:id="122"/>
      <w:r>
        <w:rPr>
          <w:rtl w:val="true"/>
        </w:rPr>
        <w:t>[</w:t>
      </w:r>
      <w:r>
        <w:rPr>
          <w:rtl w:val="true"/>
        </w:rPr>
        <w:t>حکم العامد</w:t>
      </w:r>
      <w:r>
        <w:rPr>
          <w:rtl w:val="true"/>
        </w:rPr>
        <w:t>]</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صلّی </w:t>
      </w:r>
      <w:r>
        <w:rPr>
          <w:rStyle w:val="FootnoteAnchor"/>
          <w:rtl w:val="true"/>
        </w:rPr>
        <w:footnoteReference w:id="1561"/>
      </w:r>
      <w:r>
        <w:rPr>
          <w:rFonts w:ascii="IRNazanin" w:hAnsi="IRNazanin" w:eastAsia="IRNazanin"/>
          <w:color w:val="111111"/>
          <w:sz w:val="28"/>
          <w:sz w:val="28"/>
          <w:szCs w:val="28"/>
          <w:rtl w:val="true"/>
          <w:lang w:bidi="fa-IR"/>
        </w:rPr>
        <w:t>مع نجاسة ثوبه أو بدنه عامداً أعاد فی الوقت و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بین من یشترط الطهارة الخبثیّة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الجاهل بالاشتراط کالعامد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لصاحب المدارک </w:t>
      </w:r>
      <w:r>
        <w:rPr>
          <w:rStyle w:val="FootnoteAnchor"/>
          <w:rtl w:val="true"/>
        </w:rPr>
        <w:footnoteReference w:id="1562"/>
      </w:r>
      <w:r>
        <w:rPr>
          <w:rFonts w:ascii="IRNazanin" w:hAnsi="IRNazanin" w:eastAsia="IRNazanin"/>
          <w:color w:val="111111"/>
          <w:sz w:val="28"/>
          <w:sz w:val="28"/>
          <w:szCs w:val="28"/>
          <w:rtl w:val="true"/>
          <w:lang w:bidi="fa-IR"/>
        </w:rPr>
        <w:t xml:space="preserve">و شیخه </w:t>
      </w:r>
      <w:r>
        <w:rPr>
          <w:rStyle w:val="FootnoteAnchor"/>
          <w:rtl w:val="true"/>
        </w:rPr>
        <w:footnoteReference w:id="1563"/>
      </w:r>
      <w:r>
        <w:rPr>
          <w:rFonts w:ascii="IRNazanin" w:hAnsi="IRNazanin" w:eastAsia="IRNazanin"/>
          <w:color w:val="111111"/>
          <w:sz w:val="28"/>
          <w:sz w:val="28"/>
          <w:szCs w:val="28"/>
          <w:rtl w:val="true"/>
          <w:lang w:bidi="fa-IR"/>
        </w:rPr>
        <w:t>کلام فی کون الجاهل تفصیلًا مکلّفاً بالواقع و مؤاخذاً علی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أدلّة التکالیف مع عدم ثبوت کون الجهل التفصیلی عذراً عقلیّاً أو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الإجماع علی تکلیف الکفّار بالفروع، مع أنّه لا یعرف یسیراً من الفروع إلّا یسیر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أیضاً بعض الأخبار الدالّة علی مؤاخذة الجاهل المقصّر بما جهل، کما فی روایة استماع الغناء فی بیت الخلاء </w:t>
      </w:r>
      <w:r>
        <w:rPr>
          <w:rStyle w:val="FootnoteAnchor"/>
          <w:rtl w:val="true"/>
        </w:rPr>
        <w:footnoteReference w:id="1564"/>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6"/>
        <w:numPr>
          <w:ilvl w:val="5"/>
          <w:numId w:val="1"/>
        </w:numPr>
        <w:rPr/>
      </w:pPr>
      <w:bookmarkStart w:id="124" w:name="__RefHeading___Toc6618702_3224264995"/>
      <w:bookmarkStart w:id="125" w:name="_Toc46"/>
      <w:bookmarkEnd w:id="124"/>
      <w:r>
        <w:rPr>
          <w:rtl w:val="true"/>
        </w:rPr>
        <w:t>[</w:t>
      </w:r>
      <w:r>
        <w:rPr>
          <w:rtl w:val="true"/>
        </w:rPr>
        <w:t>حکم الناسی</w:t>
      </w:r>
      <w:r>
        <w:rPr>
          <w:rtl w:val="true"/>
        </w:rPr>
        <w:t>]</w:t>
      </w:r>
      <w:bookmarkEnd w:id="12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یعید فی الوقت </w:t>
      </w:r>
      <w:r>
        <w:rPr>
          <w:rStyle w:val="FootnoteAnchor"/>
          <w:rtl w:val="true"/>
        </w:rPr>
        <w:footnoteReference w:id="1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w:t>
      </w:r>
      <w:bookmarkStart w:id="126" w:name="pg16911_259725"/>
    </w:p>
    <w:p>
      <w:pPr>
        <w:pStyle w:val="BookText"/>
        <w:rPr/>
      </w:pPr>
      <w:bookmarkEnd w:id="126"/>
      <w:r>
        <w:rPr>
          <w:rFonts w:ascii="IRNazanin" w:hAnsi="IRNazanin" w:eastAsia="IRNazanin"/>
          <w:color w:val="111111"/>
          <w:sz w:val="28"/>
          <w:sz w:val="28"/>
          <w:szCs w:val="28"/>
          <w:rtl w:val="true"/>
          <w:lang w:bidi="fa-IR"/>
        </w:rPr>
        <w:t xml:space="preserve">علیه الإجماع </w:t>
      </w:r>
      <w:r>
        <w:rPr>
          <w:rStyle w:val="FootnoteAnchor"/>
          <w:rtl w:val="true"/>
        </w:rPr>
        <w:footnoteReference w:id="1566"/>
      </w:r>
      <w:r>
        <w:rPr>
          <w:rFonts w:ascii="IRNazanin" w:hAnsi="IRNazanin" w:eastAsia="IRNazanin"/>
          <w:color w:val="111111"/>
          <w:sz w:val="28"/>
          <w:sz w:val="28"/>
          <w:szCs w:val="28"/>
          <w:rtl w:val="true"/>
          <w:lang w:bidi="fa-IR"/>
        </w:rPr>
        <w:t xml:space="preserve">، و بها أخبار کثیرة </w:t>
      </w:r>
      <w:r>
        <w:rPr>
          <w:rStyle w:val="FootnoteAnchor"/>
          <w:rtl w:val="true"/>
        </w:rPr>
        <w:footnoteReference w:id="1567"/>
      </w:r>
      <w:r>
        <w:rPr>
          <w:rFonts w:ascii="IRNazanin" w:hAnsi="IRNazanin" w:eastAsia="IRNazanin"/>
          <w:color w:val="111111"/>
          <w:sz w:val="28"/>
          <w:sz w:val="28"/>
          <w:szCs w:val="28"/>
          <w:rtl w:val="true"/>
          <w:lang w:bidi="fa-IR"/>
        </w:rPr>
        <w:t xml:space="preserve">لا یعارضها خصوص روایة ابن محبوب </w:t>
      </w:r>
      <w:r>
        <w:rPr>
          <w:rStyle w:val="FootnoteAnchor"/>
          <w:rtl w:val="true"/>
        </w:rPr>
        <w:footnoteReference w:id="1568"/>
      </w:r>
      <w:r>
        <w:rPr>
          <w:rFonts w:ascii="IRNazanin" w:hAnsi="IRNazanin" w:eastAsia="IRNazanin"/>
          <w:color w:val="111111"/>
          <w:sz w:val="28"/>
          <w:sz w:val="28"/>
          <w:szCs w:val="28"/>
          <w:rtl w:val="true"/>
          <w:lang w:bidi="fa-IR"/>
        </w:rPr>
        <w:t>و لا 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Style w:val="FootnoteAnchor"/>
          <w:rtl w:val="true"/>
        </w:rPr>
        <w:footnoteReference w:id="1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الأخبار الواردة فی ناسی الاستنجاء </w:t>
      </w:r>
      <w:r>
        <w:rPr>
          <w:rStyle w:val="FootnoteAnchor"/>
          <w:rtl w:val="true"/>
        </w:rPr>
        <w:footnoteReference w:id="1570"/>
      </w:r>
      <w:r>
        <w:rPr>
          <w:rFonts w:ascii="IRNazanin" w:hAnsi="IRNazanin" w:eastAsia="IRNazanin"/>
          <w:color w:val="111111"/>
          <w:sz w:val="28"/>
          <w:sz w:val="28"/>
          <w:szCs w:val="28"/>
          <w:rtl w:val="true"/>
          <w:lang w:bidi="fa-IR"/>
        </w:rPr>
        <w:t>فإنّما تنفع المقام لو ثبت عدم الفصل فی المسألة، و لا یخلو عن تأمّل</w:t>
      </w:r>
      <w:r>
        <w:rPr>
          <w:rFonts w:eastAsia="IRNazanin" w:cs="IRNazanin"/>
          <w:color w:val="111111"/>
          <w:sz w:val="28"/>
          <w:szCs w:val="28"/>
          <w:rtl w:val="true"/>
          <w:lang w:bidi="fa-IR"/>
        </w:rPr>
        <w:t>.</w:t>
      </w:r>
    </w:p>
    <w:p>
      <w:pPr>
        <w:pStyle w:val="Heading6"/>
        <w:numPr>
          <w:ilvl w:val="5"/>
          <w:numId w:val="1"/>
        </w:numPr>
        <w:rPr/>
      </w:pPr>
      <w:bookmarkStart w:id="127" w:name="__RefHeading___Toc6618704_3224264995"/>
      <w:bookmarkStart w:id="128" w:name="_Toc47"/>
      <w:bookmarkEnd w:id="127"/>
      <w:r>
        <w:rPr>
          <w:rtl w:val="true"/>
        </w:rPr>
        <w:t>[</w:t>
      </w:r>
      <w:r>
        <w:rPr>
          <w:rtl w:val="true"/>
        </w:rPr>
        <w:t>حکم الجاهل</w:t>
      </w:r>
      <w:r>
        <w:rPr>
          <w:rtl w:val="true"/>
        </w:rPr>
        <w:t>]</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بالنجاسة فعلم بها بعد الصلاة، ففیها أقوال،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الإعادة فی الوقت خاصّة، 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الإعادة مع التقصیر فی ترک النظر مع الالتفات و احتمال وجود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محکیّ جماعة الإجماع </w:t>
      </w:r>
      <w:r>
        <w:rPr>
          <w:rStyle w:val="FootnoteAnchor"/>
          <w:rtl w:val="true"/>
        </w:rPr>
        <w:footnoteReference w:id="1571"/>
      </w:r>
      <w:r>
        <w:rPr>
          <w:rFonts w:ascii="IRNazanin" w:hAnsi="IRNazanin" w:eastAsia="IRNazanin"/>
          <w:color w:val="111111"/>
          <w:sz w:val="28"/>
          <w:sz w:val="28"/>
          <w:szCs w:val="28"/>
          <w:rtl w:val="true"/>
          <w:lang w:bidi="fa-IR"/>
        </w:rPr>
        <w:t xml:space="preserve">علی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w:t>
      </w:r>
      <w:r>
        <w:rPr>
          <w:rStyle w:val="FootnoteAnchor"/>
          <w:rtl w:val="true"/>
        </w:rPr>
        <w:footnoteReference w:id="1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هنا، و المحکیّ عن بعضهم ظاهر فی وجود المخالف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ما اختاره المصنّف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 بعض الأخبار </w:t>
      </w:r>
      <w:r>
        <w:rPr>
          <w:rStyle w:val="FootnoteAnchor"/>
          <w:rtl w:val="true"/>
        </w:rPr>
        <w:footnoteReference w:id="1574"/>
      </w:r>
      <w:r>
        <w:rPr>
          <w:rFonts w:ascii="IRNazanin" w:hAnsi="IRNazanin" w:eastAsia="IRNazanin"/>
          <w:color w:val="111111"/>
          <w:sz w:val="28"/>
          <w:sz w:val="28"/>
          <w:szCs w:val="28"/>
          <w:rtl w:val="true"/>
          <w:lang w:bidi="fa-IR"/>
        </w:rPr>
        <w:t xml:space="preserve">، و معارضها </w:t>
      </w:r>
      <w:r>
        <w:rPr>
          <w:rStyle w:val="FootnoteAnchor"/>
          <w:rtl w:val="true"/>
        </w:rPr>
        <w:footnoteReference w:id="1575"/>
      </w:r>
      <w:r>
        <w:rPr>
          <w:rFonts w:ascii="IRNazanin" w:hAnsi="IRNazanin" w:eastAsia="IRNazanin"/>
          <w:color w:val="111111"/>
          <w:sz w:val="28"/>
          <w:sz w:val="28"/>
          <w:szCs w:val="28"/>
          <w:rtl w:val="true"/>
          <w:lang w:bidi="fa-IR"/>
        </w:rPr>
        <w:t>أضعف منها و إن</w:t>
      </w:r>
    </w:p>
    <w:p>
      <w:pPr>
        <w:pStyle w:val="BookText"/>
        <w:rPr/>
      </w:pPr>
      <w:r>
        <w:rPr>
          <w:rFonts w:ascii="IRNazanin" w:hAnsi="IRNazanin" w:eastAsia="IRNazanin"/>
          <w:color w:val="111111"/>
          <w:sz w:val="28"/>
          <w:sz w:val="28"/>
          <w:szCs w:val="28"/>
          <w:rtl w:val="true"/>
          <w:lang w:bidi="fa-IR"/>
        </w:rPr>
        <w:t xml:space="preserve">اعتضدت بالإجماع المحکیّ عن الغنیة </w:t>
      </w:r>
      <w:r>
        <w:rPr>
          <w:rStyle w:val="FootnoteAnchor"/>
          <w:rtl w:val="true"/>
        </w:rPr>
        <w:footnoteReference w:id="1576"/>
      </w:r>
      <w:r>
        <w:rPr>
          <w:rFonts w:ascii="IRNazanin" w:hAnsi="IRNazanin" w:eastAsia="IRNazanin"/>
          <w:color w:val="111111"/>
          <w:sz w:val="28"/>
          <w:sz w:val="28"/>
          <w:szCs w:val="28"/>
          <w:rtl w:val="true"/>
          <w:lang w:bidi="fa-IR"/>
        </w:rPr>
        <w:t>، و لو سلّم التساقط فلا محیص عن الرجوع إلی العموم المذکور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مستند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الصیقل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أصابته جنابة باللیل فاغتسل و صلّی، فلمّا أصبح نظر فإذا فی ثوبه جنابة؟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یدع شیئاً إلّا و قد جعل له حدّا، إن کان حین قام نظر فلم یرَ شیئاً فلا إعادة علیه، و إن کان حین قام لم ینظر فعلیه الإعادة</w:t>
      </w:r>
      <w:r>
        <w:rPr>
          <w:rFonts w:eastAsia="IRNazanin" w:cs="IRNazanin"/>
          <w:color w:val="111111"/>
          <w:sz w:val="28"/>
          <w:szCs w:val="28"/>
          <w:rtl w:val="true"/>
          <w:lang w:bidi="fa-IR"/>
        </w:rPr>
        <w:t xml:space="preserve">» </w:t>
      </w:r>
      <w:r>
        <w:rPr>
          <w:rStyle w:val="FootnoteAnchor"/>
          <w:rtl w:val="true"/>
        </w:rPr>
        <w:footnoteReference w:id="1577"/>
      </w:r>
      <w:r>
        <w:rPr>
          <w:rFonts w:ascii="IRNazanin" w:hAnsi="IRNazanin" w:eastAsia="IRNazanin"/>
          <w:color w:val="111111"/>
          <w:sz w:val="28"/>
          <w:sz w:val="28"/>
          <w:szCs w:val="28"/>
          <w:rtl w:val="true"/>
          <w:lang w:bidi="fa-IR"/>
        </w:rPr>
        <w:t>و یؤیّدها تعلیل الإعادة فی بعض روایات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عقوبة لنسیانه کی یهتمّ بالشی‌ء إذا رآه فی ثوبه </w:t>
      </w:r>
      <w:r>
        <w:rPr>
          <w:rStyle w:val="FootnoteAnchor"/>
          <w:rtl w:val="true"/>
        </w:rPr>
        <w:footnoteReference w:id="1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وجوب الإعادة علی من غسلت ثوبه الجاریة فلم تبالغ فی غسله حیث قال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کنت أنت الذی غسلت لم یکن علیک إعادة</w:t>
      </w:r>
      <w:r>
        <w:rPr>
          <w:rFonts w:eastAsia="IRNazanin" w:cs="IRNazanin"/>
          <w:color w:val="111111"/>
          <w:sz w:val="28"/>
          <w:szCs w:val="28"/>
          <w:rtl w:val="true"/>
          <w:lang w:bidi="fa-IR"/>
        </w:rPr>
        <w:t xml:space="preserve">» </w:t>
      </w:r>
      <w:r>
        <w:rPr>
          <w:rStyle w:val="FootnoteAnchor"/>
          <w:rtl w:val="true"/>
        </w:rPr>
        <w:footnoteReference w:id="1579"/>
      </w:r>
      <w:r>
        <w:rPr>
          <w:rFonts w:ascii="IRNazanin" w:hAnsi="IRNazanin" w:eastAsia="IRNazanin"/>
          <w:color w:val="111111"/>
          <w:sz w:val="28"/>
          <w:sz w:val="28"/>
          <w:szCs w:val="28"/>
          <w:rtl w:val="true"/>
          <w:lang w:bidi="fa-IR"/>
        </w:rPr>
        <w:t>بناءً علی أنّ المراد نفی الإعادة لو رآه یابساً بعد ما کان باشر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رأیت المنیّ قبل أو بعد ما تدخل فی الصلاة فعلیک إعادة الصلاة، و إن أنت نظرت فی ثوبک فلم تصبه ثمّ صلّیت فیه ثمّ رأیت بعد فلا إعادة علیک، فکذلک البول</w:t>
      </w:r>
      <w:r>
        <w:rPr>
          <w:rFonts w:eastAsia="IRNazanin" w:cs="IRNazanin"/>
          <w:color w:val="111111"/>
          <w:sz w:val="28"/>
          <w:szCs w:val="28"/>
          <w:rtl w:val="true"/>
          <w:lang w:bidi="fa-IR"/>
        </w:rPr>
        <w:t xml:space="preserve">» </w:t>
      </w:r>
      <w:r>
        <w:rPr>
          <w:rStyle w:val="FootnoteAnchor"/>
          <w:rtl w:val="true"/>
        </w:rPr>
        <w:footnoteReference w:id="1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ما هو صریح من هذه الروایات غیر نقیّة السند، و ما هو نقیّ السند غیر صریحة بل و لا ظاهرة؛ و مع ذلک فهی معارضة بما یظهر من</w:t>
      </w:r>
      <w:bookmarkStart w:id="129" w:name="pg16911_259727"/>
    </w:p>
    <w:p>
      <w:pPr>
        <w:pStyle w:val="BookText"/>
        <w:rPr/>
      </w:pPr>
      <w:bookmarkEnd w:id="129"/>
      <w:r>
        <w:rPr>
          <w:rFonts w:ascii="IRNazanin" w:hAnsi="IRNazanin" w:eastAsia="IRNazanin"/>
          <w:color w:val="111111"/>
          <w:sz w:val="28"/>
          <w:sz w:val="28"/>
          <w:szCs w:val="28"/>
          <w:rtl w:val="true"/>
          <w:lang w:bidi="fa-IR"/>
        </w:rPr>
        <w:t xml:space="preserve">صحیحة زرارة الطویلة </w:t>
      </w:r>
      <w:r>
        <w:rPr>
          <w:rStyle w:val="FootnoteAnchor"/>
          <w:rtl w:val="true"/>
        </w:rPr>
        <w:footnoteReference w:id="1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وجوب الفحص إذا شکّ فی إصابة النجاسة و انحصار ثمرة النظر و الفحص بذهاب الشکّ العارض للإنسان الموجب لعدم حضور القلب فی العبادة من جهة تشویش البال، فلو کان له ثمرة فی الإعادة و عدمها عند انکشاف الحال کان التنبیه علیه مناسباً، بل کان الأولی الأمر بالنظر إرشاداً لئلّا یقع فی کلفة الإعادة، کما أمر بالاستبراء لئلّا یقع فی إعادة الوضوء و الغسل و غسل الثوب عن البلل المشتبه الخارج بعد البول أو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فتعلیل عدم الإعادة فی الصحیحة المذکورة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لأنّک کنت علی یقین من طهارتک فشککت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انحصار علّة عدم الإعادة بإیقاع العمل علی ظنّ التکلیف الظاهری من غیر مدخلیّة للفحص و النظر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الظهور المستفاد من الروایات المتقدّمة مع ضعفها و معارضتها بما عرفت لا ینهض لتقیید إطلاقات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یعلم الجاهل بالنجاسة إلّا بعد الفراغ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أمکنه الإزالة أو الاستبدال من دون الاشتغال بشی‌ء من أجزاء الصلاة أو حصول مبطل أزال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استبدل، و لو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الاستبدال و الإزالة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بالمبطل أبطل</w:t>
      </w:r>
      <w:r>
        <w:rPr>
          <w:rFonts w:eastAsia="IRNazanin" w:cs="IRNazanin"/>
          <w:color w:val="111111"/>
          <w:sz w:val="28"/>
          <w:szCs w:val="28"/>
          <w:rtl w:val="true"/>
          <w:lang w:bidi="fa-IR"/>
        </w:rPr>
        <w:t>.)</w:t>
      </w:r>
    </w:p>
    <w:p>
      <w:pPr>
        <w:pStyle w:val="Heading5"/>
        <w:numPr>
          <w:ilvl w:val="4"/>
          <w:numId w:val="1"/>
        </w:numPr>
        <w:rPr/>
      </w:pPr>
      <w:bookmarkStart w:id="130" w:name="__RefHeading___Toc6618706_3224264995"/>
      <w:bookmarkStart w:id="131" w:name="_Toc48"/>
      <w:bookmarkEnd w:id="130"/>
      <w:r>
        <w:rPr>
          <w:rtl w:val="true"/>
        </w:rPr>
        <w:t>[</w:t>
      </w:r>
      <w:r>
        <w:rPr>
          <w:rtl w:val="true"/>
        </w:rPr>
        <w:t>لو نجس الثوب و لیس له غیره</w:t>
      </w:r>
      <w:r>
        <w:rPr>
          <w:rtl w:val="true"/>
        </w:rPr>
        <w:t>]</w:t>
      </w:r>
      <w:bookmarkEnd w:id="13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نجس الثوب و لیس له غیره صلّی عاریاً </w:t>
      </w:r>
      <w:r>
        <w:rPr>
          <w:rStyle w:val="FootnoteAnchor"/>
          <w:rtl w:val="true"/>
        </w:rPr>
        <w:footnoteReference w:id="1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بل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علیه فی الخلاف </w:t>
      </w:r>
      <w:r>
        <w:rPr>
          <w:rStyle w:val="FootnoteAnchor"/>
          <w:rtl w:val="true"/>
        </w:rPr>
        <w:footnoteReference w:id="1583"/>
      </w:r>
      <w:r>
        <w:rPr>
          <w:rFonts w:ascii="IRNazanin" w:hAnsi="IRNazanin" w:eastAsia="IRNazanin"/>
          <w:color w:val="111111"/>
          <w:sz w:val="28"/>
          <w:sz w:val="28"/>
          <w:szCs w:val="28"/>
          <w:rtl w:val="true"/>
          <w:lang w:bidi="fa-IR"/>
        </w:rPr>
        <w:t>لإطلاق النهی عن الصلاة فی</w:t>
      </w:r>
    </w:p>
    <w:p>
      <w:pPr>
        <w:pStyle w:val="BookText"/>
        <w:rPr/>
      </w:pPr>
      <w:r>
        <w:rPr>
          <w:rFonts w:ascii="IRNazanin" w:hAnsi="IRNazanin" w:eastAsia="IRNazanin"/>
          <w:color w:val="111111"/>
          <w:sz w:val="28"/>
          <w:sz w:val="28"/>
          <w:szCs w:val="28"/>
          <w:rtl w:val="true"/>
          <w:lang w:bidi="fa-IR"/>
        </w:rPr>
        <w:t xml:space="preserve">النجس </w:t>
      </w:r>
      <w:r>
        <w:rPr>
          <w:rStyle w:val="FootnoteAnchor"/>
          <w:rtl w:val="true"/>
        </w:rPr>
        <w:footnoteReference w:id="1584"/>
      </w:r>
      <w:r>
        <w:rPr>
          <w:rFonts w:ascii="IRNazanin" w:hAnsi="IRNazanin" w:eastAsia="IRNazanin"/>
          <w:color w:val="111111"/>
          <w:sz w:val="28"/>
          <w:sz w:val="28"/>
          <w:szCs w:val="28"/>
          <w:rtl w:val="true"/>
          <w:lang w:bidi="fa-IR"/>
        </w:rPr>
        <w:t>، و الأخبار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یکون فی فلاة من الأرض و لیس علیه إلّا ثوب واحد و أجنب فیه و لیس عنده ماء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و یصلّی عریاناً قاعداً یومی إیماءً</w:t>
      </w:r>
      <w:r>
        <w:rPr>
          <w:rFonts w:eastAsia="IRNazanin" w:cs="IRNazanin"/>
          <w:color w:val="111111"/>
          <w:sz w:val="28"/>
          <w:szCs w:val="28"/>
          <w:rtl w:val="true"/>
          <w:lang w:bidi="fa-IR"/>
        </w:rPr>
        <w:t xml:space="preserve">» </w:t>
      </w:r>
      <w:r>
        <w:rPr>
          <w:rStyle w:val="FootnoteAnchor"/>
          <w:rtl w:val="true"/>
        </w:rPr>
        <w:footnoteReference w:id="1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مضمر آخر، إلّا أنّ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یصلّی قائماً یومی إیماءً</w:t>
      </w:r>
      <w:r>
        <w:rPr>
          <w:rFonts w:eastAsia="Amiri" w:cs="Amiri" w:ascii="Amiri" w:hAnsi="Amiri"/>
          <w:color w:val="111111"/>
          <w:sz w:val="28"/>
          <w:szCs w:val="28"/>
          <w:rtl w:val="true"/>
          <w:lang w:bidi="ar-SA"/>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الجواب عن إطلاق النهی عن الصلاة فی النجس بمعارضته بإطلاق أدلّة اعتبار الستر و المنع عن الصلاة عاریاً </w:t>
      </w:r>
      <w:r>
        <w:rPr>
          <w:rStyle w:val="FootnoteAnchor"/>
          <w:rtl w:val="true"/>
        </w:rPr>
        <w:footnoteReference w:id="1587"/>
      </w:r>
      <w:r>
        <w:rPr>
          <w:rFonts w:ascii="IRNazanin" w:hAnsi="IRNazanin" w:eastAsia="IRNazanin"/>
          <w:color w:val="111111"/>
          <w:sz w:val="28"/>
          <w:sz w:val="28"/>
          <w:szCs w:val="28"/>
          <w:rtl w:val="true"/>
          <w:lang w:bidi="fa-IR"/>
        </w:rPr>
        <w:t>مع أنّ فقد الساتر أسوأ من فقد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الأخبار بمعارضتها بأقوی منها سنداً و عدداً،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ابن جعفر المرویّة فی التهذیب و الفقیه و قرب الإسناد عن أخیه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عریان و حضرت الصلاة و أصاب ثوباً بعضه دم أو کلّه دم، یصلّی فیه أو یصلّی عریاناً؟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ماءً غسله و إن لم یجد ماءً صلّی فیه و لم یصلّ عریاناً</w:t>
      </w:r>
      <w:r>
        <w:rPr>
          <w:rFonts w:eastAsia="IRNazanin" w:cs="IRNazanin"/>
          <w:color w:val="111111"/>
          <w:sz w:val="28"/>
          <w:szCs w:val="28"/>
          <w:rtl w:val="true"/>
          <w:lang w:bidi="fa-IR"/>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التفصی عن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أدلّة الستر قد قیّدت بالساتر الطاهر،</w:t>
      </w:r>
    </w:p>
    <w:p>
      <w:pPr>
        <w:pStyle w:val="BookText"/>
        <w:rPr/>
      </w:pPr>
      <w:r>
        <w:rPr>
          <w:rFonts w:ascii="IRNazanin" w:hAnsi="IRNazanin" w:eastAsia="IRNazanin"/>
          <w:color w:val="111111"/>
          <w:sz w:val="28"/>
          <w:sz w:val="28"/>
          <w:szCs w:val="28"/>
          <w:rtl w:val="true"/>
          <w:lang w:bidi="fa-IR"/>
        </w:rPr>
        <w:t xml:space="preserve">و المفروض أنّه غیر متمکّن منه فیسقط، و لا معنی لمراعاة المطلق بعد العجز عن المقیّد، إلّا إذا اختصّت الشرطیّة و التقیید بحال الاختیار، و هو ممنوع فی المقام؛ لإطلاق أدلّة اعتبار طهارة الساتر و غیره من لباس المصلی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یظهر ضعف ما ذکر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فوات الساتر أسوأ من فقد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وجود إطلاقٍ فی أدلّة الستر بحیث ینفع فی المقام ممنوع، و الإجماع علی اعتباره کبعض الأخبار </w:t>
      </w:r>
      <w:r>
        <w:rPr>
          <w:rStyle w:val="FootnoteAnchor"/>
          <w:rtl w:val="true"/>
        </w:rPr>
        <w:footnoteReference w:id="1590"/>
      </w:r>
      <w:r>
        <w:rPr>
          <w:rFonts w:ascii="IRNazanin" w:hAnsi="IRNazanin" w:eastAsia="IRNazanin"/>
          <w:color w:val="111111"/>
          <w:sz w:val="28"/>
          <w:sz w:val="28"/>
          <w:szCs w:val="28"/>
          <w:rtl w:val="true"/>
          <w:lang w:bidi="fa-IR"/>
        </w:rPr>
        <w:t>مخصّص بما إذا تمکّن من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أدلّة الرکوع و السجود، فهی مختصّة بالمستور دون العاری، فالرکوع الحقیقی واجب مشروط بعدم العری، فیرجع الأمر بالأخرة إلی تعارض أدلّة الستر و طهارة اللباس، مع أنّه قد لا یلزم خلل فی الرکوع کما لو دار الأمر بین ستر رأس المرأة بالنجس و بین صلاتها مکشوفة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الستر غیر مفقود فی صلاة العاری إذا صلّی مجتمعاً جالساً فقد ستر عورته، إلّا أنّه یفوته الرکوع و السجود؛ و لذا قیل </w:t>
      </w:r>
      <w:r>
        <w:rPr>
          <w:rStyle w:val="FootnoteAnchor"/>
          <w:rtl w:val="true"/>
        </w:rPr>
        <w:footnoteReference w:id="1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أدلّة وجوب الإیماء علی العاری </w:t>
      </w:r>
      <w:r>
        <w:rPr>
          <w:rStyle w:val="FootnoteAnchor"/>
          <w:rtl w:val="true"/>
        </w:rPr>
        <w:footnoteReference w:id="1592"/>
      </w:r>
      <w:r>
        <w:rPr>
          <w:rFonts w:ascii="IRNazanin" w:hAnsi="IRNazanin" w:eastAsia="IRNazanin"/>
          <w:color w:val="111111"/>
          <w:sz w:val="28"/>
          <w:sz w:val="28"/>
          <w:szCs w:val="28"/>
          <w:rtl w:val="true"/>
          <w:lang w:bidi="fa-IR"/>
        </w:rPr>
        <w:t>دلیل علی وجوب الستر؛ لأنّ الشارع أهمل الرکوع و السجود لاعتبار الستر، فتأمّل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الأخبار فبترجیح الأخبار السابقة بالشهرة و الإجماع المنقول، مضافاً إلی إمکان حملها علی ما إذا لم یتمکّن من نزع الثوب لبرد أو نحو ذلک، کما یشهد به روایة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w:t>
      </w:r>
    </w:p>
    <w:p>
      <w:pPr>
        <w:pStyle w:val="BookText"/>
        <w:rPr/>
      </w:pPr>
      <w:r>
        <w:rPr>
          <w:rFonts w:ascii="IRNazanin" w:hAnsi="IRNazanin" w:eastAsia="IRNazanin"/>
          <w:color w:val="111111"/>
          <w:sz w:val="28"/>
          <w:sz w:val="28"/>
          <w:szCs w:val="28"/>
          <w:rtl w:val="true"/>
          <w:lang w:bidi="fa-IR"/>
        </w:rPr>
        <w:t>عن الرجل یجنب فی الثوب أو یصیبه بول و لیس معه ثوب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فیه إذا اضطرّ إلیه</w:t>
      </w:r>
      <w:r>
        <w:rPr>
          <w:rFonts w:eastAsia="IRNazanin" w:cs="IRNazanin"/>
          <w:color w:val="111111"/>
          <w:sz w:val="28"/>
          <w:szCs w:val="28"/>
          <w:rtl w:val="true"/>
          <w:lang w:bidi="fa-IR"/>
        </w:rPr>
        <w:t xml:space="preserve">» </w:t>
      </w:r>
      <w:r>
        <w:rPr>
          <w:rStyle w:val="FootnoteAnchor"/>
          <w:rtl w:val="true"/>
        </w:rPr>
        <w:footnoteReference w:id="1593"/>
      </w:r>
      <w:r>
        <w:rPr>
          <w:rFonts w:ascii="IRNazanin" w:hAnsi="IRNazanin" w:eastAsia="IRNazanin"/>
          <w:color w:val="111111"/>
          <w:sz w:val="28"/>
          <w:sz w:val="28"/>
          <w:szCs w:val="28"/>
          <w:rtl w:val="true"/>
          <w:lang w:bidi="fa-IR"/>
        </w:rPr>
        <w:t>فإنّ الظاهر أنّ المراد بالاضطرار الاضطرار العادی من جهة بردٍ و نحوه، فیکون قیداً للحکم، لا الاضطرار الشرعی من جهة فقد الساتر لیکون تحقیقاً لمورد السؤال،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معه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الإجماع منعقد علی اعتبار الساتر إلّا أن یمنع عنه مانع عقلی أو شرعی، و الطهارة لیست شرطاً فی الساتر من حیث کونه ساتراً حتّی یکون الشرط راجعاً إلی شی‌ء واحد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الستر بشی‌ء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هو شرط فی مطلق اللباس من حیث کونه ملبوساً أو مصاحباً أو محمولًا، لا لنقص فیها من حیث الستر أصلًا، و اللازم من ذلک تعارض أدلّة الستر و طهارة اللباس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عمومات الرکوع و السجود قد عرفت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فاللازم ملاحظة الأخبار، و حملها علی التخییر کما ذهب إلیه جماعة، منهم المصنّف رحمه اللّٰه </w:t>
      </w:r>
      <w:r>
        <w:rPr>
          <w:rStyle w:val="FootnoteAnchor"/>
          <w:rtl w:val="true"/>
        </w:rPr>
        <w:footnoteReference w:id="1594"/>
      </w:r>
      <w:r>
        <w:rPr>
          <w:rFonts w:ascii="Amiri" w:hAnsi="Amiri" w:eastAsia="Amiri" w:cs="Amiri"/>
          <w:color w:val="111111"/>
          <w:sz w:val="28"/>
          <w:sz w:val="28"/>
          <w:szCs w:val="28"/>
          <w:rtl w:val="true"/>
          <w:lang w:bidi="ar-SA"/>
        </w:rPr>
        <w:t xml:space="preserve">و المحقّق </w:t>
      </w:r>
      <w:r>
        <w:rPr>
          <w:rStyle w:val="FootnoteAnchor"/>
          <w:rtl w:val="true"/>
        </w:rPr>
        <w:footnoteReference w:id="1595"/>
      </w:r>
      <w:r>
        <w:rPr>
          <w:rFonts w:ascii="IRNazanin" w:hAnsi="IRNazanin" w:eastAsia="IRNazanin"/>
          <w:color w:val="111111"/>
          <w:sz w:val="28"/>
          <w:sz w:val="28"/>
          <w:szCs w:val="28"/>
          <w:rtl w:val="true"/>
          <w:lang w:bidi="fa-IR"/>
        </w:rPr>
        <w:t xml:space="preserve">و الشهید الثانی فی المسالک </w:t>
      </w:r>
      <w:r>
        <w:rPr>
          <w:rStyle w:val="FootnoteAnchor"/>
          <w:rtl w:val="true"/>
        </w:rPr>
        <w:footnoteReference w:id="1596"/>
      </w:r>
      <w:r>
        <w:rPr>
          <w:rFonts w:ascii="IRNazanin" w:hAnsi="IRNazanin" w:eastAsia="IRNazanin"/>
          <w:color w:val="111111"/>
          <w:sz w:val="28"/>
          <w:sz w:val="28"/>
          <w:szCs w:val="28"/>
          <w:rtl w:val="true"/>
          <w:lang w:bidi="fa-IR"/>
        </w:rPr>
        <w:t>بعید؛ لأنّه طرح لظاهرها، إلّا أن یریدوا التخییر الظاهری من جهة التعارض لا الواقعی بواسطة الحمل، و هو بعید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فیتعیّن الترجیح، و المرجّح الداخلی مع أخبار الصلاة فی الثوب النجس، و الخارجی مع الأخبار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شهادة روایة الحلبی</w:t>
      </w:r>
    </w:p>
    <w:p>
      <w:pPr>
        <w:pStyle w:val="BookText"/>
        <w:rPr/>
      </w:pPr>
      <w:r>
        <w:rPr>
          <w:rFonts w:ascii="Amiri" w:hAnsi="Amiri" w:eastAsia="Amiri" w:cs="Amiri"/>
          <w:color w:val="111111"/>
          <w:sz w:val="28"/>
          <w:sz w:val="28"/>
          <w:szCs w:val="28"/>
          <w:rtl w:val="true"/>
          <w:lang w:bidi="ar-SA"/>
        </w:rPr>
        <w:t xml:space="preserve">بحمل الأخبار الأوّلة </w:t>
      </w:r>
      <w:r>
        <w:rPr>
          <w:rStyle w:val="FootnoteAnchor"/>
          <w:rtl w:val="true"/>
        </w:rPr>
        <w:footnoteReference w:id="1597"/>
      </w:r>
      <w:r>
        <w:rPr>
          <w:rFonts w:ascii="IRNazanin" w:hAnsi="IRNazanin" w:eastAsia="IRNazanin"/>
          <w:color w:val="111111"/>
          <w:sz w:val="28"/>
          <w:sz w:val="28"/>
          <w:szCs w:val="28"/>
          <w:rtl w:val="true"/>
          <w:lang w:bidi="fa-IR"/>
        </w:rPr>
        <w:t>علی صورة الاضطرار، یأبی عنه روایة علیّ بن جعفر المتقدّمة کما لا یخفی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فالمسألة محلّ إشکال، و لکن قول المشهور لا یخلو عن قوّة</w:t>
      </w:r>
      <w:r>
        <w:rPr>
          <w:rFonts w:eastAsia="IRNazanin" w:cs="IRNazanin"/>
          <w:color w:val="111111"/>
          <w:sz w:val="28"/>
          <w:szCs w:val="28"/>
          <w:rtl w:val="true"/>
          <w:lang w:bidi="fa-IR"/>
        </w:rPr>
        <w:t>.</w:t>
      </w:r>
      <w:bookmarkStart w:id="132" w:name="pg16911_259733"/>
    </w:p>
    <w:p>
      <w:pPr>
        <w:pStyle w:val="Heading4"/>
        <w:numPr>
          <w:ilvl w:val="3"/>
          <w:numId w:val="1"/>
        </w:numPr>
        <w:rPr/>
      </w:pPr>
      <w:bookmarkStart w:id="133" w:name="__RefHeading___Toc6618708_3224264995"/>
      <w:bookmarkStart w:id="134" w:name="_Toc49"/>
      <w:bookmarkEnd w:id="132"/>
      <w:bookmarkEnd w:id="133"/>
      <w:r>
        <w:rPr>
          <w:rtl w:val="true"/>
        </w:rPr>
        <w:t>[</w:t>
      </w:r>
      <w:r>
        <w:rPr>
          <w:rtl w:val="true"/>
        </w:rPr>
        <w:t>المطهِّرات</w:t>
      </w:r>
      <w:r>
        <w:rPr>
          <w:rtl w:val="true"/>
        </w:rPr>
        <w:t>]</w:t>
      </w:r>
      <w:bookmarkEnd w:id="134"/>
    </w:p>
    <w:p>
      <w:pPr>
        <w:pStyle w:val="Heading5"/>
        <w:numPr>
          <w:ilvl w:val="4"/>
          <w:numId w:val="1"/>
        </w:numPr>
        <w:rPr/>
      </w:pPr>
      <w:bookmarkStart w:id="135" w:name="__RefHeading___Toc6618710_3224264995"/>
      <w:bookmarkStart w:id="136" w:name="_Toc50"/>
      <w:bookmarkEnd w:id="135"/>
      <w:r>
        <w:rPr>
          <w:rtl w:val="true"/>
        </w:rPr>
        <w:t>اشارة</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المطهِّرات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6618712_3224264995"/>
      <w:bookmarkStart w:id="138" w:name="_Toc51"/>
      <w:bookmarkEnd w:id="137"/>
      <w:r>
        <w:rPr>
          <w:rtl w:val="true"/>
        </w:rPr>
        <w:t>[</w:t>
      </w:r>
      <w:r>
        <w:rPr/>
        <w:t>1</w:t>
      </w:r>
      <w:r>
        <w:rPr>
          <w:rtl w:val="true"/>
        </w:rPr>
        <w:t xml:space="preserve">- </w:t>
      </w:r>
      <w:r>
        <w:rPr>
          <w:rtl w:val="true"/>
        </w:rPr>
        <w:t>مطهّریة الشمس</w:t>
      </w:r>
      <w:r>
        <w:rPr>
          <w:rtl w:val="true"/>
        </w:rPr>
        <w:t>]</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تطهّر الشمس ما تجفّفه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بنفسها أو بمعونة الهواء بحیث یسند التجفیف إلیها، و إلّا فلا یخلو الهواء عن الإعانة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البول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النجاسات التی تزول عنها بالجفاف لعدم جرم لها، و عن المقنعة </w:t>
      </w:r>
      <w:r>
        <w:rPr>
          <w:rStyle w:val="FootnoteAnchor"/>
          <w:rtl w:val="true"/>
        </w:rPr>
        <w:footnoteReference w:id="1599"/>
      </w:r>
      <w:r>
        <w:rPr>
          <w:rFonts w:ascii="IRNazanin" w:hAnsi="IRNazanin" w:eastAsia="IRNazanin"/>
          <w:color w:val="111111"/>
          <w:sz w:val="28"/>
          <w:sz w:val="28"/>
          <w:szCs w:val="28"/>
          <w:rtl w:val="true"/>
          <w:lang w:bidi="fa-IR"/>
        </w:rPr>
        <w:t xml:space="preserve">و الخلاف </w:t>
      </w:r>
      <w:r>
        <w:rPr>
          <w:rStyle w:val="FootnoteAnchor"/>
          <w:rtl w:val="true"/>
        </w:rPr>
        <w:footnoteReference w:id="1600"/>
      </w:r>
      <w:r>
        <w:rPr>
          <w:rFonts w:ascii="IRNazanin" w:hAnsi="IRNazanin" w:eastAsia="IRNazanin"/>
          <w:color w:val="111111"/>
          <w:sz w:val="28"/>
          <w:sz w:val="28"/>
          <w:szCs w:val="28"/>
          <w:rtl w:val="true"/>
          <w:lang w:bidi="fa-IR"/>
        </w:rPr>
        <w:t xml:space="preserve">و المراسم </w:t>
      </w:r>
      <w:r>
        <w:rPr>
          <w:rStyle w:val="FootnoteAnchor"/>
          <w:rtl w:val="true"/>
        </w:rPr>
        <w:footnoteReference w:id="1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علی البول، و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الحکم به؛ لأنّه المنصوص </w:t>
      </w:r>
      <w:r>
        <w:rPr>
          <w:rStyle w:val="FootnoteAnchor"/>
          <w:rtl w:val="true"/>
        </w:rPr>
        <w:footnoteReference w:id="1602"/>
      </w:r>
      <w:r>
        <w:rPr>
          <w:rFonts w:ascii="IRNazanin" w:hAnsi="IRNazanin" w:eastAsia="IRNazanin"/>
          <w:color w:val="111111"/>
          <w:sz w:val="28"/>
          <w:sz w:val="28"/>
          <w:szCs w:val="28"/>
          <w:rtl w:val="true"/>
          <w:lang w:bidi="fa-IR"/>
        </w:rPr>
        <w:t xml:space="preserve">بناءً علی ضعف روایة عمّار الآتیة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المشهور التعمیم، کما عن المهذّب </w:t>
      </w:r>
      <w:r>
        <w:rPr>
          <w:rStyle w:val="FootnoteAnchor"/>
          <w:rtl w:val="true"/>
        </w:rPr>
        <w:footnoteReference w:id="1604"/>
      </w:r>
      <w:r>
        <w:rPr>
          <w:rFonts w:ascii="IRNazanin" w:hAnsi="IRNazanin" w:eastAsia="IRNazanin"/>
          <w:color w:val="111111"/>
          <w:sz w:val="28"/>
          <w:sz w:val="28"/>
          <w:szCs w:val="28"/>
          <w:rtl w:val="true"/>
          <w:lang w:bidi="fa-IR"/>
        </w:rPr>
        <w:t>و غیره، بل عن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 xml:space="preserve">لا خلاف فی أنّ الشمس إذا جفّفت ما لا صورة له من النجاسات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 و البواری و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ثابت، یجوز الصلاة علیها، إنّما الخلاف فی طهارتها، فابن الجنید و الراوندی علی نفیها </w:t>
      </w:r>
      <w:r>
        <w:rPr>
          <w:rStyle w:val="FootnoteAnchor"/>
          <w:rtl w:val="true"/>
        </w:rPr>
        <w:footnoteReference w:id="160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معقده یشمل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الأبنیة و النبات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عموم روایة أبی بکر الحضرمی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أشرقت علیه الشمس فقد طهر</w:t>
      </w:r>
      <w:r>
        <w:rPr>
          <w:rFonts w:eastAsia="IRNazanin" w:cs="IRNazanin"/>
          <w:color w:val="111111"/>
          <w:sz w:val="28"/>
          <w:szCs w:val="28"/>
          <w:rtl w:val="true"/>
          <w:lang w:bidi="fa-IR"/>
        </w:rPr>
        <w:t xml:space="preserve">» </w:t>
      </w:r>
      <w:r>
        <w:rPr>
          <w:rStyle w:val="FootnoteAnchor"/>
          <w:rtl w:val="true"/>
        </w:rPr>
        <w:footnoteReference w:id="1606"/>
      </w:r>
      <w:r>
        <w:rPr>
          <w:rFonts w:ascii="IRNazanin" w:hAnsi="IRNazanin" w:eastAsia="IRNazanin"/>
          <w:color w:val="111111"/>
          <w:sz w:val="28"/>
          <w:sz w:val="28"/>
          <w:szCs w:val="28"/>
          <w:rtl w:val="true"/>
          <w:lang w:bidi="fa-IR"/>
        </w:rPr>
        <w:t>و خصوص موثّقة عمّار سئل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الموضع القذر یکون فی البیت أو غیره فلا تصیبه الشمس و لکنّه قد یبس الموضع القذر؟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علیه، و أعلم موضعه حتّی تغسله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الشمس هل تطهّر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الموضع قذراً من البول أو غیر ذلک فأصابته الشمس ثمّ یبس الموضع فالصلاة علی الموضع جائزة، و إن أصابته الشمس و لم ییبس الموضع القذر و کان رطباً فلا یجوز الصلاة علیه حتّی ییبس، و إن کانت رجلک رطبة أو جبهتک رطبة أو غیر ذلک منک ما یصیب ذلک الموضع القذر فلا تصلّ علی ذلک الموضع القذر حتّی ییبس، و إن کان غیر الشمس أصابه حتّی ییبس، فإنّه لا یجوز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607"/>
      </w:r>
      <w:r>
        <w:rPr>
          <w:rFonts w:ascii="IRNazanin" w:hAnsi="IRNazanin" w:eastAsia="IRNazanin"/>
          <w:color w:val="111111"/>
          <w:sz w:val="28"/>
          <w:sz w:val="28"/>
          <w:szCs w:val="28"/>
          <w:rtl w:val="true"/>
          <w:lang w:bidi="fa-IR"/>
        </w:rPr>
        <w:t>و ضعفها لو کان منجبر بما عرفت، مع أنّ الظاهر أخذ الروایة من کتب بنی فضّال الذین قال العسکری فی حقّهم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رووا و ذروا ما رأوا</w:t>
      </w:r>
      <w:r>
        <w:rPr>
          <w:rFonts w:eastAsia="IRNazanin" w:cs="IRNazanin"/>
          <w:color w:val="111111"/>
          <w:sz w:val="28"/>
          <w:szCs w:val="28"/>
          <w:rtl w:val="true"/>
          <w:lang w:bidi="fa-IR"/>
        </w:rPr>
        <w:t xml:space="preserve">»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استثنی الشیخ الخمر من النجاسات </w:t>
      </w:r>
      <w:r>
        <w:rPr>
          <w:rStyle w:val="FootnoteAnchor"/>
          <w:rtl w:val="true"/>
        </w:rPr>
        <w:footnoteReference w:id="1609"/>
      </w:r>
      <w:r>
        <w:rPr>
          <w:rFonts w:ascii="IRNazanin" w:hAnsi="IRNazanin" w:eastAsia="IRNazanin"/>
          <w:color w:val="111111"/>
          <w:sz w:val="28"/>
          <w:sz w:val="28"/>
          <w:szCs w:val="28"/>
          <w:rtl w:val="true"/>
          <w:lang w:bidi="fa-IR"/>
        </w:rPr>
        <w:t>و وجهه واضح؛ لأنّ جِرمها یبقی بعد الجفاف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مقتضی عموم روایة الحضرمی المتقدّمة المعتضدة بنفی الخلاف المتقدّم عن التنقیح </w:t>
      </w:r>
      <w:r>
        <w:rPr>
          <w:rStyle w:val="FootnoteAnchor"/>
          <w:rtl w:val="true"/>
        </w:rPr>
        <w:footnoteReference w:id="1610"/>
      </w:r>
      <w:r>
        <w:rPr>
          <w:rFonts w:ascii="IRNazanin" w:hAnsi="IRNazanin" w:eastAsia="IRNazanin"/>
          <w:color w:val="111111"/>
          <w:sz w:val="28"/>
          <w:sz w:val="28"/>
          <w:szCs w:val="28"/>
          <w:rtl w:val="true"/>
          <w:lang w:bidi="fa-IR"/>
        </w:rPr>
        <w:t xml:space="preserve">المعتضد بالشهرة المحکیّة </w:t>
      </w:r>
      <w:r>
        <w:rPr>
          <w:rStyle w:val="FootnoteAnchor"/>
          <w:rtl w:val="true"/>
        </w:rPr>
        <w:footnoteReference w:id="1611"/>
      </w:r>
      <w:r>
        <w:rPr>
          <w:rFonts w:ascii="IRNazanin" w:hAnsi="IRNazanin" w:eastAsia="IRNazanin"/>
          <w:color w:val="111111"/>
          <w:sz w:val="28"/>
          <w:sz w:val="28"/>
          <w:szCs w:val="28"/>
          <w:rtl w:val="true"/>
          <w:lang w:bidi="fa-IR"/>
        </w:rPr>
        <w:t>عموم الحکم للأرض و الحصر و البواری و ما لا ینقل، و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 الثلاثة الأُوَل </w:t>
      </w:r>
      <w:r>
        <w:rPr>
          <w:rStyle w:val="FootnoteAnchor"/>
          <w:rtl w:val="true"/>
        </w:rPr>
        <w:footnoteReference w:id="1612"/>
      </w:r>
      <w:r>
        <w:rPr>
          <w:rFonts w:ascii="IRNazanin" w:hAnsi="IRNazanin" w:eastAsia="IRNazanin"/>
          <w:color w:val="111111"/>
          <w:sz w:val="28"/>
          <w:sz w:val="28"/>
          <w:szCs w:val="28"/>
          <w:rtl w:val="true"/>
          <w:lang w:bidi="fa-IR"/>
        </w:rPr>
        <w:t>، و عن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المتأخّرین عمّموا الحکم لما لا ینقل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یظهر ضعف تخصیص الحکم بالحُصُر و البواری مع التنصیص علی أنّ غیرهما لا یطهر کما عن المهذّب </w:t>
      </w:r>
      <w:r>
        <w:rPr>
          <w:rStyle w:val="FootnoteAnchor"/>
          <w:rtl w:val="true"/>
        </w:rPr>
        <w:footnoteReference w:id="1614"/>
      </w:r>
      <w:r>
        <w:rPr>
          <w:rFonts w:ascii="IRNazanin" w:hAnsi="IRNazanin" w:eastAsia="IRNazanin"/>
          <w:color w:val="111111"/>
          <w:sz w:val="28"/>
          <w:sz w:val="28"/>
          <w:szCs w:val="28"/>
          <w:rtl w:val="true"/>
          <w:lang w:bidi="fa-IR"/>
        </w:rPr>
        <w:t>، و ما عن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التردّد فیما عدا الأرض ممّا لا ینقل </w:t>
      </w:r>
      <w:r>
        <w:rPr>
          <w:rStyle w:val="FootnoteAnchor"/>
          <w:rtl w:val="true"/>
        </w:rPr>
        <w:footnoteReference w:id="1615"/>
      </w:r>
      <w:r>
        <w:rPr>
          <w:rFonts w:ascii="IRNazanin" w:hAnsi="IRNazanin" w:eastAsia="IRNazanin"/>
          <w:color w:val="111111"/>
          <w:sz w:val="28"/>
          <w:sz w:val="28"/>
          <w:szCs w:val="28"/>
          <w:rtl w:val="true"/>
          <w:lang w:bidi="fa-IR"/>
        </w:rPr>
        <w:t xml:space="preserve">، و ما عن المبسوط </w:t>
      </w:r>
      <w:r>
        <w:rPr>
          <w:rStyle w:val="FootnoteAnchor"/>
          <w:rtl w:val="true"/>
        </w:rPr>
        <w:footnoteReference w:id="1616"/>
      </w:r>
      <w:r>
        <w:rPr>
          <w:rFonts w:ascii="IRNazanin" w:hAnsi="IRNazanin" w:eastAsia="IRNazanin"/>
          <w:color w:val="111111"/>
          <w:sz w:val="28"/>
          <w:sz w:val="28"/>
          <w:szCs w:val="28"/>
          <w:rtl w:val="true"/>
          <w:lang w:bidi="fa-IR"/>
        </w:rPr>
        <w:t xml:space="preserve">و الجامع </w:t>
      </w:r>
      <w:r>
        <w:rPr>
          <w:rStyle w:val="FootnoteAnchor"/>
          <w:rtl w:val="true"/>
        </w:rPr>
        <w:footnoteReference w:id="1617"/>
      </w:r>
      <w:r>
        <w:rPr>
          <w:rFonts w:ascii="IRNazanin" w:hAnsi="IRNazanin" w:eastAsia="IRNazanin"/>
          <w:color w:val="111111"/>
          <w:sz w:val="28"/>
          <w:sz w:val="28"/>
          <w:szCs w:val="28"/>
          <w:rtl w:val="true"/>
          <w:lang w:bidi="fa-IR"/>
        </w:rPr>
        <w:t xml:space="preserve">و المنتهی </w:t>
      </w:r>
      <w:r>
        <w:rPr>
          <w:rStyle w:val="FootnoteAnchor"/>
          <w:rtl w:val="true"/>
        </w:rPr>
        <w:footnoteReference w:id="1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إلحاق کلّ ما عمل من نبات الأرض غیر القطن و الکتّان بالحصر، و نحوهما</w:t>
      </w:r>
    </w:p>
    <w:p>
      <w:pPr>
        <w:pStyle w:val="BookText"/>
        <w:rPr/>
      </w:pPr>
      <w:r>
        <w:rPr>
          <w:rFonts w:ascii="IRNazanin" w:hAnsi="IRNazanin" w:eastAsia="IRNazanin"/>
          <w:color w:val="111111"/>
          <w:sz w:val="28"/>
          <w:sz w:val="28"/>
          <w:szCs w:val="28"/>
          <w:rtl w:val="true"/>
          <w:lang w:bidi="fa-IR"/>
        </w:rPr>
        <w:t xml:space="preserve">ما عن المنتهی </w:t>
      </w:r>
      <w:r>
        <w:rPr>
          <w:rStyle w:val="FootnoteAnchor"/>
          <w:rtl w:val="true"/>
        </w:rPr>
        <w:footnoteReference w:id="1619"/>
      </w:r>
      <w:r>
        <w:rPr>
          <w:rFonts w:ascii="IRNazanin" w:hAnsi="IRNazanin" w:eastAsia="IRNazanin"/>
          <w:color w:val="111111"/>
          <w:sz w:val="28"/>
          <w:sz w:val="28"/>
          <w:szCs w:val="28"/>
          <w:rtl w:val="true"/>
          <w:lang w:bidi="fa-IR"/>
        </w:rPr>
        <w:t>، و ما عن محکیّ فخر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عموم الحکم للنباتات و إن انفصلت کالخشب و الآلات المتّخذة من النبات </w:t>
      </w:r>
      <w:r>
        <w:rPr>
          <w:rStyle w:val="FootnoteAnchor"/>
          <w:rtl w:val="true"/>
        </w:rPr>
        <w:footnoteReference w:id="1620"/>
      </w:r>
      <w:r>
        <w:rPr>
          <w:rFonts w:ascii="IRNazanin" w:hAnsi="IRNazanin" w:eastAsia="IRNazanin"/>
          <w:color w:val="111111"/>
          <w:sz w:val="28"/>
          <w:sz w:val="28"/>
          <w:szCs w:val="28"/>
          <w:rtl w:val="true"/>
          <w:lang w:bidi="fa-IR"/>
        </w:rPr>
        <w:t xml:space="preserve">لعدم الدلیل علی ذلک عدا روایة الحضرمی </w:t>
      </w:r>
      <w:r>
        <w:rPr>
          <w:rStyle w:val="FootnoteAnchor"/>
          <w:rtl w:val="true"/>
        </w:rPr>
        <w:footnoteReference w:id="1621"/>
      </w:r>
      <w:r>
        <w:rPr>
          <w:rFonts w:ascii="IRNazanin" w:hAnsi="IRNazanin" w:eastAsia="IRNazanin"/>
          <w:color w:val="111111"/>
          <w:sz w:val="28"/>
          <w:sz w:val="28"/>
          <w:szCs w:val="28"/>
          <w:rtl w:val="true"/>
          <w:lang w:bidi="fa-IR"/>
        </w:rPr>
        <w:t>، و هی ضعیفة سنداً و دلالة بلزوم تخصیص الأکثر فیها، فلا یعمل بها إلّا مع الجابر المفقود فی الأُمور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فی أنظارنا ما عن النزهة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قصر التطهیر علی الأرض و البواری،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الحُصُر فلم أقف علی خبر إلّا من طریق العموم، و هو ما رواه أبو بکر الحضرمی </w:t>
      </w:r>
      <w:r>
        <w:rPr>
          <w:rStyle w:val="FootnoteAnchor"/>
          <w:rtl w:val="true"/>
        </w:rPr>
        <w:footnoteReference w:id="1622"/>
      </w:r>
      <w:r>
        <w:rPr>
          <w:rFonts w:ascii="IRNazanin" w:hAnsi="IRNazanin" w:eastAsia="IRNazanin"/>
          <w:color w:val="111111"/>
          <w:sz w:val="28"/>
          <w:sz w:val="28"/>
          <w:szCs w:val="28"/>
          <w:rtl w:val="true"/>
          <w:lang w:bidi="fa-IR"/>
        </w:rPr>
        <w:t xml:space="preserve">، مع أنّ المحکی عن الصحاح و الدیوان و المغرب </w:t>
      </w:r>
      <w:r>
        <w:rPr>
          <w:rStyle w:val="FootnoteAnchor"/>
          <w:rtl w:val="true"/>
        </w:rPr>
        <w:footnoteReference w:id="1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الحصیر هی الباریة، إلّا أنّ عطف البواری علی الحصر فی کلام کثیر من الأصحاب یشعر بمغایرةٍ ما بینهما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مقتضی إطلاق النصّ و الفتوی بطهارة الأرض عمومها لذات الرمل و الحصی، فلو أُخذ منها جزءٌ و تنجّس کما فی حجر الاستنجاء فهل یطهر بالشمس بعد إلقائه علی الأرض کما عن المبسوط و المنتهی </w:t>
      </w:r>
      <w:r>
        <w:rPr>
          <w:rStyle w:val="FootnoteAnchor"/>
          <w:rtl w:val="true"/>
        </w:rPr>
        <w:footnoteReference w:id="1624"/>
      </w:r>
      <w:r>
        <w:rPr>
          <w:rFonts w:ascii="IRNazanin" w:hAnsi="IRNazanin" w:eastAsia="IRNazanin"/>
          <w:color w:val="111111"/>
          <w:sz w:val="28"/>
          <w:sz w:val="28"/>
          <w:szCs w:val="28"/>
          <w:rtl w:val="true"/>
          <w:lang w:bidi="fa-IR"/>
        </w:rPr>
        <w:t xml:space="preserve">؟ أم لا کما قیل </w:t>
      </w:r>
      <w:r>
        <w:rPr>
          <w:rStyle w:val="FootnoteAnchor"/>
          <w:rtl w:val="true"/>
        </w:rPr>
        <w:footnoteReference w:id="1625"/>
      </w:r>
      <w:r>
        <w:rPr>
          <w:rFonts w:ascii="IRNazanin" w:hAnsi="IRNazanin" w:eastAsia="IRNazanin"/>
          <w:color w:val="111111"/>
          <w:sz w:val="28"/>
          <w:sz w:val="28"/>
          <w:szCs w:val="28"/>
          <w:rtl w:val="true"/>
          <w:lang w:bidi="fa-IR"/>
        </w:rPr>
        <w:t>لانقلابه منقولًا؟ قولان أحوطهما الثانی، و إن کان الأوّل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المشهور هی إفادة الشمس للطهارة، و هو صریح إجماع الخلاف </w:t>
      </w:r>
      <w:r>
        <w:rPr>
          <w:rStyle w:val="FootnoteAnchor"/>
          <w:rtl w:val="true"/>
        </w:rPr>
        <w:footnoteReference w:id="1626"/>
      </w:r>
      <w:r>
        <w:rPr>
          <w:rFonts w:ascii="IRNazanin" w:hAnsi="IRNazanin" w:eastAsia="IRNazanin"/>
          <w:color w:val="111111"/>
          <w:sz w:val="28"/>
          <w:sz w:val="28"/>
          <w:szCs w:val="28"/>
          <w:rtl w:val="true"/>
          <w:lang w:bidi="fa-IR"/>
        </w:rPr>
        <w:t xml:space="preserve">و السرائر </w:t>
      </w:r>
      <w:r>
        <w:rPr>
          <w:rStyle w:val="FootnoteAnchor"/>
          <w:rtl w:val="true"/>
        </w:rPr>
        <w:footnoteReference w:id="1627"/>
      </w:r>
      <w:r>
        <w:rPr>
          <w:rFonts w:ascii="Amiri" w:hAnsi="Amiri" w:eastAsia="Amiri" w:cs="Amiri"/>
          <w:color w:val="111111"/>
          <w:sz w:val="28"/>
          <w:sz w:val="28"/>
          <w:szCs w:val="28"/>
          <w:rtl w:val="true"/>
          <w:lang w:bidi="ar-SA"/>
        </w:rPr>
        <w:t xml:space="preserve">و کشف الحقّ </w:t>
      </w:r>
      <w:r>
        <w:rPr>
          <w:rStyle w:val="FootnoteAnchor"/>
          <w:rtl w:val="true"/>
        </w:rPr>
        <w:footnoteReference w:id="1628"/>
      </w:r>
      <w:r>
        <w:rPr>
          <w:rFonts w:ascii="IRNazanin" w:hAnsi="IRNazanin" w:eastAsia="IRNazanin"/>
          <w:color w:val="111111"/>
          <w:sz w:val="28"/>
          <w:sz w:val="28"/>
          <w:szCs w:val="28"/>
          <w:rtl w:val="true"/>
          <w:lang w:bidi="fa-IR"/>
        </w:rPr>
        <w:t xml:space="preserve">، و هو الذی دلّ علیه روایة الحضرمی المتقدّمة </w:t>
      </w:r>
      <w:r>
        <w:rPr>
          <w:rStyle w:val="FootnoteAnchor"/>
          <w:rtl w:val="true"/>
        </w:rPr>
        <w:footnoteReference w:id="1629"/>
      </w:r>
      <w:r>
        <w:rPr>
          <w:rFonts w:ascii="IRNazanin" w:hAnsi="IRNazanin" w:eastAsia="IRNazanin"/>
          <w:color w:val="111111"/>
          <w:sz w:val="28"/>
          <w:sz w:val="28"/>
          <w:szCs w:val="28"/>
          <w:rtl w:val="true"/>
          <w:lang w:bidi="fa-IR"/>
        </w:rPr>
        <w:t>و صحیحة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 عن البول یکون علی السطح أو علی المکان الذی یصلّی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جفّفته الشمس فصلّ علیه، فهو طاهر</w:t>
      </w:r>
      <w:r>
        <w:rPr>
          <w:rFonts w:eastAsia="IRNazanin" w:cs="IRNazanin"/>
          <w:color w:val="111111"/>
          <w:sz w:val="28"/>
          <w:szCs w:val="28"/>
          <w:rtl w:val="true"/>
          <w:lang w:bidi="fa-IR"/>
        </w:rPr>
        <w:t xml:space="preserve">» </w:t>
      </w:r>
      <w:r>
        <w:rPr>
          <w:rStyle w:val="FootnoteAnchor"/>
          <w:rtl w:val="true"/>
        </w:rPr>
        <w:footnoteReference w:id="1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حکایة الإجماع مستفیضاً علی اعتبار طهارة موضع السجدة </w:t>
      </w:r>
      <w:r>
        <w:rPr>
          <w:rStyle w:val="FootnoteAnchor"/>
          <w:rtl w:val="true"/>
        </w:rPr>
        <w:footnoteReference w:id="1631"/>
      </w:r>
      <w:r>
        <w:rPr>
          <w:rFonts w:ascii="IRNazanin" w:hAnsi="IRNazanin" w:eastAsia="IRNazanin"/>
          <w:color w:val="111111"/>
          <w:sz w:val="28"/>
          <w:sz w:val="28"/>
          <w:szCs w:val="28"/>
          <w:rtl w:val="true"/>
          <w:lang w:bidi="fa-IR"/>
        </w:rPr>
        <w:t>و المفروض جواز السجود علی ما جفّفته الشمس باتّفاق الخصم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للمحکیّ عن الإسکافی </w:t>
      </w:r>
      <w:r>
        <w:rPr>
          <w:rStyle w:val="FootnoteAnchor"/>
          <w:rtl w:val="true"/>
        </w:rPr>
        <w:footnoteReference w:id="1632"/>
      </w:r>
      <w:r>
        <w:rPr>
          <w:rFonts w:ascii="IRNazanin" w:hAnsi="IRNazanin" w:eastAsia="IRNazanin"/>
          <w:color w:val="111111"/>
          <w:sz w:val="28"/>
          <w:sz w:val="28"/>
          <w:szCs w:val="28"/>
          <w:rtl w:val="true"/>
          <w:lang w:bidi="fa-IR"/>
        </w:rPr>
        <w:t xml:space="preserve">و الراوندی </w:t>
      </w:r>
      <w:r>
        <w:rPr>
          <w:rStyle w:val="FootnoteAnchor"/>
          <w:rtl w:val="true"/>
        </w:rPr>
        <w:footnoteReference w:id="1633"/>
      </w:r>
      <w:r>
        <w:rPr>
          <w:rFonts w:ascii="IRNazanin" w:hAnsi="IRNazanin" w:eastAsia="IRNazanin"/>
          <w:color w:val="111111"/>
          <w:sz w:val="28"/>
          <w:sz w:val="28"/>
          <w:szCs w:val="28"/>
          <w:rtl w:val="true"/>
          <w:lang w:bidi="fa-IR"/>
        </w:rPr>
        <w:t xml:space="preserve">و البهائی </w:t>
      </w:r>
      <w:r>
        <w:rPr>
          <w:rStyle w:val="FootnoteAnchor"/>
          <w:rtl w:val="true"/>
        </w:rPr>
        <w:footnoteReference w:id="1634"/>
      </w:r>
      <w:r>
        <w:rPr>
          <w:rFonts w:ascii="IRNazanin" w:hAnsi="IRNazanin" w:eastAsia="IRNazanin"/>
          <w:color w:val="111111"/>
          <w:sz w:val="28"/>
          <w:sz w:val="28"/>
          <w:szCs w:val="28"/>
          <w:rtl w:val="true"/>
          <w:lang w:bidi="fa-IR"/>
        </w:rPr>
        <w:t xml:space="preserve">و المحدّث الکاشانی </w:t>
      </w:r>
      <w:r>
        <w:rPr>
          <w:rStyle w:val="FootnoteAnchor"/>
          <w:rtl w:val="true"/>
        </w:rPr>
        <w:footnoteReference w:id="1635"/>
      </w:r>
      <w:r>
        <w:rPr>
          <w:rFonts w:ascii="IRNazanin" w:hAnsi="IRNazanin" w:eastAsia="IRNazanin"/>
          <w:color w:val="111111"/>
          <w:sz w:val="28"/>
          <w:sz w:val="28"/>
          <w:szCs w:val="28"/>
          <w:rtl w:val="true"/>
          <w:lang w:bidi="fa-IR"/>
        </w:rPr>
        <w:t xml:space="preserve">، و ظاهر النهایة </w:t>
      </w:r>
      <w:r>
        <w:rPr>
          <w:rStyle w:val="FootnoteAnchor"/>
          <w:rtl w:val="true"/>
        </w:rPr>
        <w:footnoteReference w:id="1636"/>
      </w:r>
      <w:r>
        <w:rPr>
          <w:rFonts w:ascii="IRNazanin" w:hAnsi="IRNazanin" w:eastAsia="IRNazanin"/>
          <w:color w:val="111111"/>
          <w:sz w:val="28"/>
          <w:sz w:val="28"/>
          <w:szCs w:val="28"/>
          <w:rtl w:val="true"/>
          <w:lang w:bidi="fa-IR"/>
        </w:rPr>
        <w:t xml:space="preserve">و الوسیلة </w:t>
      </w:r>
      <w:r>
        <w:rPr>
          <w:rStyle w:val="FootnoteAnchor"/>
          <w:rtl w:val="true"/>
        </w:rPr>
        <w:footnoteReference w:id="1637"/>
      </w:r>
      <w:r>
        <w:rPr>
          <w:rFonts w:ascii="IRNazanin" w:hAnsi="IRNazanin" w:eastAsia="IRNazanin"/>
          <w:color w:val="111111"/>
          <w:sz w:val="28"/>
          <w:sz w:val="28"/>
          <w:szCs w:val="28"/>
          <w:rtl w:val="true"/>
          <w:lang w:bidi="fa-IR"/>
        </w:rPr>
        <w:t>حیث اقتصرا علی جواز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للأصل و ذیل روایة عمّار المتقدّمة </w:t>
      </w:r>
      <w:r>
        <w:rPr>
          <w:rStyle w:val="FootnoteAnchor"/>
          <w:rtl w:val="true"/>
        </w:rPr>
        <w:footnoteReference w:id="1638"/>
      </w:r>
      <w:r>
        <w:rPr>
          <w:rFonts w:ascii="IRNazanin" w:hAnsi="IRNazanin" w:eastAsia="IRNazanin"/>
          <w:color w:val="111111"/>
          <w:sz w:val="28"/>
          <w:sz w:val="28"/>
          <w:szCs w:val="28"/>
          <w:rtl w:val="true"/>
          <w:lang w:bidi="fa-IR"/>
        </w:rPr>
        <w:t>بناءً علی ما عن أکثر</w:t>
      </w:r>
    </w:p>
    <w:p>
      <w:pPr>
        <w:pStyle w:val="BookText"/>
        <w:rPr/>
      </w:pPr>
      <w:r>
        <w:rPr>
          <w:rFonts w:ascii="IRNazanin" w:hAnsi="IRNazanin" w:eastAsia="IRNazanin"/>
          <w:color w:val="111111"/>
          <w:sz w:val="28"/>
          <w:sz w:val="28"/>
          <w:szCs w:val="28"/>
          <w:rtl w:val="true"/>
          <w:lang w:bidi="fa-IR"/>
        </w:rPr>
        <w:t>نسخ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عین الشمس أصابه</w:t>
      </w:r>
      <w:r>
        <w:rPr>
          <w:rFonts w:eastAsia="IRNazanin" w:cs="IRNazanin"/>
          <w:color w:val="111111"/>
          <w:sz w:val="28"/>
          <w:szCs w:val="28"/>
          <w:rtl w:val="true"/>
          <w:lang w:bidi="fa-IR"/>
        </w:rPr>
        <w:t xml:space="preserve">» </w:t>
      </w:r>
      <w:r>
        <w:rPr>
          <w:rStyle w:val="FootnoteAnchor"/>
          <w:rtl w:val="true"/>
        </w:rPr>
        <w:footnoteReference w:id="1639"/>
      </w:r>
      <w:r>
        <w:rPr>
          <w:rFonts w:ascii="IRNazanin" w:hAnsi="IRNazanin" w:eastAsia="IRNazanin"/>
          <w:color w:val="111111"/>
          <w:sz w:val="28"/>
          <w:sz w:val="28"/>
          <w:szCs w:val="28"/>
          <w:rtl w:val="true"/>
          <w:lang w:bidi="fa-IR"/>
        </w:rPr>
        <w:t>و روایة ابن بزیع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السطح و الأرض یصیبه البول و ما أشبهه هل تطهّره الشمس من غیر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تطهّر من غیر ماء؟</w:t>
      </w:r>
      <w:r>
        <w:rPr>
          <w:rFonts w:eastAsia="IRNazanin" w:cs="IRNazanin"/>
          <w:color w:val="111111"/>
          <w:sz w:val="28"/>
          <w:szCs w:val="28"/>
          <w:rtl w:val="true"/>
          <w:lang w:bidi="fa-IR"/>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رُدّ الأصل بما مرّ، و روایة عمّار بأنّها لم تثبت علی هذا الوجه، مع أنّ تذکیر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سؤال عمّار عن تطهیر الشمس و عدوله علیه السلام إلی الجواب بجواز الصلاة علی الموضع دون أن یقرّره علی التطهیر یدلّ علی عدم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دلالة ضعیفة معارضة ببعض ظهورات أُخر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ابن بزیع، فیمکن حملها علی احتیاج تطهیر الأرض إلی الماء لتصیر رطبةً فتجفّفها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الحمل و إن بعد، لکنّه أولی من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الروایات علی ما هو بمنزلته فی حکمٍ خاصٍّ، و هو جواز السجود، فالأقوی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یتمسّک بأصالة طهارة الملاقی و أنّها لو عورضت بأصالة بقاء النجاسة فی الملاقی بالفتح تعیّن الرجوع إلی 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 لا یخفی؛ فإنّ استصحاب النجاسة وارد علی استصحاب طهارة الملاقی، کما قرّر فی محلّه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متی حکم بطهارة الشی‌ء حکم بطهارة باطنه مع اتّصال</w:t>
      </w:r>
      <w:bookmarkStart w:id="139" w:name="pg16911_259739"/>
    </w:p>
    <w:p>
      <w:pPr>
        <w:pStyle w:val="BookText"/>
        <w:rPr/>
      </w:pPr>
      <w:bookmarkEnd w:id="139"/>
      <w:r>
        <w:rPr>
          <w:rFonts w:ascii="IRNazanin" w:hAnsi="IRNazanin" w:eastAsia="IRNazanin"/>
          <w:color w:val="111111"/>
          <w:sz w:val="28"/>
          <w:sz w:val="28"/>
          <w:szCs w:val="28"/>
          <w:rtl w:val="true"/>
          <w:lang w:bidi="fa-IR"/>
        </w:rPr>
        <w:t xml:space="preserve">النجاسة و اتّحاد الاسم کما صرّح به فی الروض </w:t>
      </w:r>
      <w:r>
        <w:rPr>
          <w:rStyle w:val="FootnoteAnchor"/>
          <w:rtl w:val="true"/>
        </w:rPr>
        <w:footnoteReference w:id="1642"/>
      </w:r>
      <w:r>
        <w:rPr>
          <w:rFonts w:ascii="IRNazanin" w:hAnsi="IRNazanin" w:eastAsia="IRNazanin"/>
          <w:color w:val="111111"/>
          <w:sz w:val="28"/>
          <w:sz w:val="28"/>
          <w:szCs w:val="28"/>
          <w:rtl w:val="true"/>
          <w:lang w:bidi="fa-IR"/>
        </w:rPr>
        <w:t xml:space="preserve">، فلا یطهر الباطن مع التعدّد کما عن التذکرة </w:t>
      </w:r>
      <w:r>
        <w:rPr>
          <w:rStyle w:val="FootnoteAnchor"/>
          <w:rtl w:val="true"/>
        </w:rPr>
        <w:footnoteReference w:id="1643"/>
      </w:r>
      <w:r>
        <w:rPr>
          <w:rFonts w:ascii="Amiri" w:hAnsi="Amiri" w:eastAsia="Amiri" w:cs="Amiri"/>
          <w:color w:val="111111"/>
          <w:sz w:val="28"/>
          <w:sz w:val="28"/>
          <w:szCs w:val="28"/>
          <w:rtl w:val="true"/>
          <w:lang w:bidi="ar-SA"/>
        </w:rPr>
        <w:t xml:space="preserve">و المهذّب </w:t>
      </w:r>
      <w:r>
        <w:rPr>
          <w:rStyle w:val="FootnoteAnchor"/>
          <w:rtl w:val="true"/>
        </w:rPr>
        <w:footnoteReference w:id="1644"/>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645"/>
      </w:r>
      <w:r>
        <w:rPr>
          <w:rFonts w:ascii="IRNazanin" w:hAnsi="IRNazanin" w:eastAsia="IRNazanin"/>
          <w:color w:val="111111"/>
          <w:sz w:val="28"/>
          <w:sz w:val="28"/>
          <w:szCs w:val="28"/>
          <w:rtl w:val="true"/>
          <w:lang w:bidi="fa-IR"/>
        </w:rPr>
        <w:t xml:space="preserve">و المسالک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6618714_3224264995"/>
      <w:bookmarkStart w:id="141" w:name="_Toc52"/>
      <w:bookmarkEnd w:id="140"/>
      <w:r>
        <w:rPr>
          <w:rtl w:val="true"/>
        </w:rPr>
        <w:t>[</w:t>
      </w:r>
      <w:r>
        <w:rPr/>
        <w:t>2</w:t>
      </w:r>
      <w:r>
        <w:rPr>
          <w:rtl w:val="true"/>
        </w:rPr>
        <w:t xml:space="preserve">- </w:t>
      </w:r>
      <w:r>
        <w:rPr>
          <w:rtl w:val="true"/>
        </w:rPr>
        <w:t>مطهّریة النار لما أحالته دخاناً أو رماداً</w:t>
      </w:r>
      <w:r>
        <w:rPr>
          <w:rtl w:val="true"/>
        </w:rPr>
        <w:t>]</w:t>
      </w:r>
      <w:bookmarkEnd w:id="14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ما أحالته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دخاناً أو رماداً علی المشهور، بل عن السرائر </w:t>
      </w:r>
      <w:r>
        <w:rPr>
          <w:rStyle w:val="FootnoteAnchor"/>
          <w:rtl w:val="true"/>
        </w:rPr>
        <w:footnoteReference w:id="1647"/>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طهارة کلٍّ من الدخان و الرماد المستحیلین من النجاسة، و هو ظاهر التذکرة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الأعیان النجسة طاهر عندنا و هو أحد وجهی الشافعی و ما أحالته النار عندنا و به قال أبو حنیفة </w:t>
      </w:r>
      <w:r>
        <w:rPr>
          <w:rStyle w:val="FootnoteAnchor"/>
          <w:rtl w:val="true"/>
        </w:rPr>
        <w:footnoteReference w:id="1649"/>
      </w:r>
      <w:r>
        <w:rPr>
          <w:rFonts w:ascii="IRNazanin" w:hAnsi="IRNazanin" w:eastAsia="IRNazanin"/>
          <w:color w:val="111111"/>
          <w:sz w:val="28"/>
          <w:sz w:val="28"/>
          <w:szCs w:val="28"/>
          <w:rtl w:val="true"/>
          <w:lang w:bidi="fa-IR"/>
        </w:rPr>
        <w:t>، و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طهارة رماد الأعیان النجسة </w:t>
      </w:r>
      <w:r>
        <w:rPr>
          <w:rStyle w:val="FootnoteAnchor"/>
          <w:rtl w:val="true"/>
        </w:rPr>
        <w:footnoteReference w:id="1650"/>
      </w:r>
      <w:r>
        <w:rPr>
          <w:rFonts w:ascii="IRNazanin" w:hAnsi="IRNazanin" w:eastAsia="IRNazanin"/>
          <w:color w:val="111111"/>
          <w:sz w:val="28"/>
          <w:sz w:val="28"/>
          <w:szCs w:val="28"/>
          <w:rtl w:val="true"/>
          <w:lang w:bidi="fa-IR"/>
        </w:rPr>
        <w:t>، و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الأعیان النجسة طاهر عندنا لخروجه عن المسمّی </w:t>
      </w:r>
      <w:r>
        <w:rPr>
          <w:rStyle w:val="FootnoteAnchor"/>
          <w:rtl w:val="true"/>
        </w:rPr>
        <w:footnoteReference w:id="1651"/>
      </w:r>
      <w:r>
        <w:rPr>
          <w:rFonts w:ascii="IRNazanin" w:hAnsi="IRNazanin" w:eastAsia="IRNazanin"/>
          <w:color w:val="111111"/>
          <w:sz w:val="28"/>
          <w:sz w:val="28"/>
          <w:szCs w:val="28"/>
          <w:rtl w:val="true"/>
          <w:lang w:bidi="fa-IR"/>
        </w:rPr>
        <w:t xml:space="preserve">، و نحوه أطعمة الشرائع من غیر ذکر الدلیل </w:t>
      </w:r>
      <w:r>
        <w:rPr>
          <w:rStyle w:val="FootnoteAnchor"/>
          <w:rtl w:val="true"/>
        </w:rPr>
        <w:footnoteReference w:id="1652"/>
      </w:r>
      <w:r>
        <w:rPr>
          <w:rFonts w:ascii="IRNazanin" w:hAnsi="IRNazanin" w:eastAsia="IRNazanin"/>
          <w:color w:val="111111"/>
          <w:sz w:val="28"/>
          <w:sz w:val="28"/>
          <w:szCs w:val="28"/>
          <w:rtl w:val="true"/>
          <w:lang w:bidi="fa-IR"/>
        </w:rPr>
        <w:t>، و فی</w:t>
      </w:r>
    </w:p>
    <w:p>
      <w:pPr>
        <w:pStyle w:val="BookText"/>
        <w:rPr/>
      </w:pP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مجمعون علی عدم التوقی من رماد النجاسات و أدخنتها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أبخرتها </w:t>
      </w:r>
      <w:r>
        <w:rPr>
          <w:rStyle w:val="FootnoteAnchor"/>
          <w:rtl w:val="true"/>
        </w:rPr>
        <w:footnoteReference w:id="1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نحوه عن المعتبر </w:t>
      </w:r>
      <w:r>
        <w:rPr>
          <w:rStyle w:val="FootnoteAnchor"/>
          <w:rtl w:val="true"/>
        </w:rPr>
        <w:footnoteReference w:id="1654"/>
      </w:r>
      <w:r>
        <w:rPr>
          <w:rFonts w:ascii="IRNazanin" w:hAnsi="IRNazanin" w:eastAsia="IRNazanin"/>
          <w:color w:val="111111"/>
          <w:sz w:val="28"/>
          <w:sz w:val="28"/>
          <w:szCs w:val="28"/>
          <w:rtl w:val="true"/>
          <w:lang w:bidi="fa-IR"/>
        </w:rPr>
        <w:t xml:space="preserve">و الذکری فی خصوص الأدخنة </w:t>
      </w:r>
      <w:r>
        <w:rPr>
          <w:rStyle w:val="FootnoteAnchor"/>
          <w:rtl w:val="true"/>
        </w:rPr>
        <w:footnoteReference w:id="1655"/>
      </w:r>
      <w:r>
        <w:rPr>
          <w:rFonts w:ascii="IRNazanin" w:hAnsi="IRNazanin" w:eastAsia="IRNazanin"/>
          <w:color w:val="111111"/>
          <w:sz w:val="28"/>
          <w:sz w:val="28"/>
          <w:szCs w:val="28"/>
          <w:rtl w:val="true"/>
          <w:lang w:bidi="fa-IR"/>
        </w:rPr>
        <w:t xml:space="preserve">، و المنتهی فی خصوص الرماد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الطهارة خروج الدخان و الرماد عن مسمّی العین النجسة، فلا تشمله أدلّة نجاستها، فیرجع فی طهارته إلی الأصل لو لم نقل بالرجوع إلی أدلّة طهارة الرماد </w:t>
      </w:r>
      <w:r>
        <w:rPr>
          <w:rStyle w:val="FootnoteAnchor"/>
          <w:rtl w:val="true"/>
        </w:rPr>
        <w:footnoteReference w:id="1657"/>
      </w:r>
      <w:r>
        <w:rPr>
          <w:rFonts w:ascii="IRNazanin" w:hAnsi="IRNazanin" w:eastAsia="IRNazanin"/>
          <w:color w:val="111111"/>
          <w:sz w:val="28"/>
          <w:sz w:val="28"/>
          <w:szCs w:val="28"/>
          <w:rtl w:val="true"/>
          <w:lang w:bidi="fa-IR"/>
        </w:rPr>
        <w:t>، بناءً علی عدم انصراف إطلاقها إلی ما نحن فیه، و التمسّک باستصحاب النجاسة غیر ممکن لارتفاع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زیادةً علی ذلک بصحیحة ابن 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الجصّ یوقد علیه بالعذرة و عظام الموتی ما یجصّص به المسجد، أ یسجد علیه؟ فکتب إلیه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و النار طهّراه</w:t>
      </w:r>
      <w:r>
        <w:rPr>
          <w:rFonts w:eastAsia="IRNazanin" w:cs="IRNazanin"/>
          <w:color w:val="111111"/>
          <w:sz w:val="28"/>
          <w:szCs w:val="28"/>
          <w:rtl w:val="true"/>
          <w:lang w:bidi="fa-IR"/>
        </w:rPr>
        <w:t xml:space="preserve">» </w:t>
      </w:r>
      <w:r>
        <w:rPr>
          <w:rStyle w:val="FootnoteAnchor"/>
          <w:rtl w:val="true"/>
        </w:rPr>
        <w:footnoteReference w:id="1658"/>
      </w:r>
      <w:r>
        <w:rPr>
          <w:rFonts w:ascii="IRNazanin" w:hAnsi="IRNazanin" w:eastAsia="IRNazanin"/>
          <w:color w:val="111111"/>
          <w:sz w:val="28"/>
          <w:sz w:val="28"/>
          <w:szCs w:val="28"/>
          <w:rtl w:val="true"/>
          <w:lang w:bidi="fa-IR"/>
        </w:rPr>
        <w:t xml:space="preserve">بناءً علی أنّ الغالب أنّ الجصّ یلاقی دخان العذرة و العظام و رمادهما، فلولا طهارتهما لم یجز تجصیص المسجد به بالجصّ الملاقی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الکلام فی التعلیل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الماء و النار طهّراه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استقامته</w:t>
      </w:r>
    </w:p>
    <w:p>
      <w:pPr>
        <w:pStyle w:val="BookText"/>
        <w:rPr/>
      </w:pPr>
      <w:r>
        <w:rPr>
          <w:rFonts w:ascii="IRNazanin" w:hAnsi="IRNazanin" w:eastAsia="IRNazanin"/>
          <w:color w:val="111111"/>
          <w:sz w:val="28"/>
          <w:sz w:val="28"/>
          <w:szCs w:val="28"/>
          <w:rtl w:val="true"/>
          <w:lang w:bidi="fa-IR"/>
        </w:rPr>
        <w:t>بظاهره، مع إمکان حمله علی بعض المحامل لا یقدح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تعلیله بذلک یدلّ علی أنّ العلّة لیس </w:t>
      </w:r>
      <w:r>
        <w:rPr>
          <w:rStyle w:val="FootnoteAnchor"/>
          <w:rtl w:val="true"/>
        </w:rPr>
        <w:footnoteReference w:id="1660"/>
      </w:r>
      <w:r>
        <w:rPr>
          <w:rFonts w:ascii="IRNazanin" w:hAnsi="IRNazanin" w:eastAsia="IRNazanin"/>
          <w:color w:val="111111"/>
          <w:sz w:val="28"/>
          <w:sz w:val="28"/>
          <w:szCs w:val="28"/>
          <w:rtl w:val="true"/>
          <w:lang w:bidi="fa-IR"/>
        </w:rPr>
        <w:t>طهارة الرماد و الدخان، بل ظاهر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الجصّ ینجس بالعذرة و العظام لکن الماء و النار طهّراه، إلّا أن یحمل التطهیر علی إزالة النفرة الحاصلة من ملاقاة العذرة و العظام، و إلّا فالجصّ فی نفسه لا ینفعل بدخان العذرة و رمادها لطهارتهما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إرادة التطهیر الحقیقی بناءً علی ملاقاة الجصّ للرطوبة الحاصلة من العذرة و العظام عند اشتعالهما بالنار، فإنّه الغالب فی العظام و قد یتّفق فی العذرة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فالروایة صریحة فی جواز تجصیص المسجد بذلک الجصّ مع عدم خلوّه عن الدخان و الرماد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 المرویّ عن قرب الإسناد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الجصّ یطبخ بالعذرة أ یصلح أن یجصّص به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ذکر ظهر ضعف التردّد فی طهارة الرماد کما عن المعتبر </w:t>
      </w:r>
      <w:r>
        <w:rPr>
          <w:rStyle w:val="FootnoteAnchor"/>
          <w:rtl w:val="true"/>
        </w:rPr>
        <w:footnoteReference w:id="1662"/>
      </w:r>
      <w:r>
        <w:rPr>
          <w:rFonts w:ascii="IRNazanin" w:hAnsi="IRNazanin" w:eastAsia="IRNazanin"/>
          <w:color w:val="111111"/>
          <w:sz w:val="28"/>
          <w:sz w:val="28"/>
          <w:szCs w:val="28"/>
          <w:rtl w:val="true"/>
          <w:lang w:bidi="fa-IR"/>
        </w:rPr>
        <w:t xml:space="preserve">، أو مع الدخان کما تحتمله عبارة الشرائع فی الأطعمة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أیضاً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الاستحالة موجبة للطهارة و لو بغیر النار </w:t>
      </w:r>
      <w:r>
        <w:rPr>
          <w:rStyle w:val="FootnoteAnchor"/>
          <w:rtl w:val="true"/>
        </w:rPr>
        <w:footnoteReference w:id="1664"/>
      </w:r>
      <w:r>
        <w:rPr>
          <w:rFonts w:ascii="IRNazanin" w:hAnsi="IRNazanin" w:eastAsia="IRNazanin"/>
          <w:color w:val="111111"/>
          <w:sz w:val="28"/>
          <w:sz w:val="28"/>
          <w:szCs w:val="28"/>
          <w:rtl w:val="true"/>
          <w:lang w:bidi="fa-IR"/>
        </w:rPr>
        <w:t>، و لا خصوصیّة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الأخبار الغیر المعمول بها کالتعلیل فی</w:t>
      </w:r>
    </w:p>
    <w:p>
      <w:pPr>
        <w:pStyle w:val="BookText"/>
        <w:rPr/>
      </w:pPr>
      <w:r>
        <w:rPr>
          <w:rFonts w:ascii="IRNazanin" w:hAnsi="IRNazanin" w:eastAsia="IRNazanin"/>
          <w:color w:val="111111"/>
          <w:sz w:val="28"/>
          <w:sz w:val="28"/>
          <w:szCs w:val="28"/>
          <w:rtl w:val="true"/>
          <w:lang w:bidi="fa-IR"/>
        </w:rPr>
        <w:t xml:space="preserve">الروایة المتقدّمة </w:t>
      </w:r>
      <w:r>
        <w:rPr>
          <w:rStyle w:val="FootnoteAnchor"/>
          <w:rtl w:val="true"/>
        </w:rPr>
        <w:footnoteReference w:id="1665"/>
      </w:r>
      <w:r>
        <w:rPr>
          <w:rFonts w:ascii="IRNazanin" w:hAnsi="IRNazanin" w:eastAsia="IRNazanin"/>
          <w:color w:val="111111"/>
          <w:sz w:val="28"/>
          <w:sz w:val="28"/>
          <w:szCs w:val="28"/>
          <w:rtl w:val="true"/>
          <w:lang w:bidi="fa-IR"/>
        </w:rPr>
        <w:t>، و مثل ما ورد فی الدم الواقع فی القدر الذی یغلی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النار تأکل الدم</w:t>
      </w:r>
      <w:r>
        <w:rPr>
          <w:rFonts w:eastAsia="IRNazanin" w:cs="IRNazanin"/>
          <w:color w:val="111111"/>
          <w:sz w:val="28"/>
          <w:szCs w:val="28"/>
          <w:rtl w:val="true"/>
          <w:lang w:bidi="fa-IR"/>
        </w:rPr>
        <w:t xml:space="preserve">» </w:t>
      </w:r>
      <w:r>
        <w:rPr>
          <w:rStyle w:val="FootnoteAnchor"/>
          <w:rtl w:val="true"/>
        </w:rPr>
        <w:footnoteReference w:id="1666"/>
      </w:r>
      <w:r>
        <w:rPr>
          <w:rFonts w:ascii="IRNazanin" w:hAnsi="IRNazanin" w:eastAsia="IRNazanin"/>
          <w:color w:val="111111"/>
          <w:sz w:val="28"/>
          <w:sz w:val="28"/>
          <w:szCs w:val="28"/>
          <w:rtl w:val="true"/>
          <w:lang w:bidi="fa-IR"/>
        </w:rPr>
        <w:t>، و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طهارة العجین النجس بالتخمیر 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أکلت ما فیه</w:t>
      </w:r>
      <w:r>
        <w:rPr>
          <w:rFonts w:eastAsia="IRNazanin" w:cs="IRNazanin"/>
          <w:color w:val="111111"/>
          <w:sz w:val="28"/>
          <w:szCs w:val="28"/>
          <w:rtl w:val="true"/>
          <w:lang w:bidi="fa-IR"/>
        </w:rPr>
        <w:t xml:space="preserve">» </w:t>
      </w:r>
      <w:r>
        <w:rPr>
          <w:rStyle w:val="FootnoteAnchor"/>
          <w:rtl w:val="true"/>
        </w:rPr>
        <w:footnoteReference w:id="1667"/>
      </w:r>
      <w:r>
        <w:rPr>
          <w:rFonts w:ascii="IRNazanin" w:hAnsi="IRNazanin" w:eastAsia="IRNazanin"/>
          <w:color w:val="111111"/>
          <w:sz w:val="28"/>
          <w:sz w:val="28"/>
          <w:szCs w:val="28"/>
          <w:rtl w:val="true"/>
          <w:lang w:bidi="fa-IR"/>
        </w:rPr>
        <w:t>و نحو ذلک ممّا لا یعمل بظاهره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أولویّة النار فی الإزالة من الماء، ففیه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یشکل الأمر فی استحالة المتنجّسات بناءً علی جواز التمسّک فیها باستصحاب النجاسة؛ حیث إنّ نجاستها لیست لصورها النوعیّة، بل لأنّها أجسام ملاقیة للنجاسة، فالموضوع و هو الجسم باقٍ بحاله، فیمکن استصحاب نجاسته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یقال بعد إطلاق الإجماع المتقدّم عن التذکرة علی طهارة مطلق ما أحالته النار </w:t>
      </w:r>
      <w:r>
        <w:rPr>
          <w:rStyle w:val="FootnoteAnchor"/>
          <w:rtl w:val="true"/>
        </w:rPr>
        <w:footnoteReference w:id="1668"/>
      </w:r>
      <w:r>
        <w:rPr>
          <w:rFonts w:ascii="IRNazanin" w:hAnsi="IRNazanin" w:eastAsia="IRNazanin"/>
          <w:color w:val="111111"/>
          <w:sz w:val="28"/>
          <w:sz w:val="28"/>
          <w:szCs w:val="28"/>
          <w:rtl w:val="true"/>
          <w:lang w:bidi="fa-IR"/>
        </w:rPr>
        <w:t>الشامل للمتنجّس، خصوصاً مع تصریحه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العجین النجس إذا استحال بالنار یصیر طاهراً </w:t>
      </w:r>
      <w:r>
        <w:rPr>
          <w:rStyle w:val="FootnoteAnchor"/>
          <w:rtl w:val="true"/>
        </w:rPr>
        <w:footnoteReference w:id="1669"/>
      </w:r>
      <w:r>
        <w:rPr>
          <w:rFonts w:ascii="IRNazanin" w:hAnsi="IRNazanin" w:eastAsia="IRNazanin"/>
          <w:color w:val="111111"/>
          <w:sz w:val="28"/>
          <w:sz w:val="28"/>
          <w:szCs w:val="28"/>
          <w:rtl w:val="true"/>
          <w:lang w:bidi="fa-IR"/>
        </w:rPr>
        <w:t>، و ما عن الوحید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المستفاد منهم الإجماع علی إلحاق المتنجّس بالنجس </w:t>
      </w:r>
      <w:r>
        <w:rPr>
          <w:rStyle w:val="FootnoteAnchor"/>
          <w:rtl w:val="true"/>
        </w:rPr>
        <w:footnoteReference w:id="1670"/>
      </w:r>
      <w:r>
        <w:rPr>
          <w:rFonts w:ascii="IRNazanin" w:hAnsi="IRNazanin" w:eastAsia="IRNazanin"/>
          <w:color w:val="111111"/>
          <w:sz w:val="28"/>
          <w:sz w:val="28"/>
          <w:szCs w:val="28"/>
          <w:rtl w:val="true"/>
          <w:lang w:bidi="fa-IR"/>
        </w:rPr>
        <w:t xml:space="preserve">، و بعد أولویّة زوال النجاسة عن المتنجّس بالاستحالة من زوالها عن النجاسات العینیّة، حتّی أنّ صاحب المعالم حکی عنه التوقّف فی فحم نجس العین و نفی البعد عن طهارة فحم الحطب المتنجّس </w:t>
      </w:r>
      <w:r>
        <w:rPr>
          <w:rStyle w:val="FootnoteAnchor"/>
          <w:rtl w:val="true"/>
        </w:rPr>
        <w:footnoteReference w:id="1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دلیل علی أنّ</w:t>
      </w:r>
    </w:p>
    <w:p>
      <w:pPr>
        <w:pStyle w:val="BookText"/>
        <w:rPr/>
      </w:pPr>
      <w:r>
        <w:rPr>
          <w:rFonts w:ascii="IRNazanin" w:hAnsi="IRNazanin" w:eastAsia="IRNazanin"/>
          <w:color w:val="111111"/>
          <w:sz w:val="28"/>
          <w:sz w:val="28"/>
          <w:szCs w:val="28"/>
          <w:rtl w:val="true"/>
          <w:lang w:bidi="fa-IR"/>
        </w:rPr>
        <w:t>الموضوع فی نجاسة الملاقی للنجس هو الجسم إلّا الإجماع، و لم یعلم الإجماع علی ثبوت الحکم لذلک الجسم المشترک إن لم ندّعِ الإجماع علی کون النجاسة فی المتنجّسات کالنجاسات تابعة لبقاء الحقیقة النوعیّة، کما عرفت ظهوره من معقد اتّفاق التذکرة و شرح الوحید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المدّعی إنّما هو علی رفع النجاسة بالاستحالة، فلا ینافی إجماعهم المتقدّم علی کون نجاسة الملاقی من جهة کونه جسماً، فیلزم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حجّیة الإجماع المنقول، البناء علی الإجماع الأوّل حتّی یثبت الرافع للنجاسة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استدلال غیر واحد منهم علی الطهارة بخروج المستحیل عن المسمّی ظاهر فی أنّ کلامهم لیس فی الرفع بل فی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علی نجاسة الملاقی من حیث کونه جسماً غیر متحقّق، و لم یعلم تحقّق الإجماع علی تبعیّة نجاسة المتنجّس للقدر المشترک، غایة الأمر أنّه ظاهر معاقد الإجماعات المنقولة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یحتمل أن یکون موضوع النجاسة هی الصورة النوعیّة و الحقیقة العرفیّة الزائلة بالاستحالة، فحینئذٍ یشکّ فی بقاء الموضوع بعد الاستحالة من جهة الشکّ فی تعیین الموضوع، فلا یجری الاستصحاب؛ لأنّ من شرطه القطع ببقاء الموضوع، و لیس هنا مقام إبقاء الموضوع بالاستصحاب ثمّ استصحاب الحکم؛ لأنّ الشکّ فی موضوعیّة الباقی لا فی بقاء الموضوع، فیُرجع حینئذٍ إلی قاعدة الطهارة المستفادة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یعلم أنّه قذر</w:t>
      </w:r>
      <w:r>
        <w:rPr>
          <w:rFonts w:eastAsia="IRNazanin" w:cs="IRNazanin"/>
          <w:color w:val="111111"/>
          <w:sz w:val="28"/>
          <w:szCs w:val="28"/>
          <w:rtl w:val="true"/>
          <w:lang w:bidi="fa-IR"/>
        </w:rPr>
        <w:t xml:space="preserve">»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مع ما تقدّم من صحیحة ابن محبوب الدالّة علی نفی البأس عن الجصّ الملاقی غالباً لرماد عظام الموتی و دخانها علی ما هو المتعارف فی طبخ الجصّ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الوقود علیه ثمّ إحراقه، بل لا ینفکّ عادة من امتزاج الرماد و الدخان، مع أنّ العظام متنجّسة لا نجسة غالباً، مع أنّ العذرة غالباً لا تخلو عن التراب الملصق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الاستحالة فالأقوی استصحاب النجاسة؛ لأصالة بقاء الحقیقة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قوّة نجاسة الفحم، وفاقاً للمحکیّ عن صریح المسالک </w:t>
      </w:r>
      <w:r>
        <w:rPr>
          <w:rStyle w:val="FootnoteAnchor"/>
          <w:rtl w:val="true"/>
        </w:rPr>
        <w:footnoteReference w:id="1673"/>
      </w:r>
      <w:r>
        <w:rPr>
          <w:rFonts w:ascii="IRNazanin" w:hAnsi="IRNazanin" w:eastAsia="IRNazanin"/>
          <w:color w:val="111111"/>
          <w:sz w:val="28"/>
          <w:sz w:val="28"/>
          <w:szCs w:val="28"/>
          <w:rtl w:val="true"/>
          <w:lang w:bidi="fa-IR"/>
        </w:rPr>
        <w:t xml:space="preserve">، خلافاً للمحکیّ عن جامع المقاصد </w:t>
      </w:r>
      <w:r>
        <w:rPr>
          <w:rStyle w:val="FootnoteAnchor"/>
          <w:rtl w:val="true"/>
        </w:rPr>
        <w:footnoteReference w:id="1674"/>
      </w:r>
      <w:r>
        <w:rPr>
          <w:rFonts w:ascii="IRNazanin" w:hAnsi="IRNazanin" w:eastAsia="IRNazanin"/>
          <w:color w:val="111111"/>
          <w:sz w:val="28"/>
          <w:sz w:val="28"/>
          <w:szCs w:val="28"/>
          <w:rtl w:val="true"/>
          <w:lang w:bidi="fa-IR"/>
        </w:rPr>
        <w:t xml:space="preserve">و الدلائل </w:t>
      </w:r>
      <w:r>
        <w:rPr>
          <w:rStyle w:val="FootnoteAnchor"/>
          <w:rtl w:val="true"/>
        </w:rPr>
        <w:footnoteReference w:id="1675"/>
      </w:r>
      <w:r>
        <w:rPr>
          <w:rFonts w:ascii="IRNazanin" w:hAnsi="IRNazanin" w:eastAsia="IRNazanin"/>
          <w:color w:val="111111"/>
          <w:sz w:val="28"/>
          <w:sz w:val="28"/>
          <w:szCs w:val="28"/>
          <w:rtl w:val="true"/>
          <w:lang w:bidi="fa-IR"/>
        </w:rPr>
        <w:t xml:space="preserve">و أکثر المتأخّرین </w:t>
      </w:r>
      <w:r>
        <w:rPr>
          <w:rStyle w:val="FootnoteAnchor"/>
          <w:rtl w:val="true"/>
        </w:rPr>
        <w:footnoteReference w:id="1676"/>
      </w:r>
      <w:r>
        <w:rPr>
          <w:rFonts w:ascii="IRNazanin" w:hAnsi="IRNazanin" w:eastAsia="IRNazanin"/>
          <w:color w:val="111111"/>
          <w:sz w:val="28"/>
          <w:sz w:val="28"/>
          <w:szCs w:val="28"/>
          <w:rtl w:val="true"/>
          <w:lang w:bidi="fa-IR"/>
        </w:rPr>
        <w:t>، إلّا أن یدّعی العلم بالاستحالة، فیقوی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یستدلّ علی استحالة الفحم بصیرورته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الحرمة لو سلّمت فلعلّها محمولة علی هذا الصنف، کما لا یدلّ تحریم العصیر بعد الغلیان علی صیرورتها حقیقة أُخری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التمسّک بروایة ابن محبوب المتقدّمة </w:t>
      </w:r>
      <w:r>
        <w:rPr>
          <w:rStyle w:val="FootnoteAnchor"/>
          <w:rtl w:val="true"/>
        </w:rPr>
        <w:footnoteReference w:id="1677"/>
      </w:r>
      <w:r>
        <w:rPr>
          <w:rFonts w:ascii="IRNazanin" w:hAnsi="IRNazanin" w:eastAsia="IRNazanin"/>
          <w:color w:val="111111"/>
          <w:sz w:val="28"/>
          <w:sz w:val="28"/>
          <w:szCs w:val="28"/>
          <w:rtl w:val="true"/>
          <w:lang w:bidi="fa-IR"/>
        </w:rPr>
        <w:t>بناءً علی أنّ العظام بل العذرة تصیر فحماً لا رماداً، بل یمکن دعوی غلبة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بصیرورة الطین آجراً أو خزفاً </w:t>
      </w:r>
      <w:r>
        <w:rPr>
          <w:rStyle w:val="FootnoteAnchor"/>
          <w:rtl w:val="true"/>
        </w:rPr>
        <w:footnoteReference w:id="1678"/>
      </w:r>
      <w:r>
        <w:rPr>
          <w:rFonts w:ascii="IRNazanin" w:hAnsi="IRNazanin" w:eastAsia="IRNazanin"/>
          <w:color w:val="111111"/>
          <w:sz w:val="28"/>
          <w:sz w:val="28"/>
          <w:szCs w:val="28"/>
          <w:rtl w:val="true"/>
          <w:lang w:bidi="fa-IR"/>
        </w:rPr>
        <w:t xml:space="preserve">، وفاقاً للشهید الثانی </w:t>
      </w:r>
      <w:r>
        <w:rPr>
          <w:rStyle w:val="FootnoteAnchor"/>
          <w:rtl w:val="true"/>
        </w:rPr>
        <w:footnoteReference w:id="1679"/>
      </w:r>
      <w:r>
        <w:rPr>
          <w:rFonts w:ascii="IRNazanin" w:hAnsi="IRNazanin" w:eastAsia="IRNazanin"/>
          <w:color w:val="111111"/>
          <w:sz w:val="28"/>
          <w:sz w:val="28"/>
          <w:szCs w:val="28"/>
          <w:rtl w:val="true"/>
          <w:lang w:bidi="fa-IR"/>
        </w:rPr>
        <w:t xml:space="preserve">، خلافاً للمحکیّ عن الخلاف </w:t>
      </w:r>
      <w:r>
        <w:rPr>
          <w:rStyle w:val="FootnoteAnchor"/>
          <w:rtl w:val="true"/>
        </w:rPr>
        <w:footnoteReference w:id="1680"/>
      </w:r>
      <w:r>
        <w:rPr>
          <w:rFonts w:ascii="IRNazanin" w:hAnsi="IRNazanin" w:eastAsia="IRNazanin"/>
          <w:color w:val="111111"/>
          <w:sz w:val="28"/>
          <w:sz w:val="28"/>
          <w:szCs w:val="28"/>
          <w:rtl w:val="true"/>
          <w:lang w:bidi="fa-IR"/>
        </w:rPr>
        <w:t xml:space="preserve">و نهایة المصنّف </w:t>
      </w:r>
      <w:r>
        <w:rPr>
          <w:rStyle w:val="FootnoteAnchor"/>
          <w:rtl w:val="true"/>
        </w:rPr>
        <w:footnoteReference w:id="1681"/>
      </w:r>
      <w:r>
        <w:rPr>
          <w:rFonts w:ascii="IRNazanin" w:hAnsi="IRNazanin" w:eastAsia="IRNazanin"/>
          <w:color w:val="111111"/>
          <w:sz w:val="28"/>
          <w:sz w:val="28"/>
          <w:szCs w:val="28"/>
          <w:rtl w:val="true"/>
          <w:lang w:bidi="fa-IR"/>
        </w:rPr>
        <w:t xml:space="preserve">و البیان </w:t>
      </w:r>
      <w:r>
        <w:rPr>
          <w:rStyle w:val="FootnoteAnchor"/>
          <w:rtl w:val="true"/>
        </w:rPr>
        <w:footnoteReference w:id="1682"/>
      </w:r>
      <w:r>
        <w:rPr>
          <w:rFonts w:ascii="IRNazanin" w:hAnsi="IRNazanin" w:eastAsia="IRNazanin"/>
          <w:color w:val="111111"/>
          <w:sz w:val="28"/>
          <w:sz w:val="28"/>
          <w:szCs w:val="28"/>
          <w:rtl w:val="true"/>
          <w:lang w:bidi="fa-IR"/>
        </w:rPr>
        <w:t xml:space="preserve">و المعالم </w:t>
      </w:r>
      <w:r>
        <w:rPr>
          <w:rStyle w:val="FootnoteAnchor"/>
          <w:rtl w:val="true"/>
        </w:rPr>
        <w:footnoteReference w:id="1683"/>
      </w:r>
      <w:r>
        <w:rPr>
          <w:rFonts w:ascii="IRNazanin" w:hAnsi="IRNazanin" w:eastAsia="IRNazanin"/>
          <w:color w:val="111111"/>
          <w:sz w:val="28"/>
          <w:sz w:val="28"/>
          <w:szCs w:val="28"/>
          <w:rtl w:val="true"/>
          <w:lang w:bidi="fa-IR"/>
        </w:rPr>
        <w:t xml:space="preserve">و موضع من المنتهی </w:t>
      </w:r>
      <w:r>
        <w:rPr>
          <w:rStyle w:val="FootnoteAnchor"/>
          <w:rtl w:val="true"/>
        </w:rPr>
        <w:footnoteReference w:id="1684"/>
      </w:r>
      <w:r>
        <w:rPr>
          <w:rFonts w:ascii="IRNazanin" w:hAnsi="IRNazanin" w:eastAsia="IRNazanin"/>
          <w:color w:val="111111"/>
          <w:sz w:val="28"/>
          <w:sz w:val="28"/>
          <w:szCs w:val="28"/>
          <w:rtl w:val="true"/>
          <w:lang w:bidi="fa-IR"/>
        </w:rPr>
        <w:t xml:space="preserve">و ظاهر التذکرة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المحکیّ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البخار المتصاعد من ماء نجس إذا اجتمعت منه نداوة علی جسم صقیل و تقاطر، فإنّه نجس، إلّا أن یعلم بتکوّنه من الهواء کالقطرات الموجودة علی طرف إناء فی أسفله جمد نجس </w:t>
      </w:r>
      <w:r>
        <w:rPr>
          <w:rStyle w:val="FootnoteAnchor"/>
          <w:rtl w:val="true"/>
        </w:rPr>
        <w:footnoteReference w:id="1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عن المدنیّات إن غلب علی الظنّ تصاعد الأجزاء المائیّة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جیّد؛ لعدم استحالة الماء المتصاعد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مع تغایر الحقیقة عرفاً، کما فی العرق و الجلّاب المتّخذین من الماء النجس و الورد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المتّخذ من الماء القراح فالظاهر نجاسته، لعدم ارتفاع الحقیقة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تنافی بین طهارة البخار و إن اشتمل علی تلک الأجزاء المائیّة و نجاسة تلک الأجزاء عند اجتماعها و صدق الماء علیها عرفاً</w:t>
      </w:r>
      <w:r>
        <w:rPr>
          <w:rFonts w:eastAsia="IRNazanin" w:cs="IRNazanin"/>
          <w:color w:val="111111"/>
          <w:sz w:val="28"/>
          <w:szCs w:val="28"/>
          <w:rtl w:val="true"/>
          <w:lang w:bidi="fa-IR"/>
        </w:rPr>
        <w:t>.</w:t>
      </w:r>
      <w:bookmarkStart w:id="142" w:name="pg16911_259746"/>
    </w:p>
    <w:p>
      <w:pPr>
        <w:pStyle w:val="Heading5"/>
        <w:numPr>
          <w:ilvl w:val="4"/>
          <w:numId w:val="1"/>
        </w:numPr>
        <w:rPr/>
      </w:pPr>
      <w:bookmarkStart w:id="143" w:name="__RefHeading___Toc6618716_3224264995"/>
      <w:bookmarkStart w:id="144" w:name="_Toc53"/>
      <w:bookmarkEnd w:id="142"/>
      <w:bookmarkEnd w:id="143"/>
      <w:r>
        <w:rPr>
          <w:rtl w:val="true"/>
        </w:rPr>
        <w:t>[</w:t>
      </w:r>
      <w:r>
        <w:rPr/>
        <w:t>3</w:t>
      </w:r>
      <w:r>
        <w:rPr>
          <w:rtl w:val="true"/>
        </w:rPr>
        <w:t xml:space="preserve">- </w:t>
      </w:r>
      <w:r>
        <w:rPr>
          <w:rtl w:val="true"/>
        </w:rPr>
        <w:t>مطهِّریة الأرض لباطن النعل و القدم</w:t>
      </w:r>
      <w:r>
        <w:rPr>
          <w:rtl w:val="true"/>
        </w:rPr>
        <w:t>]</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باطن </w:t>
      </w:r>
      <w:r>
        <w:rPr>
          <w:rStyle w:val="FootnoteAnchor"/>
          <w:rtl w:val="true"/>
        </w:rPr>
        <w:footnoteReference w:id="1688"/>
      </w:r>
      <w:r>
        <w:rPr>
          <w:rFonts w:ascii="IRNazanin" w:hAnsi="IRNazanin" w:eastAsia="IRNazanin"/>
          <w:color w:val="111111"/>
          <w:sz w:val="28"/>
          <w:sz w:val="28"/>
          <w:szCs w:val="28"/>
          <w:rtl w:val="true"/>
          <w:lang w:bidi="fa-IR"/>
        </w:rPr>
        <w:t>النعل و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الروض، و هو </w:t>
      </w:r>
      <w:r>
        <w:rPr>
          <w:rStyle w:val="FootnoteAnchor"/>
          <w:rtl w:val="true"/>
        </w:rPr>
        <w:footnoteReference w:id="1689"/>
      </w:r>
      <w:r>
        <w:rPr>
          <w:rFonts w:ascii="IRNazanin" w:hAnsi="IRNazanin" w:eastAsia="IRNazanin"/>
          <w:color w:val="111111"/>
          <w:sz w:val="28"/>
          <w:sz w:val="28"/>
          <w:szCs w:val="28"/>
          <w:rtl w:val="true"/>
          <w:lang w:bidi="fa-IR"/>
        </w:rPr>
        <w:t xml:space="preserve">ما تستر الأرض حالة الاعتماد علیها </w:t>
      </w:r>
      <w:r>
        <w:rPr>
          <w:rStyle w:val="FootnoteAnchor"/>
          <w:rtl w:val="true"/>
        </w:rPr>
        <w:footnoteReference w:id="1690"/>
      </w:r>
      <w:r>
        <w:rPr>
          <w:rFonts w:ascii="IRNazanin" w:hAnsi="IRNazanin" w:eastAsia="IRNazanin"/>
          <w:color w:val="111111"/>
          <w:sz w:val="28"/>
          <w:sz w:val="28"/>
          <w:szCs w:val="28"/>
          <w:rtl w:val="true"/>
          <w:lang w:bidi="fa-IR"/>
        </w:rPr>
        <w:t>بلا خلاف یعتدّ به، بل عن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ذلک، مع إضافة باطن الخفّ و ما یتنعّل عادة کالقبقاب و نحوه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وطئ علی عذرة فساخت رجله فیها، أ ینقض ذلک وضوءه؟ و هل یجب علیه غسلها؟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یغسلها إلّا أن یقذّرها، و لکنّه یمسحها حتّی یذهب أثرها و یصلّی</w:t>
      </w:r>
      <w:r>
        <w:rPr>
          <w:rFonts w:eastAsia="IRNazanin" w:cs="IRNazanin"/>
          <w:color w:val="111111"/>
          <w:sz w:val="28"/>
          <w:szCs w:val="28"/>
          <w:rtl w:val="true"/>
          <w:lang w:bidi="fa-IR"/>
        </w:rPr>
        <w:t xml:space="preserve">»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أُخری لزرارة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السنّة فی أثر الغائط بثلاثة أحجار أن یمسح العجان و لا یغسله، و یجوز أن یمسح رجلیه و لا یغسلهما</w:t>
      </w:r>
      <w:r>
        <w:rPr>
          <w:rFonts w:eastAsia="IRNazanin" w:cs="IRNazanin"/>
          <w:color w:val="111111"/>
          <w:sz w:val="28"/>
          <w:szCs w:val="28"/>
          <w:rtl w:val="true"/>
          <w:lang w:bidi="fa-IR"/>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عن مستطرفات السرائر عن جامع البزنطی عن المفضّل ابن عمر عن محمّد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طریقی إلی المسجد فی زقاق یُبال فیه فربّما مررت فیه و لیس علیّ حذاء فیلصق برجلی من نداوته؟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تمشی بعد ذلک فی أرض یابسة؟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إنّ الأرض تطهّر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فأطأ علی الروث الرطب؟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أنا و اللّٰه ربما وطئت علیه ثمّ أُصلّی و لا أغسله</w:t>
      </w:r>
      <w:r>
        <w:rPr>
          <w:rFonts w:eastAsia="IRNazanin" w:cs="IRNazanin"/>
          <w:color w:val="111111"/>
          <w:sz w:val="28"/>
          <w:szCs w:val="28"/>
          <w:rtl w:val="true"/>
          <w:lang w:bidi="fa-IR"/>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المعلّی بن خنیس،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الخنزیر یخرج من الماء فیمرّ علی الطریق فیسیل منه الماء، أمرّ علیه حافیاً؟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وراءه شی‌ء جافّ؟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إنّ الأرض یطهّر بعضها بعضاً</w:t>
      </w:r>
      <w:r>
        <w:rPr>
          <w:rFonts w:eastAsia="IRNazanin" w:cs="IRNazanin"/>
          <w:color w:val="111111"/>
          <w:sz w:val="28"/>
          <w:szCs w:val="28"/>
          <w:rtl w:val="true"/>
          <w:lang w:bidi="fa-IR"/>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حفص بن أبی عیسی،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وطأت عذرة بخفیّ و مسحته حتّی لم أرَ فیه شیئاً، ما تقول فی الصلاة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نفی البأس و إن احتمل أن یکون من جهة کون الخفّ ممّا لا یتمّ به الصلاة، إلّا أنّ الظاهر السؤال عن طهارة الخفّ و أنّ الإمام علیه السلام قرّره علی الطهارة کما لا یخفی، مضافاً إلی النبویّ المنجبر بما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وطئ أحدکم الأذی بخفّه، فإنّ التراب له طهور</w:t>
      </w:r>
      <w:r>
        <w:rPr>
          <w:rFonts w:eastAsia="IRNazanin" w:cs="IRNazanin"/>
          <w:color w:val="111111"/>
          <w:sz w:val="28"/>
          <w:szCs w:val="28"/>
          <w:rtl w:val="true"/>
          <w:lang w:bidi="fa-IR"/>
        </w:rPr>
        <w:t xml:space="preserve">»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إطلاق روایة الأحول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یطأ علی الموضع الذی لیس بنظیف ثمّ یطأ بعده مکاناً نظیفاً؟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کان خمسة عشر</w:t>
      </w:r>
    </w:p>
    <w:p>
      <w:pPr>
        <w:pStyle w:val="BookText"/>
        <w:rPr/>
      </w:pPr>
      <w:r>
        <w:rPr>
          <w:rFonts w:ascii="IRNazanin" w:hAnsi="IRNazanin" w:eastAsia="IRNazanin"/>
          <w:color w:val="111111"/>
          <w:sz w:val="28"/>
          <w:sz w:val="28"/>
          <w:szCs w:val="28"/>
          <w:rtl w:val="true"/>
          <w:lang w:bidi="fa-IR"/>
        </w:rPr>
        <w:t>ذراعاً أو نحو ذلک</w:t>
      </w:r>
      <w:r>
        <w:rPr>
          <w:rFonts w:eastAsia="IRNazanin" w:cs="IRNazanin"/>
          <w:color w:val="111111"/>
          <w:sz w:val="28"/>
          <w:szCs w:val="28"/>
          <w:rtl w:val="true"/>
          <w:lang w:bidi="fa-IR"/>
        </w:rPr>
        <w:t xml:space="preserve">» </w:t>
      </w:r>
      <w:r>
        <w:rPr>
          <w:rStyle w:val="FootnoteAnchor"/>
          <w:rtl w:val="true"/>
        </w:rPr>
        <w:footnoteReference w:id="1698"/>
      </w:r>
      <w:r>
        <w:rPr>
          <w:rFonts w:ascii="IRNazanin" w:hAnsi="IRNazanin" w:eastAsia="IRNazanin"/>
          <w:color w:val="111111"/>
          <w:sz w:val="28"/>
          <w:sz w:val="28"/>
          <w:szCs w:val="28"/>
          <w:rtl w:val="true"/>
          <w:lang w:bidi="fa-IR"/>
        </w:rPr>
        <w:t>فإنّ الوطء یعمّ ما کان بالقدم و بالنعل و الخفّ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عموم الحکم لکلّ ما یتنعّل و لو کان من خشب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خشبة الأقطَع نظر، قال فی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للشکّ فی تسمیتها نعلًا بالنسبة إلیه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الصدق لا یوجب التردّد فی الإلحاق، بل الأصل عدم اللحوق و بقاء النجاسة حتّی یثبت صدق موضوع النعل أو یدلّ دلیل علی لحوقها به حکماً، فالأولی فی وجهی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الوطء فی الروایة، و قوّة احتمال انصرافه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أسفل العکاز و کعب الرمح، فالظاهر عدم لحوقهما، إلّا أن یستفاد ذلک من عموم العلّة فی الأخبار المستفیضة المتقدّم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یطهّر بعضها بعضاً</w:t>
      </w:r>
      <w:r>
        <w:rPr>
          <w:rFonts w:eastAsia="IRNazanin" w:cs="IRNazanin"/>
          <w:color w:val="111111"/>
          <w:sz w:val="28"/>
          <w:szCs w:val="28"/>
          <w:rtl w:val="true"/>
          <w:lang w:bidi="fa-IR"/>
        </w:rPr>
        <w:t xml:space="preserve">» </w:t>
      </w:r>
      <w:r>
        <w:rPr>
          <w:rStyle w:val="FootnoteAnchor"/>
          <w:rtl w:val="true"/>
        </w:rPr>
        <w:footnoteReference w:id="1700"/>
      </w:r>
      <w:r>
        <w:rPr>
          <w:rFonts w:ascii="IRNazanin" w:hAnsi="IRNazanin" w:eastAsia="IRNazanin"/>
          <w:color w:val="111111"/>
          <w:sz w:val="28"/>
          <w:sz w:val="28"/>
          <w:szCs w:val="28"/>
          <w:rtl w:val="true"/>
          <w:lang w:bidi="fa-IR"/>
        </w:rPr>
        <w:t>فإنّ الظاهر أنّ الأرض المنتقل إلیها تزیل أثر النجاسة الحادث من الأرض المنتقل عنها، و فیه إشکال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روایة الحلبی و المعلّی هو اعتبار یبوسة الأرض، فیقیّد به الإطلاقات، وفاقاً للمحکیّ عن جامع المقاصد </w:t>
      </w:r>
      <w:r>
        <w:rPr>
          <w:rStyle w:val="FootnoteAnchor"/>
          <w:rtl w:val="true"/>
        </w:rPr>
        <w:footnoteReference w:id="1701"/>
      </w:r>
      <w:r>
        <w:rPr>
          <w:rFonts w:ascii="IRNazanin" w:hAnsi="IRNazanin" w:eastAsia="IRNazanin"/>
          <w:color w:val="111111"/>
          <w:sz w:val="28"/>
          <w:sz w:val="28"/>
          <w:szCs w:val="28"/>
          <w:rtl w:val="true"/>
          <w:lang w:bidi="fa-IR"/>
        </w:rPr>
        <w:t xml:space="preserve">و الموجز </w:t>
      </w:r>
      <w:r>
        <w:rPr>
          <w:rStyle w:val="FootnoteAnchor"/>
          <w:rtl w:val="true"/>
        </w:rPr>
        <w:footnoteReference w:id="1702"/>
      </w:r>
      <w:r>
        <w:rPr>
          <w:rFonts w:ascii="IRNazanin" w:hAnsi="IRNazanin" w:eastAsia="IRNazanin"/>
          <w:color w:val="111111"/>
          <w:sz w:val="28"/>
          <w:sz w:val="28"/>
          <w:szCs w:val="28"/>
          <w:rtl w:val="true"/>
          <w:lang w:bidi="fa-IR"/>
        </w:rPr>
        <w:t xml:space="preserve">و المسالک </w:t>
      </w:r>
      <w:r>
        <w:rPr>
          <w:rStyle w:val="FootnoteAnchor"/>
          <w:rtl w:val="true"/>
        </w:rPr>
        <w:footnoteReference w:id="1703"/>
      </w:r>
      <w:r>
        <w:rPr>
          <w:rFonts w:ascii="IRNazanin" w:hAnsi="IRNazanin" w:eastAsia="IRNazanin"/>
          <w:color w:val="111111"/>
          <w:sz w:val="28"/>
          <w:sz w:val="28"/>
          <w:szCs w:val="28"/>
          <w:rtl w:val="true"/>
          <w:lang w:bidi="fa-IR"/>
        </w:rPr>
        <w:t>، إلّا أن یدّعی أنّ ذکر الیبوسة فیها من باب أنّ الرطوبة غالباً تزول بالمسح</w:t>
      </w:r>
    </w:p>
    <w:p>
      <w:pPr>
        <w:pStyle w:val="BookText"/>
        <w:rPr/>
      </w:pPr>
      <w:r>
        <w:rPr>
          <w:rFonts w:ascii="IRNazanin" w:hAnsi="IRNazanin" w:eastAsia="IRNazanin"/>
          <w:color w:val="111111"/>
          <w:sz w:val="28"/>
          <w:sz w:val="28"/>
          <w:szCs w:val="28"/>
          <w:rtl w:val="true"/>
          <w:lang w:bidi="fa-IR"/>
        </w:rPr>
        <w:t>بأرض یابسة دون الرطبة، فلیس لها مدخلیّة فی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بقصور الروایتین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الثانیة صحیحة أو حسنة بابن هاشم، و الأولی منقولة عن نوادر البزنطی، و هو حسن لا یروی إلّا عن ثقة، و من أصحاب الإجماع، فالأولی نسبة القصور إلی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ضعف ما عن 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لم یظهر وجه لاعتبار الجفاف إلّا تخیّل نجاسة الأرض، و هو غیر ضائر کرطوبة النجاسة؛ إذ الضارّ سبق النجاسة لا الحاصل بنفس التطهیر، کما فی غسالة الماء القلیل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اعتبار الجفاف ما عرفت من الروایتین المعتبرتین، لا هذا الوجه الضعیف</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یعتبر طهارة الأرض کما عن الإسکافی </w:t>
      </w:r>
      <w:r>
        <w:rPr>
          <w:rStyle w:val="FootnoteAnchor"/>
          <w:rtl w:val="true"/>
        </w:rPr>
        <w:footnoteReference w:id="1705"/>
      </w:r>
      <w:r>
        <w:rPr>
          <w:rFonts w:ascii="IRNazanin" w:hAnsi="IRNazanin" w:eastAsia="IRNazanin"/>
          <w:color w:val="111111"/>
          <w:sz w:val="28"/>
          <w:sz w:val="28"/>
          <w:szCs w:val="28"/>
          <w:rtl w:val="true"/>
          <w:lang w:bidi="fa-IR"/>
        </w:rPr>
        <w:t xml:space="preserve">و الجماعة المتقدّم إلیهم الإشارة </w:t>
      </w:r>
      <w:r>
        <w:rPr>
          <w:rStyle w:val="FootnoteAnchor"/>
          <w:rtl w:val="true"/>
        </w:rPr>
        <w:footnoteReference w:id="1706"/>
      </w:r>
      <w:r>
        <w:rPr>
          <w:rFonts w:ascii="IRNazanin" w:hAnsi="IRNazanin" w:eastAsia="IRNazanin"/>
          <w:color w:val="111111"/>
          <w:sz w:val="28"/>
          <w:sz w:val="28"/>
          <w:szCs w:val="28"/>
          <w:rtl w:val="true"/>
          <w:lang w:bidi="fa-IR"/>
        </w:rPr>
        <w:t xml:space="preserve">، أو لا، کما نسبه فی الروضة إلی ظاهر النصّ و الفتوی </w:t>
      </w:r>
      <w:r>
        <w:rPr>
          <w:rStyle w:val="FootnoteAnchor"/>
          <w:rtl w:val="true"/>
        </w:rPr>
        <w:footnoteReference w:id="1707"/>
      </w:r>
      <w:r>
        <w:rPr>
          <w:rFonts w:ascii="IRNazanin" w:hAnsi="IRNazanin" w:eastAsia="IRNazanin"/>
          <w:color w:val="111111"/>
          <w:sz w:val="28"/>
          <w:sz w:val="28"/>
          <w:szCs w:val="28"/>
          <w:rtl w:val="true"/>
          <w:lang w:bidi="fa-IR"/>
        </w:rPr>
        <w:t xml:space="preserve">و اختاره المصنّف </w:t>
      </w:r>
      <w:r>
        <w:rPr>
          <w:rStyle w:val="FootnoteAnchor"/>
          <w:rtl w:val="true"/>
        </w:rPr>
        <w:footnoteReference w:id="1708"/>
      </w:r>
      <w:r>
        <w:rPr>
          <w:rFonts w:ascii="IRNazanin" w:hAnsi="IRNazanin" w:eastAsia="IRNazanin"/>
          <w:color w:val="111111"/>
          <w:sz w:val="28"/>
          <w:sz w:val="28"/>
          <w:szCs w:val="28"/>
          <w:rtl w:val="true"/>
          <w:lang w:bidi="fa-IR"/>
        </w:rPr>
        <w:t xml:space="preserve">و مال إلیه فی الروض </w:t>
      </w:r>
      <w:r>
        <w:rPr>
          <w:rStyle w:val="FootnoteAnchor"/>
          <w:rtl w:val="true"/>
        </w:rPr>
        <w:footnoteReference w:id="1709"/>
      </w:r>
      <w:r>
        <w:rPr>
          <w:rFonts w:ascii="IRNazanin" w:hAnsi="IRNazanin" w:eastAsia="IRNazanin"/>
          <w:color w:val="111111"/>
          <w:sz w:val="28"/>
          <w:sz w:val="28"/>
          <w:szCs w:val="28"/>
          <w:rtl w:val="true"/>
          <w:lang w:bidi="fa-IR"/>
        </w:rPr>
        <w:t>؟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إطلاق النصّ و الفتوی، و من انصراف الإطلاق إلی الطاهر، مضافاً إلی إشعار التعلیل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یطهّر بعضها بعضاً</w:t>
      </w:r>
      <w:r>
        <w:rPr>
          <w:rFonts w:eastAsia="IRNazanin" w:cs="IRNazanin"/>
          <w:color w:val="111111"/>
          <w:sz w:val="28"/>
          <w:szCs w:val="28"/>
          <w:rtl w:val="true"/>
          <w:lang w:bidi="fa-IR"/>
        </w:rPr>
        <w:t xml:space="preserve">» </w:t>
      </w:r>
      <w:r>
        <w:rPr>
          <w:rStyle w:val="FootnoteAnchor"/>
          <w:rtl w:val="true"/>
        </w:rPr>
        <w:footnoteReference w:id="1710"/>
      </w:r>
      <w:r>
        <w:rPr>
          <w:rFonts w:ascii="IRNazanin" w:hAnsi="IRNazanin" w:eastAsia="IRNazanin"/>
          <w:color w:val="111111"/>
          <w:sz w:val="28"/>
          <w:sz w:val="28"/>
          <w:szCs w:val="28"/>
          <w:rtl w:val="true"/>
          <w:lang w:bidi="fa-IR"/>
        </w:rPr>
        <w:t>بناءً علی أنّ المستفاد عرفاً من کون الشی‌ء مطهّراً اعتبار طهارته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فلا فرق بین النجاسة الرطبة و الیابسة کما عن المعتبر </w:t>
      </w:r>
      <w:r>
        <w:rPr>
          <w:rStyle w:val="FootnoteAnchor"/>
          <w:rtl w:val="true"/>
        </w:rPr>
        <w:footnoteReference w:id="1711"/>
      </w:r>
      <w:r>
        <w:rPr>
          <w:rFonts w:ascii="IRNazanin" w:hAnsi="IRNazanin" w:eastAsia="IRNazanin"/>
          <w:color w:val="111111"/>
          <w:sz w:val="28"/>
          <w:sz w:val="28"/>
          <w:szCs w:val="28"/>
          <w:rtl w:val="true"/>
          <w:lang w:bidi="fa-IR"/>
        </w:rPr>
        <w:t xml:space="preserve">و المنتهی </w:t>
      </w:r>
      <w:r>
        <w:rPr>
          <w:rStyle w:val="FootnoteAnchor"/>
          <w:rtl w:val="true"/>
        </w:rPr>
        <w:footnoteReference w:id="1712"/>
      </w:r>
      <w:r>
        <w:rPr>
          <w:rFonts w:ascii="IRNazanin" w:hAnsi="IRNazanin" w:eastAsia="IRNazanin"/>
          <w:color w:val="111111"/>
          <w:sz w:val="28"/>
          <w:sz w:val="28"/>
          <w:szCs w:val="28"/>
          <w:rtl w:val="true"/>
          <w:lang w:bidi="fa-IR"/>
        </w:rPr>
        <w:t xml:space="preserve">و التذکرة </w:t>
      </w:r>
      <w:r>
        <w:rPr>
          <w:rStyle w:val="FootnoteAnchor"/>
          <w:rtl w:val="true"/>
        </w:rPr>
        <w:footnoteReference w:id="1713"/>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714"/>
      </w:r>
      <w:r>
        <w:rPr>
          <w:rFonts w:ascii="Amiri" w:hAnsi="Amiri" w:eastAsia="Amiri" w:cs="Amiri"/>
          <w:color w:val="111111"/>
          <w:sz w:val="28"/>
          <w:sz w:val="28"/>
          <w:szCs w:val="28"/>
          <w:rtl w:val="true"/>
          <w:lang w:bidi="ar-SA"/>
        </w:rPr>
        <w:t xml:space="preserve">و المهذّب </w:t>
      </w:r>
      <w:r>
        <w:rPr>
          <w:rStyle w:val="FootnoteAnchor"/>
          <w:rtl w:val="true"/>
        </w:rPr>
        <w:footnoteReference w:id="1715"/>
      </w:r>
      <w:r>
        <w:rPr>
          <w:rFonts w:ascii="IRNazanin" w:hAnsi="IRNazanin" w:eastAsia="IRNazanin"/>
          <w:color w:val="111111"/>
          <w:sz w:val="28"/>
          <w:sz w:val="28"/>
          <w:szCs w:val="28"/>
          <w:rtl w:val="true"/>
          <w:lang w:bidi="fa-IR"/>
        </w:rPr>
        <w:t xml:space="preserve">و شرح الموجز </w:t>
      </w:r>
      <w:r>
        <w:rPr>
          <w:rStyle w:val="FootnoteAnchor"/>
          <w:rtl w:val="true"/>
        </w:rPr>
        <w:footnoteReference w:id="1716"/>
      </w:r>
      <w:r>
        <w:rPr>
          <w:rFonts w:ascii="IRNazanin" w:hAnsi="IRNazanin" w:eastAsia="IRNazanin"/>
          <w:color w:val="111111"/>
          <w:sz w:val="28"/>
          <w:sz w:val="28"/>
          <w:szCs w:val="28"/>
          <w:rtl w:val="true"/>
          <w:lang w:bidi="fa-IR"/>
        </w:rPr>
        <w:t xml:space="preserve">و الروض </w:t>
      </w:r>
      <w:r>
        <w:rPr>
          <w:rStyle w:val="FootnoteAnchor"/>
          <w:rtl w:val="true"/>
        </w:rPr>
        <w:footnoteReference w:id="1717"/>
      </w:r>
      <w:r>
        <w:rPr>
          <w:rFonts w:ascii="Amiri" w:hAnsi="Amiri" w:eastAsia="Amiri" w:cs="Amiri"/>
          <w:color w:val="111111"/>
          <w:sz w:val="28"/>
          <w:sz w:val="28"/>
          <w:szCs w:val="28"/>
          <w:rtl w:val="true"/>
          <w:lang w:bidi="ar-SA"/>
        </w:rPr>
        <w:t xml:space="preserve">و الروضة </w:t>
      </w:r>
      <w:r>
        <w:rPr>
          <w:rStyle w:val="FootnoteAnchor"/>
          <w:rtl w:val="true"/>
        </w:rPr>
        <w:footnoteReference w:id="1718"/>
      </w:r>
      <w:r>
        <w:rPr>
          <w:rFonts w:ascii="IRNazanin" w:hAnsi="IRNazanin" w:eastAsia="IRNazanin"/>
          <w:color w:val="111111"/>
          <w:sz w:val="28"/>
          <w:sz w:val="28"/>
          <w:szCs w:val="28"/>
          <w:rtl w:val="true"/>
          <w:lang w:bidi="fa-IR"/>
        </w:rPr>
        <w:t>لإطلاق الأخبار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أیضاً بین ذهاب الأثر بالمشی أو بالمسح، وفاقاً للمحکیّ عن المنتهی </w:t>
      </w:r>
      <w:r>
        <w:rPr>
          <w:rStyle w:val="FootnoteAnchor"/>
          <w:rtl w:val="true"/>
        </w:rPr>
        <w:footnoteReference w:id="1719"/>
      </w:r>
      <w:r>
        <w:rPr>
          <w:rFonts w:ascii="IRNazanin" w:hAnsi="IRNazanin" w:eastAsia="IRNazanin"/>
          <w:color w:val="111111"/>
          <w:sz w:val="28"/>
          <w:sz w:val="28"/>
          <w:szCs w:val="28"/>
          <w:rtl w:val="true"/>
          <w:lang w:bidi="fa-IR"/>
        </w:rPr>
        <w:t xml:space="preserve">و الدروس </w:t>
      </w:r>
      <w:r>
        <w:rPr>
          <w:rStyle w:val="FootnoteAnchor"/>
          <w:rtl w:val="true"/>
        </w:rPr>
        <w:footnoteReference w:id="1720"/>
      </w:r>
      <w:r>
        <w:rPr>
          <w:rFonts w:ascii="Amiri" w:hAnsi="Amiri" w:eastAsia="Amiri" w:cs="Amiri"/>
          <w:color w:val="111111"/>
          <w:sz w:val="28"/>
          <w:sz w:val="28"/>
          <w:szCs w:val="28"/>
          <w:rtl w:val="true"/>
          <w:lang w:bidi="ar-SA"/>
        </w:rPr>
        <w:t xml:space="preserve">و المهذّب </w:t>
      </w:r>
      <w:r>
        <w:rPr>
          <w:rStyle w:val="FootnoteAnchor"/>
          <w:rtl w:val="true"/>
        </w:rPr>
        <w:footnoteReference w:id="1721"/>
      </w:r>
      <w:r>
        <w:rPr>
          <w:rFonts w:ascii="IRNazanin" w:hAnsi="IRNazanin" w:eastAsia="IRNazanin"/>
          <w:color w:val="111111"/>
          <w:sz w:val="28"/>
          <w:sz w:val="28"/>
          <w:szCs w:val="28"/>
          <w:rtl w:val="true"/>
          <w:lang w:bidi="fa-IR"/>
        </w:rPr>
        <w:t xml:space="preserve">و حاشیة الشرائع </w:t>
      </w:r>
      <w:r>
        <w:rPr>
          <w:rStyle w:val="FootnoteAnchor"/>
          <w:rtl w:val="true"/>
        </w:rPr>
        <w:footnoteReference w:id="1722"/>
      </w:r>
      <w:r>
        <w:rPr>
          <w:rFonts w:ascii="IRNazanin" w:hAnsi="IRNazanin" w:eastAsia="IRNazanin"/>
          <w:color w:val="111111"/>
          <w:sz w:val="28"/>
          <w:sz w:val="28"/>
          <w:szCs w:val="28"/>
          <w:rtl w:val="true"/>
          <w:lang w:bidi="fa-IR"/>
        </w:rPr>
        <w:t xml:space="preserve">و المسالک </w:t>
      </w:r>
      <w:r>
        <w:rPr>
          <w:rStyle w:val="FootnoteAnchor"/>
          <w:rtl w:val="true"/>
        </w:rPr>
        <w:footnoteReference w:id="1723"/>
      </w:r>
      <w:r>
        <w:rPr>
          <w:rFonts w:ascii="IRNazanin" w:hAnsi="IRNazanin" w:eastAsia="IRNazanin"/>
          <w:color w:val="111111"/>
          <w:sz w:val="28"/>
          <w:sz w:val="28"/>
          <w:szCs w:val="28"/>
          <w:rtl w:val="true"/>
          <w:lang w:bidi="fa-IR"/>
        </w:rPr>
        <w:t xml:space="preserve">لورود الروایة بکلیهما </w:t>
      </w:r>
      <w:r>
        <w:rPr>
          <w:rStyle w:val="FootnoteAnchor"/>
          <w:rtl w:val="true"/>
        </w:rPr>
        <w:footnoteReference w:id="1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یجزی جعل بعض الأجزاء الأرضیّة آلة للمسح، بأن یأخذ بیده حجراً أو قبضة من تراب أو رمل فیمسح بها المتنجّس؛ لانصراف مسح الرجل إلی مسحها بالأرض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بین أن یکون الأرض تراباً أو حجراً أو رملًا، کما صرّح به الثانیان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ظاهر الفتاوی اختصاص الطهارة بباطن القدم و نحوه، و المراد به علی ما فی الروض </w:t>
      </w:r>
      <w:r>
        <w:rPr>
          <w:rStyle w:val="FootnoteAnchor"/>
          <w:rtl w:val="true"/>
        </w:rPr>
        <w:footnoteReference w:id="1726"/>
      </w: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1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تستره الأرض حال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صرّحا بعدم طهارة الحافّات، و هو علی إطلاقه مشکل، فإنّ ظاهر قول زرارة فی الصحیحة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فساخت رجله فیها</w:t>
      </w:r>
      <w:r>
        <w:rPr>
          <w:rFonts w:eastAsia="IRNazanin" w:cs="IRNazanin"/>
          <w:color w:val="111111"/>
          <w:sz w:val="28"/>
          <w:szCs w:val="28"/>
          <w:rtl w:val="true"/>
          <w:lang w:bidi="fa-IR"/>
        </w:rPr>
        <w:t xml:space="preserve">» </w:t>
      </w:r>
      <w:r>
        <w:rPr>
          <w:rStyle w:val="FootnoteAnchor"/>
          <w:rtl w:val="true"/>
        </w:rPr>
        <w:footnoteReference w:id="1728"/>
      </w:r>
      <w:r>
        <w:rPr>
          <w:rFonts w:ascii="IRNazanin" w:hAnsi="IRNazanin" w:eastAsia="IRNazanin"/>
          <w:color w:val="111111"/>
          <w:sz w:val="28"/>
          <w:sz w:val="28"/>
          <w:szCs w:val="28"/>
          <w:rtl w:val="true"/>
          <w:lang w:bidi="fa-IR"/>
        </w:rPr>
        <w:t xml:space="preserve">تلوّث بعض الحافّة أیضاً، و لا أقلّ من الإطلاق، فإلحاق الحافّة القریبة من الباطن لا یخلو عن قوّة؛ وفاقاً لکاشف الغطاء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النجاسة إن کانت ممّا لا عین لها کالبول و الماء النجس الیابسین فقیل بکفایة مجرّد المماسّة </w:t>
      </w:r>
      <w:r>
        <w:rPr>
          <w:rStyle w:val="FootnoteAnchor"/>
          <w:rtl w:val="true"/>
        </w:rPr>
        <w:footnoteReference w:id="1730"/>
      </w:r>
      <w:r>
        <w:rPr>
          <w:rFonts w:ascii="IRNazanin" w:hAnsi="IRNazanin" w:eastAsia="IRNazanin"/>
          <w:color w:val="111111"/>
          <w:sz w:val="28"/>
          <w:sz w:val="28"/>
          <w:szCs w:val="28"/>
          <w:rtl w:val="true"/>
          <w:lang w:bidi="fa-IR"/>
        </w:rPr>
        <w:t xml:space="preserve">وفاقاً للمحکیّ عن منظومة العلّامة الطباطبائی </w:t>
      </w:r>
      <w:r>
        <w:rPr>
          <w:rStyle w:val="FootnoteAnchor"/>
          <w:rtl w:val="true"/>
        </w:rPr>
        <w:footnoteReference w:id="1731"/>
      </w:r>
      <w:r>
        <w:rPr>
          <w:rFonts w:ascii="IRNazanin" w:hAnsi="IRNazanin" w:eastAsia="IRNazanin"/>
          <w:color w:val="111111"/>
          <w:sz w:val="28"/>
          <w:sz w:val="28"/>
          <w:szCs w:val="28"/>
          <w:rtl w:val="true"/>
          <w:lang w:bidi="fa-IR"/>
        </w:rPr>
        <w:t xml:space="preserve">و کشف الغطاء </w:t>
      </w:r>
      <w:r>
        <w:rPr>
          <w:rStyle w:val="FootnoteAnchor"/>
          <w:rtl w:val="true"/>
        </w:rPr>
        <w:footnoteReference w:id="1732"/>
      </w:r>
      <w:r>
        <w:rPr>
          <w:rFonts w:ascii="IRNazanin" w:hAnsi="IRNazanin" w:eastAsia="IRNazanin"/>
          <w:color w:val="111111"/>
          <w:sz w:val="28"/>
          <w:sz w:val="28"/>
          <w:szCs w:val="28"/>
          <w:rtl w:val="true"/>
          <w:lang w:bidi="fa-IR"/>
        </w:rPr>
        <w:t xml:space="preserve">و بعض أتباعهما </w:t>
      </w:r>
      <w:r>
        <w:rPr>
          <w:rStyle w:val="FootnoteAnchor"/>
          <w:rtl w:val="true"/>
        </w:rPr>
        <w:footnoteReference w:id="1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أُرید من المماسّة المسح فهو حسن، و إلّا فالأقوی اعتبار المسح علی الأرض أو المشی و عدم</w:t>
      </w:r>
    </w:p>
    <w:p>
      <w:pPr>
        <w:pStyle w:val="BookText"/>
        <w:rPr/>
      </w:pPr>
      <w:r>
        <w:rPr>
          <w:rFonts w:ascii="IRNazanin" w:hAnsi="IRNazanin" w:eastAsia="IRNazanin"/>
          <w:color w:val="111111"/>
          <w:sz w:val="28"/>
          <w:sz w:val="28"/>
          <w:szCs w:val="28"/>
          <w:rtl w:val="true"/>
          <w:lang w:bidi="fa-IR"/>
        </w:rPr>
        <w:t xml:space="preserve">کفایة المماسّة، إلّا أن یتمسّک بعموم التعلیل المتقدّم الدالّ علی کون الأرض مطهّرة بقول مطلق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یظهر من الروایة کیفیّة التطهیر بالأرض، هل هو بالمسح أو بالمشی أو بمجرّد المسّ؟ نظیر ما قدّمنا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إجماله من حیث کیفیّة التطهیر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إن کانت النجاسة ذات عین فلا إشکال فی اعتبار زوال العین، و هل یعتبر زوال الأثر کما عن جامع المقاصد </w:t>
      </w:r>
      <w:r>
        <w:rPr>
          <w:rStyle w:val="FootnoteAnchor"/>
          <w:rtl w:val="true"/>
        </w:rPr>
        <w:footnoteReference w:id="1736"/>
      </w:r>
      <w:r>
        <w:rPr>
          <w:rFonts w:ascii="Amiri" w:hAnsi="Amiri" w:eastAsia="Amiri" w:cs="Amiri"/>
          <w:color w:val="111111"/>
          <w:sz w:val="28"/>
          <w:sz w:val="28"/>
          <w:szCs w:val="28"/>
          <w:rtl w:val="true"/>
          <w:lang w:bidi="ar-SA"/>
        </w:rPr>
        <w:t xml:space="preserve">و المنظومة </w:t>
      </w:r>
      <w:r>
        <w:rPr>
          <w:rStyle w:val="FootnoteAnchor"/>
          <w:rtl w:val="true"/>
        </w:rPr>
        <w:footnoteReference w:id="1737"/>
      </w:r>
      <w:r>
        <w:rPr>
          <w:rFonts w:ascii="IRNazanin" w:hAnsi="IRNazanin" w:eastAsia="IRNazanin"/>
          <w:color w:val="111111"/>
          <w:sz w:val="28"/>
          <w:sz w:val="28"/>
          <w:szCs w:val="28"/>
          <w:rtl w:val="true"/>
          <w:lang w:bidi="fa-IR"/>
        </w:rPr>
        <w:t xml:space="preserve">أو لا کما عن کشف الغطاء </w:t>
      </w:r>
      <w:r>
        <w:rPr>
          <w:rStyle w:val="FootnoteAnchor"/>
          <w:rtl w:val="true"/>
        </w:rPr>
        <w:footnoteReference w:id="1738"/>
      </w:r>
      <w:r>
        <w:rPr>
          <w:rFonts w:ascii="IRNazanin" w:hAnsi="IRNazanin" w:eastAsia="IRNazanin"/>
          <w:color w:val="111111"/>
          <w:sz w:val="28"/>
          <w:sz w:val="28"/>
          <w:szCs w:val="28"/>
          <w:rtl w:val="true"/>
          <w:lang w:bidi="fa-IR"/>
        </w:rPr>
        <w:t>؟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أُرید بالأثر مطلق ما یدلّ علی النجاسة، فلا إشکال فی عدم اعتبار زوالها؛ لعدم اعتباره فی التطهیر بالماء فکیف فی التطهیر بالأرض المبتنی علی التسهیل و الرخصة؟ فقد لا یزول الریح و اللون و لو بعد المبالغة فی غسله فکیف بالمسح و المشی؟ مع أنّ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نحو من خمسة عشر ذراعاً</w:t>
      </w:r>
      <w:r>
        <w:rPr>
          <w:rFonts w:eastAsia="IRNazanin" w:cs="IRNazanin"/>
          <w:color w:val="111111"/>
          <w:sz w:val="28"/>
          <w:szCs w:val="28"/>
          <w:rtl w:val="true"/>
          <w:lang w:bidi="fa-IR"/>
        </w:rPr>
        <w:t xml:space="preserve">» </w:t>
      </w:r>
      <w:r>
        <w:rPr>
          <w:rStyle w:val="FootnoteAnchor"/>
          <w:rtl w:val="true"/>
        </w:rPr>
        <w:footnoteReference w:id="1739"/>
      </w:r>
      <w:r>
        <w:rPr>
          <w:rFonts w:ascii="IRNazanin" w:hAnsi="IRNazanin" w:eastAsia="IRNazanin"/>
          <w:color w:val="111111"/>
          <w:sz w:val="28"/>
          <w:sz w:val="28"/>
          <w:szCs w:val="28"/>
          <w:rtl w:val="true"/>
          <w:lang w:bidi="fa-IR"/>
        </w:rPr>
        <w:t>ظاهرة فی عدم اعتبار المشی الکثیر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أُرید به الأجزاء الصغار، فلا إشکال فی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الأجزاء الصغار العالقة بالمحلّ التی لا تزول غالباً إلّا بالماء کما فُسّرت بها الأثر فی</w:t>
      </w:r>
      <w:bookmarkStart w:id="145" w:name="pg16911_259753"/>
    </w:p>
    <w:p>
      <w:pPr>
        <w:pStyle w:val="BookText"/>
        <w:rPr/>
      </w:pPr>
      <w:bookmarkEnd w:id="145"/>
      <w:r>
        <w:rPr>
          <w:rFonts w:ascii="Amiri" w:hAnsi="Amiri" w:eastAsia="Amiri" w:cs="Amiri"/>
          <w:color w:val="111111"/>
          <w:sz w:val="28"/>
          <w:sz w:val="28"/>
          <w:szCs w:val="28"/>
          <w:rtl w:val="true"/>
          <w:lang w:bidi="ar-SA"/>
        </w:rPr>
        <w:t xml:space="preserve">مسألة الاستجمار </w:t>
      </w:r>
      <w:r>
        <w:rPr>
          <w:rStyle w:val="FootnoteAnchor"/>
          <w:rtl w:val="true"/>
        </w:rPr>
        <w:footnoteReference w:id="1740"/>
      </w:r>
      <w:r>
        <w:rPr>
          <w:rFonts w:ascii="IRNazanin" w:hAnsi="IRNazanin" w:eastAsia="IRNazanin"/>
          <w:color w:val="111111"/>
          <w:sz w:val="28"/>
          <w:sz w:val="28"/>
          <w:szCs w:val="28"/>
          <w:rtl w:val="true"/>
          <w:lang w:bidi="fa-IR"/>
        </w:rPr>
        <w:t>لا یعتبر 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الرطوبة المحضة القلیلة الباقیة، فالظاهر أنّها غیر قادحة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الفرق بین ما إذا کانت من نجاسة مائیّة أو من نجاسة جرمیّة کالغائط مثلًا، فإنّه فی الأوّل یعدّ نفس النجاسة،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 المراد بقوله علیه السلام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یمسحها حتّی یذهب أثرها</w:t>
      </w:r>
      <w:r>
        <w:rPr>
          <w:rFonts w:eastAsia="IRNazanin" w:cs="IRNazanin"/>
          <w:color w:val="111111"/>
          <w:sz w:val="28"/>
          <w:szCs w:val="28"/>
          <w:rtl w:val="true"/>
          <w:lang w:bidi="fa-IR"/>
        </w:rPr>
        <w:t xml:space="preserve">» </w:t>
      </w:r>
      <w:r>
        <w:rPr>
          <w:rStyle w:val="FootnoteAnchor"/>
          <w:rtl w:val="true"/>
        </w:rPr>
        <w:footnoteReference w:id="1741"/>
      </w:r>
      <w:r>
        <w:rPr>
          <w:rFonts w:ascii="IRNazanin" w:hAnsi="IRNazanin" w:eastAsia="IRNazanin"/>
          <w:color w:val="111111"/>
          <w:sz w:val="28"/>
          <w:sz w:val="28"/>
          <w:szCs w:val="28"/>
          <w:rtl w:val="true"/>
          <w:lang w:bidi="fa-IR"/>
        </w:rPr>
        <w:t>هو ما یعدّ من نفس النجاسة، لا مجرّد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بعدم اعتبار زوال الأجزاء الصغار؛ لتعسّر ذلک و لاحتیاجه إلی مشیٍ کثیر، مع أنّ ظاهر الروایة کفایة خمسة عشر ذراعاً، مع أنّه کثیراً ما یدخل النجاسة فی شقاق الرجل فلا یزول بالمرّة و لو بالمشی الکثیر أو المبالغة فی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إن أراد مطلق الأجزاء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أنّهم قد عدّوا من المطهّرات أُموراً أُخر لا بدّ من التنبیه علیها، و لعلّ إهمال المصنّف لها من جهة أنّها لیست فی الحقیقة رافعة للنجاسة کما ستعرف، بل المطهّر حقیقة هو الماء و الشمس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 النار منها بناءً علی ما یستفاد من بعض الروایات الضعیفة الدلالة، کما تقدّمت </w:t>
      </w:r>
      <w:r>
        <w:rPr>
          <w:rStyle w:val="FootnoteAnchor"/>
          <w:rtl w:val="true"/>
        </w:rPr>
        <w:footnoteReference w:id="1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وجه جعلها من المطهّرات الحقیقیّة، و إلّا فهی علی التحقیق رافعة لموضوع النجاسة بإحالته إلی موضوع طاهر من تلک الأُمور المستحال إلیها</w:t>
      </w:r>
      <w:r>
        <w:rPr>
          <w:rFonts w:eastAsia="IRNazanin" w:cs="IRNazanin"/>
          <w:color w:val="111111"/>
          <w:sz w:val="28"/>
          <w:szCs w:val="28"/>
          <w:rtl w:val="true"/>
          <w:lang w:bidi="fa-IR"/>
        </w:rPr>
        <w:t>.</w:t>
      </w:r>
    </w:p>
    <w:p>
      <w:pPr>
        <w:pStyle w:val="Heading5"/>
        <w:numPr>
          <w:ilvl w:val="4"/>
          <w:numId w:val="1"/>
        </w:numPr>
        <w:rPr/>
      </w:pPr>
      <w:bookmarkStart w:id="146" w:name="__RefHeading___Toc6618718_3224264995"/>
      <w:bookmarkStart w:id="147" w:name="_Toc54"/>
      <w:bookmarkEnd w:id="146"/>
      <w:r>
        <w:rPr>
          <w:rtl w:val="true"/>
        </w:rPr>
        <w:t>[</w:t>
      </w:r>
      <w:r>
        <w:rPr/>
        <w:t>4</w:t>
      </w:r>
      <w:r>
        <w:rPr>
          <w:rtl w:val="true"/>
        </w:rPr>
        <w:t xml:space="preserve">- </w:t>
      </w:r>
      <w:r>
        <w:rPr>
          <w:rtl w:val="true"/>
        </w:rPr>
        <w:t>الاستحالة</w:t>
      </w:r>
      <w:r>
        <w:rPr>
          <w:rtl w:val="true"/>
        </w:rPr>
        <w:t>]</w:t>
      </w:r>
      <w:bookmarkEnd w:id="147"/>
    </w:p>
    <w:p>
      <w:pPr>
        <w:pStyle w:val="BookText"/>
        <w:rPr/>
      </w:pPr>
      <w:r>
        <w:rPr>
          <w:rFonts w:ascii="Amiri" w:hAnsi="Amiri" w:eastAsia="Amiri" w:cs="Amiri"/>
          <w:color w:val="111111"/>
          <w:sz w:val="28"/>
          <w:sz w:val="28"/>
          <w:szCs w:val="28"/>
          <w:rtl w:val="true"/>
          <w:lang w:bidi="ar-SA"/>
        </w:rPr>
        <w:t>الاستحالة من المطهّرات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الشهید فی بعض حواشیه علی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الاستحالة عند</w:t>
      </w:r>
    </w:p>
    <w:p>
      <w:pPr>
        <w:pStyle w:val="BookText"/>
        <w:rPr/>
      </w:pPr>
      <w:r>
        <w:rPr>
          <w:rFonts w:ascii="IRNazanin" w:hAnsi="IRNazanin" w:eastAsia="IRNazanin"/>
          <w:color w:val="111111"/>
          <w:sz w:val="28"/>
          <w:sz w:val="28"/>
          <w:szCs w:val="28"/>
          <w:rtl w:val="true"/>
          <w:lang w:bidi="fa-IR"/>
        </w:rPr>
        <w:t xml:space="preserve">الفقهاء عبارة عن تغییر الأجزاء و انقلابها من حالٍ إلی حالٍ، و عند الأُصولیّین عبارة عن تبدّل الصورة النوعیّة </w:t>
      </w:r>
      <w:r>
        <w:rPr>
          <w:rStyle w:val="FootnoteAnchor"/>
          <w:rtl w:val="true"/>
        </w:rPr>
        <w:footnoteReference w:id="1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أنسب بالمعنی اللغوی و الثانی بالعرفی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فالذی ینبغی أن یراد هنا من الاستحالة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استحالة الموضوع و تبدّلها إلی مغایرة عرفاً، سواء کان تبدّلها بتبدّل ذاتیّاتها أو بعض خصوصیّاتها العرضیّة، فلو فرضنا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فی کلام الشارع علی الماء المتلبّس بالتغیّر أو المتّصف بکونه فی الکوز و زالت الصفة زالت النجاسة؛ لأنّ المحمول تابع للموضوع فبزواله یزول، و ثبوته فی موضوع آخر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المتغیّر أی المتلبّس بالتغیّر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نجاسة غیر المتغیّر، سواء کان غیر متغیّر من أوّل الأمر أو کان متغیّراً و زال تغیّرُه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التمسّک بالاستصحاب غیر معقول؛ لأنّ بقاء الحکم فی غیر موضوعه غیر معقول، و لو فرض القول بانتقال الأعراض کان دعوی الانتقال مخالفة للاستصحاب لا موافقة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ظهر أنّ کون استحالة الموضوع موجبة لزوال النجاسة ممّا لا ینبغی الخلاف فیه، و أنّ الخلاف الواقع بین الفقهاء من الخاصّة و العامّة فی بعض الموارد راجعٌ إلی ادّعاء استحالة الموضوع و إنکارها، لا إلی کون استحالة الموضوع منشأً للحکم بطهارة المستحال إلیه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بما ذکرنا صریح عبارتی المعتبر </w:t>
      </w:r>
      <w:r>
        <w:rPr>
          <w:rStyle w:val="FootnoteAnchor"/>
          <w:rtl w:val="true"/>
        </w:rPr>
        <w:footnoteReference w:id="1744"/>
      </w:r>
      <w:r>
        <w:rPr>
          <w:rFonts w:ascii="IRNazanin" w:hAnsi="IRNazanin" w:eastAsia="IRNazanin"/>
          <w:color w:val="111111"/>
          <w:sz w:val="28"/>
          <w:sz w:val="28"/>
          <w:szCs w:val="28"/>
          <w:rtl w:val="true"/>
          <w:lang w:bidi="fa-IR"/>
        </w:rPr>
        <w:t xml:space="preserve">و المنتهی </w:t>
      </w:r>
      <w:r>
        <w:rPr>
          <w:rStyle w:val="FootnoteAnchor"/>
          <w:rtl w:val="true"/>
        </w:rPr>
        <w:footnoteReference w:id="1745"/>
      </w:r>
      <w:r>
        <w:rPr>
          <w:rFonts w:ascii="IRNazanin" w:hAnsi="IRNazanin" w:eastAsia="IRNazanin"/>
          <w:color w:val="111111"/>
          <w:sz w:val="28"/>
          <w:sz w:val="28"/>
          <w:szCs w:val="28"/>
          <w:rtl w:val="true"/>
          <w:lang w:bidi="fa-IR"/>
        </w:rPr>
        <w:t>، حیث استدلّا</w:t>
      </w:r>
    </w:p>
    <w:p>
      <w:pPr>
        <w:pStyle w:val="BookText"/>
        <w:rPr/>
      </w:pPr>
      <w:r>
        <w:rPr>
          <w:rFonts w:ascii="IRNazanin" w:hAnsi="IRNazanin" w:eastAsia="IRNazanin"/>
          <w:color w:val="111111"/>
          <w:sz w:val="28"/>
          <w:sz w:val="28"/>
          <w:szCs w:val="28"/>
          <w:rtl w:val="true"/>
          <w:lang w:bidi="fa-IR"/>
        </w:rPr>
        <w:t>علی عدم طهارة الأعیان النجسة بالاستحالة و عدم طهارة الخنزیر إذا صار ملحاً بوقوعه فی المملحة فی مقابل أبی حنیفة الذی لم ینسبوا الخلاف إلّا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النجاسة قائمة بالأجزاء فلا یزول بتغیّر الصفات، فإنّ صریح هذا الکلام هو منع ارتفاع موضوع النجاسة بالاستحالة، فلم یتعلّق الاستحالة بالموضوع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بالاستحالة التی أنکر المحقّق و العلّامة کونها مطهّرة هی مجرّد تبدّل الشی‌ء الخارجی من حال إلی حال أو من صورة نوعیّة إلی أُخری، لا استحالة موضوع النجاسة و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اتّفق الکلّ علی ما فی شرح الروضة </w:t>
      </w:r>
      <w:r>
        <w:rPr>
          <w:rStyle w:val="FootnoteAnchor"/>
          <w:rtl w:val="true"/>
        </w:rPr>
        <w:footnoteReference w:id="1746"/>
      </w:r>
      <w:r>
        <w:rPr>
          <w:rFonts w:ascii="IRNazanin" w:hAnsi="IRNazanin" w:eastAsia="IRNazanin"/>
          <w:color w:val="111111"/>
          <w:sz w:val="28"/>
          <w:sz w:val="28"/>
          <w:szCs w:val="28"/>
          <w:rtl w:val="true"/>
          <w:lang w:bidi="fa-IR"/>
        </w:rPr>
        <w:t>علی طهارة العَلَقة بصیرورتها حیواناً، و الماء النجس بصیرورته بولًا لحیوان مأکول اللحم أو لبناً له، و الماء النجس نباتاً، فإنّ الظاهر تسلیم استحالة الموضوع فی ذلک کلّه و لو باستکشاف ذلک من الأدلّة الدالّة علی طهارة الأُمور المذکورة المستحال إلیها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فرّق الفاضلان بین صیرورة الخنزیر ملحاً فی المملحة، و العذرة تراباً </w:t>
      </w:r>
      <w:r>
        <w:rPr>
          <w:rStyle w:val="FootnoteAnchor"/>
          <w:rtl w:val="true"/>
        </w:rPr>
        <w:footnoteReference w:id="1747"/>
      </w:r>
      <w:r>
        <w:rPr>
          <w:rFonts w:ascii="IRNazanin" w:hAnsi="IRNazanin" w:eastAsia="IRNazanin"/>
          <w:color w:val="111111"/>
          <w:sz w:val="28"/>
          <w:sz w:val="28"/>
          <w:szCs w:val="28"/>
          <w:rtl w:val="true"/>
          <w:lang w:bidi="fa-IR"/>
        </w:rPr>
        <w:t>، فحکما بنجاسة الأوّل؛ لعدم ثبوت رافع للنجاسة القائمة بذات الخنزیر، و بطهارة الثانی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 ترابها طهوراً</w:t>
      </w:r>
      <w:r>
        <w:rPr>
          <w:rFonts w:eastAsia="IRNazanin" w:cs="IRNazanin"/>
          <w:color w:val="111111"/>
          <w:sz w:val="28"/>
          <w:szCs w:val="28"/>
          <w:rtl w:val="true"/>
          <w:lang w:bidi="fa-IR"/>
        </w:rPr>
        <w:t xml:space="preserve">» </w:t>
      </w:r>
      <w:r>
        <w:rPr>
          <w:rStyle w:val="FootnoteAnchor"/>
          <w:rtl w:val="true"/>
        </w:rPr>
        <w:footnoteReference w:id="1748"/>
      </w:r>
      <w:r>
        <w:rPr>
          <w:rFonts w:ascii="IRNazanin" w:hAnsi="IRNazanin" w:eastAsia="IRNazanin"/>
          <w:color w:val="111111"/>
          <w:sz w:val="28"/>
          <w:sz w:val="28"/>
          <w:szCs w:val="28"/>
          <w:rtl w:val="true"/>
          <w:lang w:bidi="fa-IR"/>
        </w:rPr>
        <w:t>فحینئذٍ ینحصر الکلام فی موارد الخلاف فی استحالة الموضوع و عدمها، و لا ریب أنّ الإشکال فیه من جهة الإشکال فی تعیین الموضوع</w:t>
      </w:r>
    </w:p>
    <w:p>
      <w:pPr>
        <w:pStyle w:val="BookText"/>
        <w:rPr/>
      </w:pPr>
      <w:r>
        <w:rPr>
          <w:rFonts w:ascii="IRNazanin" w:hAnsi="IRNazanin" w:eastAsia="IRNazanin"/>
          <w:color w:val="111111"/>
          <w:sz w:val="28"/>
          <w:sz w:val="28"/>
          <w:szCs w:val="28"/>
          <w:rtl w:val="true"/>
          <w:lang w:bidi="fa-IR"/>
        </w:rPr>
        <w:t>و المحلّ للنجاسة، و إلّا فبعد تشخیص الموضوع إن عُلم بزواله فلا معنی لبقاء الحکم کما عرفت، کما لا إشکال فی ما لو عُلم بقاؤه، و لو شکّ فی بقائه رجع إلی أصالة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المحقّق و العلّامة من الاستدلال المتقدّم علی عدم طهارة الخنزیر بصیرورته ملحاً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النجاسة کالطهارة من الصفات القائمة بجسم الخنزیر کغیره من الأعیان النجسة، و لیستا کالمطلوبیّة و المبغوضیّة القائمتین بالفعل الفلانی، بحیث یکون محلّها نفس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غایة الأمر أن یکون لخصوصیّة الخنزیریّة مدخلیّة فی قیام الصفة المذکورة بموضوعها المزبور، و إلّا فلیس جزءاً للموضوع؛ لأنّ المفروض أنّ الموضوع هو الجسم الملموس الخارجی و الخصوصیّة المذکورة لیست جزءاً لها، و مجرّد المدخلیّة أعمّ من أن یکون فی الحدوث فقط أو فیه و فی البقاء، فمقتضی الاستصحاب بقاء النجاسة بعد زوال تلک الخصوصیّة، کما اعترف فی جامع المقاصد </w:t>
      </w:r>
      <w:r>
        <w:rPr>
          <w:rStyle w:val="FootnoteAnchor"/>
          <w:rtl w:val="true"/>
        </w:rPr>
        <w:footnoteReference w:id="1749"/>
      </w:r>
      <w:r>
        <w:rPr>
          <w:rFonts w:ascii="IRNazanin" w:hAnsi="IRNazanin" w:eastAsia="IRNazanin"/>
          <w:color w:val="111111"/>
          <w:sz w:val="28"/>
          <w:sz w:val="28"/>
          <w:szCs w:val="28"/>
          <w:rtl w:val="true"/>
          <w:lang w:bidi="fa-IR"/>
        </w:rPr>
        <w:t xml:space="preserve">فی ردّ ما ذکره فخر المحقّقین </w:t>
      </w:r>
      <w:r>
        <w:rPr>
          <w:rStyle w:val="FootnoteAnchor"/>
          <w:rtl w:val="true"/>
        </w:rPr>
        <w:footnoteReference w:id="1750"/>
      </w:r>
      <w:r>
        <w:rPr>
          <w:rFonts w:ascii="IRNazanin" w:hAnsi="IRNazanin" w:eastAsia="IRNazanin"/>
          <w:color w:val="111111"/>
          <w:sz w:val="28"/>
          <w:sz w:val="28"/>
          <w:szCs w:val="28"/>
          <w:rtl w:val="true"/>
          <w:lang w:bidi="fa-IR"/>
        </w:rPr>
        <w:t>فی ابتناء المسألة علی استغناء الباقی عن المؤثّر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کانت النجاسة و الطهارة بأنفسهما من الأحکام الشرعیّة کان تعلّقها بالأنواع علی وجه تکون الصورة النوعیّة جزءاً من الموضوع، لکن الظاهر المتبادر عرفاً کونها من قبیل الصفات القائمة بالجسم، لکن ثبوتها موقوف علی بیان الشارع، و الحکم الشرعیّ إنّما یترتّب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أنّ ثبوت النجاسة العینیّة للنجاسات و النجاسة العرضیّة للجسم المتنجّس علی نسق واحد و محلّها الجسم، إلّا أنّ الصورة النوعیّة الخاصّة لها مدخلیّة فی الأُولی دون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النجاسة من قبیل الحکم الشرعی أمکن الفرق بأنّ الموضوع فی الأوّل هو خصوص النوع و فی الثانی القدر المشترک بین نوعی المستحیل و المستحال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مدخلیّة الصورة النوعیّة فی الموضوع علی ما هو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ترکّب الجسم من الهیولی و الصورة و إبطال الجوهر الفرد و الجزء الذی لا یتجزّأ، فهی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العرف لا یفهمون محلّ النجاسة إلّا الجسم الخارجی المرکّب من الأجزاء الخارجیّة، و یعتقدون خروج الصورة عن الجسم الخارجی و کونها من الطوارئ، کما هو لازم مذهب جمهور المتکلّمین فی الجسم؛ و لذا یستصحبون نجاسة الکلب و الخنزیر بعد الموت حتّی فیما لا روح فیه من أجزائهما، و کذا طهارة الحیوانات الطاهرة بعد الموت لو لم یدلّ الدلیل علی نجاسة المیتة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موارد الاتّفاق علی الطهارة، فإمّا لأجل فهم العرف ارتفاع الموضوع، و إمّا من جهة ملاحظة نفس الموضوع کما فی صیرورة العلقة إنساناً، و إمّا لاستکشاف ذلک من أدلّة طهارة المستحال إلیه، فإنّ الشارع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 الإنسان نجس و بول الشاة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فشرب </w:t>
      </w:r>
      <w:r>
        <w:rPr>
          <w:rStyle w:val="FootnoteAnchor"/>
          <w:rtl w:val="true"/>
        </w:rPr>
        <w:footnoteReference w:id="1751"/>
      </w:r>
      <w:r>
        <w:rPr>
          <w:rFonts w:ascii="IRNazanin" w:hAnsi="IRNazanin" w:eastAsia="IRNazanin"/>
          <w:color w:val="111111"/>
          <w:sz w:val="28"/>
          <w:sz w:val="28"/>
          <w:szCs w:val="28"/>
          <w:rtl w:val="true"/>
          <w:lang w:bidi="fa-IR"/>
        </w:rPr>
        <w:t>شاة بول إنسان فصار بولًا لها، فیکشف حکمُ الشارع بطهارة بول الشاة علی الإطلاق من أنّ بول الإنسان نجس ما لم یصر بول شاة، کما أنّ بول الشاة طاهر ما لم یصر بول إنسان، فافهم</w:t>
      </w:r>
      <w:r>
        <w:rPr>
          <w:rFonts w:eastAsia="IRNazanin" w:cs="IRNazanin"/>
          <w:color w:val="111111"/>
          <w:sz w:val="28"/>
          <w:szCs w:val="28"/>
          <w:rtl w:val="true"/>
          <w:lang w:bidi="fa-IR"/>
        </w:rPr>
        <w:t>.</w:t>
      </w:r>
      <w:bookmarkStart w:id="148" w:name="pg16911_259758"/>
    </w:p>
    <w:p>
      <w:pPr>
        <w:pStyle w:val="BookText"/>
        <w:rPr/>
      </w:pPr>
      <w:bookmarkEnd w:id="148"/>
      <w:r>
        <w:rPr>
          <w:rFonts w:ascii="IRNazanin" w:hAnsi="IRNazanin" w:eastAsia="IRNazanin"/>
          <w:color w:val="111111"/>
          <w:sz w:val="28"/>
          <w:sz w:val="28"/>
          <w:szCs w:val="28"/>
          <w:rtl w:val="true"/>
          <w:lang w:bidi="fa-IR"/>
        </w:rPr>
        <w:t>ثمّ إنّ المصنّف فی المنتهی بعد ما اختار عدم طهارة الخنزیر و شبهه بالاستحالة رجّح طهارة الأعیان النجسة باستحالتها تراباً، و استدلّ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الحکم معلّق علی الاسم یزول بزواله، و لقوله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الأرض مسجداً و ترابها طهوراً</w:t>
      </w:r>
      <w:r>
        <w:rPr>
          <w:rFonts w:eastAsia="IRNazanin" w:cs="IRNazanin"/>
          <w:color w:val="111111"/>
          <w:sz w:val="28"/>
          <w:szCs w:val="28"/>
          <w:rtl w:val="true"/>
          <w:lang w:bidi="fa-IR"/>
        </w:rPr>
        <w:t xml:space="preserve">»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الدلیل الأوّل منه مناقض لما اختاره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طهارة الخنزیر بالاستحالة ملحاً، إلّا أن یکون اعتماده علی الدلیل الثانی و ذکر الأوّل لکونه معوّلًا علیه عند غیره، فیصیر مؤیِّداً؛ و لذا اقتصر المحقّق فی المعتبر فی ترجیح الطهارة علی الروایة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فما ذکره یحتاج إلی التأمّل التامّ، نظیر ما ذکره الشهید فی حاشیته علی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الاستحالة إذا فُسّرت بتغیّر الصورة النوعیّة فهی لم تحصل فی الکلب الصائر ملحاً فی المملحة، بخلاف ما إذا فسّرت بتغیّر الحالة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6618720_3224264995"/>
      <w:bookmarkStart w:id="150" w:name="_Toc55"/>
      <w:bookmarkEnd w:id="149"/>
      <w:r>
        <w:rPr>
          <w:rtl w:val="true"/>
        </w:rPr>
        <w:t>[</w:t>
      </w:r>
      <w:r>
        <w:rPr/>
        <w:t>5</w:t>
      </w:r>
      <w:r>
        <w:rPr>
          <w:rtl w:val="true"/>
        </w:rPr>
        <w:t xml:space="preserve">- </w:t>
      </w:r>
      <w:r>
        <w:rPr>
          <w:rtl w:val="true"/>
        </w:rPr>
        <w:t>الانقلاب</w:t>
      </w:r>
      <w:r>
        <w:rPr>
          <w:rtl w:val="true"/>
        </w:rPr>
        <w:t>]</w:t>
      </w:r>
      <w:bookmarkEnd w:id="15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انقلب الخمر بنفسها خلّا فلا خلاف نصّاً و فتوی و لا إشکال فی طهارتها، و کذا لو طُرح فیها شی‌ء فصار خلّا، نسب الأوّل فی المنتهی إلی علماء الإسلام و الثانی إلی علمائنا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إطلاق المستفیضة</w:t>
      </w:r>
    </w:p>
    <w:p>
      <w:pPr>
        <w:pStyle w:val="BookText"/>
        <w:rPr/>
      </w:pPr>
      <w:r>
        <w:rPr>
          <w:rFonts w:ascii="IRNazanin" w:hAnsi="IRNazanin" w:eastAsia="IRNazanin"/>
          <w:color w:val="111111"/>
          <w:sz w:val="28"/>
          <w:sz w:val="28"/>
          <w:szCs w:val="28"/>
          <w:rtl w:val="true"/>
          <w:lang w:bidi="fa-IR"/>
        </w:rPr>
        <w:t xml:space="preserve">کموثّقة عبید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إذا باع عصیراً فحبسه السلطان حتّی صار خمراً فجعله صاحبه خلّا؟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تحوّل عن اسم الخمر لا بأس به</w:t>
      </w:r>
      <w:r>
        <w:rPr>
          <w:rFonts w:eastAsia="IRNazanin" w:cs="IRNazanin"/>
          <w:color w:val="111111"/>
          <w:sz w:val="28"/>
          <w:szCs w:val="28"/>
          <w:rtl w:val="true"/>
          <w:lang w:bidi="fa-IR"/>
        </w:rPr>
        <w:t xml:space="preserve">»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مصحّحة جمیل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لی علی الرجل دراهم فیعطینی بها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و أفسدها،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Style w:val="FootnoteAnchor"/>
          <w:rtl w:val="true"/>
        </w:rPr>
        <w:footnoteReference w:id="1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اجعلها خلّا</w:t>
      </w:r>
      <w:r>
        <w:rPr>
          <w:rFonts w:eastAsia="IRNazanin" w:cs="IRNazanin"/>
          <w:color w:val="111111"/>
          <w:sz w:val="28"/>
          <w:szCs w:val="28"/>
          <w:rtl w:val="true"/>
          <w:lang w:bidi="fa-IR"/>
        </w:rPr>
        <w:t xml:space="preserve">»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المصحّح عن عبد العزیز بن المهتدی،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العصیر یصیر خمراً، فیصبّ علیه الخلّ و شی‌ء یغیّره حتّی یصیر خلّا؟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مستطرفات السرائر عن جامع البزنطی عن أبی بصیر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الخمر یعالج بالملح و غیره لتحوّل خلّا؟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بمعالجتها</w:t>
      </w:r>
      <w:r>
        <w:rPr>
          <w:rFonts w:eastAsia="IRNazanin" w:cs="IRNazanin"/>
          <w:color w:val="111111"/>
          <w:sz w:val="28"/>
          <w:szCs w:val="28"/>
          <w:rtl w:val="true"/>
          <w:lang w:bidi="fa-IR"/>
        </w:rPr>
        <w:t xml:space="preserve">»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هنا أخبار أُخر دالّة علی النهی عمّا عولج</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الخمر یجعل فیها الخلّ؟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ما جاء من قِبَل نفسه</w:t>
      </w:r>
      <w:r>
        <w:rPr>
          <w:rFonts w:eastAsia="IRNazanin" w:cs="IRNazanin"/>
          <w:color w:val="111111"/>
          <w:sz w:val="28"/>
          <w:szCs w:val="28"/>
          <w:rtl w:val="true"/>
          <w:lang w:bidi="fa-IR"/>
        </w:rPr>
        <w:t xml:space="preserve">»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عن العیون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من الخمر ما انفسد </w:t>
      </w:r>
      <w:r>
        <w:rPr>
          <w:rStyle w:val="FootnoteAnchor"/>
          <w:rtl w:val="true"/>
        </w:rPr>
        <w:footnoteReference w:id="1762"/>
      </w:r>
      <w:r>
        <w:rPr>
          <w:rFonts w:ascii="IRNazanin" w:hAnsi="IRNazanin" w:eastAsia="IRNazanin"/>
          <w:color w:val="111111"/>
          <w:sz w:val="28"/>
          <w:sz w:val="28"/>
          <w:szCs w:val="28"/>
          <w:rtl w:val="true"/>
          <w:lang w:bidi="fa-IR"/>
        </w:rPr>
        <w:t>، و لا تأکلوا ما أفسدتموه أنتم</w:t>
      </w:r>
      <w:r>
        <w:rPr>
          <w:rFonts w:eastAsia="IRNazanin" w:cs="IRNazanin"/>
          <w:color w:val="111111"/>
          <w:sz w:val="28"/>
          <w:szCs w:val="28"/>
          <w:rtl w:val="true"/>
          <w:lang w:bidi="fa-IR"/>
        </w:rPr>
        <w:t xml:space="preserve">»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الخمر یجعل خلّا؟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لم یجعل فیها ما یقلّبها</w:t>
      </w:r>
      <w:r>
        <w:rPr>
          <w:rFonts w:eastAsia="IRNazanin" w:cs="IRNazanin"/>
          <w:color w:val="111111"/>
          <w:sz w:val="28"/>
          <w:szCs w:val="28"/>
          <w:rtl w:val="true"/>
          <w:lang w:bidi="fa-IR"/>
        </w:rPr>
        <w:t xml:space="preserve">» </w:t>
      </w:r>
      <w:r>
        <w:rPr>
          <w:rStyle w:val="FootnoteAnchor"/>
          <w:rtl w:val="true"/>
        </w:rPr>
        <w:footnoteReference w:id="1764"/>
      </w:r>
      <w:r>
        <w:rPr>
          <w:rFonts w:ascii="Amiri" w:hAnsi="Amiri" w:eastAsia="Amiri" w:cs="Amiri"/>
          <w:color w:val="111111"/>
          <w:sz w:val="28"/>
          <w:sz w:val="28"/>
          <w:szCs w:val="28"/>
          <w:rtl w:val="true"/>
          <w:lang w:bidi="ar-SA"/>
        </w:rPr>
        <w:t xml:space="preserve">بناءً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من القلب، أی ما یقلّبها خلّا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بدّ من حمل الکلّ علی الکراهة؛ لعدم مقاومتها لما ذکر من الأخبار المعتضدة بالاتّفاق المنقول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إطلاق النصّ و الفتوی عدم الفرق فی العلاج بین إلقاء مائع فیه أو جامد، باقٍ فی الخمر بعد التخلیل أو مستهلکٍ فیها قبله أو معه، و إن کان مقتضی القاعدة عدم جواز العلاج بإلقاء جامدٍ یبقی فیه بعد التخلیل؛ لتنجّسه بالخمر و عدم ثبوت طهارته باستحالة الخمر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ظاهر الشهید الثانی طهارة الأجسام الموضوعة فی الخمر </w:t>
      </w:r>
      <w:r>
        <w:rPr>
          <w:rStyle w:val="FootnoteAnchor"/>
          <w:rtl w:val="true"/>
        </w:rPr>
        <w:footnoteReference w:id="1766"/>
      </w:r>
      <w:r>
        <w:rPr>
          <w:rFonts w:ascii="IRNazanin" w:hAnsi="IRNazanin" w:eastAsia="IRNazanin"/>
          <w:color w:val="111111"/>
          <w:sz w:val="28"/>
          <w:sz w:val="28"/>
          <w:szCs w:val="28"/>
          <w:rtl w:val="true"/>
          <w:lang w:bidi="fa-IR"/>
        </w:rPr>
        <w:t xml:space="preserve">، و استظهر أیضاً الفاضل القمیّ فی أجوبة مسائله </w:t>
      </w:r>
      <w:r>
        <w:rPr>
          <w:rStyle w:val="FootnoteAnchor"/>
          <w:rtl w:val="true"/>
        </w:rPr>
        <w:footnoteReference w:id="1767"/>
      </w:r>
      <w:r>
        <w:rPr>
          <w:rFonts w:ascii="IRNazanin" w:hAnsi="IRNazanin" w:eastAsia="IRNazanin"/>
          <w:color w:val="111111"/>
          <w:sz w:val="28"/>
          <w:sz w:val="28"/>
          <w:szCs w:val="28"/>
          <w:rtl w:val="true"/>
          <w:lang w:bidi="fa-IR"/>
        </w:rPr>
        <w:t>، مضافاً إلی الروایة</w:t>
      </w:r>
    </w:p>
    <w:p>
      <w:pPr>
        <w:pStyle w:val="BookText"/>
        <w:rPr/>
      </w:pPr>
      <w:r>
        <w:rPr>
          <w:rFonts w:ascii="IRNazanin" w:hAnsi="IRNazanin" w:eastAsia="IRNazanin"/>
          <w:color w:val="111111"/>
          <w:sz w:val="28"/>
          <w:sz w:val="28"/>
          <w:szCs w:val="28"/>
          <w:rtl w:val="true"/>
          <w:lang w:bidi="fa-IR"/>
        </w:rPr>
        <w:t xml:space="preserve">المتقدّمة فی عصیر العنب المحکیّة فی الحدائق عن مستطرفات السرائر عن کتاب مسائل الرجال عن أبی الحسن علیه السلام فی القِدر الذی فیه اللحم فیجعل فیه العصیر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ظاهر المحکیّ عن ابن إدریس تقیید المطروح بما إذا استهلک خلّا </w:t>
      </w:r>
      <w:r>
        <w:rPr>
          <w:rStyle w:val="FootnoteAnchor"/>
          <w:rtl w:val="true"/>
        </w:rPr>
        <w:footnoteReference w:id="1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المراد بما عن الکفایة </w:t>
      </w:r>
      <w:r>
        <w:rPr>
          <w:rStyle w:val="FootnoteAnchor"/>
          <w:rtl w:val="true"/>
        </w:rPr>
        <w:footnoteReference w:id="1770"/>
      </w:r>
      <w:r>
        <w:rPr>
          <w:rFonts w:ascii="IRNazanin" w:hAnsi="IRNazanin" w:eastAsia="IRNazanin"/>
          <w:color w:val="111111"/>
          <w:sz w:val="28"/>
          <w:sz w:val="28"/>
          <w:szCs w:val="28"/>
          <w:rtl w:val="true"/>
          <w:lang w:bidi="fa-IR"/>
        </w:rPr>
        <w:t xml:space="preserve">و شرح المقدّس </w:t>
      </w:r>
      <w:r>
        <w:rPr>
          <w:rStyle w:val="FootnoteAnchor"/>
          <w:rtl w:val="true"/>
        </w:rPr>
        <w:footnoteReference w:id="1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ربما قیل باشتراط ذهاب عین المعالج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شارح الروضة </w:t>
      </w:r>
      <w:r>
        <w:rPr>
          <w:rStyle w:val="FootnoteAnchor"/>
          <w:rtl w:val="true"/>
        </w:rPr>
        <w:footnoteReference w:id="1772"/>
      </w:r>
      <w:r>
        <w:rPr>
          <w:rFonts w:ascii="Amiri" w:hAnsi="Amiri" w:eastAsia="Amiri" w:cs="Amiri"/>
          <w:color w:val="111111"/>
          <w:sz w:val="28"/>
          <w:sz w:val="28"/>
          <w:szCs w:val="28"/>
          <w:rtl w:val="true"/>
          <w:lang w:bidi="ar-SA"/>
        </w:rPr>
        <w:t>التردّد أیضاً تبعاً للمقدّس الأردبیلی و المحقّق السبزواری</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فلو لاقی الخمر نجاسة خارجیّة، فالمحکیّ عن جماعة </w:t>
      </w:r>
      <w:r>
        <w:rPr>
          <w:rStyle w:val="FootnoteAnchor"/>
          <w:rtl w:val="true"/>
        </w:rPr>
        <w:footnoteReference w:id="1773"/>
      </w:r>
      <w:r>
        <w:rPr>
          <w:rFonts w:ascii="IRNazanin" w:hAnsi="IRNazanin" w:eastAsia="IRNazanin"/>
          <w:color w:val="111111"/>
          <w:sz w:val="28"/>
          <w:sz w:val="28"/>
          <w:szCs w:val="28"/>
          <w:rtl w:val="true"/>
          <w:lang w:bidi="fa-IR"/>
        </w:rPr>
        <w:t xml:space="preserve">عدم طهارته بالانقلاب، و هو مبنیّ علی ما یظهر من المنتهی </w:t>
      </w:r>
      <w:r>
        <w:rPr>
          <w:rStyle w:val="FootnoteAnchor"/>
          <w:rtl w:val="true"/>
        </w:rPr>
        <w:footnoteReference w:id="1774"/>
      </w:r>
      <w:r>
        <w:rPr>
          <w:rFonts w:ascii="IRNazanin" w:hAnsi="IRNazanin" w:eastAsia="IRNazanin"/>
          <w:color w:val="111111"/>
          <w:sz w:val="28"/>
          <w:sz w:val="28"/>
          <w:szCs w:val="28"/>
          <w:rtl w:val="true"/>
          <w:lang w:bidi="fa-IR"/>
        </w:rPr>
        <w:t xml:space="preserve">و صرّح به فی کشف اللثام </w:t>
      </w:r>
      <w:r>
        <w:rPr>
          <w:rStyle w:val="FootnoteAnchor"/>
          <w:rtl w:val="true"/>
        </w:rPr>
        <w:footnoteReference w:id="1775"/>
      </w:r>
      <w:r>
        <w:rPr>
          <w:rFonts w:ascii="IRNazanin" w:hAnsi="IRNazanin" w:eastAsia="IRNazanin"/>
          <w:color w:val="111111"/>
          <w:sz w:val="28"/>
          <w:sz w:val="28"/>
          <w:szCs w:val="28"/>
          <w:rtl w:val="true"/>
          <w:lang w:bidi="fa-IR"/>
        </w:rPr>
        <w:t xml:space="preserve">و کشف الغطاء </w:t>
      </w:r>
      <w:r>
        <w:rPr>
          <w:rStyle w:val="FootnoteAnchor"/>
          <w:rtl w:val="true"/>
        </w:rPr>
        <w:footnoteReference w:id="1776"/>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النجاسة للمضاعفة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منعه؛ للأصل، و اختصاص أدلّة التنجّس إلی ما هو طاهر بالذات، لکن الأقوی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تنجّس العصیر بملاقاة الخمر و بالعکس فلا یبعد طهارتهما بالتخلیل،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مانع من قیام التنجّس بجسم الخمر من حیث هو جسم، و النجاسة بالنوع من حیث هو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تمّ هذا للزم مثله فی الخلّ الملقی فی الخمر؛ حیث إنّه فی أوّل الملاقاة و قبل الاستهلاک منفعل، أمّا لو لم یصر خمراً فالأقوی عدمه؛ لأنّ تخلیل العصیر یرفع نجاسة العصیریّة، لا الأثر الحاصل من ملاقاة الخمر،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العصیر بعد الغلیان أُطلق علیه الخمر فی بعض الأخبار </w:t>
      </w:r>
      <w:r>
        <w:rPr>
          <w:rStyle w:val="FootnoteAnchor"/>
          <w:rtl w:val="true"/>
        </w:rPr>
        <w:footnoteReference w:id="1777"/>
      </w:r>
      <w:r>
        <w:rPr>
          <w:rFonts w:ascii="IRNazanin" w:hAnsi="IRNazanin" w:eastAsia="IRNazanin"/>
          <w:color w:val="111111"/>
          <w:sz w:val="28"/>
          <w:sz w:val="28"/>
          <w:szCs w:val="28"/>
          <w:rtl w:val="true"/>
          <w:lang w:bidi="fa-IR"/>
        </w:rPr>
        <w:t>، و الإطلاق إمّا حقیقة و إمّا للمشابهة فی الأحکام، و من جملة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المتنجّس بالخمر إذا صار خمراً یطهر بالتخلیل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یطهر الإناء بتبعیّة الخمر و إن نقص الخمر عنه بعد کونه مملوّاً منها، و لا یجب ثقب الإناء لإخراج الخلّ منه، کما نُسِب إلی بعض من لا تحصیل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طهارة الإناء ممّا یفهم من طهارة الخمر بالتخلیل، و إلّا وجب التنبیه علیه مع عموم البلوی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تنجّس ماء العنب بإناء الخمر ثمّ صار خمراً فالظاهر طهارته بالتخلیل؛ لإطلاق أدلّته </w:t>
      </w:r>
      <w:r>
        <w:rPr>
          <w:rStyle w:val="FootnoteAnchor"/>
          <w:rtl w:val="true"/>
        </w:rPr>
        <w:footnoteReference w:id="1778"/>
      </w:r>
      <w:r>
        <w:rPr>
          <w:rFonts w:ascii="IRNazanin" w:hAnsi="IRNazanin" w:eastAsia="IRNazanin"/>
          <w:color w:val="111111"/>
          <w:sz w:val="28"/>
          <w:sz w:val="28"/>
          <w:szCs w:val="28"/>
          <w:rtl w:val="true"/>
          <w:lang w:bidi="fa-IR"/>
        </w:rPr>
        <w:t>، بل الغالب فی آنیة الخمر کونها ممّا یکرّر فیها وضع الخمر، و قد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1779"/>
      </w:r>
      <w:r>
        <w:rPr>
          <w:rFonts w:ascii="IRNazanin" w:hAnsi="IRNazanin" w:eastAsia="IRNazanin"/>
          <w:color w:val="111111"/>
          <w:sz w:val="28"/>
          <w:sz w:val="28"/>
          <w:szCs w:val="28"/>
          <w:rtl w:val="true"/>
          <w:lang w:bidi="fa-IR"/>
        </w:rPr>
        <w:t>أنّ النجس بالشی‌ء إذا استحال إلی نفس</w:t>
      </w:r>
      <w:bookmarkStart w:id="151" w:name="pg16911_259763"/>
    </w:p>
    <w:p>
      <w:pPr>
        <w:pStyle w:val="BookText"/>
        <w:rPr/>
      </w:pPr>
      <w:bookmarkEnd w:id="151"/>
      <w:r>
        <w:rPr>
          <w:rFonts w:ascii="IRNazanin" w:hAnsi="IRNazanin" w:eastAsia="IRNazanin"/>
          <w:color w:val="111111"/>
          <w:sz w:val="28"/>
          <w:sz w:val="28"/>
          <w:szCs w:val="28"/>
          <w:rtl w:val="true"/>
          <w:lang w:bidi="fa-IR"/>
        </w:rPr>
        <w:t>ذلک الشی‌ء انقلبت نجاسته العرضیّة 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النجاسة لا تتضاعف مع التماثل، فالمتنجّس بالبول لا یقبل التنجّس ثانیاً بالبول و لا یبقی تنجّسه العرضی إذا استحال بولًا، کما أنّ البول لا یقبل التنجّس بالبول</w:t>
      </w:r>
      <w:r>
        <w:rPr>
          <w:rFonts w:eastAsia="IRNazanin" w:cs="IRNazanin"/>
          <w:color w:val="111111"/>
          <w:sz w:val="28"/>
          <w:szCs w:val="28"/>
          <w:rtl w:val="true"/>
          <w:lang w:bidi="fa-IR"/>
        </w:rPr>
        <w:t>.</w:t>
      </w:r>
    </w:p>
    <w:p>
      <w:pPr>
        <w:pStyle w:val="Heading5"/>
        <w:numPr>
          <w:ilvl w:val="4"/>
          <w:numId w:val="1"/>
        </w:numPr>
        <w:rPr/>
      </w:pPr>
      <w:bookmarkStart w:id="152" w:name="__RefHeading___Toc6618722_3224264995"/>
      <w:bookmarkStart w:id="153" w:name="_Toc56"/>
      <w:bookmarkEnd w:id="152"/>
      <w:r>
        <w:rPr>
          <w:rtl w:val="true"/>
        </w:rPr>
        <w:t>[</w:t>
      </w:r>
      <w:r>
        <w:rPr/>
        <w:t>6</w:t>
      </w:r>
      <w:r>
        <w:rPr>
          <w:rtl w:val="true"/>
        </w:rPr>
        <w:t xml:space="preserve">- </w:t>
      </w:r>
      <w:r>
        <w:rPr>
          <w:rtl w:val="true"/>
        </w:rPr>
        <w:t>زوال الثلثین</w:t>
      </w:r>
      <w:r>
        <w:rPr>
          <w:rtl w:val="true"/>
        </w:rPr>
        <w:t>]</w:t>
      </w:r>
      <w:bookmarkEnd w:id="15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العصیر بزوال ثُلثیه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إجماعاً نصّاً و فتوی، و کذا بالشمس و الهواء و بطول البقاء أو المرکّب؛ لإطلاق النصّ </w:t>
      </w:r>
      <w:r>
        <w:rPr>
          <w:rStyle w:val="FootnoteAnchor"/>
          <w:rtl w:val="true"/>
        </w:rPr>
        <w:footnoteReference w:id="1780"/>
      </w:r>
      <w:r>
        <w:rPr>
          <w:rFonts w:ascii="IRNazanin" w:hAnsi="IRNazanin" w:eastAsia="IRNazanin"/>
          <w:color w:val="111111"/>
          <w:sz w:val="28"/>
          <w:sz w:val="28"/>
          <w:szCs w:val="28"/>
          <w:rtl w:val="true"/>
          <w:lang w:bidi="fa-IR"/>
        </w:rPr>
        <w:t>و الفتوی بکون ذهاب الثلثین غایة التحریم من دون 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یوجد فی قلیل من الفتاوی </w:t>
      </w:r>
      <w:r>
        <w:rPr>
          <w:rStyle w:val="FootnoteAnchor"/>
          <w:rtl w:val="true"/>
        </w:rPr>
        <w:footnoteReference w:id="1781"/>
      </w:r>
      <w:r>
        <w:rPr>
          <w:rFonts w:ascii="IRNazanin" w:hAnsi="IRNazanin" w:eastAsia="IRNazanin"/>
          <w:color w:val="111111"/>
          <w:sz w:val="28"/>
          <w:sz w:val="28"/>
          <w:szCs w:val="28"/>
          <w:rtl w:val="true"/>
          <w:lang w:bidi="fa-IR"/>
        </w:rPr>
        <w:t xml:space="preserve">و کثیر من النصوص التقیید بإذهاب النار </w:t>
      </w:r>
      <w:r>
        <w:rPr>
          <w:rStyle w:val="FootnoteAnchor"/>
          <w:rtl w:val="true"/>
        </w:rPr>
        <w:footnoteReference w:id="1782"/>
      </w:r>
      <w:r>
        <w:rPr>
          <w:rFonts w:ascii="IRNazanin" w:hAnsi="IRNazanin" w:eastAsia="IRNazanin"/>
          <w:color w:val="111111"/>
          <w:sz w:val="28"/>
          <w:sz w:val="28"/>
          <w:szCs w:val="28"/>
          <w:rtl w:val="true"/>
          <w:lang w:bidi="fa-IR"/>
        </w:rPr>
        <w:t>، لکنّهما یحتملان الحمل علی الغالب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إرادة تطهیر العصیر النجس فی زمان قلیل، بأن یکون العصیر إذا تنجّس بالغلی فیکون تطهیره باستمرار الغلی إلی أن یذهب الثلثان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 أنّ الإطلاقات منصرفة إلی الغالب،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الذهاب بالنار، فالتحقیق سقوط التمسّک بالمطلقات و المقیّدات، فبقی أصالتا بقاء التحریم و النجاسة إلی أن یحصل الیقین بالرافع</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التثلیث بین اعتباره بالکیل و بین اعتباره بالوزن؛ لصدقه معهما، إلّا أنّ الوزن منصوص، ففی روایة عُقبة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یأخذ</w:t>
      </w:r>
    </w:p>
    <w:p>
      <w:pPr>
        <w:pStyle w:val="BookText"/>
        <w:rPr/>
      </w:pPr>
      <w:r>
        <w:rPr>
          <w:rFonts w:ascii="IRNazanin" w:hAnsi="IRNazanin" w:eastAsia="IRNazanin"/>
          <w:color w:val="111111"/>
          <w:sz w:val="28"/>
          <w:sz w:val="28"/>
          <w:szCs w:val="28"/>
          <w:rtl w:val="true"/>
          <w:lang w:bidi="fa-IR"/>
        </w:rPr>
        <w:t xml:space="preserve">عشرة أرطال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عصیر العنب </w:t>
      </w:r>
      <w:r>
        <w:rPr>
          <w:rStyle w:val="FootnoteAnchor"/>
          <w:rtl w:val="true"/>
        </w:rPr>
        <w:footnoteReference w:id="1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فیجعل معه عشرین رطلًا من ماء فیغلی إلی أن یبقی عشرة أرطال؟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الکیل و إن کان أیضاً منصوصاً فی روایتی عمّار المتقدّمتین فی عصیر الزبیب </w:t>
      </w:r>
      <w:r>
        <w:rPr>
          <w:rStyle w:val="FootnoteAnchor"/>
          <w:rtl w:val="true"/>
        </w:rPr>
        <w:footnoteReference w:id="1785"/>
      </w:r>
      <w:r>
        <w:rPr>
          <w:rFonts w:ascii="IRNazanin" w:hAnsi="IRNazanin" w:eastAsia="IRNazanin"/>
          <w:color w:val="111111"/>
          <w:sz w:val="28"/>
          <w:sz w:val="28"/>
          <w:szCs w:val="28"/>
          <w:rtl w:val="true"/>
          <w:lang w:bidi="fa-IR"/>
        </w:rPr>
        <w:t>، إلّا أنّه قد عرفت قصور دلالتهما عن إفادة کون التثلیث لأجل زوال التحریم و احتمال کونه لأجل بعض الخواصّ،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فالأحوط الاقتصار علی الوزن؛ لأنّ المتبادر من إضافة الثلث إلی الموزونات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من حیث الوزن، إلّا أن یعارضه غلبة اعتبار العصیر عند الطبخ بالکیل أو المساحة الراجعة إلیه و تعسّر الوزن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بعض المعاصرین فی شرحه إلی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المساحةَ، و جعل الأمرین أحوط منها </w:t>
      </w:r>
      <w:r>
        <w:rPr>
          <w:rStyle w:val="FootnoteAnchor"/>
          <w:rtl w:val="true"/>
        </w:rPr>
        <w:footnoteReference w:id="1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یظهر فرق بین الکیل و المساحة؛ لأنّ الکیل یرجع إلی المساحة و لا یعقل التفاوت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بناء العرف فی المساحة علی المسامحة؛ و لذا جَعَل الکیل أحوط منها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تعارض الوزن و الکیل فالأحوط تقدیم الوزن، بل هو الأقوی،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زاد علی الثلث فهو حرام</w:t>
      </w:r>
      <w:r>
        <w:rPr>
          <w:rFonts w:eastAsia="IRNazanin" w:cs="IRNazanin"/>
          <w:color w:val="111111"/>
          <w:sz w:val="28"/>
          <w:szCs w:val="28"/>
          <w:rtl w:val="true"/>
          <w:lang w:bidi="fa-IR"/>
        </w:rPr>
        <w:t xml:space="preserve">»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کما یطهر العصیر بذهاب الثلثین یطهر الإناء و إن کانت أجزاء العصیر الغیر المثلّث عالقة بأطرافه الفوقانیّة؛ لأنّ ذلک من اللوازم العادیّة لنقص العصیر، فیطهر الأجزاء العالقة بالإناء من العصیر الغیر المثلّث تبعاً للمثلّث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یطهر أیضاً الآلات التی یزاولها العامل و إن کان العصیر الغیر المثلّث عالقاً بها، و کذا ثیاب العامل إذا لاقی شیئاً من العصیر قبل التثلیث، کلّ ذلک ما فهمه </w:t>
      </w:r>
      <w:r>
        <w:rPr>
          <w:rStyle w:val="FootnoteAnchor"/>
          <w:rtl w:val="true"/>
        </w:rPr>
        <w:footnoteReference w:id="1788"/>
      </w:r>
      <w:r>
        <w:rPr>
          <w:rFonts w:ascii="IRNazanin" w:hAnsi="IRNazanin" w:eastAsia="IRNazanin"/>
          <w:color w:val="111111"/>
          <w:sz w:val="28"/>
          <w:sz w:val="28"/>
          <w:szCs w:val="28"/>
          <w:rtl w:val="true"/>
          <w:lang w:bidi="fa-IR"/>
        </w:rPr>
        <w:t>من الإطلاقات و ترک الإمام علیه السلام لاستدراکها عند الحکم بطهارة نفس العصیر مع عموم البلوی و عدم تعرّض السائلین للسؤال الکاشف عن فهم ذلک من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 أنّ الضابط فی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التی یلاقی العصیر غالباً عند التثلیث، و لو باشر العامل قدوراً متعدّدة من العصیر فهل یطهر ثیابه بمجرّد تثلیث بعضها، أو یتوقّف طهارة کلّ جزء علی تثلیث أصله الذی انفصل هذا الجزء منه؟ الأقوی الثانی، مع أنّه أحوط</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ذکر شارح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تنجّست الآلةُ به أی بالعصیر ثمّ أُخرجت و مسح ما علیها من العصیر ثمّ أُدخلت فیه بعد أن ذهب ثلثاه لم تطهر، و إنّما تطهر إذا بقی ما علیها حتّی یذهب ثلثاه بالهواء أو غیره أو یُدخل فی العصیر و یبقی قدراً یعلم بذهاب ثلثی ما علیه </w:t>
      </w:r>
      <w:r>
        <w:rPr>
          <w:rStyle w:val="FootnoteAnchor"/>
          <w:rtl w:val="true"/>
        </w:rPr>
        <w:footnoteReference w:id="1789"/>
      </w:r>
      <w:r>
        <w:rPr>
          <w:rFonts w:ascii="IRNazanin" w:hAnsi="IRNazanin" w:eastAsia="IRNazanin"/>
          <w:color w:val="111111"/>
          <w:sz w:val="28"/>
          <w:sz w:val="28"/>
          <w:szCs w:val="28"/>
          <w:rtl w:val="true"/>
          <w:lang w:bidi="fa-IR"/>
        </w:rPr>
        <w:t>، و إن أُزیل ما علیها أُدخلت فیه قبل أن یزول ثلثاه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یطهر المزاول مثل ما طهر به الآلة بأن یذهب ثلثا ما علیه بنفسه أو بالوضع فی العصیر الذی یغلی</w:t>
      </w:r>
    </w:p>
    <w:p>
      <w:pPr>
        <w:pStyle w:val="BookText"/>
        <w:rPr/>
      </w:pPr>
      <w:r>
        <w:rPr>
          <w:rFonts w:ascii="IRNazanin" w:hAnsi="IRNazanin" w:eastAsia="IRNazanin"/>
          <w:color w:val="111111"/>
          <w:sz w:val="28"/>
          <w:sz w:val="28"/>
          <w:szCs w:val="28"/>
          <w:rtl w:val="true"/>
          <w:lang w:bidi="fa-IR"/>
        </w:rPr>
        <w:t>أو یضع ما نجس منه بعد إزالة ما علیه فی العصیر قبل ذهاب ثلثیه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فذهاب الثلثین إنّما یُطهّر العصیر و ظرفَه و ما لا بدّ منه حین الفعل عادة، کما أنّ تخلیل الخمر یفید طهارة ظرفها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 فی الظرف کلّ ما یصیبه، فهو أیضاً یطهّر، لکن بذهاب ثلثی ما علیه، و أمّا أن یزیل ما علیه ثمّ یوضع فی العصیر فالظاهر أنّه باقٍ علی نجاسته و ینجّس العصیر، سواء کان الوضع قبل ذهاب الثلثین أو بعده، فهذا هو الفرق بین الآلات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فذهاب الثلثین مطهّر للعصیر و لمحلّه، و یزید الآلة و المزاول أنّهما یطهران بذهاب الثلثین و إن کانا تنجّسا بجزء آخر من العصیر قد أُزیل عنهما و لم یذهب ثلثاه </w:t>
      </w:r>
      <w:r>
        <w:rPr>
          <w:rStyle w:val="FootnoteAnchor"/>
          <w:rtl w:val="true"/>
        </w:rPr>
        <w:footnoteReference w:id="179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الخصوصیّة للآلات و المزاول لیس مختصّاً بهما، بل یجری فی کلّ جامد أصاب العصیر قبل ذهاب الثلثین ثمّ انفصل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ما یصیب العصیر إذا أُزیل ما علیه فوضع فی العصیر فهو منجّس فینجّس العصیرَ و لو کان الوضع قبل ذهاب ثلثیه، ممنوع؛ لأنّه کالأجسام المطروحة فی العصیر؛ إذ لا فرق فیها فی ظاهر کلماتهم بین ما لو طرح فیه شی‌ء و أُبقی علی حاله إلی ما بعد الذهاب أو أُخرج شی‌ء منها بالمغرفة و شبهها لاختیار مقدار طبخه ثمّ القی فی العصیر و لو بعد حینٍ بحیث نعلم أنّ هذا العصیر العالق بذلک الشی‌ء لم یذهب ثلثاه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ما لاقی العصیر أوّلًا ثمّ أُخرج منه ثمّ ادخل فیه ثانیاً و إن علق به أجزاء العصیر التی یعلم بعدم ذهاب ثلثیها بعد الوضع ثانیاً، أمّا العصیر فلاستهلاکه فی ذلک العصیر، و لا یتنجّس العصیر قبل الغلیان به؛</w:t>
      </w:r>
    </w:p>
    <w:p>
      <w:pPr>
        <w:pStyle w:val="BookText"/>
        <w:rPr/>
      </w:pPr>
      <w:r>
        <w:rPr>
          <w:rFonts w:ascii="IRNazanin" w:hAnsi="IRNazanin" w:eastAsia="IRNazanin"/>
          <w:color w:val="111111"/>
          <w:sz w:val="28"/>
          <w:sz w:val="28"/>
          <w:szCs w:val="28"/>
          <w:rtl w:val="true"/>
          <w:lang w:bidi="fa-IR"/>
        </w:rPr>
        <w:t xml:space="preserve">لما عرفت من عدم تنجّس العین بملاقاة مثلها إلّا أن یمنع من الاستهلاک، لما مرّ فی مسألة امتزاج الماء المطلق بالمضاف فی غیر مختلف الصفات المتلوّن الطعم و الرائحة </w:t>
      </w:r>
      <w:r>
        <w:rPr>
          <w:rStyle w:val="FootnoteAnchor"/>
          <w:rtl w:val="true"/>
        </w:rPr>
        <w:footnoteReference w:id="1791"/>
      </w:r>
      <w:r>
        <w:rPr>
          <w:rFonts w:ascii="IRNazanin" w:hAnsi="IRNazanin" w:eastAsia="IRNazanin"/>
          <w:color w:val="111111"/>
          <w:sz w:val="28"/>
          <w:sz w:val="28"/>
          <w:szCs w:val="28"/>
          <w:rtl w:val="true"/>
          <w:lang w:bidi="fa-IR"/>
        </w:rPr>
        <w:t xml:space="preserve">و فی مسألة وقوع شی‌ء من الماء الرافع للحدث الأکبر فی ماء </w:t>
      </w:r>
      <w:r>
        <w:rPr>
          <w:rStyle w:val="FootnoteAnchor"/>
          <w:rtl w:val="true"/>
        </w:rPr>
        <w:footnoteReference w:id="1792"/>
      </w:r>
      <w:r>
        <w:rPr>
          <w:rFonts w:ascii="IRNazanin" w:hAnsi="IRNazanin" w:eastAsia="IRNazanin"/>
          <w:color w:val="111111"/>
          <w:sz w:val="28"/>
          <w:sz w:val="28"/>
          <w:szCs w:val="28"/>
          <w:rtl w:val="true"/>
          <w:lang w:bidi="fa-IR"/>
        </w:rPr>
        <w:t>، حیث إنّ التحقیق هو اختلاط الجزءین، لا استهلاک أحدهما فی الآخر، و حینئذٍ فالعصیر الواقع فی ذلک الجزء باقٍ علی عدم تثلیثه، فینجّس العصیر المثلّث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کلام الفاضل إنّما هو فیما علّق به العصیر بعد إزالة العصیریّة عنه، و لا یخفی أنّه من قبیل الجسم المطروح قبل ذهاب الثلثین الذی قد عرفت ذهاب المشهور إلی طهارته و دلّ علیه الروایة المتقدّمة فی ماء اللحم الملقی فیه العصیر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الروایة و کلامهم بما إذا لم یخرج المطروح فی العصیر و لم ینفصل عنه بعد الطرح و إلّا فهو کنجاسة خارجة مع سخافتها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مرّ سابقاً من عدم تنجّس العین بما لاقاه أو لاقی </w:t>
      </w:r>
      <w:r>
        <w:rPr>
          <w:rStyle w:val="FootnoteAnchor"/>
          <w:rtl w:val="true"/>
        </w:rPr>
        <w:footnoteReference w:id="1794"/>
      </w:r>
      <w:r>
        <w:rPr>
          <w:rFonts w:ascii="IRNazanin" w:hAnsi="IRNazanin" w:eastAsia="IRNazanin"/>
          <w:color w:val="111111"/>
          <w:sz w:val="28"/>
          <w:sz w:val="28"/>
          <w:szCs w:val="28"/>
          <w:rtl w:val="true"/>
          <w:lang w:bidi="fa-IR"/>
        </w:rPr>
        <w:t>مثله،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التنافی بین عدم انفعال العصیر حین النجاسة أعنی قبل ذهاب الثلثین و بین بقاء النجس الواقع علی حاله المانع عن طهارة العصیر بذهاب الثلثین؛ لأنّ طهارته یوجب انفعاله بهذا المتنجّس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فالعمدة هو </w:t>
      </w:r>
      <w:r>
        <w:rPr>
          <w:rStyle w:val="FootnoteAnchor"/>
          <w:rtl w:val="true"/>
        </w:rPr>
        <w:footnoteReference w:id="1795"/>
      </w:r>
      <w:r>
        <w:rPr>
          <w:rFonts w:ascii="IRNazanin" w:hAnsi="IRNazanin" w:eastAsia="IRNazanin"/>
          <w:color w:val="111111"/>
          <w:sz w:val="28"/>
          <w:sz w:val="28"/>
          <w:szCs w:val="28"/>
          <w:rtl w:val="true"/>
          <w:lang w:bidi="fa-IR"/>
        </w:rPr>
        <w:t xml:space="preserve">الشهرة و حکایة الاتّفاق </w:t>
      </w:r>
      <w:r>
        <w:rPr>
          <w:rStyle w:val="FootnoteAnchor"/>
          <w:rtl w:val="true"/>
        </w:rPr>
        <w:footnoteReference w:id="1796"/>
      </w:r>
      <w:r>
        <w:rPr>
          <w:rFonts w:ascii="IRNazanin" w:hAnsi="IRNazanin" w:eastAsia="IRNazanin"/>
          <w:color w:val="111111"/>
          <w:sz w:val="28"/>
          <w:sz w:val="28"/>
          <w:szCs w:val="28"/>
          <w:rtl w:val="true"/>
          <w:lang w:bidi="fa-IR"/>
        </w:rPr>
        <w:t xml:space="preserve">و روایة السرائر المتقدّمة </w:t>
      </w:r>
      <w:r>
        <w:rPr>
          <w:rStyle w:val="FootnoteAnchor"/>
          <w:rtl w:val="true"/>
        </w:rPr>
        <w:footnoteReference w:id="1797"/>
      </w:r>
      <w:r>
        <w:rPr>
          <w:rFonts w:ascii="IRNazanin" w:hAnsi="IRNazanin" w:eastAsia="IRNazanin"/>
          <w:color w:val="111111"/>
          <w:sz w:val="28"/>
          <w:sz w:val="28"/>
          <w:szCs w:val="28"/>
          <w:rtl w:val="true"/>
          <w:lang w:bidi="fa-IR"/>
        </w:rPr>
        <w:t>بعد انضمام القطع بعدم الفرق بین ما لو انفصل الجسم المطروح فیه زماناً ثمّ القی فیه و بین ما ابقی علی حاله إلی إذهاب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یقع فی العصیر إمّا طاهر و إمّا نجس، فإن کان طاهراً فلا یقدح تنجّسه بالعصیر و إن کان جامداً علی المشهور، و قد تقدّم أنّ المحقّق القمیّ فی أجوبة مسائله نسبه إلی ظاهر الأصحاب </w:t>
      </w:r>
      <w:r>
        <w:rPr>
          <w:rStyle w:val="FootnoteAnchor"/>
          <w:rtl w:val="true"/>
        </w:rPr>
        <w:footnoteReference w:id="1798"/>
      </w:r>
      <w:r>
        <w:rPr>
          <w:rFonts w:ascii="IRNazanin" w:hAnsi="IRNazanin" w:eastAsia="IRNazanin"/>
          <w:color w:val="111111"/>
          <w:sz w:val="28"/>
          <w:sz w:val="28"/>
          <w:szCs w:val="28"/>
          <w:rtl w:val="true"/>
          <w:lang w:bidi="fa-IR"/>
        </w:rPr>
        <w:t xml:space="preserve">، بل استظهر الإجماع من عبارة الشهید الثانی </w:t>
      </w:r>
      <w:r>
        <w:rPr>
          <w:rStyle w:val="FootnoteAnchor"/>
          <w:rtl w:val="true"/>
        </w:rPr>
        <w:footnoteReference w:id="1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المتقدّمة المحکیّة عن السرائر فی العصیر الموضوع فی ماء اللحم </w:t>
      </w:r>
      <w:r>
        <w:rPr>
          <w:rStyle w:val="FootnoteAnchor"/>
          <w:rtl w:val="true"/>
        </w:rPr>
        <w:footnoteReference w:id="1800"/>
      </w:r>
      <w:r>
        <w:rPr>
          <w:rFonts w:ascii="IRNazanin" w:hAnsi="IRNazanin" w:eastAsia="IRNazanin"/>
          <w:color w:val="111111"/>
          <w:sz w:val="28"/>
          <w:sz w:val="28"/>
          <w:szCs w:val="28"/>
          <w:rtl w:val="true"/>
          <w:lang w:bidi="fa-IR"/>
        </w:rPr>
        <w:t>المعتضدة بعدم التعرّض لذلک فی روایات العصیر مع عموم البلوی و وجود بعض الأجسام غالباً فی العصیر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کلمات الأصحاب المتعرّضین لهذه المسألة عدم الفرق بین إخراج ذلک الجسم ثمّ إدخاله و بین إبقائه إلی ذهاب الثلثین، و لا بین علوق الأجزاء العصیریّة حین الوضع ثانیاً و بین إزالتها عنه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یظهر ممّا تقدّم من شارح الروضة بقاؤه فی الصورة الثانیة علی التنجّس و تنجیس العصیر به إذا لم یکن من الآلات، و أنّه یعتبر فی إعادة</w:t>
      </w:r>
      <w:bookmarkStart w:id="154" w:name="pg16911_259769"/>
    </w:p>
    <w:p>
      <w:pPr>
        <w:pStyle w:val="BookText"/>
        <w:rPr/>
      </w:pPr>
      <w:bookmarkEnd w:id="154"/>
      <w:r>
        <w:rPr>
          <w:rFonts w:ascii="IRNazanin" w:hAnsi="IRNazanin" w:eastAsia="IRNazanin"/>
          <w:color w:val="111111"/>
          <w:sz w:val="28"/>
          <w:sz w:val="28"/>
          <w:szCs w:val="28"/>
          <w:rtl w:val="true"/>
          <w:lang w:bidi="fa-IR"/>
        </w:rPr>
        <w:t xml:space="preserve">أجزاء العصیر العالقة بالشی‌ء أن یذهب ثلثا نفس تلک الأجزاء، و أنّه لا یکفی ذهاب ثلثی أصل العصیر فی طهارة تلک الأجزاء و إن کانت عالقة بالآلات </w:t>
      </w:r>
      <w:r>
        <w:rPr>
          <w:rStyle w:val="FootnoteAnchor"/>
          <w:rtl w:val="true"/>
        </w:rPr>
        <w:footnoteReference w:id="1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ظاهر کلامهم عدم الفرق، و أنّ العصیر لا ینفعل بملاقاة ذلک الشی‌ء، و لا بملاقاة أجزاء العصیر العالقة بذلک الشی‌ء و إن کانت لم تثلّث بعد الوضع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مخالف لظاهر کلامهم، من جهة بقاء الجسم الجامد الموضوع فیه ثانیاً علی النجاسة إذا لم یکن من الآلات، و من جهة بقاء الأجزاء العالقة إذا لم تتثلّث هی، و إن ثُلّث أصل العصیر و إن کانت عالقة بالآلات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أُخرج علی النجاسة من نفس هذا 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أُخرج الجسم العالقُ به أجزاءٌ من عصیرٍ و وُضع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طاهرة استهلک فی العصیر الذی فیه، فالظاهر اعتبار ذهاب المجموع و إن علم عدم ذهاب ثلثی تلک الأجزاء العالقة؛ لأنّها کقطرة من الماء الطاهر استهلک حال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نجسة ففی طهارتها و طهارة محلّها بذهاب ثلثی المجموع إشکال</w:t>
      </w:r>
      <w:r>
        <w:rPr>
          <w:rFonts w:eastAsia="IRNazanin" w:cs="IRNazanin"/>
          <w:color w:val="111111"/>
          <w:sz w:val="28"/>
          <w:szCs w:val="28"/>
          <w:rtl w:val="true"/>
          <w:lang w:bidi="fa-IR"/>
        </w:rPr>
        <w:t>.</w:t>
      </w:r>
    </w:p>
    <w:p>
      <w:pPr>
        <w:pStyle w:val="Heading5"/>
        <w:numPr>
          <w:ilvl w:val="4"/>
          <w:numId w:val="1"/>
        </w:numPr>
        <w:rPr/>
      </w:pPr>
      <w:bookmarkStart w:id="155" w:name="__RefHeading___Toc6618724_3224264995"/>
      <w:bookmarkStart w:id="156" w:name="_Toc57"/>
      <w:bookmarkEnd w:id="155"/>
      <w:r>
        <w:rPr>
          <w:rtl w:val="true"/>
        </w:rPr>
        <w:t>[</w:t>
      </w:r>
      <w:r>
        <w:rPr/>
        <w:t>7</w:t>
      </w:r>
      <w:r>
        <w:rPr>
          <w:rtl w:val="true"/>
        </w:rPr>
        <w:t xml:space="preserve">- </w:t>
      </w:r>
      <w:r>
        <w:rPr>
          <w:rtl w:val="true"/>
        </w:rPr>
        <w:t>الإسلام</w:t>
      </w:r>
      <w:r>
        <w:rPr>
          <w:rtl w:val="true"/>
        </w:rPr>
        <w:t>]</w:t>
      </w:r>
      <w:bookmarkEnd w:id="15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یطهر به بدن الکافر و عرقه الکائن علیه الحادث حال الکفر و سائر الرطوبات الکائنة علی بدنه المتنجّسة به، دون المائعات النجسة أو المتنجّسة به، بغیر إشکال فی الحکم المذکور و لا فی تحقّق الإسلام فی الکافر الأصلی أو المرتدّ الملیّ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الإشکال و الخلاف فی تحقّقه للفطری، و الأقوی أنّ توبته أیضاً</w:t>
      </w:r>
    </w:p>
    <w:p>
      <w:pPr>
        <w:pStyle w:val="BookText"/>
        <w:rPr/>
      </w:pPr>
      <w:r>
        <w:rPr>
          <w:rFonts w:ascii="IRNazanin" w:hAnsi="IRNazanin" w:eastAsia="IRNazanin"/>
          <w:color w:val="111111"/>
          <w:sz w:val="28"/>
          <w:sz w:val="28"/>
          <w:szCs w:val="28"/>
          <w:rtl w:val="true"/>
          <w:lang w:bidi="fa-IR"/>
        </w:rPr>
        <w:t xml:space="preserve">یوجب طهارته و زوال نجاسته، وفاقاً للمحکیّ عن ظاهر التحریر </w:t>
      </w:r>
      <w:r>
        <w:rPr>
          <w:rStyle w:val="FootnoteAnchor"/>
          <w:rtl w:val="true"/>
        </w:rPr>
        <w:footnoteReference w:id="1802"/>
      </w:r>
      <w:r>
        <w:rPr>
          <w:rFonts w:ascii="IRNazanin" w:hAnsi="IRNazanin" w:eastAsia="IRNazanin"/>
          <w:color w:val="111111"/>
          <w:sz w:val="28"/>
          <w:sz w:val="28"/>
          <w:szCs w:val="28"/>
          <w:rtl w:val="true"/>
          <w:lang w:bidi="fa-IR"/>
        </w:rPr>
        <w:t xml:space="preserve">و الذکری </w:t>
      </w:r>
      <w:r>
        <w:rPr>
          <w:rStyle w:val="FootnoteAnchor"/>
          <w:rtl w:val="true"/>
        </w:rPr>
        <w:footnoteReference w:id="1803"/>
      </w:r>
      <w:r>
        <w:rPr>
          <w:rFonts w:ascii="IRNazanin" w:hAnsi="IRNazanin" w:eastAsia="IRNazanin"/>
          <w:color w:val="111111"/>
          <w:sz w:val="28"/>
          <w:sz w:val="28"/>
          <w:szCs w:val="28"/>
          <w:rtl w:val="true"/>
          <w:lang w:bidi="fa-IR"/>
        </w:rPr>
        <w:t xml:space="preserve">و صریح المهذّب </w:t>
      </w:r>
      <w:r>
        <w:rPr>
          <w:rStyle w:val="FootnoteAnchor"/>
          <w:rtl w:val="true"/>
        </w:rPr>
        <w:footnoteReference w:id="1804"/>
      </w:r>
      <w:r>
        <w:rPr>
          <w:rFonts w:ascii="Amiri" w:hAnsi="Amiri" w:eastAsia="Amiri" w:cs="Amiri"/>
          <w:color w:val="111111"/>
          <w:sz w:val="28"/>
          <w:sz w:val="28"/>
          <w:szCs w:val="28"/>
          <w:rtl w:val="true"/>
          <w:lang w:bidi="ar-SA"/>
        </w:rPr>
        <w:t xml:space="preserve">و الروضة </w:t>
      </w:r>
      <w:r>
        <w:rPr>
          <w:rStyle w:val="FootnoteAnchor"/>
          <w:rtl w:val="true"/>
        </w:rPr>
        <w:footnoteReference w:id="1805"/>
      </w:r>
      <w:r>
        <w:rPr>
          <w:rFonts w:ascii="IRNazanin" w:hAnsi="IRNazanin" w:eastAsia="IRNazanin"/>
          <w:color w:val="111111"/>
          <w:sz w:val="28"/>
          <w:sz w:val="28"/>
          <w:szCs w:val="28"/>
          <w:rtl w:val="true"/>
          <w:lang w:bidi="fa-IR"/>
        </w:rPr>
        <w:t xml:space="preserve">و جماعة من متأخّری المتأخّرین، کالعلّامة الطباطبائی </w:t>
      </w:r>
      <w:r>
        <w:rPr>
          <w:rStyle w:val="FootnoteAnchor"/>
          <w:rtl w:val="true"/>
        </w:rPr>
        <w:footnoteReference w:id="1806"/>
      </w:r>
      <w:r>
        <w:rPr>
          <w:rFonts w:ascii="Amiri" w:hAnsi="Amiri" w:eastAsia="Amiri" w:cs="Amiri"/>
          <w:color w:val="111111"/>
          <w:sz w:val="28"/>
          <w:sz w:val="28"/>
          <w:szCs w:val="28"/>
          <w:rtl w:val="true"/>
          <w:lang w:bidi="ar-SA"/>
        </w:rPr>
        <w:t xml:space="preserve">و المحقّق القمیّ </w:t>
      </w:r>
      <w:r>
        <w:rPr>
          <w:rStyle w:val="FootnoteAnchor"/>
          <w:rtl w:val="true"/>
        </w:rPr>
        <w:footnoteReference w:id="1807"/>
      </w:r>
      <w:r>
        <w:rPr>
          <w:rFonts w:ascii="IRNazanin" w:hAnsi="IRNazanin" w:eastAsia="IRNazanin"/>
          <w:color w:val="111111"/>
          <w:sz w:val="28"/>
          <w:sz w:val="28"/>
          <w:szCs w:val="28"/>
          <w:rtl w:val="true"/>
          <w:lang w:bidi="fa-IR"/>
        </w:rPr>
        <w:t xml:space="preserve">و ظاهر الفاضل فی شرح الروضة </w:t>
      </w:r>
      <w:r>
        <w:rPr>
          <w:rStyle w:val="FootnoteAnchor"/>
          <w:rtl w:val="true"/>
        </w:rPr>
        <w:footnoteReference w:id="1808"/>
      </w:r>
      <w:r>
        <w:rPr>
          <w:rFonts w:ascii="IRNazanin" w:hAnsi="IRNazanin" w:eastAsia="IRNazanin"/>
          <w:color w:val="111111"/>
          <w:sz w:val="28"/>
          <w:sz w:val="28"/>
          <w:szCs w:val="28"/>
          <w:rtl w:val="true"/>
          <w:lang w:bidi="fa-IR"/>
        </w:rPr>
        <w:t>لأنّ النجاسة کانت معلّقة علی موضوع الکفر و لا یصدق الکافر علیه بعد التوبة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استصحاب کفره المتیقّن قبل التوبة،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الشکّ إن کان فی الصدق العرفی فالاستصحاب لا یجری فیه کما حقّق فی محلّه </w:t>
      </w:r>
      <w:r>
        <w:rPr>
          <w:rStyle w:val="FootnoteAnchor"/>
          <w:rtl w:val="true"/>
        </w:rPr>
        <w:footnoteReference w:id="1809"/>
      </w:r>
      <w:r>
        <w:rPr>
          <w:rFonts w:ascii="IRNazanin" w:hAnsi="IRNazanin" w:eastAsia="IRNazanin"/>
          <w:color w:val="111111"/>
          <w:sz w:val="28"/>
          <w:sz w:val="28"/>
          <w:szCs w:val="28"/>
          <w:rtl w:val="true"/>
          <w:lang w:bidi="fa-IR"/>
        </w:rPr>
        <w:t>، و إن کان فی المعنی الشرعی فالمستفاد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الکفر من الأُمور الباطنة و إنّما جُعل بعض الأقوال و الأفعال دلیلًا علیه، کما أنّ الإسلام کذلک </w:t>
      </w:r>
      <w:r>
        <w:rPr>
          <w:rStyle w:val="FootnoteAnchor"/>
          <w:rtl w:val="true"/>
        </w:rPr>
        <w:footnoteReference w:id="1810"/>
      </w:r>
      <w:r>
        <w:rPr>
          <w:rFonts w:ascii="IRNazanin" w:hAnsi="IRNazanin" w:eastAsia="IRNazanin"/>
          <w:color w:val="111111"/>
          <w:sz w:val="28"/>
          <w:sz w:val="28"/>
          <w:szCs w:val="28"/>
          <w:rtl w:val="true"/>
          <w:lang w:bidi="fa-IR"/>
        </w:rPr>
        <w:t>، و المفروض أنّ المرتدّ بعد التوبة لا خلل فی اعتقاده و لا فی أفعاله و لا فی أقواله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الکلام فی کون التوبة رافعة للکفر، و إنّما الکلام فی أنّ صفة الندامة علی ما</w:t>
      </w:r>
    </w:p>
    <w:p>
      <w:pPr>
        <w:pStyle w:val="BookText"/>
        <w:rPr/>
      </w:pPr>
      <w:r>
        <w:rPr>
          <w:rFonts w:ascii="IRNazanin" w:hAnsi="IRNazanin" w:eastAsia="IRNazanin"/>
          <w:color w:val="111111"/>
          <w:sz w:val="28"/>
          <w:sz w:val="28"/>
          <w:szCs w:val="28"/>
          <w:rtl w:val="true"/>
          <w:lang w:bidi="fa-IR"/>
        </w:rPr>
        <w:t>مضی ینافی و یضادّ صفة الکفر أم لا؟ فإنّ المستفاد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المنکر للوحدانیّة أو الرسالة أو الضروری من الضروریات أو المستخفّ بما علم احترامه ضرورة کافر </w:t>
      </w:r>
      <w:r>
        <w:rPr>
          <w:rStyle w:val="FootnoteAnchor"/>
          <w:rtl w:val="true"/>
        </w:rPr>
        <w:footnoteReference w:id="1811"/>
      </w:r>
      <w:r>
        <w:rPr>
          <w:rFonts w:ascii="IRNazanin" w:hAnsi="IRNazanin" w:eastAsia="IRNazanin"/>
          <w:color w:val="111111"/>
          <w:sz w:val="28"/>
          <w:sz w:val="28"/>
          <w:szCs w:val="28"/>
          <w:rtl w:val="true"/>
          <w:lang w:bidi="fa-IR"/>
        </w:rPr>
        <w:t xml:space="preserve">، و المفروض أنّ النادم علی أحد المذکورات أو علی فعل الاستخفاف لا 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مقرّ و معترف و محترِم لما استخفّ به، فلا یصدق علی التائب أنّه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مجرّد حدوث الکفر له فی زمان لا یوجب بقاء أحکام الکافر، إلّا ما علمنا أنّ حدوثه کافٍ فی ترتّب الحکم و بقائه، کهدر دمه و انتقال ماله إلی الوارث و بینونة زوجته، فإنّ هذه أحکام لیست معلّقة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تبین الزوجة الغیر المدخولة بمجرّد ارتدادها و إن کانت توبتها مقبولة بالإجماع و أنّها تصیر مسلمة مؤمنة، فإذا لم یصحّ التمسّک بالاستصحاب تعیّن التمسّک بأصالة الطهارة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الإجماع من کاشف اللثام فی باب المیراث علی عدم قبول توبته </w:t>
      </w:r>
      <w:r>
        <w:rPr>
          <w:rStyle w:val="FootnoteAnchor"/>
          <w:rtl w:val="true"/>
        </w:rPr>
        <w:footnoteReference w:id="1812"/>
      </w:r>
      <w:r>
        <w:rPr>
          <w:rFonts w:ascii="IRNazanin" w:hAnsi="IRNazanin" w:eastAsia="IRNazanin"/>
          <w:color w:val="111111"/>
          <w:sz w:val="28"/>
          <w:sz w:val="28"/>
          <w:szCs w:val="28"/>
          <w:rtl w:val="true"/>
          <w:lang w:bidi="fa-IR"/>
        </w:rPr>
        <w:t xml:space="preserve">و کذا حکایته للإجماع عن الخلاف فی باب الحدود </w:t>
      </w:r>
      <w:r>
        <w:rPr>
          <w:rStyle w:val="FootnoteAnchor"/>
          <w:rtl w:val="true"/>
        </w:rPr>
        <w:footnoteReference w:id="1813"/>
      </w:r>
      <w:r>
        <w:rPr>
          <w:rFonts w:ascii="IRNazanin" w:hAnsi="IRNazanin" w:eastAsia="IRNazanin"/>
          <w:color w:val="111111"/>
          <w:sz w:val="28"/>
          <w:sz w:val="28"/>
          <w:szCs w:val="28"/>
          <w:rtl w:val="true"/>
          <w:lang w:bidi="fa-IR"/>
        </w:rPr>
        <w:t>، فالمراد به نفی التوبة فی مقابل قبولها من المرتدّ الملیّ و المرتدّة الفطریّة، بمعنی أنّهما یُستتابان و یقبل الحاکم منهما التوبة و یکون الواقع منهما کغیر الواقع فی عدم ترتّب أثر</w:t>
      </w:r>
    </w:p>
    <w:p>
      <w:pPr>
        <w:pStyle w:val="BookText"/>
        <w:rPr/>
      </w:pPr>
      <w:r>
        <w:rPr>
          <w:rFonts w:ascii="IRNazanin" w:hAnsi="IRNazanin" w:eastAsia="IRNazanin"/>
          <w:color w:val="111111"/>
          <w:sz w:val="28"/>
          <w:sz w:val="28"/>
          <w:szCs w:val="28"/>
          <w:rtl w:val="true"/>
          <w:lang w:bidi="fa-IR"/>
        </w:rPr>
        <w:t xml:space="preserve">علیه؛ حیث إنّ التائب من الذنب کمن لم یذنب </w:t>
      </w:r>
      <w:r>
        <w:rPr>
          <w:rStyle w:val="FootnoteAnchor"/>
          <w:rtl w:val="true"/>
        </w:rPr>
        <w:footnoteReference w:id="1814"/>
      </w:r>
      <w:r>
        <w:rPr>
          <w:rFonts w:ascii="IRNazanin" w:hAnsi="IRNazanin" w:eastAsia="IRNazanin"/>
          <w:color w:val="111111"/>
          <w:sz w:val="28"/>
          <w:sz w:val="28"/>
          <w:szCs w:val="28"/>
          <w:rtl w:val="true"/>
          <w:lang w:bidi="fa-IR"/>
        </w:rPr>
        <w:t xml:space="preserve">، بخلاف الفطری، فإنّ توبته غیر مقبولة عند الحاکم؛ و لذا إنّ الشهید فی الذکری مع ظهور کلامه فی دعوی الاتّفاق علی عدم قبول توبته تردّد فی قبول الإسلام منه </w:t>
      </w:r>
      <w:r>
        <w:rPr>
          <w:rStyle w:val="FootnoteAnchor"/>
          <w:rtl w:val="true"/>
        </w:rPr>
        <w:footnoteReference w:id="1815"/>
      </w:r>
      <w:r>
        <w:rPr>
          <w:rFonts w:ascii="IRNazanin" w:hAnsi="IRNazanin" w:eastAsia="IRNazanin"/>
          <w:color w:val="111111"/>
          <w:sz w:val="28"/>
          <w:sz w:val="28"/>
          <w:szCs w:val="28"/>
          <w:rtl w:val="true"/>
          <w:lang w:bidi="fa-IR"/>
        </w:rPr>
        <w:t xml:space="preserve">، بل نسبه إلیه شارح الروضة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یعلم الجواب عمّا دلّ من الأخبار علی عدم قبول توبته،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رغب عن الإسلام و کفر بما انزل علی محمّد صلّی اللّٰه علیه و آله و سلم فلا توبة له و قد وجب قتله و بانت منه امرأته و یقسّم ما ترک علی ولده</w:t>
      </w:r>
      <w:r>
        <w:rPr>
          <w:rFonts w:eastAsia="IRNazanin" w:cs="IRNazanin"/>
          <w:color w:val="111111"/>
          <w:sz w:val="28"/>
          <w:szCs w:val="28"/>
          <w:rtl w:val="true"/>
          <w:lang w:bidi="fa-IR"/>
        </w:rPr>
        <w:t xml:space="preserve">»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 عدم قبول التوبة لا ینافی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المنافاة من جهة أنّ عدم القبول مستلزم للخلود فی النار و هو ینافی الإسلام،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إجماع علی خلود الکافر فی النار مطلقاً حتّی مثل هذا بعد التوبة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معارضتها مع عمومات قبول التوبة </w:t>
      </w:r>
      <w:r>
        <w:rPr>
          <w:rStyle w:val="FootnoteAnchor"/>
          <w:rtl w:val="true"/>
        </w:rPr>
        <w:footnoteReference w:id="1818"/>
      </w:r>
      <w:r>
        <w:rPr>
          <w:rFonts w:ascii="Amiri" w:hAnsi="Amiri" w:eastAsia="Amiri" w:cs="Amiri"/>
          <w:color w:val="111111"/>
          <w:sz w:val="28"/>
          <w:sz w:val="28"/>
          <w:szCs w:val="28"/>
          <w:rtl w:val="true"/>
          <w:lang w:bidi="ar-SA"/>
        </w:rPr>
        <w:t>حیث إنّ</w:t>
      </w:r>
    </w:p>
    <w:p>
      <w:pPr>
        <w:pStyle w:val="BookText"/>
        <w:rPr/>
      </w:pPr>
      <w:r>
        <w:rPr>
          <w:rFonts w:ascii="IRNazanin" w:hAnsi="IRNazanin" w:eastAsia="IRNazanin"/>
          <w:color w:val="111111"/>
          <w:sz w:val="28"/>
          <w:sz w:val="28"/>
          <w:szCs w:val="28"/>
          <w:rtl w:val="true"/>
          <w:lang w:bidi="fa-IR"/>
        </w:rPr>
        <w:t>ظاهرها القبول فیما یتعلّق بأمر الآخرة من العقاب، فیدلّ بظاهرها علی أنّ المرتدّ یقبل توبته و لا یخلّد فی النار بعد التوبة، بل یدخل الجنّة فیکون مسلماً؛ للإجماع علی خلود الکافر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یمکن تقیید هذه بغیر المرتدّ الفطری، کذلک یمکن تقیید مثل الروایة و الأخبار المستفیضة بعدم قبول التوبة </w:t>
      </w:r>
      <w:r>
        <w:rPr>
          <w:rStyle w:val="FootnoteAnchor"/>
          <w:rtl w:val="true"/>
        </w:rPr>
        <w:footnoteReference w:id="1819"/>
      </w:r>
      <w:r>
        <w:rPr>
          <w:rFonts w:ascii="IRNazanin" w:hAnsi="IRNazanin" w:eastAsia="IRNazanin"/>
          <w:color w:val="111111"/>
          <w:sz w:val="28"/>
          <w:sz w:val="28"/>
          <w:szCs w:val="28"/>
          <w:rtl w:val="true"/>
          <w:lang w:bidi="fa-IR"/>
        </w:rPr>
        <w:t>فی دفع ما یحکم علیه بحدوث الکفر من مفارقة المال و الزوجة و الحیاة، و بعد التعارض یجب الرجوع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قول الباقر علیه السلام المرویّ فی باب إعادة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مؤمناً فحجّ و عمل فی إیمانه خیراً، ثمّ أصابته فتنة فکفر، ثمّ تاب و آمن،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 له کلّ عملٍ صالح عمله فی إیمانه و لا یبطل منه شی‌ء</w:t>
      </w:r>
      <w:r>
        <w:rPr>
          <w:rFonts w:eastAsia="IRNazanin" w:cs="IRNazanin"/>
          <w:color w:val="111111"/>
          <w:sz w:val="28"/>
          <w:szCs w:val="28"/>
          <w:rtl w:val="true"/>
          <w:lang w:bidi="fa-IR"/>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کلّه، مع أنّ لنا أن نکتفی بالأصل و نستدلّ علی طهارته بما دلّ علی طهارة المسلمین </w:t>
      </w:r>
      <w:r>
        <w:rPr>
          <w:rStyle w:val="FootnoteAnchor"/>
          <w:rtl w:val="true"/>
        </w:rPr>
        <w:footnoteReference w:id="1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السند فی دعوی إسلامه أمران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بیان الإسلام و أنّه الإقرار بالشهادتین و الإقرار بما جاء به النبیّ صلّی اللّٰه علیه و آله </w:t>
      </w:r>
      <w:r>
        <w:rPr>
          <w:rStyle w:val="FootnoteAnchor"/>
          <w:rtl w:val="true"/>
        </w:rPr>
        <w:footnoteReference w:id="1822"/>
      </w:r>
      <w:r>
        <w:rPr>
          <w:rFonts w:ascii="IRNazanin" w:hAnsi="IRNazanin" w:eastAsia="IRNazanin"/>
          <w:color w:val="111111"/>
          <w:sz w:val="28"/>
          <w:sz w:val="28"/>
          <w:szCs w:val="28"/>
          <w:rtl w:val="true"/>
          <w:lang w:bidi="fa-IR"/>
        </w:rPr>
        <w:t>، غایة الأمر تقیید ذلک بواسطة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إذا وقع الاستخفاف وقع الکفر </w:t>
      </w:r>
      <w:r>
        <w:rPr>
          <w:rStyle w:val="FootnoteAnchor"/>
          <w:rtl w:val="true"/>
        </w:rPr>
        <w:footnoteReference w:id="1823"/>
      </w:r>
      <w:r>
        <w:rPr>
          <w:rFonts w:ascii="IRNazanin" w:hAnsi="IRNazanin" w:eastAsia="IRNazanin"/>
          <w:color w:val="111111"/>
          <w:sz w:val="28"/>
          <w:sz w:val="28"/>
          <w:szCs w:val="28"/>
          <w:rtl w:val="true"/>
          <w:lang w:bidi="fa-IR"/>
        </w:rPr>
        <w:t>، و أنّ من جحد الفرائض کان</w:t>
      </w:r>
    </w:p>
    <w:p>
      <w:pPr>
        <w:pStyle w:val="BookText"/>
        <w:rPr/>
      </w:pPr>
      <w:r>
        <w:rPr>
          <w:rFonts w:ascii="Amiri" w:hAnsi="Amiri" w:eastAsia="Amiri" w:cs="Amiri"/>
          <w:color w:val="111111"/>
          <w:sz w:val="28"/>
          <w:sz w:val="28"/>
          <w:szCs w:val="28"/>
          <w:rtl w:val="true"/>
          <w:lang w:bidi="ar-SA"/>
        </w:rPr>
        <w:t xml:space="preserve">کافراً </w:t>
      </w:r>
      <w:r>
        <w:rPr>
          <w:rStyle w:val="FootnoteAnchor"/>
          <w:rtl w:val="true"/>
        </w:rPr>
        <w:footnoteReference w:id="1824"/>
      </w:r>
      <w:r>
        <w:rPr>
          <w:rFonts w:ascii="IRNazanin" w:hAnsi="IRNazanin" w:eastAsia="IRNazanin"/>
          <w:color w:val="111111"/>
          <w:sz w:val="28"/>
          <w:sz w:val="28"/>
          <w:szCs w:val="28"/>
          <w:rtl w:val="true"/>
          <w:lang w:bidi="fa-IR"/>
        </w:rPr>
        <w:t>بغیر المستخفّ و غیر الجاحد، و لا شکّ أنّ الشخص یصدق علیه بعد التوبة جمیع ما ذکر و أنّه غیر مستخفّ و لا جاحد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الاستحقاق و الجحود علّة محدثة للکفر،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کفر الاستخفاف ککفر الجحود عبارة عن نفس صفة الاستخفاف، لا أنّه شی‌ء حاصل بسبب الاستخفاف و یقبل البقاء بعد انتفاء الاستخفاف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شکّ فی کونه مکلّفاً بالإسلام، و هو یدلّ علی کونه ممکناً فی حقّه و مجزیاً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التکلیف لا ینافیه الامتناع بالاختیار، مدفوعة مضافاً إلی ما تقرّر فی موضعه </w:t>
      </w:r>
      <w:r>
        <w:rPr>
          <w:rStyle w:val="FootnoteAnchor"/>
          <w:rtl w:val="true"/>
        </w:rPr>
        <w:footnoteReference w:id="1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منافاة الامتناع للتکلیف و إن کان عن الاختیار إذا خرج عن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الکلام فی ظاهر أدلّة التکلیف، حیث إنّ الظاهر منها إمکان المکلّف به و عدم امتناعه، فیمکن أن یعارض بها أدلّة عدم قبول التوبة، و لا أقلّ من ذلک، لکنّها نصّ بالنسبة إلی أدلّة عدم القبول؛ لعدم إمکان إخراج المرتدّ عن أدلّة التکلیف و إن ادّعی إمکان ذلک بعض المعاصرین </w:t>
      </w:r>
      <w:r>
        <w:rPr>
          <w:rStyle w:val="FootnoteAnchor"/>
          <w:rtl w:val="true"/>
        </w:rPr>
        <w:footnoteReference w:id="1826"/>
      </w:r>
      <w:r>
        <w:rPr>
          <w:rFonts w:ascii="IRNazanin" w:hAnsi="IRNazanin" w:eastAsia="IRNazanin"/>
          <w:color w:val="111111"/>
          <w:sz w:val="28"/>
          <w:sz w:val="28"/>
          <w:szCs w:val="28"/>
          <w:rtl w:val="true"/>
          <w:lang w:bidi="fa-IR"/>
        </w:rPr>
        <w:t>، لکنّه کما تری و عدم إمکان حمل التکالیف بالنسبة إلیهم علی التکلیف الصوری للتسجیل علیهم و إثبات العقاب؛ لأنّه استعمال اللفظ فی أکثر من معنی، مع أنّ التکلیف علی هذا الوجه مع علم المکلّف بالحال قبیح جدّاً أیضاً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یوجب تحقّق الإسلام منه بالنسبة إلی صحّة الصلاة</w:t>
      </w:r>
      <w:bookmarkStart w:id="157" w:name="pg16911_259775"/>
    </w:p>
    <w:p>
      <w:pPr>
        <w:pStyle w:val="BookText"/>
        <w:rPr/>
      </w:pPr>
      <w:bookmarkEnd w:id="157"/>
      <w:r>
        <w:rPr>
          <w:rFonts w:ascii="IRNazanin" w:hAnsi="IRNazanin" w:eastAsia="IRNazanin"/>
          <w:color w:val="111111"/>
          <w:sz w:val="28"/>
          <w:sz w:val="28"/>
          <w:szCs w:val="28"/>
          <w:rtl w:val="true"/>
          <w:lang w:bidi="fa-IR"/>
        </w:rPr>
        <w:t>و کذا طهارته بالنسبة إلی نفسه دون الإسلام المطلق الموجب للطهارة المطلقة، بعیدة جدّاً و مخالفة لظاهر ما دلّ علی اشتراط الصلاة و الصوم بالإسلام المطلق و الطهارة المطلقة</w:t>
      </w:r>
      <w:r>
        <w:rPr>
          <w:rFonts w:eastAsia="IRNazanin" w:cs="IRNazanin"/>
          <w:color w:val="111111"/>
          <w:sz w:val="28"/>
          <w:szCs w:val="28"/>
          <w:rtl w:val="true"/>
          <w:lang w:bidi="fa-IR"/>
        </w:rPr>
        <w:t>.</w:t>
      </w:r>
    </w:p>
    <w:p>
      <w:pPr>
        <w:pStyle w:val="Heading5"/>
        <w:numPr>
          <w:ilvl w:val="4"/>
          <w:numId w:val="1"/>
        </w:numPr>
        <w:rPr/>
      </w:pPr>
      <w:bookmarkStart w:id="158" w:name="__RefHeading___Toc6618726_3224264995"/>
      <w:bookmarkStart w:id="159" w:name="_Toc58"/>
      <w:bookmarkEnd w:id="158"/>
      <w:r>
        <w:rPr>
          <w:rtl w:val="true"/>
        </w:rPr>
        <w:t>[</w:t>
      </w:r>
      <w:r>
        <w:rPr/>
        <w:t>8</w:t>
      </w:r>
      <w:r>
        <w:rPr>
          <w:rtl w:val="true"/>
        </w:rPr>
        <w:t xml:space="preserve">- </w:t>
      </w:r>
      <w:r>
        <w:rPr>
          <w:rtl w:val="true"/>
        </w:rPr>
        <w:t>الغیبة</w:t>
      </w:r>
      <w:r>
        <w:rPr>
          <w:rtl w:val="true"/>
        </w:rPr>
        <w:t>]</w:t>
      </w:r>
      <w:bookmarkEnd w:id="15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الحیوان المتلبّس بالنجاسة زماناً یحتمل زوالها عنه فیه، و فی عدّها من المطهّرات ما لا یخفی من المسامحة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المحکیّ عن جماعة کالشیخ </w:t>
      </w:r>
      <w:r>
        <w:rPr>
          <w:rStyle w:val="FootnoteAnchor"/>
          <w:rtl w:val="true"/>
        </w:rPr>
        <w:footnoteReference w:id="1827"/>
      </w:r>
      <w:r>
        <w:rPr>
          <w:rFonts w:ascii="Amiri" w:hAnsi="Amiri" w:eastAsia="Amiri" w:cs="Amiri"/>
          <w:color w:val="111111"/>
          <w:sz w:val="28"/>
          <w:sz w:val="28"/>
          <w:szCs w:val="28"/>
          <w:rtl w:val="true"/>
          <w:lang w:bidi="ar-SA"/>
        </w:rPr>
        <w:t xml:space="preserve">و الحلیّ </w:t>
      </w:r>
      <w:r>
        <w:rPr>
          <w:rStyle w:val="FootnoteAnchor"/>
          <w:rtl w:val="true"/>
        </w:rPr>
        <w:footnoteReference w:id="1828"/>
      </w:r>
      <w:r>
        <w:rPr>
          <w:rFonts w:ascii="Amiri" w:hAnsi="Amiri" w:eastAsia="Amiri" w:cs="Amiri"/>
          <w:color w:val="111111"/>
          <w:sz w:val="28"/>
          <w:sz w:val="28"/>
          <w:szCs w:val="28"/>
          <w:rtl w:val="true"/>
          <w:lang w:bidi="ar-SA"/>
        </w:rPr>
        <w:t xml:space="preserve">و العلّامة </w:t>
      </w:r>
      <w:r>
        <w:rPr>
          <w:rStyle w:val="FootnoteAnchor"/>
          <w:rtl w:val="true"/>
        </w:rPr>
        <w:footnoteReference w:id="1829"/>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1830"/>
      </w:r>
      <w:r>
        <w:rPr>
          <w:rFonts w:ascii="IRNazanin" w:hAnsi="IRNazanin" w:eastAsia="IRNazanin"/>
          <w:color w:val="111111"/>
          <w:sz w:val="28"/>
          <w:sz w:val="28"/>
          <w:szCs w:val="28"/>
          <w:rtl w:val="true"/>
          <w:lang w:bidi="fa-IR"/>
        </w:rPr>
        <w:t xml:space="preserve">و صاحب الموجز </w:t>
      </w:r>
      <w:r>
        <w:rPr>
          <w:rStyle w:val="FootnoteAnchor"/>
          <w:rtl w:val="true"/>
        </w:rPr>
        <w:footnoteReference w:id="1831"/>
      </w:r>
      <w:r>
        <w:rPr>
          <w:rFonts w:ascii="IRNazanin" w:hAnsi="IRNazanin" w:eastAsia="IRNazanin"/>
          <w:color w:val="111111"/>
          <w:sz w:val="28"/>
          <w:sz w:val="28"/>
          <w:szCs w:val="28"/>
          <w:rtl w:val="true"/>
          <w:lang w:bidi="fa-IR"/>
        </w:rPr>
        <w:t xml:space="preserve">و کاشف الالتباس </w:t>
      </w:r>
      <w:r>
        <w:rPr>
          <w:rStyle w:val="FootnoteAnchor"/>
          <w:rtl w:val="true"/>
        </w:rPr>
        <w:footnoteReference w:id="1832"/>
      </w:r>
      <w:r>
        <w:rPr>
          <w:rFonts w:ascii="IRNazanin" w:hAnsi="IRNazanin" w:eastAsia="IRNazanin"/>
          <w:color w:val="111111"/>
          <w:sz w:val="28"/>
          <w:sz w:val="28"/>
          <w:szCs w:val="28"/>
          <w:rtl w:val="true"/>
          <w:lang w:bidi="fa-IR"/>
        </w:rPr>
        <w:t xml:space="preserve">و صاحب المدارک </w:t>
      </w:r>
      <w:r>
        <w:rPr>
          <w:rStyle w:val="FootnoteAnchor"/>
          <w:rtl w:val="true"/>
        </w:rPr>
        <w:footnoteReference w:id="1833"/>
      </w:r>
      <w:r>
        <w:rPr>
          <w:rFonts w:ascii="IRNazanin" w:hAnsi="IRNazanin" w:eastAsia="IRNazanin"/>
          <w:color w:val="111111"/>
          <w:sz w:val="28"/>
          <w:sz w:val="28"/>
          <w:szCs w:val="28"/>
          <w:rtl w:val="true"/>
          <w:lang w:bidi="fa-IR"/>
        </w:rPr>
        <w:t xml:space="preserve">و المعالم </w:t>
      </w:r>
      <w:r>
        <w:rPr>
          <w:rStyle w:val="FootnoteAnchor"/>
          <w:rtl w:val="true"/>
        </w:rPr>
        <w:footnoteReference w:id="1834"/>
      </w:r>
      <w:r>
        <w:rPr>
          <w:rFonts w:ascii="IRNazanin" w:hAnsi="IRNazanin" w:eastAsia="IRNazanin"/>
          <w:color w:val="111111"/>
          <w:sz w:val="28"/>
          <w:sz w:val="28"/>
          <w:szCs w:val="28"/>
          <w:rtl w:val="true"/>
          <w:lang w:bidi="fa-IR"/>
        </w:rPr>
        <w:t xml:space="preserve">، بل عن المشهور کما عن مجمع البرهان </w:t>
      </w:r>
      <w:r>
        <w:rPr>
          <w:rStyle w:val="FootnoteAnchor"/>
          <w:rtl w:val="true"/>
        </w:rPr>
        <w:footnoteReference w:id="1835"/>
      </w:r>
      <w:r>
        <w:rPr>
          <w:rFonts w:ascii="IRNazanin" w:hAnsi="IRNazanin" w:eastAsia="IRNazanin"/>
          <w:color w:val="111111"/>
          <w:sz w:val="28"/>
          <w:sz w:val="28"/>
          <w:szCs w:val="28"/>
          <w:rtl w:val="true"/>
          <w:lang w:bidi="fa-IR"/>
        </w:rPr>
        <w:t xml:space="preserve">و غیره </w:t>
      </w:r>
      <w:r>
        <w:rPr>
          <w:rStyle w:val="FootnoteAnchor"/>
          <w:rtl w:val="true"/>
        </w:rPr>
        <w:footnoteReference w:id="1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الهرّة إذا أکلت میتة ثمّ شربت من ماء قلیل لم ینجس ذلک الماء غابت أو لم تغب، و عن ظاهر الخلاف دعوی الإجماع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مضافاً إلی الإجماع المحکیّ المعتضد بالشهرة و قیام السیرة و لزوم الحرج لو بُنی علی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ما دلّ علی نفی البأس عن سؤر الهرّة </w:t>
      </w:r>
      <w:r>
        <w:rPr>
          <w:rStyle w:val="FootnoteAnchor"/>
          <w:rtl w:val="true"/>
        </w:rPr>
        <w:footnoteReference w:id="1838"/>
      </w:r>
      <w:r>
        <w:rPr>
          <w:rFonts w:ascii="IRNazanin" w:hAnsi="IRNazanin" w:eastAsia="IRNazanin"/>
          <w:color w:val="111111"/>
          <w:sz w:val="28"/>
          <w:sz w:val="28"/>
          <w:szCs w:val="28"/>
          <w:rtl w:val="true"/>
          <w:lang w:bidi="fa-IR"/>
        </w:rPr>
        <w:t>مع عدم انفکاکها عن ملاقاة المیتة غالباً، فإنّ تلک المطلقات و إن کانت مسوقة لبیان حکم الهرّة من حیث ذاتها کما ینادی به تعلیل الحکم فی بعض الأخبار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الهرّة من السباع</w:t>
      </w:r>
      <w:r>
        <w:rPr>
          <w:rFonts w:eastAsia="IRNazanin" w:cs="IRNazanin"/>
          <w:color w:val="111111"/>
          <w:sz w:val="28"/>
          <w:szCs w:val="28"/>
          <w:rtl w:val="true"/>
          <w:lang w:bidi="fa-IR"/>
        </w:rPr>
        <w:t xml:space="preserve">» </w:t>
      </w:r>
      <w:r>
        <w:rPr>
          <w:rStyle w:val="FootnoteAnchor"/>
          <w:rtl w:val="true"/>
        </w:rPr>
        <w:footnoteReference w:id="1839"/>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لأستحیی من ربی أن أدع طعاماً من أجل أنّ الهرّة أکلت منه</w:t>
      </w:r>
      <w:r>
        <w:rPr>
          <w:rFonts w:eastAsia="IRNazanin" w:cs="IRNazanin"/>
          <w:color w:val="111111"/>
          <w:sz w:val="28"/>
          <w:szCs w:val="28"/>
          <w:rtl w:val="true"/>
          <w:lang w:bidi="fa-IR"/>
        </w:rPr>
        <w:t xml:space="preserve">» </w:t>
      </w:r>
      <w:r>
        <w:rPr>
          <w:rStyle w:val="FootnoteAnchor"/>
          <w:rtl w:val="true"/>
        </w:rPr>
        <w:footnoteReference w:id="1840"/>
      </w:r>
      <w:r>
        <w:rPr>
          <w:rFonts w:ascii="IRNazanin" w:hAnsi="IRNazanin" w:eastAsia="IRNazanin"/>
          <w:color w:val="111111"/>
          <w:sz w:val="28"/>
          <w:sz w:val="28"/>
          <w:szCs w:val="28"/>
          <w:rtl w:val="true"/>
          <w:lang w:bidi="fa-IR"/>
        </w:rPr>
        <w:t>و نحو ذلک، إلّا أنّ حیثیّة النجاسة العرضیّة الحاصلة له من ملاقاة المیتة لمّا کانت غالبة المقارنة له کان فی إطلاق الحکم دلالة علی عدم مزاحمة هذه الحیثیّة لحکم الذات، و إلّا وجب التنبیه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 أنّ فهم هذا من تلک الإطلاقات علی وجهٍ یعتدّ به مشکل، کالاستناد إلی الإجماع المحکیّ من الخلاف؛ لأنّ الشیخ إنّما استدلّ علی مطلبه بإجماع الفرقة علی طهارة سؤر الهرّة من غیر تفصیل، و لا یخفی أنّ مساق هذا الإجماع مساق أخبار طهارة سؤر الهرّة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قیام السیرة و لزوم الحرج، فإنّما ینشئان من وجوب الاجتناب عن سؤرها مع عدم احتمال زوال النجاسة بولوغها فی ماءٍ کثیر، کما هو المحکیّ عن العلّامة فی النهایة </w:t>
      </w:r>
      <w:r>
        <w:rPr>
          <w:rStyle w:val="FootnoteAnchor"/>
          <w:rtl w:val="true"/>
        </w:rPr>
        <w:footnoteReference w:id="1841"/>
      </w:r>
      <w:r>
        <w:rPr>
          <w:rFonts w:ascii="IRNazanin" w:hAnsi="IRNazanin" w:eastAsia="IRNazanin"/>
          <w:color w:val="111111"/>
          <w:sz w:val="28"/>
          <w:sz w:val="28"/>
          <w:szCs w:val="28"/>
          <w:rtl w:val="true"/>
          <w:lang w:bidi="fa-IR"/>
        </w:rPr>
        <w:t xml:space="preserve">، بل قیل </w:t>
      </w:r>
      <w:r>
        <w:rPr>
          <w:rStyle w:val="FootnoteAnchor"/>
          <w:rtl w:val="true"/>
        </w:rPr>
        <w:footnoteReference w:id="1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ظاهر التذکرة </w:t>
      </w:r>
      <w:r>
        <w:rPr>
          <w:rStyle w:val="FootnoteAnchor"/>
          <w:rtl w:val="true"/>
        </w:rPr>
        <w:footnoteReference w:id="1843"/>
      </w:r>
    </w:p>
    <w:p>
      <w:pPr>
        <w:pStyle w:val="BookText"/>
        <w:rPr/>
      </w:pPr>
      <w:r>
        <w:rPr>
          <w:rFonts w:ascii="IRNazanin" w:hAnsi="IRNazanin" w:eastAsia="IRNazanin"/>
          <w:color w:val="111111"/>
          <w:sz w:val="28"/>
          <w:sz w:val="28"/>
          <w:szCs w:val="28"/>
          <w:rtl w:val="true"/>
          <w:lang w:bidi="fa-IR"/>
        </w:rPr>
        <w:t xml:space="preserve">و المعتبر </w:t>
      </w:r>
      <w:r>
        <w:rPr>
          <w:rStyle w:val="FootnoteAnchor"/>
          <w:rtl w:val="true"/>
        </w:rPr>
        <w:footnoteReference w:id="1844"/>
      </w:r>
      <w:r>
        <w:rPr>
          <w:rFonts w:ascii="IRNazanin" w:hAnsi="IRNazanin" w:eastAsia="IRNazanin"/>
          <w:color w:val="111111"/>
          <w:sz w:val="28"/>
          <w:sz w:val="28"/>
          <w:szCs w:val="28"/>
          <w:rtl w:val="true"/>
          <w:lang w:bidi="fa-IR"/>
        </w:rPr>
        <w:t xml:space="preserve">و الذکری </w:t>
      </w:r>
      <w:r>
        <w:rPr>
          <w:rStyle w:val="FootnoteAnchor"/>
          <w:rtl w:val="true"/>
        </w:rPr>
        <w:footnoteReference w:id="1845"/>
      </w:r>
      <w:r>
        <w:rPr>
          <w:rFonts w:ascii="IRNazanin" w:hAnsi="IRNazanin" w:eastAsia="IRNazanin"/>
          <w:color w:val="111111"/>
          <w:sz w:val="28"/>
          <w:sz w:val="28"/>
          <w:szCs w:val="28"/>
          <w:rtl w:val="true"/>
          <w:lang w:bidi="fa-IR"/>
        </w:rPr>
        <w:t>حیث أسندوا التعمیم لصورتی غیبة الحیوان و عدمها إلی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الاستدلال علی ذلک بظاهر 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من الطیر یتوضّأ ممّا یشرب منه إلّا أن تری فی منقاره دماً، فإن رأیت فی منقاره دماً فلا تتوضّأ و لا تشرب</w:t>
      </w:r>
      <w:r>
        <w:rPr>
          <w:rFonts w:eastAsia="IRNazanin" w:cs="IRNazanin"/>
          <w:color w:val="111111"/>
          <w:sz w:val="28"/>
          <w:szCs w:val="28"/>
          <w:rtl w:val="true"/>
          <w:lang w:bidi="fa-IR"/>
        </w:rPr>
        <w:t xml:space="preserve">» </w:t>
      </w:r>
      <w:r>
        <w:rPr>
          <w:rStyle w:val="FootnoteAnchor"/>
          <w:rtl w:val="true"/>
        </w:rPr>
        <w:footnoteReference w:id="1846"/>
      </w:r>
      <w:r>
        <w:rPr>
          <w:rFonts w:ascii="IRNazanin" w:hAnsi="IRNazanin" w:eastAsia="IRNazanin"/>
          <w:color w:val="111111"/>
          <w:sz w:val="28"/>
          <w:sz w:val="28"/>
          <w:szCs w:val="28"/>
          <w:rtl w:val="true"/>
          <w:lang w:bidi="fa-IR"/>
        </w:rPr>
        <w:t xml:space="preserve">و زاد فی الاستبصار کما حکی عنه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ماء شربت منه دجاجة؟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منقارها قذر لم یتوضّأ و لم یشرب، و إن لم یعلم أنّ فی منقارها قذراً فتوضّأ منه و اشرب</w:t>
      </w:r>
      <w:r>
        <w:rPr>
          <w:rFonts w:eastAsia="IRNazanin" w:cs="IRNazanin"/>
          <w:color w:val="111111"/>
          <w:sz w:val="28"/>
          <w:szCs w:val="28"/>
          <w:rtl w:val="true"/>
          <w:lang w:bidi="fa-IR"/>
        </w:rPr>
        <w:t xml:space="preserve">» </w:t>
      </w:r>
      <w:r>
        <w:rPr>
          <w:rStyle w:val="FootnoteAnchor"/>
          <w:rtl w:val="true"/>
        </w:rPr>
        <w:footnoteReference w:id="1847"/>
      </w:r>
      <w:r>
        <w:rPr>
          <w:rFonts w:ascii="IRNazanin" w:hAnsi="IRNazanin" w:eastAsia="IRNazanin"/>
          <w:color w:val="111111"/>
          <w:sz w:val="28"/>
          <w:sz w:val="28"/>
          <w:szCs w:val="28"/>
          <w:rtl w:val="true"/>
          <w:lang w:bidi="fa-IR"/>
        </w:rPr>
        <w:t>دلّت علی اختصاص وجوب الاجتناب بصورة وجود عین الدم و القذر فی المنقار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ذلک کنایة عن مطلق النجاسة، فتکون مسوقة لبیان اعتبار العلم بالنجاسة الحالیّة فی الحیوانات و عدم اعتبار العلم بالنجاسة سابقاً المتیقّنة فی مثل البازی و نحوه من سباع الطیور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أبعد ما بین القول المشهور و ما حکی عن ابن فهد </w:t>
      </w:r>
      <w:r>
        <w:rPr>
          <w:rStyle w:val="FootnoteAnchor"/>
          <w:rtl w:val="true"/>
        </w:rPr>
        <w:footnoteReference w:id="1848"/>
      </w:r>
      <w:r>
        <w:rPr>
          <w:rFonts w:ascii="IRNazanin" w:hAnsi="IRNazanin" w:eastAsia="IRNazanin"/>
          <w:color w:val="111111"/>
          <w:sz w:val="28"/>
          <w:sz w:val="28"/>
          <w:szCs w:val="28"/>
          <w:rtl w:val="true"/>
          <w:lang w:bidi="fa-IR"/>
        </w:rPr>
        <w:t xml:space="preserve">و اختاره بعض مشایخنا </w:t>
      </w:r>
      <w:r>
        <w:rPr>
          <w:rStyle w:val="FootnoteAnchor"/>
          <w:rtl w:val="true"/>
        </w:rPr>
        <w:footnoteReference w:id="1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العلم بزوال النجاسة المتیقّنة سابقاً و من دون</w:t>
      </w:r>
    </w:p>
    <w:p>
      <w:pPr>
        <w:pStyle w:val="BookText"/>
        <w:rPr/>
      </w:pPr>
      <w:r>
        <w:rPr>
          <w:rFonts w:ascii="IRNazanin" w:hAnsi="IRNazanin" w:eastAsia="IRNazanin"/>
          <w:color w:val="111111"/>
          <w:sz w:val="28"/>
          <w:sz w:val="28"/>
          <w:szCs w:val="28"/>
          <w:rtl w:val="true"/>
          <w:lang w:bidi="fa-IR"/>
        </w:rPr>
        <w:t>فرق بین بدنه و ثیابه و فرشه و آنیته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الأردبیلی فی مجمع البرهان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النجاسة المحقّقة فی غایة الإشکال و العلم بالنجاسة لا یزول إلّا بمثله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یردّه السیرة القطعیّة و إطلاق الموثّقة </w:t>
      </w:r>
      <w:r>
        <w:rPr>
          <w:rStyle w:val="FootnoteAnchor"/>
          <w:rtl w:val="true"/>
        </w:rPr>
        <w:footnoteReference w:id="1851"/>
      </w:r>
      <w:r>
        <w:rPr>
          <w:rFonts w:ascii="Amiri" w:hAnsi="Amiri" w:eastAsia="Amiri" w:cs="Amiri"/>
          <w:color w:val="111111"/>
          <w:sz w:val="28"/>
          <w:sz w:val="28"/>
          <w:szCs w:val="28"/>
          <w:rtl w:val="true"/>
          <w:lang w:bidi="ar-SA"/>
        </w:rPr>
        <w:t xml:space="preserve">بل الأخبار المتقدّمة </w:t>
      </w:r>
      <w:r>
        <w:rPr>
          <w:rStyle w:val="FootnoteAnchor"/>
          <w:rtl w:val="true"/>
        </w:rPr>
        <w:footnoteReference w:id="1852"/>
      </w:r>
      <w:r>
        <w:rPr>
          <w:rFonts w:ascii="IRNazanin" w:hAnsi="IRNazanin" w:eastAsia="IRNazanin"/>
          <w:color w:val="111111"/>
          <w:sz w:val="28"/>
          <w:sz w:val="28"/>
          <w:szCs w:val="28"/>
          <w:rtl w:val="true"/>
          <w:lang w:bidi="fa-IR"/>
        </w:rPr>
        <w:t>التی هی أخصّ من أدلّة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الأخبار الدالّة علی طهارة المائع إذا خرج منه الفأرة حیّة </w:t>
      </w:r>
      <w:r>
        <w:rPr>
          <w:rStyle w:val="FootnoteAnchor"/>
          <w:rtl w:val="true"/>
        </w:rPr>
        <w:footnoteReference w:id="1853"/>
      </w:r>
      <w:r>
        <w:rPr>
          <w:rFonts w:ascii="IRNazanin" w:hAnsi="IRNazanin" w:eastAsia="IRNazanin"/>
          <w:color w:val="111111"/>
          <w:sz w:val="28"/>
          <w:sz w:val="28"/>
          <w:szCs w:val="28"/>
          <w:rtl w:val="true"/>
          <w:lang w:bidi="fa-IR"/>
        </w:rPr>
        <w:t>، مع أنّها لا تنفکّ عن نجاسة موضع بعرها و مخرج منیّها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هذا القول لا یکاد یعرف لأحد من الأصحاب، عدا ما حکی عن الموجز لابن فهد، مع أنّ المحکیّ عن مهذّبه موافقة المشهور </w:t>
      </w:r>
      <w:r>
        <w:rPr>
          <w:rStyle w:val="FootnoteAnchor"/>
          <w:rtl w:val="true"/>
        </w:rPr>
        <w:footnoteReference w:id="1854"/>
      </w:r>
      <w:r>
        <w:rPr>
          <w:rFonts w:ascii="IRNazanin" w:hAnsi="IRNazanin" w:eastAsia="IRNazanin"/>
          <w:color w:val="111111"/>
          <w:sz w:val="28"/>
          <w:sz w:val="28"/>
          <w:szCs w:val="28"/>
          <w:rtl w:val="true"/>
          <w:lang w:bidi="fa-IR"/>
        </w:rPr>
        <w:t>، بل صرّح فی الموجز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نحکم بطهارة حیوان نجس إذا غاب زماناً یمکن طهره مطلقاً، و یکفی زوال العین فی الحیوان و إن لم یغب، و ما علم المالک المتحرّز نجاسته ثمّ شوهد مستعملًا، و مثله الهرّة إذا أکلت فأرة و لم تغب ما لم تتلوّث </w:t>
      </w:r>
      <w:r>
        <w:rPr>
          <w:rStyle w:val="FootnoteAnchor"/>
          <w:rtl w:val="true"/>
        </w:rPr>
        <w:footnoteReference w:id="185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استشکال الأردبیلی فهو لا ینافی اتّفاق الفقهاء؛ لأنّه کثیراً ما یستشکل فی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غیر الإنسان، و أمّا فیه فالظاهر أنّه لا خلاف و لا إشکال فی أنّه لا یحکم علیه بارتفاع النجاسة المحقّقة فی بدنه و ثیابه بمجرّد زوال العین مع عدم طروّ الطهارة، و إنّما الکلام فی أنّه هل یکفی مجرّد الاحتمال أو یعتبر مطلق الظنّ بالزوال أو الظنّ الخاصّ الحاصل من شهادة حاله أو مقاله بذلک؟ 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أوسطها الأخیر؛ لظهور الإجماع، بل حکی صریحاً عن بعض شرّاح المنظومة </w:t>
      </w:r>
      <w:r>
        <w:rPr>
          <w:rStyle w:val="FootnoteAnchor"/>
          <w:rtl w:val="true"/>
        </w:rPr>
        <w:footnoteReference w:id="1856"/>
      </w:r>
      <w:r>
        <w:rPr>
          <w:rFonts w:ascii="IRNazanin" w:hAnsi="IRNazanin" w:eastAsia="IRNazanin"/>
          <w:color w:val="111111"/>
          <w:sz w:val="28"/>
          <w:sz w:val="28"/>
          <w:szCs w:val="28"/>
          <w:rtl w:val="true"/>
          <w:lang w:bidi="fa-IR"/>
        </w:rPr>
        <w:t>، و ظاهر المحکیّ عن تمهید القواعد أنّه متّفق علیه بین الأصحاب، و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یعنی الأصحاب علّلوا ذلک بالعمل بظاهر حال المسلم؛ لأنّه یتنزّه عن النجاسة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مضافاً إلی السیرة القطعیّة، و لزوم الحرج، و ما دلّ علی وجوب تصدیق المسلم </w:t>
      </w:r>
      <w:r>
        <w:rPr>
          <w:rStyle w:val="FootnoteAnchor"/>
          <w:rtl w:val="true"/>
        </w:rPr>
        <w:footnoteReference w:id="1858"/>
      </w:r>
      <w:r>
        <w:rPr>
          <w:rFonts w:ascii="IRNazanin" w:hAnsi="IRNazanin" w:eastAsia="IRNazanin"/>
          <w:color w:val="111111"/>
          <w:sz w:val="28"/>
          <w:sz w:val="28"/>
          <w:szCs w:val="28"/>
          <w:rtl w:val="true"/>
          <w:lang w:bidi="fa-IR"/>
        </w:rPr>
        <w:t xml:space="preserve">و عدم اتّهامه </w:t>
      </w:r>
      <w:r>
        <w:rPr>
          <w:rStyle w:val="FootnoteAnchor"/>
          <w:rtl w:val="true"/>
        </w:rPr>
        <w:footnoteReference w:id="1859"/>
      </w:r>
      <w:r>
        <w:rPr>
          <w:rFonts w:ascii="IRNazanin" w:hAnsi="IRNazanin" w:eastAsia="IRNazanin"/>
          <w:color w:val="111111"/>
          <w:sz w:val="28"/>
          <w:sz w:val="28"/>
          <w:szCs w:val="28"/>
          <w:rtl w:val="true"/>
          <w:lang w:bidi="fa-IR"/>
        </w:rPr>
        <w:t>فإنّ ظاهرها و إن کان هو الإخبار المقالی، إلّا أنّ التأمّل الصادق یشهد بأنّه لا یفرق بین تکذیبه أو اتّهامه فی مقاله، و بین تکذیبه أو اتّهامه ممّا یظهر من حاله أو معتقدٍ له و یخبر به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المطلوب أیضاً، بل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کراهة سؤر الحائض</w:t>
      </w:r>
    </w:p>
    <w:p>
      <w:pPr>
        <w:pStyle w:val="BookText"/>
        <w:rPr/>
      </w:pPr>
      <w:r>
        <w:rPr>
          <w:rFonts w:ascii="IRNazanin" w:hAnsi="IRNazanin" w:eastAsia="IRNazanin"/>
          <w:color w:val="111111"/>
          <w:sz w:val="28"/>
          <w:sz w:val="28"/>
          <w:szCs w:val="28"/>
          <w:rtl w:val="true"/>
          <w:lang w:bidi="fa-IR"/>
        </w:rPr>
        <w:t xml:space="preserve">و الجنب المتّهمین و عدم کراهة سؤر غیر المتّهمة </w:t>
      </w:r>
      <w:r>
        <w:rPr>
          <w:rStyle w:val="FootnoteAnchor"/>
          <w:rtl w:val="true"/>
        </w:rPr>
        <w:footnoteReference w:id="1860"/>
      </w:r>
      <w:r>
        <w:rPr>
          <w:rFonts w:ascii="IRNazanin" w:hAnsi="IRNazanin" w:eastAsia="IRNazanin"/>
          <w:color w:val="111111"/>
          <w:sz w:val="28"/>
          <w:sz w:val="28"/>
          <w:szCs w:val="28"/>
          <w:rtl w:val="true"/>
          <w:lang w:bidi="fa-IR"/>
        </w:rPr>
        <w:t>، و فی المحکیّة عن السرائر المسئول فیها عن سؤر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یتوضّأ به إذا کانت تغسل یدیها</w:t>
      </w:r>
      <w:r>
        <w:rPr>
          <w:rFonts w:eastAsia="IRNazanin" w:cs="IRNazanin"/>
          <w:color w:val="111111"/>
          <w:sz w:val="28"/>
          <w:szCs w:val="28"/>
          <w:rtl w:val="true"/>
          <w:lang w:bidi="fa-IR"/>
        </w:rPr>
        <w:t xml:space="preserve">» </w:t>
      </w:r>
      <w:r>
        <w:rPr>
          <w:rStyle w:val="FootnoteAnchor"/>
          <w:rtl w:val="true"/>
        </w:rPr>
        <w:footnoteReference w:id="1861"/>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مأمونة فلا بأس</w:t>
      </w:r>
      <w:r>
        <w:rPr>
          <w:rFonts w:eastAsia="IRNazanin" w:cs="IRNazanin"/>
          <w:color w:val="111111"/>
          <w:sz w:val="28"/>
          <w:szCs w:val="28"/>
          <w:rtl w:val="true"/>
          <w:lang w:bidi="fa-IR"/>
        </w:rPr>
        <w:t xml:space="preserve">» </w:t>
      </w:r>
      <w:r>
        <w:rPr>
          <w:rStyle w:val="FootnoteAnchor"/>
          <w:rtl w:val="true"/>
        </w:rPr>
        <w:footnoteReference w:id="1862"/>
      </w:r>
      <w:r>
        <w:rPr>
          <w:rFonts w:ascii="IRNazanin" w:hAnsi="IRNazanin" w:eastAsia="IRNazanin"/>
          <w:color w:val="111111"/>
          <w:sz w:val="28"/>
          <w:sz w:val="28"/>
          <w:szCs w:val="28"/>
          <w:rtl w:val="true"/>
          <w:lang w:bidi="fa-IR"/>
        </w:rPr>
        <w:t>فإنّ الظاهر من حال المسلم أنّه لا یباشر مع النجاسة الماء المعدّ فی البیت للشرب و التطهیر، فمباشرتها للماء المذکور فی قوّة إخبارها بتطهیر 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من الأدلّة یُعلم اعتبار کون ذلک المسلم عالماً بتنجّس بدنه أو ثوبه وفاقاً للشهیدین فی الذکری </w:t>
      </w:r>
      <w:r>
        <w:rPr>
          <w:rStyle w:val="FootnoteAnchor"/>
          <w:rtl w:val="true"/>
        </w:rPr>
        <w:footnoteReference w:id="1863"/>
      </w:r>
      <w:r>
        <w:rPr>
          <w:rFonts w:ascii="IRNazanin" w:hAnsi="IRNazanin" w:eastAsia="IRNazanin"/>
          <w:color w:val="111111"/>
          <w:sz w:val="28"/>
          <w:sz w:val="28"/>
          <w:szCs w:val="28"/>
          <w:rtl w:val="true"/>
          <w:lang w:bidi="fa-IR"/>
        </w:rPr>
        <w:t xml:space="preserve">و المقاصد العلیّة </w:t>
      </w:r>
      <w:r>
        <w:rPr>
          <w:rStyle w:val="FootnoteAnchor"/>
          <w:rtl w:val="true"/>
        </w:rPr>
        <w:footnoteReference w:id="1864"/>
      </w:r>
      <w:r>
        <w:rPr>
          <w:rFonts w:ascii="IRNazanin" w:hAnsi="IRNazanin" w:eastAsia="IRNazanin"/>
          <w:color w:val="111111"/>
          <w:sz w:val="28"/>
          <w:sz w:val="28"/>
          <w:szCs w:val="28"/>
          <w:rtl w:val="true"/>
          <w:lang w:bidi="fa-IR"/>
        </w:rPr>
        <w:t xml:space="preserve">، بل یستفاد من تعلیل الأصحاب المتقدّم حکایته عن الشهید </w:t>
      </w:r>
      <w:r>
        <w:rPr>
          <w:rStyle w:val="FootnoteAnchor"/>
          <w:rtl w:val="true"/>
        </w:rPr>
        <w:footnoteReference w:id="1865"/>
      </w:r>
      <w:r>
        <w:rPr>
          <w:rFonts w:ascii="IRNazanin" w:hAnsi="IRNazanin" w:eastAsia="IRNazanin"/>
          <w:color w:val="111111"/>
          <w:sz w:val="28"/>
          <w:sz w:val="28"/>
          <w:szCs w:val="28"/>
          <w:rtl w:val="true"/>
          <w:lang w:bidi="fa-IR"/>
        </w:rPr>
        <w:t xml:space="preserve">عدم الخلاف فیه بینهم، کما اعترف بذلک فی التمهید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فوجه الاعتبار ظاهر ممّا ذکرنا؛ إذ لا إجماع و لا سیرة مع الجهل و لا یعقل معه إخبار المسلم و شهادته حالًا أو مقالًا بالتطهیر، بل غایة الأمر شهادته بالطهارة، و هی و إن کانت قولیّة لا تقبل منه مع العلم بجهله أو غفلته عن التنجّس و ابتناء شهادته علی الأصل أو اعتقاد عدم العروض، و الأدلّة المذکورة أیضاً لا تفی بصورة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العلم فالأصل عدمه، کما أنّه لو شکّ فی الغفلة فالأصل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ضعف القول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w:t>
      </w:r>
      <w:r>
        <w:rPr>
          <w:rStyle w:val="FootnoteAnchor"/>
          <w:rtl w:val="true"/>
        </w:rPr>
        <w:footnoteReference w:id="1867"/>
      </w:r>
      <w:r>
        <w:rPr>
          <w:rFonts w:ascii="IRNazanin" w:hAnsi="IRNazanin" w:eastAsia="IRNazanin"/>
          <w:color w:val="111111"/>
          <w:sz w:val="28"/>
          <w:sz w:val="28"/>
          <w:szCs w:val="28"/>
          <w:rtl w:val="true"/>
          <w:lang w:bidi="fa-IR"/>
        </w:rPr>
        <w:t xml:space="preserve">العلم إمّا مطلقاً کما هو المحکیّ عن ظاهر السیّد فی منظومته </w:t>
      </w:r>
      <w:r>
        <w:rPr>
          <w:rStyle w:val="FootnoteAnchor"/>
          <w:rtl w:val="true"/>
        </w:rPr>
        <w:footnoteReference w:id="1868"/>
      </w:r>
      <w:r>
        <w:rPr>
          <w:rFonts w:ascii="IRNazanin" w:hAnsi="IRNazanin" w:eastAsia="IRNazanin"/>
          <w:color w:val="111111"/>
          <w:sz w:val="28"/>
          <w:sz w:val="28"/>
          <w:szCs w:val="28"/>
          <w:rtl w:val="true"/>
          <w:lang w:bidi="fa-IR"/>
        </w:rPr>
        <w:t xml:space="preserve">و الشیخ فی کشف الغطاء </w:t>
      </w:r>
      <w:r>
        <w:rPr>
          <w:rStyle w:val="FootnoteAnchor"/>
          <w:rtl w:val="true"/>
        </w:rPr>
        <w:footnoteReference w:id="1869"/>
      </w:r>
      <w:r>
        <w:rPr>
          <w:rFonts w:ascii="IRNazanin" w:hAnsi="IRNazanin" w:eastAsia="IRNazanin"/>
          <w:color w:val="111111"/>
          <w:sz w:val="28"/>
          <w:sz w:val="28"/>
          <w:szCs w:val="28"/>
          <w:rtl w:val="true"/>
          <w:lang w:bidi="fa-IR"/>
        </w:rPr>
        <w:t xml:space="preserve">و اللوامع </w:t>
      </w:r>
      <w:r>
        <w:rPr>
          <w:rStyle w:val="FootnoteAnchor"/>
          <w:rtl w:val="true"/>
        </w:rPr>
        <w:footnoteReference w:id="1870"/>
      </w:r>
      <w:r>
        <w:rPr>
          <w:rFonts w:ascii="IRNazanin" w:hAnsi="IRNazanin" w:eastAsia="IRNazanin"/>
          <w:color w:val="111111"/>
          <w:sz w:val="28"/>
          <w:sz w:val="28"/>
          <w:szCs w:val="28"/>
          <w:rtl w:val="true"/>
          <w:lang w:bidi="fa-IR"/>
        </w:rPr>
        <w:t xml:space="preserve">، أو فی البدن خاصّة دون الثوب کما عن الموجز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بالنجاسة، لا مجرّد العلم بالسبب مع اعتقاد عدم التنجّس لشبهة ناشئة عن قصورٍ أو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اشتراط أهلیّة الإزالة المفسّرة فیما حکی عن المقاصد العلیّة بکونه ممیّزاً معتقداً للنجاسة </w:t>
      </w:r>
      <w:r>
        <w:rPr>
          <w:rStyle w:val="FootnoteAnchor"/>
          <w:rtl w:val="true"/>
        </w:rPr>
        <w:footnoteReference w:id="1872"/>
      </w:r>
      <w:r>
        <w:rPr>
          <w:rFonts w:ascii="IRNazanin" w:hAnsi="IRNazanin" w:eastAsia="IRNazanin"/>
          <w:color w:val="111111"/>
          <w:sz w:val="28"/>
          <w:sz w:val="28"/>
          <w:szCs w:val="28"/>
          <w:rtl w:val="true"/>
          <w:lang w:bidi="fa-IR"/>
        </w:rPr>
        <w:t>فمستدرک بعد اعتبار العلم بالتنجّس و شهادة حاله بالإزالة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اشتراط التکلیف کما عن الذکری </w:t>
      </w:r>
      <w:r>
        <w:rPr>
          <w:rStyle w:val="FootnoteAnchor"/>
          <w:rtl w:val="true"/>
        </w:rPr>
        <w:footnoteReference w:id="1873"/>
      </w:r>
      <w:r>
        <w:rPr>
          <w:rFonts w:ascii="IRNazanin" w:hAnsi="IRNazanin" w:eastAsia="IRNazanin"/>
          <w:color w:val="111111"/>
          <w:sz w:val="28"/>
          <w:sz w:val="28"/>
          <w:szCs w:val="28"/>
          <w:rtl w:val="true"/>
          <w:lang w:bidi="fa-IR"/>
        </w:rPr>
        <w:t>و إن کان مطابقاً للأصل و غیره، منفیّ بأکثر الأدلّة المتقدّمة، إلّا أنّ السیرة و لزوم الحرج کافیان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یشکل الأمر فی غیر الممیّز، هل یلحق بالحیوانات أو بالإنسان أو لا یلحق بأحدهما بل یحکم علیه بمقتضی الأصل؟ و لا یبعد جعله من توابع الإنسان مثل فرشه و أوانیه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فالقول الأوّل </w:t>
      </w:r>
      <w:r>
        <w:rPr>
          <w:rStyle w:val="FootnoteAnchor"/>
          <w:rtl w:val="true"/>
        </w:rPr>
        <w:footnoteReference w:id="1874"/>
      </w:r>
      <w:r>
        <w:rPr>
          <w:rFonts w:ascii="IRNazanin" w:hAnsi="IRNazanin" w:eastAsia="IRNazanin"/>
          <w:color w:val="111111"/>
          <w:sz w:val="28"/>
          <w:sz w:val="28"/>
          <w:szCs w:val="28"/>
          <w:rtl w:val="true"/>
          <w:lang w:bidi="fa-IR"/>
        </w:rPr>
        <w:t xml:space="preserve">فی أصل المسألة و هو الاکتفاء بمجرّد احتمال الزوال ضعیف لا دلیل علیه و إن حکی الإجماع علیه عن بعض شرّاح المنظومة </w:t>
      </w:r>
      <w:r>
        <w:rPr>
          <w:rStyle w:val="FootnoteAnchor"/>
          <w:rtl w:val="true"/>
        </w:rPr>
        <w:footnoteReference w:id="1875"/>
      </w:r>
      <w:r>
        <w:rPr>
          <w:rFonts w:ascii="IRNazanin" w:hAnsi="IRNazanin" w:eastAsia="IRNazanin"/>
          <w:color w:val="111111"/>
          <w:sz w:val="28"/>
          <w:sz w:val="28"/>
          <w:szCs w:val="28"/>
          <w:rtl w:val="true"/>
          <w:lang w:bidi="fa-IR"/>
        </w:rPr>
        <w:t xml:space="preserve">المصرّح باختیار هذا القول متمسّکاً بالسیرة القطعیّة، و الإجماع ممنوع جدّاً، بل الظاهر من التعلیل المتقدّم عن التمهید </w:t>
      </w:r>
      <w:r>
        <w:rPr>
          <w:rStyle w:val="FootnoteAnchor"/>
          <w:rtl w:val="true"/>
        </w:rPr>
        <w:footnoteReference w:id="1876"/>
      </w:r>
      <w:r>
        <w:rPr>
          <w:rFonts w:ascii="IRNazanin" w:hAnsi="IRNazanin" w:eastAsia="IRNazanin"/>
          <w:color w:val="111111"/>
          <w:sz w:val="28"/>
          <w:sz w:val="28"/>
          <w:szCs w:val="28"/>
          <w:rtl w:val="true"/>
          <w:lang w:bidi="fa-IR"/>
        </w:rPr>
        <w:t xml:space="preserve">هو الاتّفاق علی اختصاص الحکم بمورد التعلیل، و لیس إلّا من ظهر </w:t>
      </w:r>
      <w:r>
        <w:rPr>
          <w:rStyle w:val="FootnoteAnchor"/>
          <w:rtl w:val="true"/>
        </w:rPr>
        <w:footnoteReference w:id="1877"/>
      </w:r>
      <w:r>
        <w:rPr>
          <w:rFonts w:ascii="IRNazanin" w:hAnsi="IRNazanin" w:eastAsia="IRNazanin"/>
          <w:color w:val="111111"/>
          <w:sz w:val="28"/>
          <w:sz w:val="28"/>
          <w:szCs w:val="28"/>
          <w:rtl w:val="true"/>
          <w:lang w:bidi="fa-IR"/>
        </w:rPr>
        <w:t>من حاله أو مقاله إزالة تلک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ریب أنّ من تنجّس یده ثمّ غاب عنّا، ثمّ رأیناه و لم یظهر احتمال </w:t>
      </w:r>
      <w:r>
        <w:rPr>
          <w:rStyle w:val="FootnoteAnchor"/>
          <w:rtl w:val="true"/>
        </w:rPr>
        <w:footnoteReference w:id="1878"/>
      </w:r>
      <w:r>
        <w:rPr>
          <w:rFonts w:ascii="IRNazanin" w:hAnsi="IRNazanin" w:eastAsia="IRNazanin"/>
          <w:color w:val="111111"/>
          <w:sz w:val="28"/>
          <w:sz w:val="28"/>
          <w:szCs w:val="28"/>
          <w:rtl w:val="true"/>
          <w:lang w:bidi="fa-IR"/>
        </w:rPr>
        <w:t>أو عمل یظهر منه أنّه أزال تلک النجاسة بأن یشتغل بالصلاة أو بالوضوء أو بأکلٍ أو شربٍ أو تناولِ مائعٍ بتلک الید النجسة لا یلزم من الحکم ببقاء النجاسة الحکم بعدم تنزّه هذا الشخص عن النجاسة؛ لأنّ تنزّه المسلم عن النجاسة من حیث هو مسلم إنّما هو فیما یعتبر فیه الطهارة لا مطلقاً، کما لا یخفی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أنّ التلبّس بفعلٍ یشترط الطهارة فی کماله لا ینفع</w:t>
      </w:r>
      <w:r>
        <w:rPr>
          <w:rFonts w:eastAsia="IRNazanin" w:cs="IRNazanin"/>
          <w:color w:val="111111"/>
          <w:sz w:val="28"/>
          <w:szCs w:val="28"/>
          <w:rtl w:val="true"/>
          <w:lang w:bidi="fa-IR"/>
        </w:rPr>
        <w:t>.</w:t>
      </w:r>
      <w:bookmarkStart w:id="160" w:name="pg16911_259783"/>
    </w:p>
    <w:p>
      <w:pPr>
        <w:pStyle w:val="BookText"/>
        <w:rPr/>
      </w:pPr>
      <w:bookmarkEnd w:id="160"/>
      <w:r>
        <w:rPr>
          <w:rFonts w:ascii="IRNazanin" w:hAnsi="IRNazanin" w:eastAsia="IRNazanin"/>
          <w:color w:val="111111"/>
          <w:sz w:val="28"/>
          <w:sz w:val="28"/>
          <w:szCs w:val="28"/>
          <w:rtl w:val="true"/>
          <w:lang w:bidi="fa-IR"/>
        </w:rPr>
        <w:t>و أضعف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الثانی، و هو الاکتفاء بظنّ الإزالة إن أُرید به مطلق الظنّ دون الحاصل من قوله و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المطلق لم یثبت حجّیته فهو کالشکّ، فالفرق بینهما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مرادنا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الخاصّ الحاصل من شهادة حال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الظنّ النوعی، فلا یعتبر الظنّ فی خصوص کلّ واقعة کما هو ظاهر بعض الأدلّة المتقدّمة </w:t>
      </w:r>
      <w:r>
        <w:rPr>
          <w:rStyle w:val="FootnoteAnchor"/>
          <w:rtl w:val="true"/>
        </w:rPr>
        <w:footnoteReference w:id="1879"/>
      </w:r>
      <w:r>
        <w:rPr>
          <w:rFonts w:ascii="IRNazanin" w:hAnsi="IRNazanin" w:eastAsia="IRNazanin"/>
          <w:color w:val="111111"/>
          <w:sz w:val="28"/>
          <w:sz w:val="28"/>
          <w:szCs w:val="28"/>
          <w:rtl w:val="true"/>
          <w:lang w:bidi="fa-IR"/>
        </w:rPr>
        <w:t xml:space="preserve">و صریح روایات کراهة سؤر الحائض و الجنب المتّهمین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6618728_3224264995"/>
      <w:bookmarkStart w:id="162" w:name="_Toc59"/>
      <w:bookmarkEnd w:id="161"/>
      <w:r>
        <w:rPr>
          <w:rtl w:val="true"/>
        </w:rPr>
        <w:t>[</w:t>
      </w:r>
      <w:r>
        <w:rPr/>
        <w:t>9</w:t>
      </w:r>
      <w:r>
        <w:rPr>
          <w:rtl w:val="true"/>
        </w:rPr>
        <w:t xml:space="preserve">- </w:t>
      </w:r>
      <w:r>
        <w:rPr>
          <w:rtl w:val="true"/>
        </w:rPr>
        <w:t>انتقال النجاسة إلی البواطن</w:t>
      </w:r>
      <w:r>
        <w:rPr>
          <w:rtl w:val="true"/>
        </w:rPr>
        <w:t>]</w:t>
      </w:r>
      <w:bookmarkEnd w:id="16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النجاسة إلی البواطن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فهد فی موجزه، و فرّع علیه ما ذکره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فدمع المکتحل بالنجس و بُصاق الثمیل أعنی شارب الخمر طاهران </w:t>
      </w:r>
      <w:r>
        <w:rPr>
          <w:rStyle w:val="FootnoteAnchor"/>
          <w:rtl w:val="true"/>
        </w:rPr>
        <w:footnoteReference w:id="188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العبارة ما لا یخفی من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w:t>
      </w:r>
      <w:r>
        <w:rPr>
          <w:rStyle w:val="FootnoteAnchor"/>
          <w:rtl w:val="true"/>
        </w:rPr>
        <w:footnoteReference w:id="1882"/>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البواطن تطهر بزوال عین النجاسة عنها </w:t>
      </w:r>
      <w:r>
        <w:rPr>
          <w:rStyle w:val="FootnoteAnchor"/>
          <w:rtl w:val="true"/>
        </w:rPr>
        <w:footnoteReference w:id="1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یخلو عن قصور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الحال فی البواطن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یقع تارةً فی حکم النجاسة الکائنة فی البواطن، و أُخری فی تأثّر البواطن بها، و ثالثة فی تأثّر ما یحدث فیها من الرطوبات، و رابعة فی تأثّر ما یدخل من الخارج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کلٍّ تارةً یقع فی النجاسة الحادثة فی البواطن، و أُخری فی النجاسة الداخلة إلیها من الخارج،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النجاسة الکائنة فی البواطن، فإن کانت عینیّة حادثة فیها کالدم الحادث فی الفم و جوف الأنف فالظاهر أنّه لا حکم لها، فیجوز معها الصلاة و دخول المساجد و إن منعنا عن حمل النجاسة فی الصلاة و إدخالها فی المسجد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بعد ظهور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ما دلّ علی أنّه لا یجب غسل ما عدا ظاهر الأنف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کانت عیناً خارجیّة دخلت فیه، أو متنجّساً مطلقاً، فالظاهر ثبوت حکم النجاسة إذا کان فی مثل الفم و الأنف و نحوهما ممّا یمکن تطهیره، دون مثل الجوف و الدماغ و نحوهما، فلو أکل نجساً أو متنجّساً فبقیت أجزاؤه فی الفم لم تجز له الصلاة و دخول المساجد علی القول بالمنع عن الصلاة مع النجاسة و إدخالها فی المسجد؛ لعموم أدلّة المنع عنهما </w:t>
      </w:r>
      <w:r>
        <w:rPr>
          <w:rStyle w:val="FootnoteAnchor"/>
          <w:rtl w:val="true"/>
        </w:rPr>
        <w:footnoteReference w:id="1885"/>
      </w:r>
      <w:r>
        <w:rPr>
          <w:rFonts w:ascii="IRNazanin" w:hAnsi="IRNazanin" w:eastAsia="IRNazanin"/>
          <w:color w:val="111111"/>
          <w:sz w:val="28"/>
          <w:sz w:val="28"/>
          <w:szCs w:val="28"/>
          <w:rtl w:val="true"/>
          <w:lang w:bidi="fa-IR"/>
        </w:rPr>
        <w:t xml:space="preserve">علی القول بها، خرج ما کان منها فی مثل الجوف بالإجماع و السیرة و بعض الأخبار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وضع فی جیبه </w:t>
      </w:r>
      <w:r>
        <w:rPr>
          <w:rStyle w:val="FootnoteAnchor"/>
          <w:rtl w:val="true"/>
        </w:rPr>
        <w:footnoteReference w:id="1887"/>
      </w:r>
      <w:r>
        <w:rPr>
          <w:rFonts w:ascii="Amiri" w:hAnsi="Amiri" w:eastAsia="Amiri" w:cs="Amiri"/>
          <w:color w:val="111111"/>
          <w:sz w:val="28"/>
          <w:sz w:val="28"/>
          <w:szCs w:val="28"/>
          <w:rtl w:val="true"/>
          <w:lang w:bidi="ar-SA"/>
        </w:rPr>
        <w:t xml:space="preserve">درهماً نجساً أخرج للصلاة </w:t>
      </w:r>
      <w:r>
        <w:rPr>
          <w:rStyle w:val="FootnoteAnchor"/>
          <w:rtl w:val="true"/>
        </w:rPr>
        <w:footnoteReference w:id="1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شارحه بانیاً له علی منع حمل النجاسة فی الصلاة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حکم تأثّر البواطن و ما یحدث فیها، فالظاهر أنّه لا إشکال فی عدم تنجّس البواطن و ما یحدث فیها من الرطوبات بالنجاسة المتکوّنة فیها أو الداخلة من الخارج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مضافاً إلی ظهور عدم الخلاف کما یظهر من شارح الروضة </w:t>
      </w:r>
      <w:r>
        <w:rPr>
          <w:rStyle w:val="FootnoteAnchor"/>
          <w:rtl w:val="true"/>
        </w:rPr>
        <w:footnoteReference w:id="1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انصراف دلیل تأثّر ملاقی النجس إلی غیر البواطن لو کان إطلاقاً لفظیّاً،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الدلیل إلّا الإجماع المفقود فی المقام، بل لا یبعد دعواه علی العکس، کما یظهر من الوحید فی شرح المفاتیح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إجماع علی تنجّس البواطن لو لم نقل بالإجماع علی العدم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منع شمول معاقد إجماعهم علی تأثّر الملاقی لمثل الفم و مقدّم الأنف و نحوهما مکابرة، فالأولی التمسّک بعد ظهور عدم الخلاف بما فی الصحیح عن صفوان عن عبد الحمید بن أبی الدیلم،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یشرب الخمر، فبصق فأصاب ثوبی عن بُصاقه؟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الروایة و عدم ظهور الخلاف غایتهما عدم ثبوت حکم النجاسة بعد زوال العین، فلعلّه مطهّر کما صرّح به الشهیدان حیث ذکرا أنّ البواطن تطهر بزوال العین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ابن فهد ممّا تقدّم عن</w:t>
      </w:r>
    </w:p>
    <w:p>
      <w:pPr>
        <w:pStyle w:val="BookText"/>
        <w:rPr/>
      </w:pPr>
      <w:r>
        <w:rPr>
          <w:rFonts w:ascii="IRNazanin" w:hAnsi="IRNazanin" w:eastAsia="IRNazanin"/>
          <w:color w:val="111111"/>
          <w:sz w:val="28"/>
          <w:sz w:val="28"/>
          <w:szCs w:val="28"/>
          <w:rtl w:val="true"/>
          <w:lang w:bidi="fa-IR"/>
        </w:rPr>
        <w:t xml:space="preserve">موجزه، من جعل انتقال النجاسة إلی البواطن من المطهّرات </w:t>
      </w:r>
      <w:r>
        <w:rPr>
          <w:rStyle w:val="FootnoteAnchor"/>
          <w:rtl w:val="true"/>
        </w:rPr>
        <w:footnoteReference w:id="1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تأثیرها بالنسبة إلی البواطن بعد انتقالها إلیها، لا صیرورتها طاهرة بمجرّد الانتقال إلی البواطن و إن لم تؤثّر فی نفس البواطن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فلا یخلو عبارة الموجز عن 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عبارة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البواطن تطهر بزوال عین النجاسة </w:t>
      </w:r>
      <w:r>
        <w:rPr>
          <w:rStyle w:val="FootnoteAnchor"/>
          <w:rtl w:val="true"/>
        </w:rPr>
        <w:footnoteReference w:id="1895"/>
      </w:r>
      <w:r>
        <w:rPr>
          <w:rFonts w:ascii="IRNazanin" w:hAnsi="IRNazanin" w:eastAsia="IRNazanin"/>
          <w:color w:val="111111"/>
          <w:sz w:val="28"/>
          <w:sz w:val="28"/>
          <w:szCs w:val="28"/>
          <w:rtl w:val="true"/>
          <w:lang w:bidi="fa-IR"/>
        </w:rPr>
        <w:t>، بناءً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تتأثّر بالنجاسة حتّی تحتاج إلی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بالتأثّر عملًا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دلالة الدلیل علی عدم ثبوت حکم النجاسة بعد زوال عینها، کما عرفت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البواطن کالجوف و نحوه ممّا لا تطهر أصلًا لا دلیل علی تأثّره </w:t>
      </w:r>
      <w:r>
        <w:rPr>
          <w:rStyle w:val="FootnoteAnchor"/>
          <w:rtl w:val="true"/>
        </w:rPr>
        <w:footnoteReference w:id="1896"/>
      </w:r>
      <w:r>
        <w:rPr>
          <w:rFonts w:ascii="IRNazanin" w:hAnsi="IRNazanin" w:eastAsia="IRNazanin"/>
          <w:color w:val="111111"/>
          <w:sz w:val="28"/>
          <w:sz w:val="28"/>
          <w:szCs w:val="28"/>
          <w:rtl w:val="true"/>
          <w:lang w:bidi="fa-IR"/>
        </w:rPr>
        <w:t xml:space="preserve">بالنجاسة؛ لانصراف عموم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البواطن الظاهرة کالأنف و العین و مقدّم الأنف و الأُذن فقد عرفت أنّ دعوی الانصراف إلی غیرها خلاف الإنصاف، فمقتضی الجمع بین الأدلّة هو الحکم بالنجاسة مع طهرها بزوال العین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قسم ثالث من البواطن یعامل معها من حیث الخبث معاملة الظواهر کما صرّح به کاشف الغطاء </w:t>
      </w:r>
      <w:r>
        <w:rPr>
          <w:rStyle w:val="FootnoteAnchor"/>
          <w:rtl w:val="true"/>
        </w:rPr>
        <w:footnoteReference w:id="1897"/>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یُعدّ باطناً فی باب الغسل من الجنابة و غیرها، کثقب الأنف و الاذُن و باطن السرّة و موضع تطبیق</w:t>
      </w:r>
    </w:p>
    <w:p>
      <w:pPr>
        <w:pStyle w:val="BookText"/>
        <w:rPr/>
      </w:pPr>
      <w:r>
        <w:rPr>
          <w:rFonts w:ascii="IRNazanin" w:hAnsi="IRNazanin" w:eastAsia="IRNazanin"/>
          <w:color w:val="111111"/>
          <w:sz w:val="28"/>
          <w:sz w:val="28"/>
          <w:szCs w:val="28"/>
          <w:rtl w:val="true"/>
          <w:lang w:bidi="fa-IR"/>
        </w:rPr>
        <w:t xml:space="preserve">الشفتین و الجفنین، حیث إنّ الظاهر من تجویز الارتماس مع عدم وصول الماء غالباً بمجرّده إلی المذکورات عدّها من البواطن، مضافاً إلی صدق الباطن علیها عرفاً، فیشملها ما دلّ علی اختصاص الجنابة بالظاهر و لا یجنب الباطن </w:t>
      </w:r>
      <w:r>
        <w:rPr>
          <w:rStyle w:val="FootnoteAnchor"/>
          <w:rtl w:val="true"/>
        </w:rPr>
        <w:footnoteReference w:id="1898"/>
      </w:r>
      <w:r>
        <w:rPr>
          <w:rFonts w:ascii="IRNazanin" w:hAnsi="IRNazanin" w:eastAsia="IRNazanin"/>
          <w:color w:val="111111"/>
          <w:sz w:val="28"/>
          <w:sz w:val="28"/>
          <w:szCs w:val="28"/>
          <w:rtl w:val="true"/>
          <w:lang w:bidi="fa-IR"/>
        </w:rPr>
        <w:t xml:space="preserve">، و لم یصل مثل هذا الإطلاق عن النجاسة </w:t>
      </w:r>
      <w:r>
        <w:rPr>
          <w:rStyle w:val="FootnoteAnchor"/>
          <w:rtl w:val="true"/>
        </w:rPr>
        <w:footnoteReference w:id="1899"/>
      </w:r>
      <w:r>
        <w:rPr>
          <w:rFonts w:ascii="IRNazanin" w:hAnsi="IRNazanin" w:eastAsia="IRNazanin"/>
          <w:color w:val="111111"/>
          <w:sz w:val="28"/>
          <w:sz w:val="28"/>
          <w:szCs w:val="28"/>
          <w:rtl w:val="true"/>
          <w:lang w:bidi="fa-IR"/>
        </w:rPr>
        <w:t>، و إنّما حکم بما حکم هنا من جهة بعض الأخبار أو من جهة الإجماع و السیرة أو من جهة انصراف أدلّة أحکام النجاسة إلی غیر المقام، و إلّا فلیس هنا إطلاق یعتدّ به عُلّق الحکم فیها علی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الأخبار دلالة علی حصر ما یجب غسله عند الرعاف و الاستنجاء فیما ظهر من الأنف و المقعد </w:t>
      </w:r>
      <w:r>
        <w:rPr>
          <w:rStyle w:val="FootnoteAnchor"/>
          <w:rtl w:val="true"/>
        </w:rPr>
        <w:footnoteReference w:id="1900"/>
      </w:r>
      <w:r>
        <w:rPr>
          <w:rFonts w:ascii="IRNazanin" w:hAnsi="IRNazanin" w:eastAsia="IRNazanin"/>
          <w:color w:val="111111"/>
          <w:sz w:val="28"/>
          <w:sz w:val="28"/>
          <w:szCs w:val="28"/>
          <w:rtl w:val="true"/>
          <w:lang w:bidi="fa-IR"/>
        </w:rPr>
        <w:t>، و لا یلزم من عدم وجوب غسل باطنها عدم وجوب غسل کلّ ما یعدّ باطناً عرفاً، و المسألة محلّ إشکال فی باب الحدث و الخبث فتأمّل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یدخل من الخارج إلی البواطن، فمقتضی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تأثّره بالنجاسة المتکوّنة فی البواطن و الداخلة إلیها من الخارج، فینجس الطعام بالدم فی الفم و لا یطهر بزوال العین کما صرّح به فی الروضة </w:t>
      </w:r>
      <w:r>
        <w:rPr>
          <w:rStyle w:val="FootnoteAnchor"/>
          <w:rtl w:val="true"/>
        </w:rPr>
        <w:footnoteReference w:id="1901"/>
      </w:r>
      <w:r>
        <w:rPr>
          <w:rFonts w:ascii="IRNazanin" w:hAnsi="IRNazanin" w:eastAsia="IRNazanin"/>
          <w:color w:val="111111"/>
          <w:sz w:val="28"/>
          <w:sz w:val="28"/>
          <w:szCs w:val="28"/>
          <w:rtl w:val="true"/>
          <w:lang w:bidi="fa-IR"/>
        </w:rPr>
        <w:t xml:space="preserve">و شرحها </w:t>
      </w:r>
      <w:r>
        <w:rPr>
          <w:rStyle w:val="FootnoteAnchor"/>
          <w:rtl w:val="true"/>
        </w:rPr>
        <w:footnoteReference w:id="1902"/>
      </w:r>
      <w:r>
        <w:rPr>
          <w:rFonts w:ascii="IRNazanin" w:hAnsi="IRNazanin" w:eastAsia="IRNazanin"/>
          <w:color w:val="111111"/>
          <w:sz w:val="28"/>
          <w:sz w:val="28"/>
          <w:szCs w:val="28"/>
          <w:rtl w:val="true"/>
          <w:lang w:bidi="fa-IR"/>
        </w:rPr>
        <w:t xml:space="preserve">، و قد عرفت من الموجز و شرحه </w:t>
      </w:r>
      <w:r>
        <w:rPr>
          <w:rStyle w:val="FootnoteAnchor"/>
          <w:rtl w:val="true"/>
        </w:rPr>
        <w:footnoteReference w:id="1903"/>
      </w:r>
      <w:r>
        <w:rPr>
          <w:rFonts w:ascii="IRNazanin" w:hAnsi="IRNazanin" w:eastAsia="IRNazanin"/>
          <w:color w:val="111111"/>
          <w:sz w:val="28"/>
          <w:sz w:val="28"/>
          <w:szCs w:val="28"/>
          <w:rtl w:val="true"/>
          <w:lang w:bidi="fa-IR"/>
        </w:rPr>
        <w:t xml:space="preserve">فیحکم </w:t>
      </w:r>
      <w:r>
        <w:rPr>
          <w:rStyle w:val="FootnoteAnchor"/>
          <w:rtl w:val="true"/>
        </w:rPr>
        <w:footnoteReference w:id="1904"/>
      </w:r>
      <w:r>
        <w:rPr>
          <w:rFonts w:ascii="IRNazanin" w:hAnsi="IRNazanin" w:eastAsia="IRNazanin"/>
          <w:color w:val="111111"/>
          <w:sz w:val="28"/>
          <w:sz w:val="28"/>
          <w:szCs w:val="28"/>
          <w:rtl w:val="true"/>
          <w:lang w:bidi="fa-IR"/>
        </w:rPr>
        <w:t>بتنجّس الدرهم</w:t>
      </w:r>
    </w:p>
    <w:p>
      <w:pPr>
        <w:pStyle w:val="BookText"/>
        <w:rPr/>
      </w:pPr>
      <w:r>
        <w:rPr>
          <w:rFonts w:ascii="IRNazanin" w:hAnsi="IRNazanin" w:eastAsia="IRNazanin"/>
          <w:color w:val="111111"/>
          <w:sz w:val="28"/>
          <w:sz w:val="28"/>
          <w:szCs w:val="28"/>
          <w:rtl w:val="true"/>
          <w:lang w:bidi="fa-IR"/>
        </w:rPr>
        <w:t>بملاقاته النجس فی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الأقوی التفصیل بین ما لا یظهر للحسّ من البواطن کالجوف و نحوه، و بین ما یظهر کالفم و العین و نحوهما، فلا یتأثّر الجسم الخارجی بملاقاة النجاسة الکائنة فیما هو من قبیل الأوّل؛ لما عرفت من انصراف أدلّة أحکام النجاسة إلی غیر ذلک، فإنّ الموجود فیها کالمعدوم من جهة أحکام نفسه و من جهة ملاقیه، و یتأثّر بملاقاة النجاسة الکائنة فیما هو من قبیل الثانی؛ لما عرفت من شمول أدلّة الملاقاة؛ و لذا نحکم بتأثّر نفس البواطن بها، إلّا أنّ الدلیل قام علی طهرها بزوال عین النجاسة عنها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یتفرّع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ماء الحقنة إذا رجع من الباطن غیر ملوّث بنجاسة، و نحوه المسهل المشروب الذی یخرج کذلک</w:t>
      </w:r>
      <w:r>
        <w:rPr>
          <w:rFonts w:eastAsia="IRNazanin" w:cs="IRNazanin"/>
          <w:color w:val="111111"/>
          <w:sz w:val="28"/>
          <w:szCs w:val="28"/>
          <w:rtl w:val="true"/>
          <w:lang w:bidi="fa-IR"/>
        </w:rPr>
        <w:t>.</w:t>
      </w:r>
      <w:bookmarkStart w:id="163" w:name="pg16911_259789"/>
    </w:p>
    <w:p>
      <w:pPr>
        <w:pStyle w:val="Heading3"/>
        <w:numPr>
          <w:ilvl w:val="2"/>
          <w:numId w:val="1"/>
        </w:numPr>
        <w:rPr/>
      </w:pPr>
      <w:bookmarkStart w:id="164" w:name="__RefHeading___Toc6618730_3224264995"/>
      <w:bookmarkStart w:id="165" w:name="_Toc60"/>
      <w:bookmarkEnd w:id="163"/>
      <w:bookmarkEnd w:id="164"/>
      <w:r>
        <w:rPr>
          <w:rtl w:val="true"/>
        </w:rPr>
        <w:t>[</w:t>
      </w:r>
      <w:r>
        <w:rPr>
          <w:rtl w:val="true"/>
        </w:rPr>
        <w:t>خاتمة فی الأوانی</w:t>
      </w:r>
      <w:r>
        <w:rPr>
          <w:rtl w:val="true"/>
        </w:rPr>
        <w:t>]</w:t>
      </w:r>
      <w:bookmarkEnd w:id="165"/>
    </w:p>
    <w:p>
      <w:pPr>
        <w:pStyle w:val="Heading4"/>
        <w:numPr>
          <w:ilvl w:val="3"/>
          <w:numId w:val="1"/>
        </w:numPr>
        <w:rPr/>
      </w:pPr>
      <w:bookmarkStart w:id="166" w:name="__RefHeading___Toc6618732_3224264995"/>
      <w:bookmarkStart w:id="167" w:name="_Toc61"/>
      <w:bookmarkEnd w:id="166"/>
      <w:r>
        <w:rPr>
          <w:rtl w:val="true"/>
        </w:rPr>
        <w:t>اشارة</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6618734_3224264995"/>
      <w:bookmarkStart w:id="169" w:name="_Toc62"/>
      <w:bookmarkEnd w:id="168"/>
      <w:r>
        <w:rPr>
          <w:rtl w:val="true"/>
        </w:rPr>
        <w:t>[</w:t>
      </w:r>
      <w:r>
        <w:rPr>
          <w:rtl w:val="true"/>
        </w:rPr>
        <w:t>یحرم استعمال أوانی الذهب و الفضّة</w:t>
      </w:r>
      <w:r>
        <w:rPr>
          <w:rtl w:val="true"/>
        </w:rPr>
        <w:t>]</w:t>
      </w:r>
      <w:bookmarkEnd w:id="169"/>
    </w:p>
    <w:p>
      <w:pPr>
        <w:pStyle w:val="Heading5"/>
        <w:numPr>
          <w:ilvl w:val="4"/>
          <w:numId w:val="1"/>
        </w:numPr>
        <w:rPr/>
      </w:pPr>
      <w:bookmarkStart w:id="170" w:name="__RefHeading___Toc6618736_3224264995"/>
      <w:bookmarkStart w:id="171" w:name="_Toc63"/>
      <w:bookmarkEnd w:id="170"/>
      <w:r>
        <w:rPr>
          <w:rtl w:val="true"/>
        </w:rPr>
        <w:t>اشارة</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استعمال أوانی الذهب و الفضّة فی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الشرب إجماعاً، علی الظاهر المصرّح فی محکیّ جملة من العبائر </w:t>
      </w:r>
      <w:r>
        <w:rPr>
          <w:rStyle w:val="FootnoteAnchor"/>
          <w:rtl w:val="true"/>
        </w:rPr>
        <w:footnoteReference w:id="1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الاستعمال، نسبه فی التذکرة إلی علمائنا أجمع </w:t>
      </w:r>
      <w:r>
        <w:rPr>
          <w:rStyle w:val="FootnoteAnchor"/>
          <w:rtl w:val="true"/>
        </w:rPr>
        <w:footnoteReference w:id="1906"/>
      </w:r>
      <w:r>
        <w:rPr>
          <w:rFonts w:ascii="IRNazanin" w:hAnsi="IRNazanin" w:eastAsia="IRNazanin"/>
          <w:color w:val="111111"/>
          <w:sz w:val="28"/>
          <w:sz w:val="28"/>
          <w:szCs w:val="28"/>
          <w:rtl w:val="true"/>
          <w:lang w:bidi="fa-IR"/>
        </w:rPr>
        <w:t xml:space="preserve">، و کذا فی المنتهی </w:t>
      </w:r>
      <w:r>
        <w:rPr>
          <w:rStyle w:val="FootnoteAnchor"/>
          <w:rtl w:val="true"/>
        </w:rPr>
        <w:footnoteReference w:id="1907"/>
      </w:r>
      <w:r>
        <w:rPr>
          <w:rFonts w:ascii="IRNazanin" w:hAnsi="IRNazanin" w:eastAsia="IRNazanin"/>
          <w:color w:val="111111"/>
          <w:sz w:val="28"/>
          <w:sz w:val="28"/>
          <w:szCs w:val="28"/>
          <w:rtl w:val="true"/>
          <w:lang w:bidi="fa-IR"/>
        </w:rPr>
        <w:t>بحذف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خلاف فیه </w:t>
      </w:r>
      <w:r>
        <w:rPr>
          <w:rStyle w:val="FootnoteAnchor"/>
          <w:rtl w:val="true"/>
        </w:rPr>
        <w:footnoteReference w:id="1908"/>
      </w:r>
      <w:r>
        <w:rPr>
          <w:rFonts w:ascii="IRNazanin" w:hAnsi="IRNazanin" w:eastAsia="IRNazanin"/>
          <w:color w:val="111111"/>
          <w:sz w:val="28"/>
          <w:sz w:val="28"/>
          <w:szCs w:val="28"/>
          <w:rtl w:val="true"/>
          <w:lang w:bidi="fa-IR"/>
        </w:rPr>
        <w:t>، و عن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الاتّفاق عن الذکری أیضاً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أکثر أصحابنا اتّفاقهم علی تحریم آنیة الذهب و الفضّة مطلقاً </w:t>
      </w:r>
      <w:r>
        <w:rPr>
          <w:rStyle w:val="FootnoteAnchor"/>
          <w:rtl w:val="true"/>
        </w:rPr>
        <w:footnoteReference w:id="1910"/>
      </w:r>
      <w:r>
        <w:rPr>
          <w:rFonts w:ascii="IRNazanin" w:hAnsi="IRNazanin" w:eastAsia="IRNazanin"/>
          <w:color w:val="111111"/>
          <w:sz w:val="28"/>
          <w:sz w:val="28"/>
          <w:szCs w:val="28"/>
          <w:rtl w:val="true"/>
          <w:lang w:bidi="fa-IR"/>
        </w:rPr>
        <w:t xml:space="preserve">، و هو ظاهر الروض أیضاً حیث صرّح بعدم القول بالفرق بین الشرب و غیره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روایة ابن مسلم عن أبی جعفر علیه السلام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 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عن آنیة الذهب و الفضّة</w:t>
      </w:r>
      <w:r>
        <w:rPr>
          <w:rFonts w:eastAsia="IRNazanin" w:cs="IRNazanin"/>
          <w:color w:val="111111"/>
          <w:sz w:val="28"/>
          <w:szCs w:val="28"/>
          <w:rtl w:val="true"/>
          <w:lang w:bidi="fa-IR"/>
        </w:rPr>
        <w:t xml:space="preserve">» </w:t>
      </w:r>
      <w:r>
        <w:rPr>
          <w:rStyle w:val="FootnoteAnchor"/>
          <w:rtl w:val="true"/>
        </w:rPr>
        <w:footnoteReference w:id="1912"/>
      </w:r>
      <w:r>
        <w:rPr>
          <w:rFonts w:ascii="IRNazanin" w:hAnsi="IRNazanin" w:eastAsia="IRNazanin"/>
          <w:color w:val="111111"/>
          <w:sz w:val="28"/>
          <w:sz w:val="28"/>
          <w:szCs w:val="28"/>
          <w:rtl w:val="true"/>
          <w:lang w:bidi="fa-IR"/>
        </w:rPr>
        <w:t>و ظاهره یعمّ مطلق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روی هذا الخبر فی المحاسن عن ابن محبوب عن المعلّی عن ابن مسلم </w:t>
      </w:r>
      <w:r>
        <w:rPr>
          <w:rStyle w:val="FootnoteAnchor"/>
          <w:rtl w:val="true"/>
        </w:rPr>
        <w:footnoteReference w:id="1913"/>
      </w:r>
      <w:r>
        <w:rPr>
          <w:rFonts w:ascii="IRNazanin" w:hAnsi="IRNazanin" w:eastAsia="IRNazanin"/>
          <w:color w:val="111111"/>
          <w:sz w:val="28"/>
          <w:sz w:val="28"/>
          <w:szCs w:val="28"/>
          <w:rtl w:val="true"/>
          <w:lang w:bidi="fa-IR"/>
        </w:rPr>
        <w:t>، فالسند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منها فی الدلالة روایة موسی 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آنیة الذهب و الفضّة متاع الذین لا یؤمنون</w:t>
      </w:r>
      <w:r>
        <w:rPr>
          <w:rFonts w:eastAsia="IRNazanin" w:cs="IRNazanin"/>
          <w:color w:val="111111"/>
          <w:sz w:val="28"/>
          <w:szCs w:val="28"/>
          <w:rtl w:val="true"/>
          <w:lang w:bidi="fa-IR"/>
        </w:rPr>
        <w:t xml:space="preserve">» </w:t>
      </w:r>
      <w:r>
        <w:rPr>
          <w:rStyle w:val="FootnoteAnchor"/>
          <w:rtl w:val="true"/>
        </w:rPr>
        <w:footnoteReference w:id="1914"/>
      </w:r>
      <w:r>
        <w:rPr>
          <w:rFonts w:ascii="IRNazanin" w:hAnsi="IRNazanin" w:eastAsia="IRNazanin"/>
          <w:color w:val="111111"/>
          <w:sz w:val="28"/>
          <w:sz w:val="28"/>
          <w:szCs w:val="28"/>
          <w:rtl w:val="true"/>
          <w:lang w:bidi="fa-IR"/>
        </w:rPr>
        <w:t xml:space="preserve">و فی الوسائل رواه عن البرقی عن أبیه عن عبد اللّٰه بن المغیرة عن موسی بن بکیر </w:t>
      </w:r>
      <w:r>
        <w:rPr>
          <w:rStyle w:val="FootnoteAnchor"/>
          <w:rtl w:val="true"/>
        </w:rPr>
        <w:footnoteReference w:id="1915"/>
      </w:r>
      <w:r>
        <w:rPr>
          <w:rFonts w:ascii="IRNazanin" w:hAnsi="IRNazanin" w:eastAsia="IRNazanin"/>
          <w:color w:val="111111"/>
          <w:sz w:val="28"/>
          <w:sz w:val="28"/>
          <w:szCs w:val="28"/>
          <w:rtl w:val="true"/>
          <w:lang w:bidi="fa-IR"/>
        </w:rPr>
        <w:t>، فالسند کالصحیح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التعلیل فی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تشربوا فی آنیة الذهب و الفضّة، و لا تأکلوا فی صحافها، فإنّها لهم فی الدنیا و لکم فی الآخرة</w:t>
      </w:r>
      <w:r>
        <w:rPr>
          <w:rFonts w:eastAsia="IRNazanin" w:cs="IRNazanin"/>
          <w:color w:val="111111"/>
          <w:sz w:val="28"/>
          <w:szCs w:val="28"/>
          <w:rtl w:val="true"/>
          <w:lang w:bidi="fa-IR"/>
        </w:rPr>
        <w:t xml:space="preserve">» </w:t>
      </w:r>
      <w:r>
        <w:rPr>
          <w:rStyle w:val="FootnoteAnchor"/>
          <w:rtl w:val="true"/>
        </w:rPr>
        <w:footnoteReference w:id="1916"/>
      </w:r>
      <w:r>
        <w:rPr>
          <w:rFonts w:ascii="IRNazanin" w:hAnsi="IRNazanin" w:eastAsia="IRNazanin"/>
          <w:color w:val="111111"/>
          <w:sz w:val="28"/>
          <w:sz w:val="28"/>
          <w:szCs w:val="28"/>
          <w:rtl w:val="true"/>
          <w:lang w:bidi="fa-IR"/>
        </w:rPr>
        <w:t>فإنّ اختصاصها بهم فی الدنیا یدلّ علی حرمة استعمال المؤمنین لها مطلقاً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الشیخ فی الخلاف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استعمال أوانی الذهب و الفضّة و کذا المفضّض منها،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استعمال أوانی الذهب و الفضّة، و به قال أبو حنیفة فی الأکل و الشرب </w:t>
      </w:r>
      <w:r>
        <w:rPr>
          <w:rStyle w:val="FootnoteAnchor"/>
          <w:rtl w:val="true"/>
        </w:rPr>
        <w:footnoteReference w:id="1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الأخبار الظاهرة فی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فقد حمل المصنّف </w:t>
      </w:r>
      <w:r>
        <w:rPr>
          <w:rStyle w:val="FootnoteAnchor"/>
          <w:rtl w:val="true"/>
        </w:rPr>
        <w:footnoteReference w:id="1918"/>
      </w:r>
      <w:r>
        <w:rPr>
          <w:rFonts w:ascii="IRNazanin" w:hAnsi="IRNazanin" w:eastAsia="IRNazanin"/>
          <w:color w:val="111111"/>
          <w:sz w:val="28"/>
          <w:sz w:val="28"/>
          <w:szCs w:val="28"/>
          <w:rtl w:val="true"/>
          <w:lang w:bidi="fa-IR"/>
        </w:rPr>
        <w:t xml:space="preserve">و من تأخّر عنه </w:t>
      </w:r>
      <w:r>
        <w:rPr>
          <w:rStyle w:val="FootnoteAnchor"/>
          <w:rtl w:val="true"/>
        </w:rPr>
        <w:footnoteReference w:id="1919"/>
      </w:r>
      <w:r>
        <w:rPr>
          <w:rFonts w:ascii="Amiri" w:hAnsi="Amiri" w:eastAsia="Amiri" w:cs="Amiri"/>
          <w:color w:val="111111"/>
          <w:sz w:val="28"/>
          <w:sz w:val="28"/>
          <w:szCs w:val="28"/>
          <w:rtl w:val="true"/>
          <w:lang w:bidi="ar-SA"/>
        </w:rPr>
        <w:t xml:space="preserve">کلامه تبعاً للمحقّق </w:t>
      </w:r>
      <w:r>
        <w:rPr>
          <w:rStyle w:val="FootnoteAnchor"/>
          <w:rtl w:val="true"/>
        </w:rPr>
        <w:footnoteReference w:id="1920"/>
      </w:r>
      <w:r>
        <w:rPr>
          <w:rFonts w:ascii="IRNazanin" w:hAnsi="IRNazanin" w:eastAsia="IRNazanin"/>
          <w:color w:val="111111"/>
          <w:sz w:val="28"/>
          <w:sz w:val="28"/>
          <w:szCs w:val="28"/>
          <w:rtl w:val="true"/>
          <w:lang w:bidi="fa-IR"/>
        </w:rPr>
        <w:t xml:space="preserve">علی إرادة الحرمة، و قد حکی عنه فی زکاة الخلاف التصریح بالتحریم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فلا إشکال فی المسألة و إن حکی عن الصدوق </w:t>
      </w:r>
      <w:r>
        <w:rPr>
          <w:rStyle w:val="FootnoteAnchor"/>
          <w:rtl w:val="true"/>
        </w:rPr>
        <w:footnoteReference w:id="1922"/>
      </w:r>
      <w:r>
        <w:rPr>
          <w:rFonts w:ascii="IRNazanin" w:hAnsi="IRNazanin" w:eastAsia="IRNazanin"/>
          <w:color w:val="111111"/>
          <w:sz w:val="28"/>
          <w:sz w:val="28"/>
          <w:szCs w:val="28"/>
          <w:rtl w:val="true"/>
          <w:lang w:bidi="fa-IR"/>
        </w:rPr>
        <w:t xml:space="preserve">و المفید </w:t>
      </w:r>
      <w:r>
        <w:rPr>
          <w:rStyle w:val="FootnoteAnchor"/>
          <w:rtl w:val="true"/>
        </w:rPr>
        <w:footnoteReference w:id="1923"/>
      </w:r>
      <w:r>
        <w:rPr>
          <w:rFonts w:ascii="Amiri" w:hAnsi="Amiri" w:eastAsia="Amiri" w:cs="Amiri"/>
          <w:color w:val="111111"/>
          <w:sz w:val="28"/>
          <w:sz w:val="28"/>
          <w:szCs w:val="28"/>
          <w:rtl w:val="true"/>
          <w:lang w:bidi="ar-SA"/>
        </w:rPr>
        <w:t xml:space="preserve">و سلّار </w:t>
      </w:r>
      <w:r>
        <w:rPr>
          <w:rStyle w:val="FootnoteAnchor"/>
          <w:rtl w:val="true"/>
        </w:rPr>
        <w:footnoteReference w:id="1924"/>
      </w:r>
      <w:r>
        <w:rPr>
          <w:rFonts w:ascii="IRNazanin" w:hAnsi="IRNazanin" w:eastAsia="IRNazanin"/>
          <w:color w:val="111111"/>
          <w:sz w:val="28"/>
          <w:sz w:val="28"/>
          <w:szCs w:val="28"/>
          <w:rtl w:val="true"/>
          <w:lang w:bidi="fa-IR"/>
        </w:rPr>
        <w:t xml:space="preserve">و الشیخ فی النهایة </w:t>
      </w:r>
      <w:r>
        <w:rPr>
          <w:rStyle w:val="FootnoteAnchor"/>
          <w:rtl w:val="true"/>
        </w:rPr>
        <w:footnoteReference w:id="1925"/>
      </w:r>
      <w:r>
        <w:rPr>
          <w:rFonts w:ascii="IRNazanin" w:hAnsi="IRNazanin" w:eastAsia="IRNazanin"/>
          <w:color w:val="111111"/>
          <w:sz w:val="28"/>
          <w:sz w:val="28"/>
          <w:szCs w:val="28"/>
          <w:rtl w:val="true"/>
          <w:lang w:bidi="fa-IR"/>
        </w:rPr>
        <w:t>الاقتصار علی ذکر الأکل و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و الخلاف فی تحریم اتّخاذها لغیر الاستعمال، فعن الأکثر کما فی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التحریم أیضاً </w:t>
      </w:r>
      <w:r>
        <w:rPr>
          <w:rStyle w:val="FootnoteAnchor"/>
          <w:rtl w:val="true"/>
        </w:rPr>
        <w:footnoteReference w:id="1926"/>
      </w:r>
      <w:r>
        <w:rPr>
          <w:rFonts w:ascii="IRNazanin" w:hAnsi="IRNazanin" w:eastAsia="IRNazanin"/>
          <w:color w:val="111111"/>
          <w:sz w:val="28"/>
          <w:sz w:val="28"/>
          <w:szCs w:val="28"/>
          <w:rtl w:val="true"/>
          <w:lang w:bidi="fa-IR"/>
        </w:rPr>
        <w:t>، و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المشهور </w:t>
      </w:r>
      <w:r>
        <w:rPr>
          <w:rStyle w:val="FootnoteAnchor"/>
          <w:rtl w:val="true"/>
        </w:rPr>
        <w:footnoteReference w:id="1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یخلو عن قوّة؛ لروایة موسی بن بکیر المتقدّمة </w:t>
      </w:r>
      <w:r>
        <w:rPr>
          <w:rStyle w:val="FootnoteAnchor"/>
          <w:rtl w:val="true"/>
        </w:rPr>
        <w:footnoteReference w:id="1928"/>
      </w:r>
      <w:r>
        <w:rPr>
          <w:rFonts w:ascii="IRNazanin" w:hAnsi="IRNazanin" w:eastAsia="IRNazanin"/>
          <w:color w:val="111111"/>
          <w:sz w:val="28"/>
          <w:sz w:val="28"/>
          <w:szCs w:val="28"/>
          <w:rtl w:val="true"/>
          <w:lang w:bidi="fa-IR"/>
        </w:rPr>
        <w:t xml:space="preserve">، و للروایة المتقدّمة عن الباقر علیه السلام المرویّة فی المحاسن </w:t>
      </w:r>
      <w:r>
        <w:rPr>
          <w:rStyle w:val="FootnoteAnchor"/>
          <w:rtl w:val="true"/>
        </w:rPr>
        <w:footnoteReference w:id="1929"/>
      </w:r>
      <w:r>
        <w:rPr>
          <w:rFonts w:ascii="IRNazanin" w:hAnsi="IRNazanin" w:eastAsia="IRNazanin"/>
          <w:color w:val="111111"/>
          <w:sz w:val="28"/>
          <w:sz w:val="28"/>
          <w:szCs w:val="28"/>
          <w:rtl w:val="true"/>
          <w:lang w:bidi="fa-IR"/>
        </w:rPr>
        <w:t>کما حکی بسند صحیح</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الروایات قاصرة الدلالة؛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إلّا علی المتّخذ لأجل الاستعمال، فإنّ المتاع و إن کان اسماً لما</w:t>
      </w:r>
      <w:bookmarkStart w:id="172" w:name="pg16911_259792"/>
    </w:p>
    <w:p>
      <w:pPr>
        <w:pStyle w:val="BookText"/>
        <w:rPr/>
      </w:pPr>
      <w:bookmarkEnd w:id="172"/>
      <w:r>
        <w:rPr>
          <w:rFonts w:ascii="IRNazanin" w:hAnsi="IRNazanin" w:eastAsia="IRNazanin"/>
          <w:color w:val="111111"/>
          <w:sz w:val="28"/>
          <w:sz w:val="28"/>
          <w:szCs w:val="28"/>
          <w:rtl w:val="true"/>
          <w:lang w:bidi="fa-IR"/>
        </w:rPr>
        <w:t>یتمتّع به، إلّا أنّ التمتّع استعمالها، لا مجرّد اتّخاذها إظهاراً للثروة و التذاذاً بوجدانها، و النهی منصرف إلی الاستعمال لا إلی مطلق الاتّخاذ، بل ربّما یخصّ بالاستعمالات المتعارفة، فهو فی کلّ شی‌ء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فالجواز لا یخلو عن قوّة، وفاقاً للمصنّف فی المختلف </w:t>
      </w:r>
      <w:r>
        <w:rPr>
          <w:rStyle w:val="FootnoteAnchor"/>
          <w:rtl w:val="true"/>
        </w:rPr>
        <w:footnoteReference w:id="1930"/>
      </w:r>
      <w:r>
        <w:rPr>
          <w:rFonts w:ascii="Amiri" w:hAnsi="Amiri" w:eastAsia="Amiri" w:cs="Amiri"/>
          <w:color w:val="111111"/>
          <w:sz w:val="28"/>
          <w:sz w:val="28"/>
          <w:szCs w:val="28"/>
          <w:rtl w:val="true"/>
          <w:lang w:bidi="ar-SA"/>
        </w:rPr>
        <w:t xml:space="preserve">، و حکی عن الحلیّ أیضاً </w:t>
      </w:r>
      <w:r>
        <w:rPr>
          <w:rStyle w:val="FootnoteAnchor"/>
          <w:rtl w:val="true"/>
        </w:rPr>
        <w:footnoteReference w:id="1931"/>
      </w:r>
      <w:r>
        <w:rPr>
          <w:rFonts w:ascii="IRNazanin" w:hAnsi="IRNazanin" w:eastAsia="IRNazanin"/>
          <w:color w:val="111111"/>
          <w:sz w:val="28"/>
          <w:sz w:val="28"/>
          <w:szCs w:val="28"/>
          <w:rtl w:val="true"/>
          <w:lang w:bidi="fa-IR"/>
        </w:rPr>
        <w:t xml:space="preserve">، مع أنّه حکی عنه فی المختلف المنع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6618738_3224264995"/>
      <w:bookmarkStart w:id="174" w:name="_Toc64"/>
      <w:bookmarkEnd w:id="173"/>
      <w:r>
        <w:rPr>
          <w:rtl w:val="true"/>
        </w:rPr>
        <w:t>[</w:t>
      </w:r>
      <w:r>
        <w:rPr>
          <w:rtl w:val="true"/>
        </w:rPr>
        <w:t>و یکره المفضَّض و یجتنب موضع الفضة</w:t>
      </w:r>
      <w:r>
        <w:rPr>
          <w:rtl w:val="true"/>
        </w:rPr>
        <w:t>]</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المفضَّض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w:t>
      </w:r>
      <w:r>
        <w:rPr>
          <w:rStyle w:val="FootnoteAnchor"/>
          <w:rtl w:val="true"/>
        </w:rPr>
        <w:footnoteReference w:id="1933"/>
      </w:r>
      <w:r>
        <w:rPr>
          <w:rFonts w:ascii="IRNazanin" w:hAnsi="IRNazanin" w:eastAsia="IRNazanin"/>
          <w:color w:val="111111"/>
          <w:sz w:val="28"/>
          <w:sz w:val="28"/>
          <w:szCs w:val="28"/>
          <w:rtl w:val="true"/>
          <w:lang w:bidi="fa-IR"/>
        </w:rPr>
        <w:t xml:space="preserve">، بل عن الذخیرة </w:t>
      </w:r>
      <w:r>
        <w:rPr>
          <w:rStyle w:val="FootnoteAnchor"/>
          <w:rtl w:val="true"/>
        </w:rPr>
        <w:footnoteReference w:id="1934"/>
      </w:r>
      <w:r>
        <w:rPr>
          <w:rFonts w:ascii="IRNazanin" w:hAnsi="IRNazanin" w:eastAsia="IRNazanin"/>
          <w:color w:val="111111"/>
          <w:sz w:val="28"/>
          <w:sz w:val="28"/>
          <w:szCs w:val="28"/>
          <w:rtl w:val="true"/>
          <w:lang w:bidi="fa-IR"/>
        </w:rPr>
        <w:t xml:space="preserve">و البحار </w:t>
      </w:r>
      <w:r>
        <w:rPr>
          <w:rStyle w:val="FootnoteAnchor"/>
          <w:rtl w:val="true"/>
        </w:rPr>
        <w:footnoteReference w:id="1935"/>
      </w:r>
      <w:r>
        <w:rPr>
          <w:rFonts w:ascii="IRNazanin" w:hAnsi="IRNazanin" w:eastAsia="IRNazanin"/>
          <w:color w:val="111111"/>
          <w:sz w:val="28"/>
          <w:sz w:val="28"/>
          <w:szCs w:val="28"/>
          <w:rtl w:val="true"/>
          <w:lang w:bidi="fa-IR"/>
        </w:rPr>
        <w:t xml:space="preserve">و الریاض </w:t>
      </w:r>
      <w:r>
        <w:rPr>
          <w:rStyle w:val="FootnoteAnchor"/>
          <w:rtl w:val="true"/>
        </w:rPr>
        <w:footnoteReference w:id="1936"/>
      </w:r>
      <w:r>
        <w:rPr>
          <w:rFonts w:ascii="IRNazanin" w:hAnsi="IRNazanin" w:eastAsia="IRNazanin"/>
          <w:color w:val="111111"/>
          <w:sz w:val="28"/>
          <w:sz w:val="28"/>
          <w:szCs w:val="28"/>
          <w:rtl w:val="true"/>
          <w:lang w:bidi="fa-IR"/>
        </w:rPr>
        <w:t>نسبته إلی عامّة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بعد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سنان أو حسنته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یشرب الرجل فی القدح المفضّض و اعزل فمک عن موضع الفضّة</w:t>
      </w:r>
      <w:r>
        <w:rPr>
          <w:rFonts w:eastAsia="IRNazanin" w:cs="IRNazanin"/>
          <w:color w:val="111111"/>
          <w:sz w:val="28"/>
          <w:szCs w:val="28"/>
          <w:rtl w:val="true"/>
          <w:lang w:bidi="fa-IR"/>
        </w:rPr>
        <w:t xml:space="preserve">»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التحریم </w:t>
      </w:r>
      <w:r>
        <w:rPr>
          <w:rStyle w:val="FootnoteAnchor"/>
          <w:rtl w:val="true"/>
        </w:rPr>
        <w:footnoteReference w:id="1938"/>
      </w: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من آنیة فضّة و لا آنیة مفضّضة</w:t>
      </w:r>
      <w:r>
        <w:rPr>
          <w:rFonts w:eastAsia="IRNazanin" w:cs="IRNazanin"/>
          <w:color w:val="111111"/>
          <w:sz w:val="28"/>
          <w:szCs w:val="28"/>
          <w:rtl w:val="true"/>
          <w:lang w:bidi="fa-IR"/>
        </w:rPr>
        <w:t xml:space="preserve">» </w:t>
      </w:r>
      <w:r>
        <w:rPr>
          <w:rStyle w:val="FootnoteAnchor"/>
          <w:rtl w:val="true"/>
        </w:rPr>
        <w:footnoteReference w:id="1939"/>
      </w:r>
      <w:r>
        <w:rPr>
          <w:rFonts w:ascii="IRNazanin" w:hAnsi="IRNazanin" w:eastAsia="IRNazanin"/>
          <w:color w:val="111111"/>
          <w:sz w:val="28"/>
          <w:sz w:val="28"/>
          <w:szCs w:val="28"/>
          <w:rtl w:val="true"/>
          <w:lang w:bidi="fa-IR"/>
        </w:rPr>
        <w:t xml:space="preserve">و یحمل </w:t>
      </w:r>
      <w:r>
        <w:rPr>
          <w:rStyle w:val="FootnoteAnchor"/>
          <w:rtl w:val="true"/>
        </w:rPr>
        <w:footnoteReference w:id="1940"/>
      </w:r>
      <w:r>
        <w:rPr>
          <w:rFonts w:ascii="IRNazanin" w:hAnsi="IRNazanin" w:eastAsia="IRNazanin"/>
          <w:color w:val="111111"/>
          <w:sz w:val="28"/>
          <w:sz w:val="28"/>
          <w:szCs w:val="28"/>
          <w:rtl w:val="true"/>
          <w:lang w:bidi="fa-IR"/>
        </w:rPr>
        <w:t>علی مطلق المرجوحیّة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المشهور کما فی الکفایة </w:t>
      </w:r>
      <w:r>
        <w:rPr>
          <w:rStyle w:val="FootnoteAnchor"/>
          <w:rtl w:val="true"/>
        </w:rPr>
        <w:footnoteReference w:id="1941"/>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یجتنب </w:t>
      </w:r>
      <w:r>
        <w:rPr>
          <w:rStyle w:val="FootnoteAnchor"/>
          <w:rtl w:val="true"/>
        </w:rPr>
        <w:footnoteReference w:id="1942"/>
      </w:r>
      <w:r>
        <w:rPr>
          <w:rFonts w:ascii="IRNazanin" w:hAnsi="IRNazanin" w:eastAsia="IRNazanin"/>
          <w:color w:val="111111"/>
          <w:sz w:val="28"/>
          <w:sz w:val="28"/>
          <w:szCs w:val="28"/>
          <w:rtl w:val="true"/>
          <w:lang w:bidi="fa-IR"/>
        </w:rPr>
        <w:t>موضع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الذخیرة و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مذهب الشیخ و العلّامة و أکثر المتأخّرین </w:t>
      </w:r>
      <w:r>
        <w:rPr>
          <w:rStyle w:val="FootnoteAnchor"/>
          <w:rtl w:val="true"/>
        </w:rPr>
        <w:footnoteReference w:id="1943"/>
      </w:r>
      <w:r>
        <w:rPr>
          <w:rFonts w:ascii="IRNazanin" w:hAnsi="IRNazanin" w:eastAsia="IRNazanin"/>
          <w:color w:val="111111"/>
          <w:sz w:val="28"/>
          <w:sz w:val="28"/>
          <w:szCs w:val="28"/>
          <w:rtl w:val="true"/>
          <w:lang w:bidi="fa-IR"/>
        </w:rPr>
        <w:t xml:space="preserve">، و حکی عن القاضی </w:t>
      </w:r>
      <w:r>
        <w:rPr>
          <w:rStyle w:val="FootnoteAnchor"/>
          <w:rtl w:val="true"/>
        </w:rPr>
        <w:footnoteReference w:id="1944"/>
      </w:r>
      <w:r>
        <w:rPr>
          <w:rFonts w:ascii="Amiri" w:hAnsi="Amiri" w:eastAsia="Amiri" w:cs="Amiri"/>
          <w:color w:val="111111"/>
          <w:sz w:val="28"/>
          <w:sz w:val="28"/>
          <w:szCs w:val="28"/>
          <w:rtl w:val="true"/>
          <w:lang w:bidi="ar-SA"/>
        </w:rPr>
        <w:t xml:space="preserve">و الحلیّ </w:t>
      </w:r>
      <w:r>
        <w:rPr>
          <w:rStyle w:val="FootnoteAnchor"/>
          <w:rtl w:val="true"/>
        </w:rPr>
        <w:footnoteReference w:id="1945"/>
      </w:r>
      <w:r>
        <w:rPr>
          <w:rFonts w:ascii="IRNazanin" w:hAnsi="IRNazanin" w:eastAsia="IRNazanin"/>
          <w:color w:val="111111"/>
          <w:sz w:val="28"/>
          <w:sz w:val="28"/>
          <w:szCs w:val="28"/>
          <w:rtl w:val="true"/>
          <w:lang w:bidi="fa-IR"/>
        </w:rPr>
        <w:t xml:space="preserve">و ابن سعید </w:t>
      </w:r>
      <w:r>
        <w:rPr>
          <w:rStyle w:val="FootnoteAnchor"/>
          <w:rtl w:val="true"/>
        </w:rPr>
        <w:footnoteReference w:id="1946"/>
      </w:r>
      <w:r>
        <w:rPr>
          <w:rFonts w:ascii="IRNazanin" w:hAnsi="IRNazanin" w:eastAsia="IRNazanin"/>
          <w:color w:val="111111"/>
          <w:sz w:val="28"/>
          <w:sz w:val="28"/>
          <w:szCs w:val="28"/>
          <w:rtl w:val="true"/>
          <w:lang w:bidi="fa-IR"/>
        </w:rPr>
        <w:t xml:space="preserve">، و اختاره الشهیدان </w:t>
      </w:r>
      <w:r>
        <w:rPr>
          <w:rStyle w:val="FootnoteAnchor"/>
          <w:rtl w:val="true"/>
        </w:rPr>
        <w:footnoteReference w:id="1947"/>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948"/>
      </w:r>
      <w:r>
        <w:rPr>
          <w:rFonts w:ascii="IRNazanin" w:hAnsi="IRNazanin" w:eastAsia="IRNazanin"/>
          <w:color w:val="111111"/>
          <w:sz w:val="28"/>
          <w:sz w:val="28"/>
          <w:szCs w:val="28"/>
          <w:rtl w:val="true"/>
          <w:lang w:bidi="fa-IR"/>
        </w:rPr>
        <w:t xml:space="preserve">، و نسبه فی المدارک </w:t>
      </w:r>
      <w:r>
        <w:rPr>
          <w:rStyle w:val="FootnoteAnchor"/>
          <w:rtl w:val="true"/>
        </w:rPr>
        <w:footnoteReference w:id="1949"/>
      </w:r>
      <w:r>
        <w:rPr>
          <w:rFonts w:ascii="IRNazanin" w:hAnsi="IRNazanin" w:eastAsia="IRNazanin"/>
          <w:color w:val="111111"/>
          <w:sz w:val="28"/>
          <w:sz w:val="28"/>
          <w:szCs w:val="28"/>
          <w:rtl w:val="true"/>
          <w:lang w:bidi="fa-IR"/>
        </w:rPr>
        <w:t xml:space="preserve">إلی عامّة المتأخّرین؛ لظاهر الأمر فی روایة ابن سنان المتقدّمة </w:t>
      </w:r>
      <w:r>
        <w:rPr>
          <w:rStyle w:val="FootnoteAnchor"/>
          <w:rtl w:val="true"/>
        </w:rPr>
        <w:footnoteReference w:id="1950"/>
      </w:r>
      <w:r>
        <w:rPr>
          <w:rFonts w:ascii="IRNazanin" w:hAnsi="IRNazanin" w:eastAsia="IRNazanin"/>
          <w:color w:val="111111"/>
          <w:sz w:val="28"/>
          <w:sz w:val="28"/>
          <w:szCs w:val="28"/>
          <w:rtl w:val="true"/>
          <w:lang w:bidi="fa-IR"/>
        </w:rPr>
        <w:t>، و 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یجد بدّاً من الشرب فی القدح المفضّض عزل بفمه عن موضع الفضّة</w:t>
      </w:r>
      <w:r>
        <w:rPr>
          <w:rFonts w:eastAsia="IRNazanin" w:cs="IRNazanin"/>
          <w:color w:val="111111"/>
          <w:sz w:val="28"/>
          <w:szCs w:val="28"/>
          <w:rtl w:val="true"/>
          <w:lang w:bidi="fa-IR"/>
        </w:rPr>
        <w:t xml:space="preserve">»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للمحکیّ عن المعتبر </w:t>
      </w:r>
      <w:r>
        <w:rPr>
          <w:rStyle w:val="FootnoteAnchor"/>
          <w:rtl w:val="true"/>
        </w:rPr>
        <w:footnoteReference w:id="1952"/>
      </w:r>
      <w:r>
        <w:rPr>
          <w:rFonts w:ascii="IRNazanin" w:hAnsi="IRNazanin" w:eastAsia="IRNazanin"/>
          <w:color w:val="111111"/>
          <w:sz w:val="28"/>
          <w:sz w:val="28"/>
          <w:szCs w:val="28"/>
          <w:rtl w:val="true"/>
          <w:lang w:bidi="fa-IR"/>
        </w:rPr>
        <w:t xml:space="preserve">، و تبعه بعض متأخّری المتأخّرین </w:t>
      </w:r>
      <w:r>
        <w:rPr>
          <w:rStyle w:val="FootnoteAnchor"/>
          <w:rtl w:val="true"/>
        </w:rPr>
        <w:footnoteReference w:id="1953"/>
      </w:r>
      <w:r>
        <w:rPr>
          <w:rFonts w:ascii="IRNazanin" w:hAnsi="IRNazanin" w:eastAsia="IRNazanin"/>
          <w:color w:val="111111"/>
          <w:sz w:val="28"/>
          <w:sz w:val="28"/>
          <w:szCs w:val="28"/>
          <w:rtl w:val="true"/>
          <w:lang w:bidi="fa-IR"/>
        </w:rPr>
        <w:t>، فالاستحباب، و إن لم یعلم له وجهٌ یعتدّ به مع دلالة الصحیحة و غیرها و فتوی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المدارک تبعاً لشیخه الأردبیلی </w:t>
      </w:r>
      <w:r>
        <w:rPr>
          <w:rStyle w:val="FootnoteAnchor"/>
          <w:rtl w:val="true"/>
        </w:rPr>
        <w:footnoteReference w:id="1954"/>
      </w:r>
      <w:r>
        <w:rPr>
          <w:rFonts w:ascii="Amiri" w:hAnsi="Amiri" w:eastAsia="Amiri" w:cs="Amiri"/>
          <w:color w:val="111111"/>
          <w:sz w:val="28"/>
          <w:sz w:val="28"/>
          <w:szCs w:val="28"/>
          <w:rtl w:val="true"/>
          <w:lang w:bidi="ar-SA"/>
        </w:rPr>
        <w:t xml:space="preserve">أنّه کالمفضّض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أعثر لأصحابنا فیه علی قول، ثمّ ألحقه بالمفضّض فی الکراهة لأنّه لا ینزل عن درجة الفضّة </w:t>
      </w:r>
      <w:r>
        <w:rPr>
          <w:rStyle w:val="FootnoteAnchor"/>
          <w:rtl w:val="true"/>
        </w:rPr>
        <w:footnoteReference w:id="1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ناقشه فی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إثبات الکراهة مع فقد النصّ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فأمر الکراهة سهل، إنّما الإشکال فی معناه، و الظاهر أنّ المراد بالمفضّض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بعضه فضّة أو متلبّساً بالفضّة أو مموّهاً بماء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المفضّض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الظروف التی یکون بعضها فضّة و بعضها نحاساً أو غیره متمیّزاً کلّ منهما عن الآخر، کما تُستعمل ظروف أصلها من الخزف أو غیره و فَمُها من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جمیعه مموّهاً بالفضّة، و هو قسمان،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طلی بماء الفضّة و إذا عرض علی النار لا ینفصل منه شی‌ء،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لُبس بالسبائک و شبهها بحیث إذا عرض علی النار انفصلت الفضّة عن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علّق علیه حلقة أو قطعة من سلسلة من الفضّة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تخلط الفضّة بغیرها و یصنع منهما الآنیة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نقش بالفضّة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شمولها للأوّل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الثانی فالظاهر فی القسم الأوّل منه الجواز، و فی الثانی المنع؛ 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اللباس، بل یمکن ادّعاء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آنیة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و کأنّه لا اعتبار للغلبة مع عدم صدق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الخامس، فلا یبعد التفصیل فیه کالثانی،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حصل لها بالعرض علی النار شی‌ء کان فی حکم المفضّض، و إلّا فلا </w:t>
      </w:r>
      <w:r>
        <w:rPr>
          <w:rStyle w:val="FootnoteAnchor"/>
          <w:rtl w:val="true"/>
        </w:rPr>
        <w:footnoteReference w:id="195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ما ذکره قدّس سرّه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إطلاق الإناء و عموم الآنیة فی النصوص و معاقد الإجماعات یشمل الصغیر و الکبیر، فمثل المکحلة و ظروف الغالیة و ظروف الأفیون و وعاء الساعات المتعارفة إناء، کما صرّح به فی التذکرة </w:t>
      </w:r>
      <w:r>
        <w:rPr>
          <w:rStyle w:val="FootnoteAnchor"/>
          <w:rtl w:val="true"/>
        </w:rPr>
        <w:footnoteReference w:id="1959"/>
      </w:r>
      <w:r>
        <w:rPr>
          <w:rFonts w:ascii="IRNazanin" w:hAnsi="IRNazanin" w:eastAsia="IRNazanin"/>
          <w:color w:val="111111"/>
          <w:sz w:val="28"/>
          <w:sz w:val="28"/>
          <w:szCs w:val="28"/>
          <w:rtl w:val="true"/>
          <w:lang w:bidi="fa-IR"/>
        </w:rPr>
        <w:t xml:space="preserve">، کما عن الذکری فی المکحلة و ظروف الغالیة </w:t>
      </w:r>
      <w:r>
        <w:rPr>
          <w:rStyle w:val="FootnoteAnchor"/>
          <w:rtl w:val="true"/>
        </w:rPr>
        <w:footnoteReference w:id="1960"/>
      </w:r>
      <w:r>
        <w:rPr>
          <w:rFonts w:ascii="IRNazanin" w:hAnsi="IRNazanin" w:eastAsia="IRNazanin"/>
          <w:color w:val="111111"/>
          <w:sz w:val="28"/>
          <w:sz w:val="28"/>
          <w:szCs w:val="28"/>
          <w:rtl w:val="true"/>
          <w:lang w:bidi="fa-IR"/>
        </w:rPr>
        <w:t xml:space="preserve">، و نحوهما الجعفریّة فی خصوص المکحلة </w:t>
      </w:r>
      <w:r>
        <w:rPr>
          <w:rStyle w:val="FootnoteAnchor"/>
          <w:rtl w:val="true"/>
        </w:rPr>
        <w:footnoteReference w:id="1961"/>
      </w:r>
      <w:r>
        <w:rPr>
          <w:rFonts w:ascii="IRNazanin" w:hAnsi="IRNazanin" w:eastAsia="IRNazanin"/>
          <w:color w:val="111111"/>
          <w:sz w:val="28"/>
          <w:sz w:val="28"/>
          <w:szCs w:val="28"/>
          <w:rtl w:val="true"/>
          <w:lang w:bidi="fa-IR"/>
        </w:rPr>
        <w:t>، و کأنّه للمثال، قال الفیّومی فیما حکی عنه فی 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الإناء و الآنیة و الوعاء و الأوعیة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یوضع فیه الشی‌ء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ما یعدّ مع مظروفه واحداً فی العرف من جهة لصوقه به لا یبعد خروجه عن إطلاق الآنیة، کما صرّح به بعض </w:t>
      </w:r>
      <w:r>
        <w:rPr>
          <w:rStyle w:val="FootnoteAnchor"/>
          <w:rtl w:val="true"/>
        </w:rPr>
        <w:footnoteReference w:id="1963"/>
      </w:r>
      <w:r>
        <w:rPr>
          <w:rFonts w:ascii="IRNazanin" w:hAnsi="IRNazanin" w:eastAsia="IRNazanin"/>
          <w:color w:val="111111"/>
          <w:sz w:val="28"/>
          <w:sz w:val="28"/>
          <w:szCs w:val="28"/>
          <w:rtl w:val="true"/>
          <w:lang w:bidi="fa-IR"/>
        </w:rPr>
        <w:t>، و هو ظاهر کشف</w:t>
      </w:r>
    </w:p>
    <w:p>
      <w:pPr>
        <w:pStyle w:val="BookText"/>
        <w:rPr/>
      </w:pPr>
      <w:r>
        <w:rPr>
          <w:rFonts w:ascii="IRNazanin" w:hAnsi="IRNazanin" w:eastAsia="IRNazanin"/>
          <w:color w:val="111111"/>
          <w:sz w:val="28"/>
          <w:sz w:val="28"/>
          <w:szCs w:val="28"/>
          <w:rtl w:val="true"/>
          <w:lang w:bidi="fa-IR"/>
        </w:rPr>
        <w:t xml:space="preserve">الغطاء </w:t>
      </w:r>
      <w:r>
        <w:rPr>
          <w:rStyle w:val="FootnoteAnchor"/>
          <w:rtl w:val="true"/>
        </w:rPr>
        <w:footnoteReference w:id="1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الذی یقرّب عموم الآنیة لمثل هذا روایة ابن بزیع،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الرضا علیه السلام عن آنیة الذهب و الفضّة فکرههما،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 أصحابنا أنّه کان لأبی الحسن علیه السلام مرآة ملبّسة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w:t>
      </w:r>
      <w:r>
        <w:rPr>
          <w:rStyle w:val="FootnoteAnchor"/>
          <w:rtl w:val="true"/>
        </w:rPr>
        <w:footnoteReference w:id="1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کانت لها حلقة من فضّة و هی عندی</w:t>
      </w:r>
      <w:r>
        <w:rPr>
          <w:rFonts w:eastAsia="IRNazanin" w:cs="IRNazanin"/>
          <w:color w:val="111111"/>
          <w:sz w:val="28"/>
          <w:szCs w:val="28"/>
          <w:rtl w:val="true"/>
          <w:lang w:bidi="fa-IR"/>
        </w:rPr>
        <w:t xml:space="preserve">» </w:t>
      </w:r>
      <w:r>
        <w:rPr>
          <w:rStyle w:val="FootnoteAnchor"/>
          <w:rtl w:val="true"/>
        </w:rPr>
        <w:footnoteReference w:id="1966"/>
      </w:r>
      <w:r>
        <w:rPr>
          <w:rFonts w:ascii="IRNazanin" w:hAnsi="IRNazanin" w:eastAsia="IRNazanin"/>
          <w:color w:val="111111"/>
          <w:sz w:val="28"/>
          <w:sz w:val="28"/>
          <w:szCs w:val="28"/>
          <w:rtl w:val="true"/>
          <w:lang w:bidi="fa-IR"/>
        </w:rPr>
        <w:t>فإنّ 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النقض علی عموم کراهة الآنیة، و مبالغة الإمام فی الإنکار یدلّ علی أنّ المرآة الملبّسة من أفراد ما 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المرآة الملبّسة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بیت الزجاج و وعاؤه معمولًا من الفضّة، إلّا أن یراد من التلبّس تلبّس بیت المرآة بالفضّة، فیکون داخلًا فی المفضّض بالمعنی الثانی من المعانی المتقدّمة عن البحار </w:t>
      </w:r>
      <w:r>
        <w:rPr>
          <w:rStyle w:val="FootnoteAnchor"/>
          <w:rtl w:val="true"/>
        </w:rPr>
        <w:footnoteReference w:id="1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عرفت حاله و أنّ المنع عنه غیر بعید؛ لشهادة هذه الروایة بصدق کونها من آنیة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کان مع مظروفه یُعدّ شیئاً واحداً لا یشمله إطلاق الإناء، إلّا إذا کان المظروف من الآنیة فیصدق علی المجموع إناء الفضّة أو المفضّض</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الجواز فیما ذکر مضافاً إلی الأصل و انصراف النصوص و الإجماعات إلی غیر ما ذکرنا مصحّحة علیّ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w:t>
      </w:r>
    </w:p>
    <w:p>
      <w:pPr>
        <w:pStyle w:val="BookText"/>
        <w:rPr/>
      </w:pPr>
      <w:r>
        <w:rPr>
          <w:rFonts w:ascii="IRNazanin" w:hAnsi="IRNazanin" w:eastAsia="IRNazanin"/>
          <w:color w:val="111111"/>
          <w:sz w:val="28"/>
          <w:sz w:val="28"/>
          <w:szCs w:val="28"/>
          <w:rtl w:val="true"/>
          <w:lang w:bidi="fa-IR"/>
        </w:rPr>
        <w:t>التعویذ یعلّق علی الحائض؟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فی جلد أو فضّة أو قصبة حدید</w:t>
      </w:r>
      <w:r>
        <w:rPr>
          <w:rFonts w:eastAsia="IRNazanin" w:cs="IRNazanin"/>
          <w:color w:val="111111"/>
          <w:sz w:val="28"/>
          <w:szCs w:val="28"/>
          <w:rtl w:val="true"/>
          <w:lang w:bidi="fa-IR"/>
        </w:rPr>
        <w:t xml:space="preserve">» </w:t>
      </w:r>
      <w:r>
        <w:rPr>
          <w:rStyle w:val="FootnoteAnchor"/>
          <w:rtl w:val="true"/>
        </w:rPr>
        <w:footnoteReference w:id="1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المسألة لذلک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میل الاکتحال، فالمحکیّ عن المعتبر </w:t>
      </w:r>
      <w:r>
        <w:rPr>
          <w:rStyle w:val="FootnoteAnchor"/>
          <w:rtl w:val="true"/>
        </w:rPr>
        <w:footnoteReference w:id="1969"/>
      </w:r>
      <w:r>
        <w:rPr>
          <w:rFonts w:ascii="IRNazanin" w:hAnsi="IRNazanin" w:eastAsia="IRNazanin"/>
          <w:color w:val="111111"/>
          <w:sz w:val="28"/>
          <w:sz w:val="28"/>
          <w:szCs w:val="28"/>
          <w:rtl w:val="true"/>
          <w:lang w:bidi="fa-IR"/>
        </w:rPr>
        <w:t xml:space="preserve">و المنتهی </w:t>
      </w:r>
      <w:r>
        <w:rPr>
          <w:rStyle w:val="FootnoteAnchor"/>
          <w:rtl w:val="true"/>
        </w:rPr>
        <w:footnoteReference w:id="1970"/>
      </w:r>
      <w:r>
        <w:rPr>
          <w:rFonts w:ascii="IRNazanin" w:hAnsi="IRNazanin" w:eastAsia="IRNazanin"/>
          <w:color w:val="111111"/>
          <w:sz w:val="28"/>
          <w:sz w:val="28"/>
          <w:szCs w:val="28"/>
          <w:rtl w:val="true"/>
          <w:lang w:bidi="fa-IR"/>
        </w:rPr>
        <w:t xml:space="preserve">و الذکری </w:t>
      </w:r>
      <w:r>
        <w:rPr>
          <w:rStyle w:val="FootnoteAnchor"/>
          <w:rtl w:val="true"/>
        </w:rPr>
        <w:footnoteReference w:id="1971"/>
      </w:r>
      <w:r>
        <w:rPr>
          <w:rFonts w:ascii="Amiri" w:hAnsi="Amiri" w:eastAsia="Amiri" w:cs="Amiri"/>
          <w:color w:val="111111"/>
          <w:sz w:val="28"/>
          <w:sz w:val="28"/>
          <w:szCs w:val="28"/>
          <w:rtl w:val="true"/>
          <w:lang w:bidi="ar-SA"/>
        </w:rPr>
        <w:t xml:space="preserve">و الجعفریّة </w:t>
      </w:r>
      <w:r>
        <w:rPr>
          <w:rStyle w:val="FootnoteAnchor"/>
          <w:rtl w:val="true"/>
        </w:rPr>
        <w:footnoteReference w:id="1972"/>
      </w:r>
      <w:r>
        <w:rPr>
          <w:rFonts w:ascii="IRNazanin" w:hAnsi="IRNazanin" w:eastAsia="IRNazanin"/>
          <w:color w:val="111111"/>
          <w:sz w:val="28"/>
          <w:sz w:val="28"/>
          <w:szCs w:val="28"/>
          <w:rtl w:val="true"/>
          <w:lang w:bidi="fa-IR"/>
        </w:rPr>
        <w:t>جواز اتّخاذه من الذهب و الفضّة، و فی المناهل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ممّا لا خلاف فیه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تحلیة السیف و اللجام بالفضّة بلا خلاف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روی علیّ بن جعفر عن أخیه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السرج و اللجام فیه الفضّة، أ یرکب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مموّهاً لا یقدر علی نزعه فلا بأس، و إلّا فلا یرکب</w:t>
      </w:r>
      <w:r>
        <w:rPr>
          <w:rFonts w:eastAsia="IRNazanin" w:cs="IRNazanin"/>
          <w:color w:val="111111"/>
          <w:sz w:val="28"/>
          <w:szCs w:val="28"/>
          <w:rtl w:val="true"/>
          <w:lang w:bidi="fa-IR"/>
        </w:rPr>
        <w:t xml:space="preserve">» </w:t>
      </w:r>
      <w:r>
        <w:rPr>
          <w:rStyle w:val="FootnoteAnchor"/>
          <w:rtl w:val="true"/>
        </w:rPr>
        <w:footnoteReference w:id="1974"/>
      </w:r>
      <w:r>
        <w:rPr>
          <w:rFonts w:ascii="IRNazanin" w:hAnsi="IRNazanin" w:eastAsia="IRNazanin"/>
          <w:color w:val="111111"/>
          <w:sz w:val="28"/>
          <w:sz w:val="28"/>
          <w:szCs w:val="28"/>
          <w:rtl w:val="true"/>
          <w:lang w:bidi="fa-IR"/>
        </w:rPr>
        <w:t xml:space="preserve">و نحوها عن مستطرفات السرائر عن جامع البزنطی </w:t>
      </w:r>
      <w:r>
        <w:rPr>
          <w:rStyle w:val="FootnoteAnchor"/>
          <w:rtl w:val="true"/>
        </w:rPr>
        <w:footnoteReference w:id="1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حملها علی الکراهة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یجوز تحلیتهما بالذهب؟ المحکیّ عن الشیخ و الحلیّ و المحقّق و المصنّف المنع </w:t>
      </w:r>
      <w:r>
        <w:rPr>
          <w:rStyle w:val="FootnoteAnchor"/>
          <w:rtl w:val="true"/>
        </w:rPr>
        <w:footnoteReference w:id="1976"/>
      </w:r>
      <w:r>
        <w:rPr>
          <w:rFonts w:ascii="IRNazanin" w:hAnsi="IRNazanin" w:eastAsia="IRNazanin"/>
          <w:color w:val="111111"/>
          <w:sz w:val="28"/>
          <w:sz w:val="28"/>
          <w:szCs w:val="28"/>
          <w:rtl w:val="true"/>
          <w:lang w:bidi="fa-IR"/>
        </w:rPr>
        <w:t>لما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 آله و سلم خرج ذات یوم و فی یده</w:t>
      </w:r>
      <w:bookmarkStart w:id="175" w:name="pg16911_259798"/>
    </w:p>
    <w:p>
      <w:pPr>
        <w:pStyle w:val="BookText"/>
        <w:rPr/>
      </w:pPr>
      <w:bookmarkEnd w:id="175"/>
      <w:r>
        <w:rPr>
          <w:rFonts w:ascii="Amiri" w:hAnsi="Amiri" w:eastAsia="Amiri" w:cs="Amiri"/>
          <w:color w:val="111111"/>
          <w:sz w:val="28"/>
          <w:sz w:val="28"/>
          <w:szCs w:val="28"/>
          <w:rtl w:val="true"/>
          <w:lang w:bidi="ar-SA"/>
        </w:rPr>
        <w:t>قطعة من 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محرّمان علی ذکور أُمّتی، حِلٌّ لإناثها</w:t>
      </w:r>
      <w:r>
        <w:rPr>
          <w:rFonts w:eastAsia="Amiri" w:cs="Amiri" w:ascii="Amiri" w:hAnsi="Amiri"/>
          <w:color w:val="111111"/>
          <w:sz w:val="28"/>
          <w:szCs w:val="28"/>
          <w:rtl w:val="true"/>
          <w:lang w:bidi="ar-SA"/>
        </w:rPr>
        <w:t xml:space="preserve">»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للمحکیّ عن الشرائع </w:t>
      </w:r>
      <w:r>
        <w:rPr>
          <w:rStyle w:val="FootnoteAnchor"/>
          <w:rtl w:val="true"/>
        </w:rPr>
        <w:footnoteReference w:id="1978"/>
      </w:r>
      <w:r>
        <w:rPr>
          <w:rFonts w:ascii="IRNazanin" w:hAnsi="IRNazanin" w:eastAsia="IRNazanin"/>
          <w:color w:val="111111"/>
          <w:sz w:val="28"/>
          <w:sz w:val="28"/>
          <w:szCs w:val="28"/>
          <w:rtl w:val="true"/>
          <w:lang w:bidi="fa-IR"/>
        </w:rPr>
        <w:t xml:space="preserve">و الذکری </w:t>
      </w:r>
      <w:r>
        <w:rPr>
          <w:rStyle w:val="FootnoteAnchor"/>
          <w:rtl w:val="true"/>
        </w:rPr>
        <w:footnoteReference w:id="1979"/>
      </w:r>
      <w:r>
        <w:rPr>
          <w:rFonts w:ascii="IRNazanin" w:hAnsi="IRNazanin" w:eastAsia="IRNazanin"/>
          <w:color w:val="111111"/>
          <w:sz w:val="28"/>
          <w:sz w:val="28"/>
          <w:szCs w:val="28"/>
          <w:rtl w:val="true"/>
          <w:lang w:bidi="fa-IR"/>
        </w:rPr>
        <w:t xml:space="preserve">و الذخیرة </w:t>
      </w:r>
      <w:r>
        <w:rPr>
          <w:rStyle w:val="FootnoteAnchor"/>
          <w:rtl w:val="true"/>
        </w:rPr>
        <w:footnoteReference w:id="1980"/>
      </w:r>
      <w:r>
        <w:rPr>
          <w:rFonts w:ascii="IRNazanin" w:hAnsi="IRNazanin" w:eastAsia="IRNazanin"/>
          <w:color w:val="111111"/>
          <w:sz w:val="28"/>
          <w:sz w:val="28"/>
          <w:szCs w:val="28"/>
          <w:rtl w:val="true"/>
          <w:lang w:bidi="fa-IR"/>
        </w:rPr>
        <w:t>فی تحلیة السیف؛ لضعف روایة المنع و أصالة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عن الوسیلة و الجامع حرمة تحلیة المنطقة بالذهب أیضاً </w:t>
      </w:r>
      <w:r>
        <w:rPr>
          <w:rStyle w:val="FootnoteAnchor"/>
          <w:rtl w:val="true"/>
        </w:rPr>
        <w:footnoteReference w:id="1981"/>
      </w:r>
      <w:r>
        <w:rPr>
          <w:rFonts w:ascii="IRNazanin" w:hAnsi="IRNazanin" w:eastAsia="IRNazanin"/>
          <w:color w:val="111111"/>
          <w:sz w:val="28"/>
          <w:sz w:val="28"/>
          <w:szCs w:val="28"/>
          <w:rtl w:val="true"/>
          <w:lang w:bidi="fa-IR"/>
        </w:rPr>
        <w:t>و کأنّه للنبویّ المتقدّم، و الظاهر أنّه مشهور بین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توقّف فی الذکری فی جعل ضبّة الإناء من الذهب،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المنع للنبویّ المذکور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6618740_3224264995"/>
      <w:bookmarkStart w:id="177" w:name="_Toc65"/>
      <w:bookmarkEnd w:id="176"/>
      <w:r>
        <w:rPr>
          <w:rtl w:val="true"/>
        </w:rPr>
        <w:t>[</w:t>
      </w:r>
      <w:r>
        <w:rPr>
          <w:rtl w:val="true"/>
        </w:rPr>
        <w:t>طهارة أوانی المشرکین</w:t>
      </w:r>
      <w:r>
        <w:rPr>
          <w:rtl w:val="true"/>
        </w:rPr>
        <w:t>]</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أوانی المشرکین طاهرة ما لم یعلم مباشرتهم لها برطوبة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فیه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المذکّی </w:t>
      </w:r>
      <w:r>
        <w:rPr>
          <w:rStyle w:val="FootnoteAnchor"/>
          <w:rtl w:val="true"/>
        </w:rPr>
        <w:footnoteReference w:id="1983"/>
      </w:r>
      <w:r>
        <w:rPr>
          <w:rFonts w:ascii="IRNazanin" w:hAnsi="IRNazanin" w:eastAsia="IRNazanin"/>
          <w:color w:val="111111"/>
          <w:sz w:val="28"/>
          <w:sz w:val="28"/>
          <w:szCs w:val="28"/>
          <w:rtl w:val="true"/>
          <w:lang w:bidi="fa-IR"/>
        </w:rPr>
        <w:t>طاهر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میتة</w:t>
      </w:r>
      <w:r>
        <w:rPr>
          <w:rFonts w:eastAsia="IRNazanin" w:cs="IRNazanin"/>
          <w:color w:val="111111"/>
          <w:sz w:val="28"/>
          <w:szCs w:val="28"/>
          <w:rtl w:val="true"/>
          <w:lang w:bidi="fa-IR"/>
        </w:rPr>
        <w:t>.</w:t>
      </w:r>
    </w:p>
    <w:p>
      <w:pPr>
        <w:pStyle w:val="Heading4"/>
        <w:numPr>
          <w:ilvl w:val="3"/>
          <w:numId w:val="1"/>
        </w:numPr>
        <w:rPr/>
      </w:pPr>
      <w:bookmarkStart w:id="178" w:name="__RefHeading___Toc6618742_3224264995"/>
      <w:bookmarkStart w:id="179" w:name="_Toc66"/>
      <w:bookmarkEnd w:id="178"/>
      <w:r>
        <w:rPr>
          <w:rtl w:val="true"/>
        </w:rPr>
        <w:t>[</w:t>
      </w:r>
      <w:r>
        <w:rPr>
          <w:rtl w:val="true"/>
        </w:rPr>
        <w:t>یغسل الإناء من الخمر و غیره من النجاسات حتی تزول العین</w:t>
      </w:r>
      <w:r>
        <w:rPr>
          <w:rtl w:val="true"/>
        </w:rPr>
        <w:t>]</w:t>
      </w:r>
      <w:bookmarkEnd w:id="17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الإناء من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کما فی الروض </w:t>
      </w:r>
      <w:r>
        <w:rPr>
          <w:rStyle w:val="FootnoteAnchor"/>
          <w:rtl w:val="true"/>
        </w:rPr>
        <w:footnoteReference w:id="1984"/>
      </w:r>
    </w:p>
    <w:p>
      <w:pPr>
        <w:pStyle w:val="BookText"/>
        <w:rPr/>
      </w:pPr>
      <w:r>
        <w:rPr>
          <w:rFonts w:ascii="IRNazanin" w:hAnsi="IRNazanin" w:eastAsia="IRNazanin"/>
          <w:color w:val="111111"/>
          <w:sz w:val="28"/>
          <w:sz w:val="28"/>
          <w:szCs w:val="28"/>
          <w:rtl w:val="true"/>
          <w:lang w:bidi="fa-IR"/>
        </w:rPr>
        <w:t xml:space="preserve">و عن جامع المقاصد </w:t>
      </w:r>
      <w:r>
        <w:rPr>
          <w:rStyle w:val="FootnoteAnchor"/>
          <w:rtl w:val="true"/>
        </w:rPr>
        <w:footnoteReference w:id="1985"/>
      </w:r>
      <w:r>
        <w:rPr>
          <w:rStyle w:val="FootnoteAnchor"/>
          <w:rtl w:val="true"/>
        </w:rPr>
        <w:footnoteReference w:id="1986"/>
      </w:r>
      <w:r>
        <w:rPr>
          <w:rFonts w:ascii="IRNazanin" w:hAnsi="IRNazanin" w:eastAsia="IRNazanin"/>
          <w:color w:val="111111"/>
          <w:sz w:val="28"/>
          <w:sz w:val="28"/>
          <w:szCs w:val="28"/>
          <w:rtl w:val="true"/>
          <w:lang w:bidi="fa-IR"/>
        </w:rPr>
        <w:t xml:space="preserve">للأصل و موثّقة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الإناء یشرب فیه النبیذ؟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سبعاً</w:t>
      </w:r>
      <w:r>
        <w:rPr>
          <w:rFonts w:eastAsia="IRNazanin" w:cs="IRNazanin"/>
          <w:color w:val="111111"/>
          <w:sz w:val="28"/>
          <w:szCs w:val="28"/>
          <w:rtl w:val="true"/>
          <w:lang w:bidi="fa-IR"/>
        </w:rPr>
        <w:t xml:space="preserve">» </w:t>
      </w:r>
      <w:r>
        <w:rPr>
          <w:rStyle w:val="FootnoteAnchor"/>
          <w:rtl w:val="true"/>
        </w:rPr>
        <w:footnoteReference w:id="1987"/>
      </w:r>
      <w:r>
        <w:rPr>
          <w:rFonts w:ascii="Amiri" w:hAnsi="Amiri" w:eastAsia="Amiri" w:cs="Amiri"/>
          <w:color w:val="111111"/>
          <w:sz w:val="28"/>
          <w:sz w:val="28"/>
          <w:szCs w:val="28"/>
          <w:rtl w:val="true"/>
          <w:lang w:bidi="ar-SA"/>
        </w:rPr>
        <w:t>و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 عمّار منجبر بالشهرة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للمحکیّ عن ظاهر الخلاف </w:t>
      </w:r>
      <w:r>
        <w:rPr>
          <w:rStyle w:val="FootnoteAnchor"/>
          <w:rtl w:val="true"/>
        </w:rPr>
        <w:footnoteReference w:id="1988"/>
      </w:r>
      <w:r>
        <w:rPr>
          <w:rFonts w:ascii="IRNazanin" w:hAnsi="IRNazanin" w:eastAsia="IRNazanin"/>
          <w:color w:val="111111"/>
          <w:sz w:val="28"/>
          <w:sz w:val="28"/>
          <w:szCs w:val="28"/>
          <w:rtl w:val="true"/>
          <w:lang w:bidi="fa-IR"/>
        </w:rPr>
        <w:t xml:space="preserve">و صریح کتب المحقّق </w:t>
      </w:r>
      <w:r>
        <w:rPr>
          <w:rStyle w:val="FootnoteAnchor"/>
          <w:rtl w:val="true"/>
        </w:rPr>
        <w:footnoteReference w:id="1989"/>
      </w:r>
      <w:r>
        <w:rPr>
          <w:rFonts w:ascii="IRNazanin" w:hAnsi="IRNazanin" w:eastAsia="IRNazanin"/>
          <w:color w:val="111111"/>
          <w:sz w:val="28"/>
          <w:sz w:val="28"/>
          <w:szCs w:val="28"/>
          <w:rtl w:val="true"/>
          <w:lang w:bidi="fa-IR"/>
        </w:rPr>
        <w:t xml:space="preserve">و القواعد </w:t>
      </w:r>
      <w:r>
        <w:rPr>
          <w:rStyle w:val="FootnoteAnchor"/>
          <w:rtl w:val="true"/>
        </w:rPr>
        <w:footnoteReference w:id="1990"/>
      </w:r>
      <w:r>
        <w:rPr>
          <w:rFonts w:ascii="IRNazanin" w:hAnsi="IRNazanin" w:eastAsia="IRNazanin"/>
          <w:color w:val="111111"/>
          <w:sz w:val="28"/>
          <w:sz w:val="28"/>
          <w:szCs w:val="28"/>
          <w:rtl w:val="true"/>
          <w:lang w:bidi="fa-IR"/>
        </w:rPr>
        <w:t xml:space="preserve">و الدروس </w:t>
      </w:r>
      <w:r>
        <w:rPr>
          <w:rStyle w:val="FootnoteAnchor"/>
          <w:rtl w:val="true"/>
        </w:rPr>
        <w:footnoteReference w:id="1991"/>
      </w:r>
      <w:r>
        <w:rPr>
          <w:rFonts w:ascii="IRNazanin" w:hAnsi="IRNazanin" w:eastAsia="IRNazanin"/>
          <w:color w:val="111111"/>
          <w:sz w:val="28"/>
          <w:sz w:val="28"/>
          <w:szCs w:val="28"/>
          <w:rtl w:val="true"/>
          <w:lang w:bidi="fa-IR"/>
        </w:rPr>
        <w:t xml:space="preserve">، و عن المحقّق نسبته إلی الشیخ فی التهذیب </w:t>
      </w:r>
      <w:r>
        <w:rPr>
          <w:rStyle w:val="FootnoteAnchor"/>
          <w:rtl w:val="true"/>
        </w:rPr>
        <w:footnoteReference w:id="1992"/>
      </w:r>
      <w:r>
        <w:rPr>
          <w:rFonts w:ascii="IRNazanin" w:hAnsi="IRNazanin" w:eastAsia="IRNazanin"/>
          <w:color w:val="111111"/>
          <w:sz w:val="28"/>
          <w:sz w:val="28"/>
          <w:szCs w:val="28"/>
          <w:rtl w:val="true"/>
          <w:lang w:bidi="fa-IR"/>
        </w:rPr>
        <w:t xml:space="preserve">، و نسبه کاشف اللثام إلیه فی کتاب الصید و الذبائح من النهایة </w:t>
      </w:r>
      <w:r>
        <w:rPr>
          <w:rStyle w:val="FootnoteAnchor"/>
          <w:rtl w:val="true"/>
        </w:rPr>
        <w:footnoteReference w:id="1993"/>
      </w:r>
      <w:r>
        <w:rPr>
          <w:rFonts w:ascii="IRNazanin" w:hAnsi="IRNazanin" w:eastAsia="IRNazanin"/>
          <w:color w:val="111111"/>
          <w:sz w:val="28"/>
          <w:sz w:val="28"/>
          <w:szCs w:val="28"/>
          <w:rtl w:val="true"/>
          <w:lang w:bidi="fa-IR"/>
        </w:rPr>
        <w:t xml:space="preserve">و إلی القاضی فی باب الأطعمة و الأشربة من المهذّب </w:t>
      </w:r>
      <w:r>
        <w:rPr>
          <w:rStyle w:val="FootnoteAnchor"/>
          <w:rtl w:val="true"/>
        </w:rPr>
        <w:footnoteReference w:id="1994"/>
      </w:r>
      <w:r>
        <w:rPr>
          <w:rFonts w:ascii="IRNazanin" w:hAnsi="IRNazanin" w:eastAsia="IRNazanin"/>
          <w:color w:val="111111"/>
          <w:sz w:val="28"/>
          <w:sz w:val="28"/>
          <w:szCs w:val="28"/>
          <w:rtl w:val="true"/>
          <w:lang w:bidi="fa-IR"/>
        </w:rPr>
        <w:t>لموثّقة عمّار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قدح أو إناء یشرب فیه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ثلاث مرّات، سئل أ یجزیه أن یصبّ</w:t>
      </w:r>
    </w:p>
    <w:p>
      <w:pPr>
        <w:pStyle w:val="BookText"/>
        <w:rPr/>
      </w:pPr>
      <w:r>
        <w:rPr>
          <w:rFonts w:ascii="IRNazanin" w:hAnsi="IRNazanin" w:eastAsia="IRNazanin"/>
          <w:color w:val="111111"/>
          <w:sz w:val="28"/>
          <w:sz w:val="28"/>
          <w:szCs w:val="28"/>
          <w:rtl w:val="true"/>
          <w:lang w:bidi="fa-IR"/>
        </w:rPr>
        <w:t>علیه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یجزیه حتّی یدلکه بیده و یغسله ثلاث مرّات</w:t>
      </w:r>
      <w:r>
        <w:rPr>
          <w:rFonts w:eastAsia="IRNazanin" w:cs="IRNazanin"/>
          <w:color w:val="111111"/>
          <w:sz w:val="28"/>
          <w:szCs w:val="28"/>
          <w:rtl w:val="true"/>
          <w:lang w:bidi="fa-IR"/>
        </w:rPr>
        <w:t xml:space="preserve">»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صریحة فی کفایة الثلاث، فیحمل روایة السبع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فی محکیّ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ترجیح تلک الروایة بالشهرة و لو سلّم المساواة فیبقی الأصل المقتضی لوجوب السبع سلیماً </w:t>
      </w:r>
      <w:r>
        <w:rPr>
          <w:rStyle w:val="FootnoteAnchor"/>
          <w:rtl w:val="true"/>
        </w:rPr>
        <w:footnoteReference w:id="1996"/>
      </w:r>
      <w:r>
        <w:rPr>
          <w:rFonts w:ascii="IRNazanin" w:hAnsi="IRNazanin" w:eastAsia="IRNazanin"/>
          <w:color w:val="111111"/>
          <w:sz w:val="28"/>
          <w:sz w:val="28"/>
          <w:szCs w:val="28"/>
          <w:rtl w:val="true"/>
          <w:lang w:bidi="fa-IR"/>
        </w:rPr>
        <w:t>، منظور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الترجیح بالنصوصیّة و الظهور مقدّم علی الترجیح بالشهرة ما لم یبلغ الشهرة حتّی </w:t>
      </w:r>
      <w:r>
        <w:rPr>
          <w:rStyle w:val="FootnoteAnchor"/>
          <w:rtl w:val="true"/>
        </w:rPr>
        <w:footnoteReference w:id="1997"/>
      </w:r>
      <w:r>
        <w:rPr>
          <w:rFonts w:ascii="IRNazanin" w:hAnsi="IRNazanin" w:eastAsia="IRNazanin"/>
          <w:color w:val="111111"/>
          <w:sz w:val="28"/>
          <w:sz w:val="28"/>
          <w:szCs w:val="28"/>
          <w:rtl w:val="true"/>
          <w:lang w:bidi="fa-IR"/>
        </w:rPr>
        <w:t>یشذّ معها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فرض التکافؤ وجب الرجوع إلی 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عموم وجوب الثلاث فی کلّ قذر، لا إلی استصحاب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ذلک ما توهّمه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دلالة الموثّقة الثانیة علی کفایة الثلاث بمفهوم العدد، فیدور الأمر بین تقیید مفهومه و بین حمل الأمر فی الموثّقة الأُولی علی الاستحباب، و التقیید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خبیر بأنّ الموثّقة صریحة فی کفایة الثلاث من حیث منطوق التحدید 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الثلاث</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ظاهر جماعة و صریح آخرین </w:t>
      </w:r>
      <w:r>
        <w:rPr>
          <w:rStyle w:val="FootnoteAnchor"/>
          <w:rtl w:val="true"/>
        </w:rPr>
        <w:footnoteReference w:id="1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المرّة؛ لضعف الروایتین،</w:t>
      </w:r>
    </w:p>
    <w:p>
      <w:pPr>
        <w:pStyle w:val="BookText"/>
        <w:rPr/>
      </w:pPr>
      <w:r>
        <w:rPr>
          <w:rFonts w:ascii="IRNazanin" w:hAnsi="IRNazanin" w:eastAsia="IRNazanin"/>
          <w:color w:val="111111"/>
          <w:sz w:val="28"/>
          <w:sz w:val="28"/>
          <w:szCs w:val="28"/>
          <w:rtl w:val="true"/>
          <w:lang w:bidi="fa-IR"/>
        </w:rPr>
        <w:t>فیسلم إطلاقات الغسل عن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أشرنا مراراً إلی أنّ التمسّک بإطلاقات أدلّة الغسل لا یغنی؛ لورودها فی مقام بیان أصل وجوب الإزالة لا فی کیفیّتها، و یرشدک إلی ما ذکرنا صدر الموثّقة الثانیة؛ حیث قال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الدنّ الذی یکون فیه الخمر، هل یصلح أن یکون فیه خلّ أو کامخ أو زیتون؟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الإبریق و غیره فیه خمر، أ یصلح أن یکون فیه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قدح أو إناء یشرب فیه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تغسله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999"/>
      </w:r>
      <w:r>
        <w:rPr>
          <w:rFonts w:ascii="IRNazanin" w:hAnsi="IRNazanin" w:eastAsia="IRNazanin"/>
          <w:color w:val="111111"/>
          <w:sz w:val="28"/>
          <w:sz w:val="28"/>
          <w:szCs w:val="28"/>
          <w:rtl w:val="true"/>
          <w:lang w:bidi="fa-IR"/>
        </w:rPr>
        <w:t>فانظر کیف اکتفی فی السؤالین الأوّلین بمطلق الغسل، حیث لم یکن المقام إلّا مقام بیان قابلیّة استعمال الأوانی للاستعمال بعد الغسل، ثمّ لمّا سئل عن کیفیّة العلاج أجاب بالتثلیث، ثمّ لمّا توهّم السائل کفایة الصبّ أجاب بلزوم الدلک حتّی یتیقّن زوال جرم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أکثر إطلاقات الغسل من هذا القبیل واردة إمّا فی بیان أصل النجاسة، و إمّا فی مقام بیان توقّف الشی‌ء کالصلاة و نحوها علی إزالة النجاسة، و إمّا فی مقام رفع البأس بعد الإزالة، و إمّا لغیر ذلک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عموم البلوی یقتضی بیان الکیفیّة أکثر من ذلک، فإنّ مثل إزالة النجاسة عن الثوب و البدن التی هی کالصلاة فی کثرة الدوران و عموم الابتلاء، بل أشدّ و أعمّ ابتلاءً من الصلاة و الغسل، فلو کان الواجب فیها کیفیّة خاصّة زائداً علی إزالة العین لورد فیه من الأخبار ما شاء اللّٰه، و لم ینحصر فی روایة واحدة من روایات عمّار التی نقطع بأنّها لم یکن یرویه إلّا قلیل من الرواة فی قلیل من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المذهب قد یعلم بعمل الرواة و العلماء و العوام فی ذلک و إن لم ترد إلینا فیه إلّا روایة واحدة؛ و لهذا ذکر الشهید فی المسألة الآتیة فی عدم کفایة المرّة فی غسل الإناء فی الجواب من ضعف روایة عمّار بأنّا قد نعلم المذهب بالروایة الضعیفة </w:t>
      </w:r>
      <w:r>
        <w:rPr>
          <w:rStyle w:val="FootnoteAnchor"/>
          <w:rtl w:val="true"/>
        </w:rPr>
        <w:footnoteReference w:id="2000"/>
      </w:r>
      <w:r>
        <w:rPr>
          <w:rFonts w:ascii="IRNazanin" w:hAnsi="IRNazanin" w:eastAsia="IRNazanin"/>
          <w:color w:val="111111"/>
          <w:sz w:val="28"/>
          <w:sz w:val="28"/>
          <w:szCs w:val="28"/>
          <w:rtl w:val="true"/>
          <w:lang w:bidi="fa-IR"/>
        </w:rPr>
        <w:t>بل قد یکون بعض المسائل أهمّ من ذلک و أهمّ لا نجد فیها مثل هذه الروایة أیضاً، فالمتّبع هو الدلیل، لا الاستبعاد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فهل یلحق بالخمر المسکرات النجسة؟ صرّح بالإلحاق بعض القائلین بالسبع فی الخمر </w:t>
      </w:r>
      <w:r>
        <w:rPr>
          <w:rStyle w:val="FootnoteAnchor"/>
          <w:rtl w:val="true"/>
        </w:rPr>
        <w:footnoteReference w:id="2001"/>
      </w:r>
      <w:r>
        <w:rPr>
          <w:rFonts w:ascii="IRNazanin" w:hAnsi="IRNazanin" w:eastAsia="IRNazanin"/>
          <w:color w:val="111111"/>
          <w:sz w:val="28"/>
          <w:sz w:val="28"/>
          <w:szCs w:val="28"/>
          <w:rtl w:val="true"/>
          <w:lang w:bidi="fa-IR"/>
        </w:rPr>
        <w:t>، و هو کذلک؛ لصدق الخمر علیها فی الأخبار، قال فی محکیّ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الحکم مقصوراً علی الخمر، بل المسکر المائع کلّه کذلک، و لا یبعد إلحاق الفقّاع </w:t>
      </w:r>
      <w:r>
        <w:rPr>
          <w:rStyle w:val="FootnoteAnchor"/>
          <w:rtl w:val="true"/>
        </w:rPr>
        <w:footnoteReference w:id="200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المسکر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ولوغ الکلب و الخنزیر أو هما مع موت الجُرَذ کما سیجی‌ء فالأقوی وجوب التثلیث فی غسل الأوانی منهما </w:t>
      </w:r>
      <w:r>
        <w:rPr>
          <w:rStyle w:val="FootnoteAnchor"/>
          <w:rtl w:val="true"/>
        </w:rPr>
        <w:footnoteReference w:id="2003"/>
      </w:r>
      <w:r>
        <w:rPr>
          <w:rFonts w:ascii="IRNazanin" w:hAnsi="IRNazanin" w:eastAsia="IRNazanin"/>
          <w:color w:val="111111"/>
          <w:sz w:val="28"/>
          <w:sz w:val="28"/>
          <w:szCs w:val="28"/>
          <w:rtl w:val="true"/>
          <w:lang w:bidi="fa-IR"/>
        </w:rPr>
        <w:t xml:space="preserve">، وفاقاً للمحکیّ عن الإسکافی </w:t>
      </w:r>
      <w:r>
        <w:rPr>
          <w:rStyle w:val="FootnoteAnchor"/>
          <w:rtl w:val="true"/>
        </w:rPr>
        <w:footnoteReference w:id="2004"/>
      </w:r>
      <w:r>
        <w:rPr>
          <w:rFonts w:ascii="IRNazanin" w:hAnsi="IRNazanin" w:eastAsia="IRNazanin"/>
          <w:color w:val="111111"/>
          <w:sz w:val="28"/>
          <w:sz w:val="28"/>
          <w:szCs w:val="28"/>
          <w:rtl w:val="true"/>
          <w:lang w:bidi="fa-IR"/>
        </w:rPr>
        <w:t xml:space="preserve">و الصدوق </w:t>
      </w:r>
      <w:r>
        <w:rPr>
          <w:rStyle w:val="FootnoteAnchor"/>
          <w:rtl w:val="true"/>
        </w:rPr>
        <w:footnoteReference w:id="2005"/>
      </w:r>
      <w:r>
        <w:rPr>
          <w:rFonts w:ascii="IRNazanin" w:hAnsi="IRNazanin" w:eastAsia="IRNazanin"/>
          <w:color w:val="111111"/>
          <w:sz w:val="28"/>
          <w:sz w:val="28"/>
          <w:szCs w:val="28"/>
          <w:rtl w:val="true"/>
          <w:lang w:bidi="fa-IR"/>
        </w:rPr>
        <w:t xml:space="preserve">و أکثر کتب الشیخ </w:t>
      </w:r>
      <w:r>
        <w:rPr>
          <w:rStyle w:val="FootnoteAnchor"/>
          <w:rtl w:val="true"/>
        </w:rPr>
        <w:footnoteReference w:id="2006"/>
      </w:r>
      <w:r>
        <w:rPr>
          <w:rFonts w:ascii="IRNazanin" w:hAnsi="IRNazanin" w:eastAsia="IRNazanin"/>
          <w:color w:val="111111"/>
          <w:sz w:val="28"/>
          <w:sz w:val="28"/>
          <w:szCs w:val="28"/>
          <w:rtl w:val="true"/>
          <w:lang w:bidi="fa-IR"/>
        </w:rPr>
        <w:t xml:space="preserve">و الشهیدین فی الدروس </w:t>
      </w:r>
      <w:r>
        <w:rPr>
          <w:rStyle w:val="FootnoteAnchor"/>
          <w:rtl w:val="true"/>
        </w:rPr>
        <w:footnoteReference w:id="2007"/>
      </w:r>
      <w:r>
        <w:rPr>
          <w:rFonts w:ascii="IRNazanin" w:hAnsi="IRNazanin" w:eastAsia="IRNazanin"/>
          <w:color w:val="111111"/>
          <w:sz w:val="28"/>
          <w:sz w:val="28"/>
          <w:szCs w:val="28"/>
          <w:rtl w:val="true"/>
          <w:lang w:bidi="fa-IR"/>
        </w:rPr>
        <w:t xml:space="preserve">و المسالک </w:t>
      </w:r>
      <w:r>
        <w:rPr>
          <w:rStyle w:val="FootnoteAnchor"/>
          <w:rtl w:val="true"/>
        </w:rPr>
        <w:footnoteReference w:id="2008"/>
      </w:r>
    </w:p>
    <w:p>
      <w:pPr>
        <w:pStyle w:val="BookText"/>
        <w:rPr/>
      </w:pPr>
      <w:r>
        <w:rPr>
          <w:rFonts w:ascii="IRNazanin" w:hAnsi="IRNazanin" w:eastAsia="IRNazanin"/>
          <w:color w:val="111111"/>
          <w:sz w:val="28"/>
          <w:sz w:val="28"/>
          <w:szCs w:val="28"/>
          <w:rtl w:val="true"/>
          <w:lang w:bidi="fa-IR"/>
        </w:rPr>
        <w:t xml:space="preserve">و المحقّق الثانی فی جامع المقاصد </w:t>
      </w:r>
      <w:r>
        <w:rPr>
          <w:rStyle w:val="FootnoteAnchor"/>
          <w:rtl w:val="true"/>
        </w:rPr>
        <w:footnoteReference w:id="2009"/>
      </w:r>
      <w:r>
        <w:rPr>
          <w:rFonts w:ascii="IRNazanin" w:hAnsi="IRNazanin" w:eastAsia="IRNazanin"/>
          <w:color w:val="111111"/>
          <w:sz w:val="28"/>
          <w:sz w:val="28"/>
          <w:szCs w:val="28"/>
          <w:rtl w:val="true"/>
          <w:lang w:bidi="fa-IR"/>
        </w:rPr>
        <w:t xml:space="preserve">و الوحید البهبهانی فی شرح المفاتیح </w:t>
      </w:r>
      <w:r>
        <w:rPr>
          <w:rStyle w:val="FootnoteAnchor"/>
          <w:rtl w:val="true"/>
        </w:rPr>
        <w:footnoteReference w:id="2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الشیخ فی الخلاف ادّعی الإجماع علیه </w:t>
      </w:r>
      <w:r>
        <w:rPr>
          <w:rStyle w:val="FootnoteAnchor"/>
          <w:rtl w:val="true"/>
        </w:rPr>
        <w:footnoteReference w:id="2011"/>
      </w:r>
      <w:r>
        <w:rPr>
          <w:rFonts w:ascii="IRNazanin" w:hAnsi="IRNazanin" w:eastAsia="IRNazanin"/>
          <w:color w:val="111111"/>
          <w:sz w:val="28"/>
          <w:sz w:val="28"/>
          <w:szCs w:val="28"/>
          <w:rtl w:val="true"/>
          <w:lang w:bidi="fa-IR"/>
        </w:rPr>
        <w:t xml:space="preserve">، و فیه نظر یعرف من عبارة الشیخ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مضافاً إلی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عمّار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الکوز و الإناء یکون قذراً، کیف یغسل، و کم مرّة یغسل؟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یصبّ فیه الماء فیحرّک فیه ثمّ یفرغ منه، ثمّ یصبّ فیه ماء آخر فیحرّک ثمّ یفرغ منه، ثمّ یصبّ فیه ماء آخر فیحرّک ثمّ یفرغ منه، و قد طهر</w:t>
      </w:r>
      <w:r>
        <w:rPr>
          <w:rFonts w:eastAsia="IRNazanin" w:cs="IRNazanin"/>
          <w:color w:val="111111"/>
          <w:sz w:val="28"/>
          <w:szCs w:val="28"/>
          <w:rtl w:val="true"/>
          <w:lang w:bidi="fa-IR"/>
        </w:rPr>
        <w:t xml:space="preserve">»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للمحکیّ عن المقنعة </w:t>
      </w:r>
      <w:r>
        <w:rPr>
          <w:rStyle w:val="FootnoteAnchor"/>
          <w:rtl w:val="true"/>
        </w:rPr>
        <w:footnoteReference w:id="2014"/>
      </w:r>
      <w:r>
        <w:rPr>
          <w:rFonts w:ascii="IRNazanin" w:hAnsi="IRNazanin" w:eastAsia="IRNazanin"/>
          <w:color w:val="111111"/>
          <w:sz w:val="28"/>
          <w:sz w:val="28"/>
          <w:szCs w:val="28"/>
          <w:rtl w:val="true"/>
          <w:lang w:bidi="fa-IR"/>
        </w:rPr>
        <w:t xml:space="preserve">و المراسم </w:t>
      </w:r>
      <w:r>
        <w:rPr>
          <w:rStyle w:val="FootnoteAnchor"/>
          <w:rtl w:val="true"/>
        </w:rPr>
        <w:footnoteReference w:id="2015"/>
      </w:r>
      <w:r>
        <w:rPr>
          <w:rFonts w:ascii="IRNazanin" w:hAnsi="IRNazanin" w:eastAsia="IRNazanin"/>
          <w:color w:val="111111"/>
          <w:sz w:val="28"/>
          <w:sz w:val="28"/>
          <w:szCs w:val="28"/>
          <w:rtl w:val="true"/>
          <w:lang w:bidi="fa-IR"/>
        </w:rPr>
        <w:t xml:space="preserve">و المعتبر </w:t>
      </w:r>
      <w:r>
        <w:rPr>
          <w:rStyle w:val="FootnoteAnchor"/>
          <w:rtl w:val="true"/>
        </w:rPr>
        <w:footnoteReference w:id="2016"/>
      </w:r>
      <w:r>
        <w:rPr>
          <w:rFonts w:ascii="IRNazanin" w:hAnsi="IRNazanin" w:eastAsia="IRNazanin"/>
          <w:color w:val="111111"/>
          <w:sz w:val="28"/>
          <w:sz w:val="28"/>
          <w:szCs w:val="28"/>
          <w:rtl w:val="true"/>
          <w:lang w:bidi="fa-IR"/>
        </w:rPr>
        <w:t xml:space="preserve">و کثیر من کتب المصنّف </w:t>
      </w:r>
      <w:r>
        <w:rPr>
          <w:rStyle w:val="FootnoteAnchor"/>
          <w:rtl w:val="true"/>
        </w:rPr>
        <w:footnoteReference w:id="2017"/>
      </w:r>
      <w:r>
        <w:rPr>
          <w:rFonts w:ascii="IRNazanin" w:hAnsi="IRNazanin" w:eastAsia="IRNazanin"/>
          <w:color w:val="111111"/>
          <w:sz w:val="28"/>
          <w:sz w:val="28"/>
          <w:szCs w:val="28"/>
          <w:rtl w:val="true"/>
          <w:lang w:bidi="fa-IR"/>
        </w:rPr>
        <w:t xml:space="preserve">و البیان </w:t>
      </w:r>
      <w:r>
        <w:rPr>
          <w:rStyle w:val="FootnoteAnchor"/>
          <w:rtl w:val="true"/>
        </w:rPr>
        <w:footnoteReference w:id="2018"/>
      </w:r>
      <w:r>
        <w:rPr>
          <w:rFonts w:ascii="IRNazanin" w:hAnsi="IRNazanin" w:eastAsia="IRNazanin"/>
          <w:color w:val="111111"/>
          <w:sz w:val="28"/>
          <w:sz w:val="28"/>
          <w:szCs w:val="28"/>
          <w:rtl w:val="true"/>
          <w:lang w:bidi="fa-IR"/>
        </w:rPr>
        <w:t xml:space="preserve">و الروض </w:t>
      </w:r>
      <w:r>
        <w:rPr>
          <w:rStyle w:val="FootnoteAnchor"/>
          <w:rtl w:val="true"/>
        </w:rPr>
        <w:footnoteReference w:id="2019"/>
      </w:r>
      <w:r>
        <w:rPr>
          <w:rFonts w:ascii="IRNazanin" w:hAnsi="IRNazanin" w:eastAsia="IRNazanin"/>
          <w:color w:val="111111"/>
          <w:sz w:val="28"/>
          <w:sz w:val="28"/>
          <w:szCs w:val="28"/>
          <w:rtl w:val="true"/>
          <w:lang w:bidi="fa-IR"/>
        </w:rPr>
        <w:t xml:space="preserve">و غیرها فاکتفوا بمطلق 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تزول</w:t>
      </w:r>
    </w:p>
    <w:p>
      <w:pPr>
        <w:pStyle w:val="BookText"/>
        <w:rPr/>
      </w:pP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حکاه کاشف اللثام عن الأکثر </w:t>
      </w:r>
      <w:r>
        <w:rPr>
          <w:rStyle w:val="FootnoteAnchor"/>
          <w:rtl w:val="true"/>
        </w:rPr>
        <w:footnoteReference w:id="2020"/>
      </w:r>
      <w:r>
        <w:rPr>
          <w:rFonts w:ascii="IRNazanin" w:hAnsi="IRNazanin" w:eastAsia="IRNazanin"/>
          <w:color w:val="111111"/>
          <w:sz w:val="28"/>
          <w:sz w:val="28"/>
          <w:szCs w:val="28"/>
          <w:rtl w:val="true"/>
          <w:lang w:bidi="fa-IR"/>
        </w:rPr>
        <w:t>و لعلّه لإطلاقات الغسل، و لمرسلة الشیخ حیث قال فی الخلاف بعد ذکر روایة التثلیث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أنّه یغسل مرّة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الإطلاقات ما عرفت غیر مرّة، و فی المرسلة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غسل فی الکثیر فالأقوی کفایة المرّة وفاقاً للمشهور کما عن الکفایة </w:t>
      </w:r>
      <w:r>
        <w:rPr>
          <w:rStyle w:val="FootnoteAnchor"/>
          <w:rtl w:val="true"/>
        </w:rPr>
        <w:footnoteReference w:id="2022"/>
      </w:r>
      <w:r>
        <w:rPr>
          <w:rFonts w:ascii="Amiri" w:hAnsi="Amiri" w:eastAsia="Amiri" w:cs="Amiri"/>
          <w:color w:val="111111"/>
          <w:sz w:val="28"/>
          <w:sz w:val="28"/>
          <w:szCs w:val="28"/>
          <w:rtl w:val="true"/>
          <w:lang w:bidi="ar-SA"/>
        </w:rPr>
        <w:t xml:space="preserve">لما عرفت من المرسلة </w:t>
      </w:r>
      <w:r>
        <w:rPr>
          <w:rStyle w:val="FootnoteAnchor"/>
          <w:rtl w:val="true"/>
        </w:rPr>
        <w:footnoteReference w:id="2023"/>
      </w:r>
      <w:r>
        <w:rPr>
          <w:rFonts w:ascii="IRNazanin" w:hAnsi="IRNazanin" w:eastAsia="IRNazanin"/>
          <w:color w:val="111111"/>
          <w:sz w:val="28"/>
          <w:sz w:val="28"/>
          <w:szCs w:val="28"/>
          <w:rtl w:val="true"/>
          <w:lang w:bidi="fa-IR"/>
        </w:rPr>
        <w:t xml:space="preserve">و روایة الغدیر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الظاهر أنّه لیس لغسل الإناء کیفیّة مخصوصة إلّا صبّ الماء فیه و إیصال الماء بالتحریک إلی جمیع مواضع النجاسة، کما صرّح به فی موثّقة عمّار </w:t>
      </w:r>
      <w:r>
        <w:rPr>
          <w:rStyle w:val="FootnoteAnchor"/>
          <w:rtl w:val="true"/>
        </w:rPr>
        <w:footnoteReference w:id="2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بعض مواضعه نجساً فلا حاجة إلی تحریک الماء إلیه، بل ینجّسه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ملأ الإناء کفی عن تحریکه، کما عن محکیّ المعالم </w:t>
      </w:r>
      <w:r>
        <w:rPr>
          <w:rStyle w:val="FootnoteAnchor"/>
          <w:rtl w:val="true"/>
        </w:rPr>
        <w:footnoteReference w:id="2026"/>
      </w:r>
      <w:r>
        <w:rPr>
          <w:rFonts w:ascii="IRNazanin" w:hAnsi="IRNazanin" w:eastAsia="IRNazanin"/>
          <w:color w:val="111111"/>
          <w:sz w:val="28"/>
          <w:sz w:val="28"/>
          <w:szCs w:val="28"/>
          <w:rtl w:val="true"/>
          <w:lang w:bidi="fa-IR"/>
        </w:rPr>
        <w:t xml:space="preserve">و شرح المفاتیح </w:t>
      </w:r>
      <w:r>
        <w:rPr>
          <w:rStyle w:val="FootnoteAnchor"/>
          <w:rtl w:val="true"/>
        </w:rPr>
        <w:footnoteReference w:id="2027"/>
      </w:r>
      <w:r>
        <w:rPr>
          <w:rFonts w:ascii="IRNazanin" w:hAnsi="IRNazanin" w:eastAsia="IRNazanin"/>
          <w:color w:val="111111"/>
          <w:sz w:val="28"/>
          <w:sz w:val="28"/>
          <w:szCs w:val="28"/>
          <w:rtl w:val="true"/>
          <w:lang w:bidi="fa-IR"/>
        </w:rPr>
        <w:t xml:space="preserve">، و اعترف به سبطه فی المناهل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ذلک بین الإناء الصغیر و الکبیر و المثبت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المشهور قابلیّة أوانی الخمر الغیر الصلبة کالخزف الغیر المطلیّ </w:t>
      </w:r>
      <w:r>
        <w:rPr>
          <w:rStyle w:val="FootnoteAnchor"/>
          <w:rtl w:val="true"/>
        </w:rPr>
        <w:footnoteReference w:id="2029"/>
      </w:r>
      <w:r>
        <w:rPr>
          <w:rFonts w:ascii="IRNazanin" w:hAnsi="IRNazanin" w:eastAsia="IRNazanin"/>
          <w:color w:val="111111"/>
          <w:sz w:val="28"/>
          <w:sz w:val="28"/>
          <w:szCs w:val="28"/>
          <w:rtl w:val="true"/>
          <w:lang w:bidi="fa-IR"/>
        </w:rPr>
        <w:t>للطهارة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ظاهرهم عدم الفرق بین غسلها بالقلیل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للمحکیّ عن الإسکافی </w:t>
      </w:r>
      <w:r>
        <w:rPr>
          <w:rStyle w:val="FootnoteAnchor"/>
          <w:rtl w:val="true"/>
        </w:rPr>
        <w:footnoteReference w:id="2030"/>
      </w:r>
      <w:r>
        <w:rPr>
          <w:rFonts w:ascii="IRNazanin" w:hAnsi="IRNazanin" w:eastAsia="IRNazanin"/>
          <w:color w:val="111111"/>
          <w:sz w:val="28"/>
          <w:sz w:val="28"/>
          <w:szCs w:val="28"/>
          <w:rtl w:val="true"/>
          <w:lang w:bidi="fa-IR"/>
        </w:rPr>
        <w:t xml:space="preserve">و الشیخ فی النهایة </w:t>
      </w:r>
      <w:r>
        <w:rPr>
          <w:rStyle w:val="FootnoteAnchor"/>
          <w:rtl w:val="true"/>
        </w:rPr>
        <w:footnoteReference w:id="2031"/>
      </w:r>
      <w:r>
        <w:rPr>
          <w:rFonts w:ascii="IRNazanin" w:hAnsi="IRNazanin" w:eastAsia="IRNazanin"/>
          <w:color w:val="111111"/>
          <w:sz w:val="28"/>
          <w:sz w:val="28"/>
          <w:szCs w:val="28"/>
          <w:rtl w:val="true"/>
          <w:lang w:bidi="fa-IR"/>
        </w:rPr>
        <w:t xml:space="preserve">و القاضی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 للأوّل بإطلاق الغسل و إطلاق طهوریّة موثّقة عمّار المتقدّمة فی تطهیر الکوز و الإناء بالغسل ثلاثاً </w:t>
      </w:r>
      <w:r>
        <w:rPr>
          <w:rStyle w:val="FootnoteAnchor"/>
          <w:rtl w:val="true"/>
        </w:rPr>
        <w:footnoteReference w:id="2033"/>
      </w:r>
      <w:r>
        <w:rPr>
          <w:rFonts w:ascii="IRNazanin" w:hAnsi="IRNazanin" w:eastAsia="IRNazanin"/>
          <w:color w:val="111111"/>
          <w:sz w:val="28"/>
          <w:sz w:val="28"/>
          <w:szCs w:val="28"/>
          <w:rtl w:val="true"/>
          <w:lang w:bidi="fa-IR"/>
        </w:rPr>
        <w:t>من غیر استفصال بین أفراد الکوز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موثّقته المتقدّمة فی غسلها عن الخمر ثلاثاً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الإطلاقین الأوّلین نظر؛ لما عرفت مراراً، فالعمدة إطلاق الموثّقتین، مضافاً إلی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المستفاد من تتبّع الموارد قابلیّة کلّ شی‌ء للطهارة إذا غسل علی الوجه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إلی الغسل بالقلیل، و أمّا بالکثیر و الجاری، فیکفی المرسلة و روایة الغدیر المتقدّمتین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یحصل الإشکال فی أنّ ماء الغسالة یرسب فی هذه الأشیاء و لا یخرج منها، فیشکل تطهیرها بالقلیل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الاکتفاء بطهارة ظاهرها بالغسل علی نحو ما قلنا فی تطهیر الأرض و إن أمکن، إلّا أنّ الباطن إذا کان نجساً</w:t>
      </w:r>
      <w:bookmarkStart w:id="180" w:name="pg16911_259806"/>
    </w:p>
    <w:p>
      <w:pPr>
        <w:pStyle w:val="BookText"/>
        <w:rPr/>
      </w:pPr>
      <w:bookmarkEnd w:id="180"/>
      <w:r>
        <w:rPr>
          <w:rFonts w:ascii="IRNazanin" w:hAnsi="IRNazanin" w:eastAsia="IRNazanin"/>
          <w:color w:val="111111"/>
          <w:sz w:val="28"/>
          <w:sz w:val="28"/>
          <w:szCs w:val="28"/>
          <w:rtl w:val="true"/>
          <w:lang w:bidi="fa-IR"/>
        </w:rPr>
        <w:t>فالمائع الموضوع فیه بعد تطهیر ظاهرها یسری جزماً فیه إلی الباطن فیتنجّس و یتّصل بالظاهر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عدم الاتصال لو تمّت لجرت فیما إذا غسل بالکثیر، فإنّه کیف یدّعی أنّ الجزء النافذ إلی باطن الجسم متّصل بالکثیر فلا ینجس الغسالة، و قد اتّفقوا علی جواز تطهیر ما انتقع بالماء النجس بالماء الکثیر، بناءً علی عدم انفعال غسالتها للاتّصال بالکثیر أو الجاری؟</w:t>
      </w:r>
    </w:p>
    <w:p>
      <w:pPr>
        <w:pStyle w:val="BookText"/>
        <w:rPr/>
      </w:pPr>
      <w:r>
        <w:rPr>
          <w:rFonts w:ascii="IRNazanin" w:hAnsi="IRNazanin" w:eastAsia="IRNazanin"/>
          <w:color w:val="111111"/>
          <w:sz w:val="28"/>
          <w:sz w:val="28"/>
          <w:szCs w:val="28"/>
          <w:rtl w:val="true"/>
          <w:lang w:bidi="fa-IR"/>
        </w:rPr>
        <w:t xml:space="preserve">بل یمکن الإشکال فی تطهیرها بالکثیر؛ بناءً علی أنّه لا یکفی فی زوال جرم الخمر من الباطن مجرّد وصول الماء إلیه، و لذا أمر علیه السلام له بدَلْک القدح المغسول عن الخمر فی موثّقة عمّار المتقدّمة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النافذ فی الأعماق رطوبة صافیة لا جِرْمَ فیها و لا أقلّ من عدم العلم بالجِرْم، و الظاهر أنّ کلمات المعظم المجوّزین لتطهیرها بعد الفراغ عن حصول شرائط التطهیر من زوال الجرم و عدم استقرار الغسالة النجسة فیها کالحبوب، فیکون کلامهم فی مقام من قال بعدم جواز استعمالها بمجرّد الغسل بطریق السلب الکلیّ</w:t>
      </w:r>
      <w:r>
        <w:rPr>
          <w:rFonts w:eastAsia="IRNazanin" w:cs="IRNazanin"/>
          <w:color w:val="111111"/>
          <w:sz w:val="28"/>
          <w:szCs w:val="28"/>
          <w:rtl w:val="true"/>
          <w:lang w:bidi="fa-IR"/>
        </w:rPr>
        <w:t>.</w:t>
      </w:r>
    </w:p>
    <w:p>
      <w:pPr>
        <w:pStyle w:val="Heading4"/>
        <w:numPr>
          <w:ilvl w:val="3"/>
          <w:numId w:val="1"/>
        </w:numPr>
        <w:rPr/>
      </w:pPr>
      <w:bookmarkStart w:id="181" w:name="__RefHeading___Toc6618744_3224264995"/>
      <w:bookmarkStart w:id="182" w:name="_Toc67"/>
      <w:bookmarkEnd w:id="181"/>
      <w:r>
        <w:rPr>
          <w:rtl w:val="true"/>
        </w:rPr>
        <w:t>[</w:t>
      </w:r>
      <w:r>
        <w:rPr>
          <w:rtl w:val="true"/>
        </w:rPr>
        <w:t>یغسل الإناء من ولوغ الکلب ثلاثاً</w:t>
      </w:r>
      <w:r>
        <w:rPr>
          <w:rtl w:val="true"/>
        </w:rPr>
        <w:t>]</w:t>
      </w:r>
      <w:bookmarkEnd w:id="18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الإناء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ولوغ الکلب ثلاثاً، أوّلهنّ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 بالماء مرّتین علی المشهور، بل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علمائنا أجمع إلّا ابن الجنید </w:t>
      </w:r>
      <w:r>
        <w:rPr>
          <w:rStyle w:val="FootnoteAnchor"/>
          <w:rtl w:val="true"/>
        </w:rPr>
        <w:footnoteReference w:id="2037"/>
      </w:r>
      <w:r>
        <w:rPr>
          <w:rFonts w:ascii="IRNazanin" w:hAnsi="IRNazanin" w:eastAsia="IRNazanin"/>
          <w:color w:val="111111"/>
          <w:sz w:val="28"/>
          <w:sz w:val="28"/>
          <w:szCs w:val="28"/>
          <w:rtl w:val="true"/>
          <w:lang w:bidi="fa-IR"/>
        </w:rPr>
        <w:t xml:space="preserve">، و عن الانتصار </w:t>
      </w:r>
      <w:r>
        <w:rPr>
          <w:rStyle w:val="FootnoteAnchor"/>
          <w:rtl w:val="true"/>
        </w:rPr>
        <w:footnoteReference w:id="2038"/>
      </w:r>
      <w:r>
        <w:rPr>
          <w:rFonts w:ascii="IRNazanin" w:hAnsi="IRNazanin" w:eastAsia="IRNazanin"/>
          <w:color w:val="111111"/>
          <w:sz w:val="28"/>
          <w:sz w:val="28"/>
          <w:szCs w:val="28"/>
          <w:rtl w:val="true"/>
          <w:lang w:bidi="fa-IR"/>
        </w:rPr>
        <w:t xml:space="preserve">و الخلاف </w:t>
      </w:r>
      <w:r>
        <w:rPr>
          <w:rStyle w:val="FootnoteAnchor"/>
          <w:rtl w:val="true"/>
        </w:rPr>
        <w:footnoteReference w:id="2039"/>
      </w:r>
      <w:r>
        <w:rPr>
          <w:rFonts w:ascii="IRNazanin" w:hAnsi="IRNazanin" w:eastAsia="IRNazanin"/>
          <w:color w:val="111111"/>
          <w:sz w:val="28"/>
          <w:sz w:val="28"/>
          <w:szCs w:val="28"/>
          <w:rtl w:val="true"/>
          <w:lang w:bidi="fa-IR"/>
        </w:rPr>
        <w:t xml:space="preserve">و الغنیة </w:t>
      </w:r>
      <w:r>
        <w:rPr>
          <w:rStyle w:val="FootnoteAnchor"/>
          <w:rtl w:val="true"/>
        </w:rPr>
        <w:footnoteReference w:id="2040"/>
      </w:r>
      <w:r>
        <w:rPr>
          <w:rFonts w:ascii="IRNazanin" w:hAnsi="IRNazanin" w:eastAsia="IRNazanin"/>
          <w:color w:val="111111"/>
          <w:sz w:val="28"/>
          <w:sz w:val="28"/>
          <w:szCs w:val="28"/>
          <w:rtl w:val="true"/>
          <w:lang w:bidi="fa-IR"/>
        </w:rPr>
        <w:t xml:space="preserve">و الذکری </w:t>
      </w:r>
      <w:r>
        <w:rPr>
          <w:rStyle w:val="FootnoteAnchor"/>
          <w:rtl w:val="true"/>
        </w:rPr>
        <w:footnoteReference w:id="2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p>
    <w:p>
      <w:pPr>
        <w:pStyle w:val="BookText"/>
        <w:rPr/>
      </w:pPr>
      <w:r>
        <w:rPr>
          <w:rFonts w:ascii="IRNazanin" w:hAnsi="IRNazanin" w:eastAsia="IRNazanin"/>
          <w:color w:val="111111"/>
          <w:sz w:val="28"/>
          <w:sz w:val="28"/>
          <w:szCs w:val="28"/>
          <w:rtl w:val="true"/>
          <w:lang w:bidi="fa-IR"/>
        </w:rPr>
        <w:t>علیه، و هی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الناصریّات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أنّ الإناء یغسل من ولوغ الکلب ثلاثاً، أوّلهنّ بالتراب</w:t>
      </w:r>
      <w:r>
        <w:rPr>
          <w:rFonts w:eastAsia="IRNazanin" w:cs="IRNazanin"/>
          <w:color w:val="111111"/>
          <w:sz w:val="28"/>
          <w:szCs w:val="28"/>
          <w:rtl w:val="true"/>
          <w:lang w:bidi="fa-IR"/>
        </w:rPr>
        <w:t xml:space="preserve">» </w:t>
      </w:r>
      <w:r>
        <w:rPr>
          <w:rStyle w:val="FootnoteAnchor"/>
          <w:rtl w:val="true"/>
        </w:rPr>
        <w:footnoteReference w:id="2042"/>
      </w:r>
      <w:r>
        <w:rPr>
          <w:rFonts w:ascii="IRNazanin" w:hAnsi="IRNazanin" w:eastAsia="IRNazanin"/>
          <w:color w:val="111111"/>
          <w:sz w:val="28"/>
          <w:sz w:val="28"/>
          <w:szCs w:val="28"/>
          <w:rtl w:val="true"/>
          <w:lang w:bidi="fa-IR"/>
        </w:rPr>
        <w:t>مضافاً إلی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الغسل ممّا عدا البول مرّتین بفحوی وجوبهما فی البول </w:t>
      </w:r>
      <w:r>
        <w:rPr>
          <w:rStyle w:val="FootnoteAnchor"/>
          <w:rtl w:val="true"/>
        </w:rPr>
        <w:footnoteReference w:id="2043"/>
      </w:r>
      <w:r>
        <w:rPr>
          <w:rFonts w:ascii="IRNazanin" w:hAnsi="IRNazanin" w:eastAsia="IRNazanin"/>
          <w:color w:val="111111"/>
          <w:sz w:val="28"/>
          <w:sz w:val="28"/>
          <w:szCs w:val="28"/>
          <w:rtl w:val="true"/>
          <w:lang w:bidi="fa-IR"/>
        </w:rPr>
        <w:t>، و الولوغ أولی بالتعدّد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بذلک کلّه یقیّد صحیحة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w:t>
      </w:r>
      <w:r>
        <w:rPr>
          <w:rStyle w:val="FootnoteAnchor"/>
          <w:rtl w:val="true"/>
        </w:rPr>
        <w:footnoteReference w:id="2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فی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نجس لا یتوضّأ بفضله، و اصبُب ذلک الماء ثمّ اغسله بالتراب أوّل مرّة ثمّ بالماء</w:t>
      </w:r>
      <w:r>
        <w:rPr>
          <w:rFonts w:eastAsia="IRNazanin" w:cs="IRNazanin"/>
          <w:color w:val="111111"/>
          <w:sz w:val="28"/>
          <w:szCs w:val="28"/>
          <w:rtl w:val="true"/>
          <w:lang w:bidi="fa-IR"/>
        </w:rPr>
        <w:t xml:space="preserve">» </w:t>
      </w:r>
      <w:r>
        <w:rPr>
          <w:rStyle w:val="FootnoteAnchor"/>
          <w:rtl w:val="true"/>
        </w:rPr>
        <w:footnoteReference w:id="2045"/>
      </w:r>
      <w:r>
        <w:rPr>
          <w:rFonts w:ascii="IRNazanin" w:hAnsi="IRNazanin" w:eastAsia="IRNazanin"/>
          <w:color w:val="111111"/>
          <w:sz w:val="28"/>
          <w:sz w:val="28"/>
          <w:szCs w:val="28"/>
          <w:rtl w:val="true"/>
          <w:lang w:bidi="fa-IR"/>
        </w:rPr>
        <w:t>و غیرها من الروایات المطلقة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المحکیّ عن المعتبر </w:t>
      </w:r>
      <w:r>
        <w:rPr>
          <w:rStyle w:val="FootnoteAnchor"/>
          <w:rtl w:val="true"/>
        </w:rPr>
        <w:footnoteReference w:id="2046"/>
      </w:r>
      <w:r>
        <w:rPr>
          <w:rFonts w:ascii="IRNazanin" w:hAnsi="IRNazanin" w:eastAsia="IRNazanin"/>
          <w:color w:val="111111"/>
          <w:sz w:val="28"/>
          <w:sz w:val="28"/>
          <w:szCs w:val="28"/>
          <w:rtl w:val="true"/>
          <w:lang w:bidi="fa-IR"/>
        </w:rPr>
        <w:t xml:space="preserve">و المنتهی </w:t>
      </w:r>
      <w:r>
        <w:rPr>
          <w:rStyle w:val="FootnoteAnchor"/>
          <w:rtl w:val="true"/>
        </w:rPr>
        <w:footnoteReference w:id="2047"/>
      </w:r>
      <w:r>
        <w:rPr>
          <w:rFonts w:ascii="IRNazanin" w:hAnsi="IRNazanin" w:eastAsia="IRNazanin"/>
          <w:color w:val="111111"/>
          <w:sz w:val="28"/>
          <w:sz w:val="28"/>
          <w:szCs w:val="28"/>
          <w:rtl w:val="true"/>
          <w:lang w:bidi="fa-IR"/>
        </w:rPr>
        <w:t xml:space="preserve">، و هی </w:t>
      </w:r>
      <w:r>
        <w:rPr>
          <w:rStyle w:val="FootnoteAnchor"/>
          <w:rtl w:val="true"/>
        </w:rPr>
        <w:footnoteReference w:id="2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الصحیحة، و تبعهما غیرهما </w:t>
      </w:r>
      <w:r>
        <w:rPr>
          <w:rStyle w:val="FootnoteAnchor"/>
          <w:rtl w:val="true"/>
        </w:rPr>
        <w:footnoteReference w:id="2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وجدان الزیادة فی بعض الکتب المعتبرة، و إلّا فقد شهد جماعة </w:t>
      </w:r>
      <w:r>
        <w:rPr>
          <w:rStyle w:val="FootnoteAnchor"/>
          <w:rtl w:val="true"/>
        </w:rPr>
        <w:footnoteReference w:id="2050"/>
      </w:r>
      <w:r>
        <w:rPr>
          <w:rFonts w:ascii="IRNazanin" w:hAnsi="IRNazanin" w:eastAsia="IRNazanin"/>
          <w:color w:val="111111"/>
          <w:sz w:val="28"/>
          <w:sz w:val="28"/>
          <w:szCs w:val="28"/>
          <w:rtl w:val="true"/>
          <w:lang w:bidi="fa-IR"/>
        </w:rPr>
        <w:t xml:space="preserve">بخلوّ الکتب المعروفة عندهم عن هذه الزیادة، و حکی وجودها فی عوالی اللآلی لابن أبی جمهور </w:t>
      </w:r>
      <w:r>
        <w:rPr>
          <w:rStyle w:val="FootnoteAnchor"/>
          <w:rtl w:val="true"/>
        </w:rPr>
        <w:footnoteReference w:id="2051"/>
      </w:r>
      <w:r>
        <w:rPr>
          <w:rFonts w:ascii="IRNazanin" w:hAnsi="IRNazanin" w:eastAsia="IRNazanin"/>
          <w:color w:val="111111"/>
          <w:sz w:val="28"/>
          <w:sz w:val="28"/>
          <w:szCs w:val="28"/>
          <w:rtl w:val="true"/>
          <w:lang w:bidi="fa-IR"/>
        </w:rPr>
        <w:t>و فی</w:t>
      </w:r>
    </w:p>
    <w:p>
      <w:pPr>
        <w:pStyle w:val="BookText"/>
        <w:rPr/>
      </w:pPr>
      <w:r>
        <w:rPr>
          <w:rFonts w:ascii="IRNazanin" w:hAnsi="IRNazanin" w:eastAsia="IRNazanin"/>
          <w:color w:val="111111"/>
          <w:sz w:val="28"/>
          <w:sz w:val="28"/>
          <w:szCs w:val="28"/>
          <w:rtl w:val="true"/>
          <w:lang w:bidi="fa-IR"/>
        </w:rPr>
        <w:t xml:space="preserve">الرضوی </w:t>
      </w:r>
      <w:r>
        <w:rPr>
          <w:rStyle w:val="FootnoteAnchor"/>
          <w:rtl w:val="true"/>
        </w:rPr>
        <w:footnoteReference w:id="2052"/>
      </w:r>
      <w:r>
        <w:rPr>
          <w:rFonts w:ascii="IRNazanin" w:hAnsi="IRNazanin" w:eastAsia="IRNazanin"/>
          <w:color w:val="111111"/>
          <w:sz w:val="28"/>
          <w:sz w:val="28"/>
          <w:szCs w:val="28"/>
          <w:rtl w:val="true"/>
          <w:lang w:bidi="fa-IR"/>
        </w:rPr>
        <w:t>، و یشعر بوجودها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بالتراب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کان المناسب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بالتراب ثمّ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حاجة إلی هذه الزیادة بعد کون الأصل فی الغسل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للمحکیّ عن ابن الجنید، فقد أوجب سبعاً لروایة عامیّة </w:t>
      </w:r>
      <w:r>
        <w:rPr>
          <w:rStyle w:val="FootnoteAnchor"/>
          <w:rtl w:val="true"/>
        </w:rPr>
        <w:footnoteReference w:id="2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قابله بعض متأخّری المتأخّرین بالمیل إلی کفایة المرّة </w:t>
      </w:r>
      <w:r>
        <w:rPr>
          <w:rStyle w:val="FootnoteAnchor"/>
          <w:rtl w:val="true"/>
        </w:rPr>
        <w:footnoteReference w:id="2054"/>
      </w:r>
      <w:r>
        <w:rPr>
          <w:rFonts w:ascii="IRNazanin" w:hAnsi="IRNazanin" w:eastAsia="IRNazanin"/>
          <w:color w:val="111111"/>
          <w:sz w:val="28"/>
          <w:sz w:val="28"/>
          <w:szCs w:val="28"/>
          <w:rtl w:val="true"/>
          <w:lang w:bidi="fa-IR"/>
        </w:rPr>
        <w:t>لإطلاق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صریح الصحیحة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أوّلهن بالتراب، وفاقاً للمحکیّ عن الشیخ </w:t>
      </w:r>
      <w:r>
        <w:rPr>
          <w:rStyle w:val="FootnoteAnchor"/>
          <w:rtl w:val="true"/>
        </w:rPr>
        <w:footnoteReference w:id="2055"/>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2056"/>
      </w:r>
      <w:r>
        <w:rPr>
          <w:rFonts w:ascii="IRNazanin" w:hAnsi="IRNazanin" w:eastAsia="IRNazanin"/>
          <w:color w:val="111111"/>
          <w:sz w:val="28"/>
          <w:sz w:val="28"/>
          <w:szCs w:val="28"/>
          <w:rtl w:val="true"/>
          <w:lang w:bidi="fa-IR"/>
        </w:rPr>
        <w:t>و جمهور الأصحاب، بل 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Style w:val="FootnoteAnchor"/>
          <w:rtl w:val="true"/>
        </w:rPr>
        <w:footnoteReference w:id="2057"/>
      </w:r>
      <w:r>
        <w:rPr>
          <w:rFonts w:ascii="IRNazanin" w:hAnsi="IRNazanin" w:eastAsia="IRNazanin"/>
          <w:color w:val="111111"/>
          <w:sz w:val="28"/>
          <w:sz w:val="28"/>
          <w:szCs w:val="28"/>
          <w:rtl w:val="true"/>
          <w:lang w:bidi="fa-IR"/>
        </w:rPr>
        <w:t xml:space="preserve">، و قد سمعت عبارة السیّد أیضاً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للمحکیّ عن ظاهر المقنعة، فأوجب التوسیط </w:t>
      </w:r>
      <w:r>
        <w:rPr>
          <w:rStyle w:val="FootnoteAnchor"/>
          <w:rtl w:val="true"/>
        </w:rPr>
        <w:footnoteReference w:id="2059"/>
      </w:r>
      <w:r>
        <w:rPr>
          <w:rFonts w:ascii="IRNazanin" w:hAnsi="IRNazanin" w:eastAsia="IRNazanin"/>
          <w:color w:val="111111"/>
          <w:sz w:val="28"/>
          <w:sz w:val="28"/>
          <w:szCs w:val="28"/>
          <w:rtl w:val="true"/>
          <w:lang w:bidi="fa-IR"/>
        </w:rPr>
        <w:t xml:space="preserve">لما یظهر من الوسیلة من وجود روایة بالتوسیط </w:t>
      </w:r>
      <w:r>
        <w:rPr>
          <w:rStyle w:val="FootnoteAnchor"/>
          <w:rtl w:val="true"/>
        </w:rPr>
        <w:footnoteReference w:id="2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علی تقدیر الوجود و الدلالة 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للمحکیّ عن ظاهر جماعة </w:t>
      </w:r>
      <w:r>
        <w:rPr>
          <w:rStyle w:val="FootnoteAnchor"/>
          <w:rtl w:val="true"/>
        </w:rPr>
        <w:footnoteReference w:id="2061"/>
      </w:r>
      <w:r>
        <w:rPr>
          <w:rFonts w:ascii="IRNazanin" w:hAnsi="IRNazanin" w:eastAsia="IRNazanin"/>
          <w:color w:val="111111"/>
          <w:sz w:val="28"/>
          <w:sz w:val="28"/>
          <w:szCs w:val="28"/>
          <w:rtl w:val="true"/>
          <w:lang w:bidi="fa-IR"/>
        </w:rPr>
        <w:t>، فأطلقوا القول بوجوب غسل الإناء ثلاثاً إحداهن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قصدوا الإطلاق فهو ضعیف؛ لما ذکرنا من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طهارة التراب إشکال، الأقوی ذلک؛ لانصراف الإطلاق إلی الطهارة، مضافاً إلی أصالة بقاء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یتمسّک بقوله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 ترابها طهوراً</w:t>
      </w:r>
      <w:r>
        <w:rPr>
          <w:rFonts w:eastAsia="IRNazanin" w:cs="IRNazanin"/>
          <w:color w:val="111111"/>
          <w:sz w:val="28"/>
          <w:szCs w:val="28"/>
          <w:rtl w:val="true"/>
          <w:lang w:bidi="fa-IR"/>
        </w:rPr>
        <w:t xml:space="preserve">» </w:t>
      </w:r>
      <w:r>
        <w:rPr>
          <w:rStyle w:val="FootnoteAnchor"/>
          <w:rtl w:val="true"/>
        </w:rPr>
        <w:footnoteReference w:id="2062"/>
      </w:r>
      <w:r>
        <w:rPr>
          <w:rFonts w:ascii="IRNazanin" w:hAnsi="IRNazanin" w:eastAsia="IRNazanin"/>
          <w:color w:val="111111"/>
          <w:sz w:val="28"/>
          <w:sz w:val="28"/>
          <w:szCs w:val="28"/>
          <w:rtl w:val="true"/>
          <w:lang w:bidi="fa-IR"/>
        </w:rPr>
        <w:t>و فیه نظر، و إن زعم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الأصحاب غفلوا عنه فی هذا الباب </w:t>
      </w:r>
      <w:r>
        <w:rPr>
          <w:rStyle w:val="FootnoteAnchor"/>
          <w:rtl w:val="true"/>
        </w:rPr>
        <w:footnoteReference w:id="2063"/>
      </w:r>
      <w:r>
        <w:rPr>
          <w:rFonts w:ascii="IRNazanin" w:hAnsi="IRNazanin" w:eastAsia="IRNazanin"/>
          <w:color w:val="111111"/>
          <w:sz w:val="28"/>
          <w:sz w:val="28"/>
          <w:szCs w:val="28"/>
          <w:rtl w:val="true"/>
          <w:lang w:bidi="fa-IR"/>
        </w:rPr>
        <w:t xml:space="preserve">، بل ما ذکره فی جامع المقاصد </w:t>
      </w:r>
      <w:r>
        <w:rPr>
          <w:rStyle w:val="FootnoteAnchor"/>
          <w:rtl w:val="true"/>
        </w:rPr>
        <w:footnoteReference w:id="2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ربما یوجد 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طهور إناء أحدکم إذا ولغ فیه کلب </w:t>
      </w:r>
      <w:r>
        <w:rPr>
          <w:rFonts w:eastAsia="IRNazanin" w:cs="IRNazanin"/>
          <w:color w:val="111111"/>
          <w:sz w:val="28"/>
          <w:szCs w:val="28"/>
          <w:rtl w:val="true"/>
          <w:lang w:bidi="fa-IR"/>
        </w:rPr>
        <w:t xml:space="preserve">..» </w:t>
      </w:r>
      <w:r>
        <w:rPr>
          <w:rStyle w:val="FootnoteAnchor"/>
          <w:rtl w:val="true"/>
        </w:rPr>
        <w:footnoteReference w:id="2065"/>
      </w:r>
      <w:r>
        <w:rPr>
          <w:rFonts w:ascii="IRNazanin" w:hAnsi="IRNazanin" w:eastAsia="IRNazanin"/>
          <w:color w:val="111111"/>
          <w:sz w:val="28"/>
          <w:sz w:val="28"/>
          <w:szCs w:val="28"/>
          <w:rtl w:val="true"/>
          <w:lang w:bidi="fa-IR"/>
        </w:rPr>
        <w:t>أوضح دلالة من ذلک، و إن کان فی دلالته أیضاً نظر، فالعمدة الانصراف و الأصل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یعتبر مزج التراب بالماء أم لا؟ قولان، أقواهما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للمحکیّ عن الحلیّ </w:t>
      </w:r>
      <w:r>
        <w:rPr>
          <w:rStyle w:val="FootnoteAnchor"/>
          <w:rtl w:val="true"/>
        </w:rPr>
        <w:footnoteReference w:id="2066"/>
      </w:r>
      <w:r>
        <w:rPr>
          <w:rFonts w:ascii="IRNazanin" w:hAnsi="IRNazanin" w:eastAsia="IRNazanin"/>
          <w:color w:val="111111"/>
          <w:sz w:val="28"/>
          <w:sz w:val="28"/>
          <w:szCs w:val="28"/>
          <w:rtl w:val="true"/>
          <w:lang w:bidi="fa-IR"/>
        </w:rPr>
        <w:t xml:space="preserve">و الراوندی </w:t>
      </w:r>
      <w:r>
        <w:rPr>
          <w:rStyle w:val="FootnoteAnchor"/>
          <w:rtl w:val="true"/>
        </w:rPr>
        <w:footnoteReference w:id="2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 و إن قوّاه المصنّف فی</w:t>
      </w:r>
    </w:p>
    <w:p>
      <w:pPr>
        <w:pStyle w:val="BookText"/>
        <w:rPr/>
      </w:pPr>
      <w:r>
        <w:rPr>
          <w:rFonts w:ascii="IRNazanin" w:hAnsi="IRNazanin" w:eastAsia="IRNazanin"/>
          <w:color w:val="111111"/>
          <w:sz w:val="28"/>
          <w:sz w:val="28"/>
          <w:szCs w:val="28"/>
          <w:rtl w:val="true"/>
          <w:lang w:bidi="fa-IR"/>
        </w:rPr>
        <w:t xml:space="preserve">المنتهی </w:t>
      </w:r>
      <w:r>
        <w:rPr>
          <w:rStyle w:val="FootnoteAnchor"/>
          <w:rtl w:val="true"/>
        </w:rPr>
        <w:footnoteReference w:id="2068"/>
      </w:r>
      <w:r>
        <w:rPr>
          <w:rFonts w:ascii="IRNazanin" w:hAnsi="IRNazanin" w:eastAsia="IRNazanin"/>
          <w:color w:val="111111"/>
          <w:sz w:val="28"/>
          <w:sz w:val="28"/>
          <w:szCs w:val="28"/>
          <w:rtl w:val="true"/>
          <w:lang w:bidi="fa-IR"/>
        </w:rPr>
        <w:t xml:space="preserve">و تبعه کاشف اللثام </w:t>
      </w:r>
      <w:r>
        <w:rPr>
          <w:rStyle w:val="FootnoteAnchor"/>
          <w:rtl w:val="true"/>
        </w:rPr>
        <w:footnoteReference w:id="2069"/>
      </w:r>
      <w:r>
        <w:rPr>
          <w:rFonts w:ascii="IRNazanin" w:hAnsi="IRNazanin" w:eastAsia="IRNazanin"/>
          <w:color w:val="111111"/>
          <w:sz w:val="28"/>
          <w:sz w:val="28"/>
          <w:szCs w:val="28"/>
          <w:rtl w:val="true"/>
          <w:lang w:bidi="fa-IR"/>
        </w:rPr>
        <w:t>لعدم الدلیل عدا ما ربما یتخیّل من دلالة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بالتراب</w:t>
      </w:r>
      <w:r>
        <w:rPr>
          <w:rFonts w:eastAsia="IRNazanin" w:cs="IRNazanin"/>
          <w:color w:val="111111"/>
          <w:sz w:val="28"/>
          <w:szCs w:val="28"/>
          <w:rtl w:val="true"/>
          <w:lang w:bidi="fa-IR"/>
        </w:rPr>
        <w:t xml:space="preserve">»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بالغسل معناه المجازی و إن کان مع مزج التراب بالماء، فاعتبار المزج لا یوجب العمل بحقیقة الغسل، إلّا علی ما ذکره صاحب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الغسل الحقیقی لا یختصّ بما کان بالماء، فالمزج المحصّل للمیعان محصّل لصدق الحقیقة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الحلیّ لا یقول بوجوب المزج إلی أن یحصل المیعان المحصّل بحقیقة الغسل، و إن کان یظهر ذلک من الاستدلال له بحصول حقیقة الغسل، و مِن جَعْلِ کاشف اللثام هذا الترکیب من قبیل الغسل بالخطمی و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المحصّل لحقیقة الغسل لا یکون إلّا استعمال الماء أو ما هو بمنزلته فی المیعان، و الماء الممزوج بالتراب إلی أن یحصل له هذا المیعان لا یصدق علیه أنّه غسل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 کالغسل بالسدر و الکافور کما ذکره کاشف اللثام یوجب اعتبار بقاء الماء علی إطلاقه؛ لأنّ الباء حینئذٍ یکون للمصاحبة و الظرف مستقرّ، فیکون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محذوفاً و الإطلاق الناشئ من حذف المتعلّق ینصرف إلی المتعلّق الشائع؛ و لذا فهموا من إطلاقات الغسل فی أدلّة الغسل عن النجاسات وجوب کون الماء مطلقاً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یدور بین صرف الغسل عن ظاهره إلی الدلک</w:t>
      </w:r>
    </w:p>
    <w:p>
      <w:pPr>
        <w:pStyle w:val="BookText"/>
        <w:rPr/>
      </w:pPr>
      <w:r>
        <w:rPr>
          <w:rFonts w:ascii="IRNazanin" w:hAnsi="IRNazanin" w:eastAsia="IRNazanin"/>
          <w:color w:val="111111"/>
          <w:sz w:val="28"/>
          <w:sz w:val="28"/>
          <w:szCs w:val="28"/>
          <w:rtl w:val="true"/>
          <w:lang w:bidi="fa-IR"/>
        </w:rPr>
        <w:t>و بین صرف التراب عن ظاهره، و الأوّل أبعد، فتعیّن الثانی، فیقوی قول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صرف الغسل عن ظاهره و إن کان بعیداً سیّما مع حمله علی عموم المجاز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بالتراب أوّل مرّة ثمّ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معارض بظهور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معناه الحقیقی و ظهور الظرف فی اللغویّة و المتعلّق </w:t>
      </w:r>
      <w:r>
        <w:rPr>
          <w:rStyle w:val="FootnoteAnchor"/>
          <w:rtl w:val="true"/>
        </w:rPr>
        <w:footnoteReference w:id="2072"/>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التراب ممّا یغسل به لا معه، و ظهور مقابلة التراب بالماء فی کون التراب نفس المغسول به، لا من قبیل السدر و الکافور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بالسدر و الکافور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أُرید الغسل بالماء مع التراب کان المناسب للمقابلة تقیید الماء بالقراح أو الخالص، و إلّا لزم جعل قسم الشی‌ء قسیماً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فمذهب المشهور أقوی، و الاحتیاط لا یترک بتکرّر الغسل بالتراب الیابس مرّة و بالممزوج اخری، بل الأحوط أن یکرّر الممزوج فیکون المزج مرّة بحیث لا یوجب المیعان بل یصیر التراب شبه الطین لیقبل الدلک، و أُخری یجعله مائعاً لیحصل معه الغسل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فاحتیاط التعفیر یحصل بثلاث مرّات، إن لم یعمل باحتمال کون التراب هنا بمنزلة السدر بحیث لا یوجب إضافة الماء، و إلّا فالاحتمالات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روعی مذهب المفید فی تقدیم التراب علی الغسلتین و توسّطه بینهما صارت عشرة، ثمانیة بالتراب بینها غسلة و بعدها غسلة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روعی مذهب الإسکافی بالسبع صارت الغسلات المتأخّرة خمساً، فیصیر أربعة عشر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الظاهر سقوط التعدّد فی الکثیر دون التعفیر؛ لعموم المرسلة المتقدّمة فی المطر و الروایة المتقدّمة فی الغدیر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یتعدّی إلی غیر الولوغ من أقسام ملاقاة الکلب إلّا اللطع علی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المفید </w:t>
      </w:r>
      <w:r>
        <w:rPr>
          <w:rStyle w:val="FootnoteAnchor"/>
          <w:rtl w:val="true"/>
        </w:rPr>
        <w:footnoteReference w:id="2074"/>
      </w:r>
      <w:r>
        <w:rPr>
          <w:rFonts w:ascii="IRNazanin" w:hAnsi="IRNazanin" w:eastAsia="IRNazanin"/>
          <w:color w:val="111111"/>
          <w:sz w:val="28"/>
          <w:sz w:val="28"/>
          <w:szCs w:val="28"/>
          <w:rtl w:val="true"/>
          <w:lang w:bidi="fa-IR"/>
        </w:rPr>
        <w:t xml:space="preserve">و الصدوقین </w:t>
      </w:r>
      <w:r>
        <w:rPr>
          <w:rStyle w:val="FootnoteAnchor"/>
          <w:rtl w:val="true"/>
        </w:rPr>
        <w:footnoteReference w:id="2075"/>
      </w:r>
      <w:r>
        <w:rPr>
          <w:rFonts w:ascii="IRNazanin" w:hAnsi="IRNazanin" w:eastAsia="IRNazanin"/>
          <w:color w:val="111111"/>
          <w:sz w:val="28"/>
          <w:sz w:val="28"/>
          <w:szCs w:val="28"/>
          <w:rtl w:val="true"/>
          <w:lang w:bidi="fa-IR"/>
        </w:rPr>
        <w:t xml:space="preserve">و بعض متأخّری المتأخّرین </w:t>
      </w:r>
      <w:r>
        <w:rPr>
          <w:rStyle w:val="FootnoteAnchor"/>
          <w:rtl w:val="true"/>
        </w:rPr>
        <w:footnoteReference w:id="2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 المباشرة بسائر أعضائه بالولوغ؛ و لعلّه لما یستفاد من سوق صحیحة البقباق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الوجه فی الحکم نجاسة الکلب و ملاقاته للإناء دون خصوص الشرب منه؛ و لذا استفاد المشهور إلحاق اللطع، و لم یعتبر أحد بقاءَ شی‌ءٍ من المشروب کما هو مورد الروایة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التعدّی من الشرب باللسان إلی شرب مقطوع اللسان فی محلّه، بخلاف التعدّی من الشرب إلی ملاقاة سائر الأعضاء، فإنّه کالتعدّی من الإناء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وجوب الاقتصار علی ما تیقّن خروجه عن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صبّ فضله من الإناء المولوغ فیه إلی إناء آخر فلا یبعد إلحاقه به، خلافاً للمحکیّ عن المعتبر </w:t>
      </w:r>
      <w:r>
        <w:rPr>
          <w:rStyle w:val="FootnoteAnchor"/>
          <w:rtl w:val="true"/>
        </w:rPr>
        <w:footnoteReference w:id="2078"/>
      </w:r>
      <w:r>
        <w:rPr>
          <w:rFonts w:ascii="IRNazanin" w:hAnsi="IRNazanin" w:eastAsia="IRNazanin"/>
          <w:color w:val="111111"/>
          <w:sz w:val="28"/>
          <w:sz w:val="28"/>
          <w:szCs w:val="28"/>
          <w:rtl w:val="true"/>
          <w:lang w:bidi="fa-IR"/>
        </w:rPr>
        <w:t xml:space="preserve">و الذکری </w:t>
      </w:r>
      <w:r>
        <w:rPr>
          <w:rStyle w:val="FootnoteAnchor"/>
          <w:rtl w:val="true"/>
        </w:rPr>
        <w:footnoteReference w:id="2079"/>
      </w:r>
      <w:r>
        <w:rPr>
          <w:rFonts w:ascii="IRNazanin" w:hAnsi="IRNazanin" w:eastAsia="IRNazanin"/>
          <w:color w:val="111111"/>
          <w:sz w:val="28"/>
          <w:sz w:val="28"/>
          <w:szCs w:val="28"/>
          <w:rtl w:val="true"/>
          <w:lang w:bidi="fa-IR"/>
        </w:rPr>
        <w:t xml:space="preserve">و ظاهر الخلاف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تعذّر التعفیر، فالأقوی عدم طهارة الإناء بدونه، سواء کان لفقد التراب أو من یقدر علی التعفیر أم کان لعدم قابلیّة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فصّل، فقیل بالتطهیر فی الثانی؛ لاستلزام الحکم بعدمه تعطیل الإناء دائماً، بخلاف غیره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الأجود تعلیل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الإناء الغیر القابل للتعفیر لا یدخل فی إطلاق روایة التعفیر، فیرجع فیه إلی عمومات الغسل، بخلاف ما إذا تعذّر التعفیر لفقد التراب، فإنّه لا یوجب تقیید الأمر بالغسل بالتراب؛ لأنّه فی مقام بیان الحکم الوضعی، أعنی علاج النجاسة و إزالتها، فلا تسقط بعدم القدرة؛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الأقوی سقوط التعدّد فی الجاری و الکثیر، کما عن الکفایة </w:t>
      </w:r>
      <w:r>
        <w:rPr>
          <w:rStyle w:val="FootnoteAnchor"/>
          <w:rtl w:val="true"/>
        </w:rPr>
        <w:footnoteReference w:id="2082"/>
      </w:r>
      <w:r>
        <w:rPr>
          <w:rFonts w:ascii="IRNazanin" w:hAnsi="IRNazanin" w:eastAsia="IRNazanin"/>
          <w:color w:val="111111"/>
          <w:sz w:val="28"/>
          <w:sz w:val="28"/>
          <w:szCs w:val="28"/>
          <w:rtl w:val="true"/>
          <w:lang w:bidi="fa-IR"/>
        </w:rPr>
        <w:t xml:space="preserve">و غیرها </w:t>
      </w:r>
      <w:r>
        <w:rPr>
          <w:rStyle w:val="FootnoteAnchor"/>
          <w:rtl w:val="true"/>
        </w:rPr>
        <w:footnoteReference w:id="2083"/>
      </w:r>
      <w:r>
        <w:rPr>
          <w:rFonts w:ascii="IRNazanin" w:hAnsi="IRNazanin" w:eastAsia="IRNazanin"/>
          <w:color w:val="111111"/>
          <w:sz w:val="28"/>
          <w:sz w:val="28"/>
          <w:szCs w:val="28"/>
          <w:rtl w:val="true"/>
          <w:lang w:bidi="fa-IR"/>
        </w:rPr>
        <w:t>نسبته إلی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مضافاً إلی إطلاقات </w:t>
      </w:r>
      <w:r>
        <w:rPr>
          <w:rStyle w:val="FootnoteAnchor"/>
          <w:rtl w:val="true"/>
        </w:rPr>
        <w:footnoteReference w:id="2084"/>
      </w:r>
      <w:r>
        <w:rPr>
          <w:rFonts w:ascii="IRNazanin" w:hAnsi="IRNazanin" w:eastAsia="IRNazanin"/>
          <w:color w:val="111111"/>
          <w:sz w:val="28"/>
          <w:sz w:val="28"/>
          <w:szCs w:val="28"/>
          <w:rtl w:val="true"/>
          <w:lang w:bidi="fa-IR"/>
        </w:rPr>
        <w:t xml:space="preserve">صحیحة البقباق التی هی الأصل فی هذا الباب، و یدلّ علیه المرسلة فی المطر و الروایة الواردة فی الغدیر من الماء، و قد تقدّمت </w:t>
      </w:r>
      <w:r>
        <w:rPr>
          <w:rStyle w:val="FootnoteAnchor"/>
          <w:rtl w:val="true"/>
        </w:rPr>
        <w:footnoteReference w:id="2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یسقط التعفیر؛ للأصل و إطلاق الصحیحة، و بهما یقیّد المرسلة و الروایة النافیتین للحاجة إلی شی‌ءٍ آخر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صریح نهایة الإحکام و ظاهر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التعفیر </w:t>
      </w:r>
      <w:r>
        <w:rPr>
          <w:rStyle w:val="FootnoteAnchor"/>
          <w:rtl w:val="true"/>
        </w:rPr>
        <w:footnoteReference w:id="2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أحسن لها </w:t>
      </w:r>
      <w:r>
        <w:rPr>
          <w:rStyle w:val="FootnoteAnchor"/>
          <w:rtl w:val="true"/>
        </w:rPr>
        <w:footnoteReference w:id="2087"/>
      </w:r>
      <w:r>
        <w:rPr>
          <w:rFonts w:ascii="IRNazanin" w:hAnsi="IRNazanin" w:eastAsia="IRNazanin"/>
          <w:color w:val="111111"/>
          <w:sz w:val="28"/>
          <w:sz w:val="28"/>
          <w:szCs w:val="28"/>
          <w:rtl w:val="true"/>
          <w:lang w:bidi="fa-IR"/>
        </w:rPr>
        <w:t xml:space="preserve">التمسّک بإطلاق المرسلة و الروایة المتقدّمتین </w:t>
      </w:r>
      <w:r>
        <w:rPr>
          <w:rStyle w:val="FootnoteAnchor"/>
          <w:rtl w:val="true"/>
        </w:rPr>
        <w:footnoteReference w:id="2088"/>
      </w:r>
      <w:r>
        <w:rPr>
          <w:rFonts w:ascii="IRNazanin" w:hAnsi="IRNazanin" w:eastAsia="IRNazanin"/>
          <w:color w:val="111111"/>
          <w:sz w:val="28"/>
          <w:sz w:val="28"/>
          <w:szCs w:val="28"/>
          <w:rtl w:val="true"/>
          <w:lang w:bidi="fa-IR"/>
        </w:rPr>
        <w:t>، سیّما مع ظهور الصحیحة الآمرة بالتعفیر فی اختصاصها بصورة الغسل بالقلیل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أبعد ما</w:t>
      </w:r>
    </w:p>
    <w:p>
      <w:pPr>
        <w:pStyle w:val="BookText"/>
        <w:rPr/>
      </w:pPr>
      <w:r>
        <w:rPr>
          <w:rFonts w:ascii="IRNazanin" w:hAnsi="IRNazanin" w:eastAsia="IRNazanin"/>
          <w:color w:val="111111"/>
          <w:sz w:val="28"/>
          <w:sz w:val="28"/>
          <w:szCs w:val="28"/>
          <w:rtl w:val="true"/>
          <w:lang w:bidi="fa-IR"/>
        </w:rPr>
        <w:t xml:space="preserve">بینه و بین القول بعدم سقوط التعدّد کما عن المعتبر </w:t>
      </w:r>
      <w:r>
        <w:rPr>
          <w:rStyle w:val="FootnoteAnchor"/>
          <w:rtl w:val="true"/>
        </w:rPr>
        <w:footnoteReference w:id="2089"/>
      </w:r>
      <w:r>
        <w:rPr>
          <w:rFonts w:ascii="IRNazanin" w:hAnsi="IRNazanin" w:eastAsia="IRNazanin"/>
          <w:color w:val="111111"/>
          <w:sz w:val="28"/>
          <w:sz w:val="28"/>
          <w:szCs w:val="28"/>
          <w:rtl w:val="true"/>
          <w:lang w:bidi="fa-IR"/>
        </w:rPr>
        <w:t xml:space="preserve">هو أحوط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المشهور کما عن الکفایة </w:t>
      </w:r>
      <w:r>
        <w:rPr>
          <w:rStyle w:val="FootnoteAnchor"/>
          <w:rtl w:val="true"/>
        </w:rPr>
        <w:footnoteReference w:id="2091"/>
      </w:r>
      <w:r>
        <w:rPr>
          <w:rFonts w:ascii="IRNazanin" w:hAnsi="IRNazanin" w:eastAsia="IRNazanin"/>
          <w:color w:val="111111"/>
          <w:sz w:val="28"/>
          <w:sz w:val="28"/>
          <w:szCs w:val="28"/>
          <w:rtl w:val="true"/>
          <w:lang w:bidi="fa-IR"/>
        </w:rPr>
        <w:t xml:space="preserve">و شرح المفاتیح </w:t>
      </w:r>
      <w:r>
        <w:rPr>
          <w:rStyle w:val="FootnoteAnchor"/>
          <w:rtl w:val="true"/>
        </w:rPr>
        <w:footnoteReference w:id="2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 لطع الإناء و هو أخذ ما علق بجوانبها باللسان بالولوغ، و هو الشرب بطرف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یستدلّ علیه بالأولویّة </w:t>
      </w:r>
      <w:r>
        <w:rPr>
          <w:rStyle w:val="FootnoteAnchor"/>
          <w:rtl w:val="true"/>
        </w:rPr>
        <w:footnoteReference w:id="2093"/>
      </w:r>
      <w:r>
        <w:rPr>
          <w:rFonts w:ascii="IRNazanin" w:hAnsi="IRNazanin" w:eastAsia="IRNazanin"/>
          <w:color w:val="111111"/>
          <w:sz w:val="28"/>
          <w:sz w:val="28"/>
          <w:szCs w:val="28"/>
          <w:rtl w:val="true"/>
          <w:lang w:bidi="fa-IR"/>
        </w:rPr>
        <w:t>بناءً علی أنّ المناط وصول اللعاب إلی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وقوع لعابه فی الإناء، فالأحوط الإلحاق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الإناء إذا شرب منه کلب أو وقع فیه أو ماسّة ببعض أعضائه، فإنّه یهراق ما فیه من الماء ثمّ یُغسَل مرّة بالماء و مرّة ثانیة بالتراب و مرّة بالماء </w:t>
      </w:r>
      <w:r>
        <w:rPr>
          <w:rStyle w:val="FootnoteAnchor"/>
          <w:rtl w:val="true"/>
        </w:rPr>
        <w:footnoteReference w:id="2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أحوط</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المحکیّ عن الشیخ فی المبسوط و الخلاف </w:t>
      </w:r>
      <w:r>
        <w:rPr>
          <w:rStyle w:val="FootnoteAnchor"/>
          <w:rtl w:val="true"/>
        </w:rPr>
        <w:footnoteReference w:id="2095"/>
      </w:r>
      <w:r>
        <w:rPr>
          <w:rFonts w:ascii="IRNazanin" w:hAnsi="IRNazanin" w:eastAsia="IRNazanin"/>
          <w:color w:val="111111"/>
          <w:sz w:val="28"/>
          <w:sz w:val="28"/>
          <w:szCs w:val="28"/>
          <w:rtl w:val="true"/>
          <w:lang w:bidi="fa-IR"/>
        </w:rPr>
        <w:t xml:space="preserve">و القاضی فی المهذّب </w:t>
      </w:r>
      <w:r>
        <w:rPr>
          <w:rStyle w:val="FootnoteAnchor"/>
          <w:rtl w:val="true"/>
        </w:rPr>
        <w:footnoteReference w:id="2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القول بأنّ حکم ولوغ الخنزیر حکم ولوغ الکلب، و ظاهره وجوب التعفیر و إن لم یصرّح به علی ما فهمه المحقّق فی المعتبر </w:t>
      </w:r>
      <w:r>
        <w:rPr>
          <w:rStyle w:val="FootnoteAnchor"/>
          <w:rtl w:val="true"/>
        </w:rPr>
        <w:footnoteReference w:id="2097"/>
      </w:r>
      <w:bookmarkStart w:id="183" w:name="pg16911_259815"/>
    </w:p>
    <w:p>
      <w:pPr>
        <w:pStyle w:val="BookText"/>
        <w:rPr/>
      </w:pPr>
      <w:bookmarkEnd w:id="183"/>
      <w:r>
        <w:rPr>
          <w:rFonts w:ascii="IRNazanin" w:hAnsi="IRNazanin" w:eastAsia="IRNazanin"/>
          <w:color w:val="111111"/>
          <w:sz w:val="28"/>
          <w:sz w:val="28"/>
          <w:szCs w:val="28"/>
          <w:rtl w:val="true"/>
          <w:lang w:bidi="fa-IR"/>
        </w:rPr>
        <w:t>و تبعه غیره، فإن لم یوجب التعفیر مع أنّه یوجب غسل الإناء من کلّ نجاسة ثلاثاً کان الأولی إلحاق الخنزیر بسائر النجاسات، و أیضاً فإنّه استدلّ علی ذلک بکون الخنزیر کلباً لغة، فله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استدلاله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الإناء یغسل من النجاسات ثلاثاً و الخنزیر نجس بلا خلاف، فهو فی مقابل بعض أصحاب الشافعی القائل بکفایة الغسلة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فلم نجد لما ذکره مستنداً، و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دخوله فی الکلب،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وجوب غسل الإناء</w:t>
      </w:r>
    </w:p>
    <w:p>
      <w:pPr>
        <w:pStyle w:val="Heading4"/>
        <w:numPr>
          <w:ilvl w:val="3"/>
          <w:numId w:val="1"/>
        </w:numPr>
        <w:rPr/>
      </w:pPr>
      <w:bookmarkStart w:id="184" w:name="__RefHeading___Toc6618746_3224264995"/>
      <w:bookmarkStart w:id="185" w:name="_Toc68"/>
      <w:bookmarkEnd w:id="184"/>
      <w:r>
        <w:rPr>
          <w:rtl w:val="true"/>
        </w:rPr>
        <w:t>[</w:t>
      </w:r>
      <w:r>
        <w:rPr>
          <w:rtl w:val="true"/>
        </w:rPr>
        <w:t>و من ولوغ الخنزیر سبعاً</w:t>
      </w:r>
      <w:r>
        <w:rPr>
          <w:rtl w:val="true"/>
        </w:rPr>
        <w:t>]</w:t>
      </w:r>
      <w:bookmarkEnd w:id="18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2098"/>
      </w:r>
      <w:r>
        <w:rPr>
          <w:rFonts w:ascii="IRNazanin" w:hAnsi="IRNazanin" w:eastAsia="IRNazanin"/>
          <w:color w:val="111111"/>
          <w:sz w:val="28"/>
          <w:sz w:val="28"/>
          <w:szCs w:val="28"/>
          <w:rtl w:val="true"/>
          <w:lang w:bidi="fa-IR"/>
        </w:rPr>
        <w:t>ولوغ الخنزیر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المشهور، إمّا مطلقاً کما عن الکفایة </w:t>
      </w:r>
      <w:r>
        <w:rPr>
          <w:rStyle w:val="FootnoteAnchor"/>
          <w:rtl w:val="true"/>
        </w:rPr>
        <w:footnoteReference w:id="2099"/>
      </w:r>
      <w:r>
        <w:rPr>
          <w:rFonts w:ascii="IRNazanin" w:hAnsi="IRNazanin" w:eastAsia="IRNazanin"/>
          <w:color w:val="111111"/>
          <w:sz w:val="28"/>
          <w:sz w:val="28"/>
          <w:szCs w:val="28"/>
          <w:rtl w:val="true"/>
          <w:lang w:bidi="fa-IR"/>
        </w:rPr>
        <w:t xml:space="preserve">، أو بین المتأخّرین کما فی الذخیرة </w:t>
      </w:r>
      <w:r>
        <w:rPr>
          <w:rStyle w:val="FootnoteAnchor"/>
          <w:rtl w:val="true"/>
        </w:rPr>
        <w:footnoteReference w:id="2100"/>
      </w:r>
      <w:r>
        <w:rPr>
          <w:rFonts w:ascii="IRNazanin" w:hAnsi="IRNazanin" w:eastAsia="IRNazanin"/>
          <w:color w:val="111111"/>
          <w:sz w:val="28"/>
          <w:sz w:val="28"/>
          <w:szCs w:val="28"/>
          <w:rtl w:val="true"/>
          <w:lang w:bidi="fa-IR"/>
        </w:rPr>
        <w:t>لصحیحة علیّ بن جعفر عن أخیه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إناء شرب منه خنزیر؟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سبعاً</w:t>
      </w:r>
      <w:r>
        <w:rPr>
          <w:rFonts w:eastAsia="IRNazanin" w:cs="IRNazanin"/>
          <w:color w:val="111111"/>
          <w:sz w:val="28"/>
          <w:szCs w:val="28"/>
          <w:rtl w:val="true"/>
          <w:lang w:bidi="fa-IR"/>
        </w:rPr>
        <w:t xml:space="preserve">» </w:t>
      </w:r>
      <w:r>
        <w:rPr>
          <w:rStyle w:val="FootnoteAnchor"/>
          <w:rtl w:val="true"/>
        </w:rPr>
        <w:footnoteReference w:id="2101"/>
      </w:r>
      <w:r>
        <w:rPr>
          <w:rFonts w:ascii="Amiri" w:hAnsi="Amiri" w:eastAsia="Amiri" w:cs="Amiri"/>
          <w:color w:val="111111"/>
          <w:sz w:val="28"/>
          <w:sz w:val="28"/>
          <w:szCs w:val="28"/>
          <w:rtl w:val="true"/>
          <w:lang w:bidi="ar-SA"/>
        </w:rPr>
        <w:t xml:space="preserve">خلافاً لإطلاق کثیرٍ </w:t>
      </w:r>
      <w:r>
        <w:rPr>
          <w:rStyle w:val="FootnoteAnchor"/>
          <w:rtl w:val="true"/>
        </w:rPr>
        <w:footnoteReference w:id="2102"/>
      </w:r>
      <w:r>
        <w:rPr>
          <w:rFonts w:ascii="IRNazanin" w:hAnsi="IRNazanin" w:eastAsia="IRNazanin"/>
          <w:color w:val="111111"/>
          <w:sz w:val="28"/>
          <w:sz w:val="28"/>
          <w:szCs w:val="28"/>
          <w:rtl w:val="true"/>
          <w:lang w:bidi="fa-IR"/>
        </w:rPr>
        <w:t xml:space="preserve">و صریح آخرین </w:t>
      </w:r>
      <w:r>
        <w:rPr>
          <w:rStyle w:val="FootnoteAnchor"/>
          <w:rtl w:val="true"/>
        </w:rPr>
        <w:footnoteReference w:id="2103"/>
      </w:r>
      <w:r>
        <w:rPr>
          <w:rFonts w:ascii="IRNazanin" w:hAnsi="IRNazanin" w:eastAsia="IRNazanin"/>
          <w:color w:val="111111"/>
          <w:sz w:val="28"/>
          <w:sz w:val="28"/>
          <w:szCs w:val="28"/>
          <w:rtl w:val="true"/>
          <w:lang w:bidi="fa-IR"/>
        </w:rPr>
        <w:t>، فاقتصروا علی الواحدة، و هو محجوج بالصحیح المعمول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علی الاستحباب کما عن المعتبر لا نجد له شاهداً کما اعترف به</w:t>
      </w:r>
    </w:p>
    <w:p>
      <w:pPr>
        <w:pStyle w:val="BookText"/>
        <w:rPr/>
      </w:pPr>
      <w:r>
        <w:rPr>
          <w:rFonts w:ascii="Amiri" w:hAnsi="Amiri" w:eastAsia="Amiri" w:cs="Amiri"/>
          <w:color w:val="111111"/>
          <w:sz w:val="28"/>
          <w:sz w:val="28"/>
          <w:szCs w:val="28"/>
          <w:rtl w:val="true"/>
          <w:lang w:bidi="ar-SA"/>
        </w:rPr>
        <w:t xml:space="preserve">جماعة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المحقّق قدّس سرّه لم یجد فیمن تقدّم علیه قائلًا بالسبع </w:t>
      </w:r>
      <w:r>
        <w:rPr>
          <w:rStyle w:val="FootnoteAnchor"/>
          <w:rtl w:val="true"/>
        </w:rPr>
        <w:footnoteReference w:id="2105"/>
      </w:r>
      <w:r>
        <w:rPr>
          <w:rFonts w:ascii="IRNazanin" w:hAnsi="IRNazanin" w:eastAsia="IRNazanin"/>
          <w:color w:val="111111"/>
          <w:sz w:val="28"/>
          <w:sz w:val="28"/>
          <w:szCs w:val="28"/>
          <w:rtl w:val="true"/>
          <w:lang w:bidi="fa-IR"/>
        </w:rPr>
        <w:t>، فالصحیحة عنده کانت غیر معمول بها، و هو موهن عنده فی الروایة و إن کان صحیحة، بل قد یذکر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حسنة لکنّ العامل بها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کان، فیرفع هذا الوهن بشهرة المتأخّرین علی العمل بمضمونها، و بها یضعّف قول من جعلها کسائر النجاسات کما حکاه کاشف اللثام عن ظاهر الأکثر </w:t>
      </w:r>
      <w:r>
        <w:rPr>
          <w:rStyle w:val="FootnoteAnchor"/>
          <w:rtl w:val="true"/>
        </w:rPr>
        <w:footnoteReference w:id="2106"/>
      </w:r>
      <w:r>
        <w:rPr>
          <w:rFonts w:ascii="IRNazanin" w:hAnsi="IRNazanin" w:eastAsia="IRNazanin"/>
          <w:color w:val="111111"/>
          <w:sz w:val="28"/>
          <w:sz w:val="28"/>
          <w:szCs w:val="28"/>
          <w:rtl w:val="true"/>
          <w:lang w:bidi="fa-IR"/>
        </w:rPr>
        <w:t>، أو صرّح فیه بکفایة المرّة کالمحکیّ عن المقنعة، و فیها بعد بیان حکم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حکم غیر الکلب کذلک، بل یهراق ما فیها و یغسل مرّةً واحدة بالماء </w:t>
      </w:r>
      <w:r>
        <w:rPr>
          <w:rStyle w:val="FootnoteAnchor"/>
          <w:rtl w:val="true"/>
        </w:rPr>
        <w:footnoteReference w:id="2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أقرب منه </w:t>
      </w:r>
      <w:r>
        <w:rPr>
          <w:rStyle w:val="FootnoteAnchor"/>
          <w:rtl w:val="true"/>
        </w:rPr>
        <w:footnoteReference w:id="2108"/>
      </w:r>
      <w:r>
        <w:rPr>
          <w:rFonts w:ascii="IRNazanin" w:hAnsi="IRNazanin" w:eastAsia="IRNazanin"/>
          <w:color w:val="111111"/>
          <w:sz w:val="28"/>
          <w:sz w:val="28"/>
          <w:szCs w:val="28"/>
          <w:rtl w:val="true"/>
          <w:lang w:bidi="fa-IR"/>
        </w:rPr>
        <w:t>کلام المحقّق</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یلحق بالخنزیر موت الجُرَذ فی الإناء؟ قولان، الأشهر نعم، کما عن النهایة </w:t>
      </w:r>
      <w:r>
        <w:rPr>
          <w:rStyle w:val="FootnoteAnchor"/>
          <w:rtl w:val="true"/>
        </w:rPr>
        <w:footnoteReference w:id="2109"/>
      </w:r>
      <w:r>
        <w:rPr>
          <w:rFonts w:ascii="IRNazanin" w:hAnsi="IRNazanin" w:eastAsia="IRNazanin"/>
          <w:color w:val="111111"/>
          <w:sz w:val="28"/>
          <w:sz w:val="28"/>
          <w:szCs w:val="28"/>
          <w:rtl w:val="true"/>
          <w:lang w:bidi="fa-IR"/>
        </w:rPr>
        <w:t xml:space="preserve">و الوسیلة </w:t>
      </w:r>
      <w:r>
        <w:rPr>
          <w:rStyle w:val="FootnoteAnchor"/>
          <w:rtl w:val="true"/>
        </w:rPr>
        <w:footnoteReference w:id="2110"/>
      </w:r>
      <w:r>
        <w:rPr>
          <w:rFonts w:ascii="IRNazanin" w:hAnsi="IRNazanin" w:eastAsia="IRNazanin"/>
          <w:color w:val="111111"/>
          <w:sz w:val="28"/>
          <w:sz w:val="28"/>
          <w:szCs w:val="28"/>
          <w:rtl w:val="true"/>
          <w:lang w:bidi="fa-IR"/>
        </w:rPr>
        <w:t xml:space="preserve">و الذکری </w:t>
      </w:r>
      <w:r>
        <w:rPr>
          <w:rStyle w:val="FootnoteAnchor"/>
          <w:rtl w:val="true"/>
        </w:rPr>
        <w:footnoteReference w:id="2111"/>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112"/>
      </w:r>
      <w:r>
        <w:rPr>
          <w:rFonts w:ascii="Amiri" w:hAnsi="Amiri" w:eastAsia="Amiri" w:cs="Amiri"/>
          <w:color w:val="111111"/>
          <w:sz w:val="28"/>
          <w:sz w:val="28"/>
          <w:szCs w:val="28"/>
          <w:rtl w:val="true"/>
          <w:lang w:bidi="ar-SA"/>
        </w:rPr>
        <w:t>للأصل، و لموثّقة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یغسل الإناء الذی تصیب فیه الجُرَذ میتاً</w:t>
      </w:r>
    </w:p>
    <w:p>
      <w:pPr>
        <w:pStyle w:val="BookText"/>
        <w:rPr/>
      </w:pPr>
      <w:r>
        <w:rPr>
          <w:rFonts w:ascii="Amiri" w:hAnsi="Amiri" w:eastAsia="Amiri" w:cs="Amiri"/>
          <w:color w:val="111111"/>
          <w:sz w:val="28"/>
          <w:sz w:val="28"/>
          <w:szCs w:val="28"/>
          <w:rtl w:val="true"/>
          <w:lang w:bidi="ar-SA"/>
        </w:rPr>
        <w:t xml:space="preserve">سبعاً </w:t>
      </w:r>
      <w:r>
        <w:rPr>
          <w:rStyle w:val="FootnoteAnchor"/>
          <w:rtl w:val="true"/>
        </w:rPr>
        <w:footnoteReference w:id="2113"/>
      </w:r>
      <w:r>
        <w:rPr>
          <w:rFonts w:ascii="Amiri" w:hAnsi="Amiri" w:eastAsia="Amiri" w:cs="Amiri"/>
          <w:color w:val="111111"/>
          <w:sz w:val="28"/>
          <w:sz w:val="28"/>
          <w:szCs w:val="28"/>
          <w:rtl w:val="true"/>
          <w:lang w:bidi="ar-SA"/>
        </w:rPr>
        <w:t>، و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ضعف عمّار منجبر بالشهرة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للمحکیّ عن الخلاف </w:t>
      </w:r>
      <w:r>
        <w:rPr>
          <w:rStyle w:val="FootnoteAnchor"/>
          <w:rtl w:val="true"/>
        </w:rPr>
        <w:footnoteReference w:id="2115"/>
      </w:r>
      <w:r>
        <w:rPr>
          <w:rFonts w:ascii="IRNazanin" w:hAnsi="IRNazanin" w:eastAsia="IRNazanin"/>
          <w:color w:val="111111"/>
          <w:sz w:val="28"/>
          <w:sz w:val="28"/>
          <w:szCs w:val="28"/>
          <w:rtl w:val="true"/>
          <w:lang w:bidi="fa-IR"/>
        </w:rPr>
        <w:t xml:space="preserve">و النافع </w:t>
      </w:r>
      <w:r>
        <w:rPr>
          <w:rStyle w:val="FootnoteAnchor"/>
          <w:rtl w:val="true"/>
        </w:rPr>
        <w:footnoteReference w:id="2116"/>
      </w:r>
      <w:r>
        <w:rPr>
          <w:rFonts w:ascii="IRNazanin" w:hAnsi="IRNazanin" w:eastAsia="IRNazanin"/>
          <w:color w:val="111111"/>
          <w:sz w:val="28"/>
          <w:sz w:val="28"/>
          <w:szCs w:val="28"/>
          <w:rtl w:val="true"/>
          <w:lang w:bidi="fa-IR"/>
        </w:rPr>
        <w:t xml:space="preserve">و المعتبر </w:t>
      </w:r>
      <w:r>
        <w:rPr>
          <w:rStyle w:val="FootnoteAnchor"/>
          <w:rtl w:val="true"/>
        </w:rPr>
        <w:footnoteReference w:id="2117"/>
      </w:r>
      <w:r>
        <w:rPr>
          <w:rFonts w:ascii="IRNazanin" w:hAnsi="IRNazanin" w:eastAsia="IRNazanin"/>
          <w:color w:val="111111"/>
          <w:sz w:val="28"/>
          <w:sz w:val="28"/>
          <w:szCs w:val="28"/>
          <w:rtl w:val="true"/>
          <w:lang w:bidi="fa-IR"/>
        </w:rPr>
        <w:t xml:space="preserve">و القواعد </w:t>
      </w:r>
      <w:r>
        <w:rPr>
          <w:rStyle w:val="FootnoteAnchor"/>
          <w:rtl w:val="true"/>
        </w:rPr>
        <w:footnoteReference w:id="2118"/>
      </w:r>
      <w:r>
        <w:rPr>
          <w:rFonts w:ascii="IRNazanin" w:hAnsi="IRNazanin" w:eastAsia="IRNazanin"/>
          <w:color w:val="111111"/>
          <w:sz w:val="28"/>
          <w:sz w:val="28"/>
          <w:szCs w:val="28"/>
          <w:rtl w:val="true"/>
          <w:lang w:bidi="fa-IR"/>
        </w:rPr>
        <w:t xml:space="preserve">فالثلاث؛ لعموم الموثّقة الآتیة بوجوب غسل الإناء ثلاثاً </w:t>
      </w:r>
      <w:r>
        <w:rPr>
          <w:rStyle w:val="FootnoteAnchor"/>
          <w:rtl w:val="true"/>
        </w:rPr>
        <w:footnoteReference w:id="2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المقیّد یحکَّم علی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للمحکیّ عن ظاهر جماعةٍ و صریح ما مرّ من المقنعة </w:t>
      </w:r>
      <w:r>
        <w:rPr>
          <w:rStyle w:val="FootnoteAnchor"/>
          <w:rtl w:val="true"/>
        </w:rPr>
        <w:footnoteReference w:id="2120"/>
      </w:r>
      <w:r>
        <w:rPr>
          <w:rFonts w:ascii="IRNazanin" w:hAnsi="IRNazanin" w:eastAsia="IRNazanin"/>
          <w:color w:val="111111"/>
          <w:sz w:val="28"/>
          <w:sz w:val="28"/>
          <w:szCs w:val="28"/>
          <w:rtl w:val="true"/>
          <w:lang w:bidi="fa-IR"/>
        </w:rPr>
        <w:t>فیکفی الواحدة، و عن ظاهر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المرّتین </w:t>
      </w:r>
      <w:r>
        <w:rPr>
          <w:rStyle w:val="FootnoteAnchor"/>
          <w:rtl w:val="true"/>
        </w:rPr>
        <w:footnoteReference w:id="2121"/>
      </w:r>
      <w:r>
        <w:rPr>
          <w:rFonts w:ascii="IRNazanin" w:hAnsi="IRNazanin" w:eastAsia="IRNazanin"/>
          <w:color w:val="111111"/>
          <w:sz w:val="28"/>
          <w:sz w:val="28"/>
          <w:szCs w:val="28"/>
          <w:rtl w:val="true"/>
          <w:lang w:bidi="fa-IR"/>
        </w:rPr>
        <w:t>، و کلاهما ضعیفان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الجُرَذ کعُمَر علی ما عن مجمع البحرین </w:t>
      </w:r>
      <w:r>
        <w:rPr>
          <w:rStyle w:val="FootnoteAnchor"/>
          <w:rtl w:val="true"/>
        </w:rPr>
        <w:footnoteReference w:id="2122"/>
      </w:r>
      <w:r>
        <w:rPr>
          <w:rFonts w:ascii="IRNazanin" w:hAnsi="IRNazanin" w:eastAsia="IRNazanin"/>
          <w:color w:val="111111"/>
          <w:sz w:val="28"/>
          <w:sz w:val="28"/>
          <w:szCs w:val="28"/>
          <w:rtl w:val="true"/>
          <w:lang w:bidi="fa-IR"/>
        </w:rPr>
        <w:t xml:space="preserve">هو الذکر من الفیران کما عن العین </w:t>
      </w:r>
      <w:r>
        <w:rPr>
          <w:rStyle w:val="FootnoteAnchor"/>
          <w:rtl w:val="true"/>
        </w:rPr>
        <w:footnoteReference w:id="2123"/>
      </w:r>
      <w:r>
        <w:rPr>
          <w:rFonts w:ascii="IRNazanin" w:hAnsi="IRNazanin" w:eastAsia="IRNazanin"/>
          <w:color w:val="111111"/>
          <w:sz w:val="28"/>
          <w:sz w:val="28"/>
          <w:szCs w:val="28"/>
          <w:rtl w:val="true"/>
          <w:lang w:bidi="fa-IR"/>
        </w:rPr>
        <w:t xml:space="preserve">و المحیط </w:t>
      </w:r>
      <w:r>
        <w:rPr>
          <w:rStyle w:val="FootnoteAnchor"/>
          <w:rtl w:val="true"/>
        </w:rPr>
        <w:footnoteReference w:id="2124"/>
      </w:r>
      <w:r>
        <w:rPr>
          <w:rFonts w:ascii="IRNazanin" w:hAnsi="IRNazanin" w:eastAsia="IRNazanin"/>
          <w:color w:val="111111"/>
          <w:sz w:val="28"/>
          <w:sz w:val="28"/>
          <w:szCs w:val="28"/>
          <w:rtl w:val="true"/>
          <w:lang w:bidi="fa-IR"/>
        </w:rPr>
        <w:t>، و عن النهایة الأثیریّة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الذکر الکبیر منها </w:t>
      </w:r>
      <w:r>
        <w:rPr>
          <w:rStyle w:val="FootnoteAnchor"/>
          <w:rtl w:val="true"/>
        </w:rPr>
        <w:footnoteReference w:id="2125"/>
      </w:r>
      <w:r>
        <w:rPr>
          <w:rFonts w:ascii="IRNazanin" w:hAnsi="IRNazanin" w:eastAsia="IRNazanin"/>
          <w:color w:val="111111"/>
          <w:sz w:val="28"/>
          <w:sz w:val="28"/>
          <w:szCs w:val="28"/>
          <w:rtl w:val="true"/>
          <w:lang w:bidi="fa-IR"/>
        </w:rPr>
        <w:t>، و عن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ضرب من الفار </w:t>
      </w:r>
      <w:r>
        <w:rPr>
          <w:rStyle w:val="FootnoteAnchor"/>
          <w:rtl w:val="true"/>
        </w:rPr>
        <w:footnoteReference w:id="2126"/>
      </w:r>
      <w:r>
        <w:rPr>
          <w:rFonts w:ascii="IRNazanin" w:hAnsi="IRNazanin" w:eastAsia="IRNazanin"/>
          <w:color w:val="111111"/>
          <w:sz w:val="28"/>
          <w:sz w:val="28"/>
          <w:szCs w:val="28"/>
          <w:rtl w:val="true"/>
          <w:lang w:bidi="fa-IR"/>
        </w:rPr>
        <w:t>، و عن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ضرب منها أعظم من</w:t>
      </w:r>
    </w:p>
    <w:p>
      <w:pPr>
        <w:pStyle w:val="BookText"/>
        <w:rPr/>
      </w:pPr>
      <w:r>
        <w:rPr>
          <w:rFonts w:ascii="IRNazanin" w:hAnsi="IRNazanin" w:eastAsia="IRNazanin"/>
          <w:color w:val="111111"/>
          <w:sz w:val="28"/>
          <w:sz w:val="28"/>
          <w:szCs w:val="28"/>
          <w:rtl w:val="true"/>
          <w:lang w:bidi="fa-IR"/>
        </w:rPr>
        <w:t xml:space="preserve">الیربوع الذی فی ذنبه سواد </w:t>
      </w:r>
      <w:r>
        <w:rPr>
          <w:rStyle w:val="FootnoteAnchor"/>
          <w:rtl w:val="true"/>
        </w:rPr>
        <w:footnoteReference w:id="2127"/>
      </w:r>
      <w:r>
        <w:rPr>
          <w:rFonts w:ascii="IRNazanin" w:hAnsi="IRNazanin" w:eastAsia="IRNazanin"/>
          <w:color w:val="111111"/>
          <w:sz w:val="28"/>
          <w:sz w:val="28"/>
          <w:szCs w:val="28"/>
          <w:rtl w:val="true"/>
          <w:lang w:bidi="fa-IR"/>
        </w:rPr>
        <w:t>، و عن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الفرق بین الجُرَذ و الفار کالفرق بین الجوامیس و البقر و البخاتی و العراب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فالکلّ متّفق علی أنّه لیس مطلق الفار، فما عن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الظاهر عدم التفاوت؛ لصدق اسم الفار علی الجمیع کما صرّح به جمع من الأصحاب و إن توقّف فیه صاحب المعتبر </w:t>
      </w:r>
      <w:r>
        <w:rPr>
          <w:rStyle w:val="FootnoteAnchor"/>
          <w:rtl w:val="true"/>
        </w:rPr>
        <w:footnoteReference w:id="2129"/>
      </w:r>
      <w:r>
        <w:rPr>
          <w:rFonts w:ascii="IRNazanin" w:hAnsi="IRNazanin" w:eastAsia="IRNazanin"/>
          <w:color w:val="111111"/>
          <w:sz w:val="28"/>
          <w:sz w:val="28"/>
          <w:szCs w:val="28"/>
          <w:rtl w:val="true"/>
          <w:lang w:bidi="fa-IR"/>
        </w:rPr>
        <w:t>،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مراده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صرّح به جمع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النهایة </w:t>
      </w:r>
      <w:r>
        <w:rPr>
          <w:rStyle w:val="FootnoteAnchor"/>
          <w:rtl w:val="true"/>
        </w:rPr>
        <w:footnoteReference w:id="2130"/>
      </w:r>
      <w:r>
        <w:rPr>
          <w:rFonts w:ascii="IRNazanin" w:hAnsi="IRNazanin" w:eastAsia="IRNazanin"/>
          <w:color w:val="111111"/>
          <w:sz w:val="28"/>
          <w:sz w:val="28"/>
          <w:szCs w:val="28"/>
          <w:rtl w:val="true"/>
          <w:lang w:bidi="fa-IR"/>
        </w:rPr>
        <w:t xml:space="preserve">و الوسیلة </w:t>
      </w:r>
      <w:r>
        <w:rPr>
          <w:rStyle w:val="FootnoteAnchor"/>
          <w:rtl w:val="true"/>
        </w:rPr>
        <w:footnoteReference w:id="2131"/>
      </w:r>
      <w:r>
        <w:rPr>
          <w:rFonts w:ascii="IRNazanin" w:hAnsi="IRNazanin" w:eastAsia="IRNazanin"/>
          <w:color w:val="111111"/>
          <w:sz w:val="28"/>
          <w:sz w:val="28"/>
          <w:szCs w:val="28"/>
          <w:rtl w:val="true"/>
          <w:lang w:bidi="fa-IR"/>
        </w:rPr>
        <w:t xml:space="preserve">و البیان </w:t>
      </w:r>
      <w:r>
        <w:rPr>
          <w:rStyle w:val="FootnoteAnchor"/>
          <w:rtl w:val="true"/>
        </w:rPr>
        <w:footnoteReference w:id="2132"/>
      </w:r>
      <w:r>
        <w:rPr>
          <w:rFonts w:ascii="IRNazanin" w:hAnsi="IRNazanin" w:eastAsia="IRNazanin"/>
          <w:color w:val="111111"/>
          <w:sz w:val="28"/>
          <w:sz w:val="28"/>
          <w:szCs w:val="28"/>
          <w:rtl w:val="true"/>
          <w:lang w:bidi="fa-IR"/>
        </w:rPr>
        <w:t>علی ما حکی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مشکل؛ لعدم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حکی عن الشیخ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الإناء من الخمر سبعاً، و روی مثل ذلک فی الفأر إذا مات فی الإناء </w:t>
      </w:r>
      <w:r>
        <w:rPr>
          <w:rStyle w:val="FootnoteAnchor"/>
          <w:rtl w:val="true"/>
        </w:rPr>
        <w:footnoteReference w:id="2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مع قوّة احتمال إرادة الموثّقة المذکورة لا یکفی المرسلة المجرّدة عن الجابر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کتاب الطهارة بحمد اللّٰه تعالی طهّرنا اللّٰه من الأرجاس القولیّة و العملیّة بمحمّد و آله سادات البریّة صلوات اللّٰه علیهم أجمعین و الحمد للّٰه ربّ العالمین</w:t>
      </w:r>
      <w:bookmarkStart w:id="186" w:name="pg16911_259819"/>
    </w:p>
    <w:p>
      <w:pPr>
        <w:pStyle w:val="Heading3"/>
        <w:numPr>
          <w:ilvl w:val="2"/>
          <w:numId w:val="1"/>
        </w:numPr>
        <w:rPr/>
      </w:pPr>
      <w:bookmarkStart w:id="187" w:name="__RefHeading___Toc6618748_3224264995"/>
      <w:bookmarkStart w:id="188" w:name="_Toc69"/>
      <w:bookmarkEnd w:id="186"/>
      <w:bookmarkEnd w:id="187"/>
      <w:r>
        <w:rPr>
          <w:rtl w:val="true"/>
        </w:rPr>
        <w:t>[</w:t>
      </w:r>
      <w:r>
        <w:rPr>
          <w:rtl w:val="true"/>
        </w:rPr>
        <w:t>ملحق</w:t>
      </w:r>
      <w:r>
        <w:rPr>
          <w:rtl w:val="true"/>
        </w:rPr>
        <w:t>] [</w:t>
      </w:r>
      <w:r>
        <w:rPr>
          <w:rtl w:val="true"/>
        </w:rPr>
        <w:t>فی التیمّم</w:t>
      </w:r>
      <w:bookmarkEnd w:id="18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التیمّم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لا دلیل علیه </w:t>
      </w:r>
      <w:r>
        <w:rPr>
          <w:rStyle w:val="FootnoteAnchor"/>
          <w:rtl w:val="true"/>
        </w:rPr>
        <w:footnoteReference w:id="2135"/>
      </w:r>
      <w:r>
        <w:rPr>
          <w:rFonts w:ascii="IRNazanin" w:hAnsi="IRNazanin" w:eastAsia="IRNazanin"/>
          <w:color w:val="111111"/>
          <w:sz w:val="28"/>
          <w:sz w:val="28"/>
          <w:szCs w:val="28"/>
          <w:rtl w:val="true"/>
          <w:lang w:bidi="fa-IR"/>
        </w:rPr>
        <w:t>إلّا قوله علیه السلام فی صحیحة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الماء</w:t>
      </w:r>
      <w:r>
        <w:rPr>
          <w:rFonts w:eastAsia="IRNazanin" w:cs="IRNazanin"/>
          <w:color w:val="111111"/>
          <w:sz w:val="28"/>
          <w:szCs w:val="28"/>
          <w:rtl w:val="true"/>
          <w:lang w:bidi="fa-IR"/>
        </w:rPr>
        <w:t xml:space="preserve">» </w:t>
      </w:r>
      <w:r>
        <w:rPr>
          <w:rStyle w:val="FootnoteAnchor"/>
          <w:rtl w:val="true"/>
        </w:rPr>
        <w:footnoteReference w:id="2136"/>
      </w:r>
      <w:r>
        <w:rPr>
          <w:rFonts w:ascii="IRNazanin" w:hAnsi="IRNazanin" w:eastAsia="IRNazanin"/>
          <w:color w:val="111111"/>
          <w:sz w:val="28"/>
          <w:sz w:val="28"/>
          <w:szCs w:val="28"/>
          <w:rtl w:val="true"/>
          <w:lang w:bidi="fa-IR"/>
        </w:rPr>
        <w:t>و فی عمومه لمثل هذا الحکم نظر، بل الظاهر کونه بمنزلته فی الآثار، لا فی ما یعتبر فیه و ما لا یعتبر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مُنِع من ظهور الأخبار فی الموالاة بدعوی کونها لمجرّد بیان الکیفیّة لم یوجد دلیل علی اعتبار الموالاة فی بدل الوضوء أیضاً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بذلک ضعف ما قوّاه المصنّف من التفصیل، و أنّه یجوز تفریقه مع</w:t>
      </w:r>
    </w:p>
    <w:p>
      <w:pPr>
        <w:pStyle w:val="BookText"/>
        <w:rPr/>
      </w:pPr>
      <w:r>
        <w:rPr>
          <w:rFonts w:ascii="IRNazanin" w:hAnsi="IRNazanin" w:eastAsia="IRNazanin"/>
          <w:color w:val="111111"/>
          <w:sz w:val="28"/>
          <w:sz w:val="28"/>
          <w:szCs w:val="28"/>
          <w:rtl w:val="true"/>
          <w:lang w:bidi="fa-IR"/>
        </w:rPr>
        <w:t>کونه بدلًا عن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بالموالاة المعتبرة فی التیمّم هو تتابع الضرب و المسحات و عدم تفریقها؛ لعدم تعقّل اعتبار الجفاف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ذلک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الفصل بما لا یُعدّ تفریقاً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تقدیر التفریق یقتضی عموم المنزلة حصول الإثم؛ لأنّه الثابت فی المبدل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استفید وجوب الموالاة من ظاهر الأخبار </w:t>
      </w:r>
      <w:r>
        <w:rPr>
          <w:rStyle w:val="FootnoteAnchor"/>
          <w:rtl w:val="true"/>
        </w:rPr>
        <w:footnoteReference w:id="2137"/>
      </w:r>
      <w:r>
        <w:rPr>
          <w:rFonts w:ascii="IRNazanin" w:hAnsi="IRNazanin" w:eastAsia="IRNazanin"/>
          <w:color w:val="111111"/>
          <w:sz w:val="28"/>
          <w:sz w:val="28"/>
          <w:szCs w:val="28"/>
          <w:rtl w:val="true"/>
          <w:lang w:bidi="fa-IR"/>
        </w:rPr>
        <w:t>الحاکیة لکیفیّة التیمّم، اتّجه الحکم بالبطلان؛ لخروجه بالتفریق عن الکیفیّة المبیّنة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لأفعال التیمّم حتّی الضرب و إن لم نقل بکونه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لتوجّه الخطاب إلی نفس المکلّف، فما لم یباشرها لم یسقط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فتصحّ التولیة إجماعاً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ما ورد فی المجدور الذی أصابته جنابة فغسّلوه فمات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یمّموه</w:t>
      </w:r>
      <w:r>
        <w:rPr>
          <w:rFonts w:eastAsia="IRNazanin" w:cs="IRNazanin"/>
          <w:color w:val="111111"/>
          <w:sz w:val="28"/>
          <w:szCs w:val="28"/>
          <w:rtl w:val="true"/>
          <w:lang w:bidi="fa-IR"/>
        </w:rPr>
        <w:t xml:space="preserve">»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موضع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الأخبار منه عین و لا أثر، إلّا أنّه أحوط</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اعتبار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مع عدم تعدّی النجاسة إلی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 من صحّة التیمّم به؛ بناءً علی اشتراط طهارته کما هو ظاهر الآیة </w:t>
      </w:r>
      <w:r>
        <w:rPr>
          <w:rStyle w:val="FootnoteAnchor"/>
          <w:rtl w:val="true"/>
        </w:rPr>
        <w:footnoteReference w:id="2139"/>
      </w:r>
      <w:r>
        <w:rPr>
          <w:rFonts w:ascii="IRNazanin" w:hAnsi="IRNazanin" w:eastAsia="IRNazanin"/>
          <w:color w:val="111111"/>
          <w:sz w:val="28"/>
          <w:sz w:val="28"/>
          <w:szCs w:val="28"/>
          <w:rtl w:val="true"/>
          <w:lang w:bidi="fa-IR"/>
        </w:rPr>
        <w:t>، و ظاهره أنّه لا یصحّ مع التعدّی و عدم إمکان التجفیف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سؤال الفرق بین طهارة موضع المسح و طهارة التراب، حیث جعل الأوّل شرطاً اختیاریّاً و الثانی شرطاً مطلقاً،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اشتراط الأوّل لمّا کان بالإجماع لم یحسن فی صورة الاضطرار، و أمّا اشتراط الثانی فلظاهر الآیة، و هی ظاهرة فی الشرطیّة المطلقة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خلوّ غیر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الممسوحة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2140"/>
      </w:r>
      <w:r>
        <w:rPr>
          <w:rFonts w:ascii="IRNazanin" w:hAnsi="IRNazanin" w:eastAsia="IRNazanin"/>
          <w:color w:val="111111"/>
          <w:sz w:val="28"/>
          <w:sz w:val="28"/>
          <w:szCs w:val="28"/>
          <w:rtl w:val="true"/>
          <w:lang w:bidi="fa-IR"/>
        </w:rPr>
        <w:t>النجاسة فی أقوی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و جماعة </w:t>
      </w:r>
      <w:r>
        <w:rPr>
          <w:rStyle w:val="FootnoteAnchor"/>
          <w:rtl w:val="true"/>
        </w:rPr>
        <w:footnoteReference w:id="2141"/>
      </w:r>
      <w:r>
        <w:rPr>
          <w:rFonts w:ascii="IRNazanin" w:hAnsi="IRNazanin" w:eastAsia="IRNazanin"/>
          <w:color w:val="111111"/>
          <w:sz w:val="28"/>
          <w:sz w:val="28"/>
          <w:szCs w:val="28"/>
          <w:rtl w:val="true"/>
          <w:lang w:bidi="fa-IR"/>
        </w:rPr>
        <w:t>لعدم الدلیل علیه إلّا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ابتنائه علی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w:t>
      </w:r>
      <w:r>
        <w:rPr>
          <w:rStyle w:val="FootnoteAnchor"/>
          <w:rtl w:val="true"/>
        </w:rPr>
        <w:footnoteReference w:id="2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شرائط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الاستنجاء و إزالة النجاسة علیه إن اعتبرنا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المراد بآخر الوقت الذی لا یصحّ التیمّم إلّا فیه هو ما لا یسع أزید من التیمّم و الصلاة، اختاره فی المدارک </w:t>
      </w:r>
      <w:r>
        <w:rPr>
          <w:rStyle w:val="FootnoteAnchor"/>
          <w:rtl w:val="true"/>
        </w:rPr>
        <w:footnoteReference w:id="2143"/>
      </w:r>
      <w:r>
        <w:rPr>
          <w:rFonts w:ascii="IRNazanin" w:hAnsi="IRNazanin" w:eastAsia="IRNazanin"/>
          <w:color w:val="111111"/>
          <w:sz w:val="28"/>
          <w:sz w:val="28"/>
          <w:szCs w:val="28"/>
          <w:rtl w:val="true"/>
          <w:lang w:bidi="fa-IR"/>
        </w:rPr>
        <w:t>، حاکیاً له عن صریح المعتبر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ضعّف هذا الابتناء المصنّف قدّس سرّه فی الذکری </w:t>
      </w:r>
      <w:r>
        <w:rPr>
          <w:rStyle w:val="FootnoteAnchor"/>
          <w:rtl w:val="true"/>
        </w:rPr>
        <w:footnoteReference w:id="2144"/>
      </w:r>
      <w:r>
        <w:rPr>
          <w:rFonts w:ascii="IRNazanin" w:hAnsi="IRNazanin" w:eastAsia="IRNazanin"/>
          <w:color w:val="111111"/>
          <w:sz w:val="28"/>
          <w:sz w:val="28"/>
          <w:szCs w:val="28"/>
          <w:rtl w:val="true"/>
          <w:lang w:bidi="fa-IR"/>
        </w:rPr>
        <w:t xml:space="preserve">کما حکی عنه و الشهید الثانی فی المسالک </w:t>
      </w:r>
      <w:r>
        <w:rPr>
          <w:rStyle w:val="FootnoteAnchor"/>
          <w:rtl w:val="true"/>
        </w:rPr>
        <w:footnoteReference w:id="2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ضیقه عن أداء الصلاة و شرائطها التی منها إزالة النجاسة، فلا فرق بین تقدیم الإزالة علی التیمّم و تأخیرها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التضعیف ضعیف؛ لأنّ الظاهر من أخبار </w:t>
      </w:r>
      <w:r>
        <w:rPr>
          <w:rStyle w:val="FootnoteAnchor"/>
          <w:rtl w:val="true"/>
        </w:rPr>
        <w:footnoteReference w:id="2146"/>
      </w:r>
      <w:r>
        <w:rPr>
          <w:rFonts w:ascii="IRNazanin" w:hAnsi="IRNazanin" w:eastAsia="IRNazanin"/>
          <w:color w:val="111111"/>
          <w:sz w:val="28"/>
          <w:sz w:val="28"/>
          <w:szCs w:val="28"/>
          <w:rtl w:val="true"/>
          <w:lang w:bidi="fa-IR"/>
        </w:rPr>
        <w:t>تضیّق التیمّم سیّما ما عُلّل فیه التأخیر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فاته الماء لم تفته الأرض</w:t>
      </w:r>
      <w:r>
        <w:rPr>
          <w:rFonts w:eastAsia="IRNazanin" w:cs="IRNazanin"/>
          <w:color w:val="111111"/>
          <w:sz w:val="28"/>
          <w:szCs w:val="28"/>
          <w:rtl w:val="true"/>
          <w:lang w:bidi="fa-IR"/>
        </w:rPr>
        <w:t xml:space="preserve">» </w:t>
      </w:r>
      <w:r>
        <w:rPr>
          <w:rStyle w:val="FootnoteAnchor"/>
          <w:rtl w:val="true"/>
        </w:rPr>
        <w:footnoteReference w:id="2147"/>
      </w:r>
      <w:r>
        <w:rPr>
          <w:rFonts w:ascii="IRNazanin" w:hAnsi="IRNazanin" w:eastAsia="IRNazanin"/>
          <w:color w:val="111111"/>
          <w:sz w:val="28"/>
          <w:sz w:val="28"/>
          <w:szCs w:val="28"/>
          <w:rtl w:val="true"/>
          <w:lang w:bidi="fa-IR"/>
        </w:rPr>
        <w:t>فی أنّ المراد بضیق الوقت ضیقه عن التیمّم و الصلاة،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یستحبّ السواک، و التسمیة، و تفریج الأصابع عند الضرب، و نفض الیدین، و مسح الأقطع مستوعباً ما بقی، و أن لا یرفع یده عن العضو حتّی یکمل مسحه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یستحبّ تخلیل الأصابع فی المسح، و لا التکرار فی المسح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یستباح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یستباح بالمائیّة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قوله علیه السلام فی صحیحة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الماء</w:t>
      </w:r>
      <w:r>
        <w:rPr>
          <w:rFonts w:eastAsia="IRNazanin" w:cs="IRNazanin"/>
          <w:color w:val="111111"/>
          <w:sz w:val="28"/>
          <w:szCs w:val="28"/>
          <w:rtl w:val="true"/>
          <w:lang w:bidi="fa-IR"/>
        </w:rPr>
        <w:t xml:space="preserve">» </w:t>
      </w:r>
      <w:r>
        <w:rPr>
          <w:rStyle w:val="FootnoteAnchor"/>
          <w:rtl w:val="true"/>
        </w:rPr>
        <w:footnoteReference w:id="2149"/>
      </w:r>
      <w:r>
        <w:rPr>
          <w:rFonts w:ascii="Amiri" w:hAnsi="Amiri" w:eastAsia="Amiri" w:cs="Amiri"/>
          <w:color w:val="111111"/>
          <w:sz w:val="28"/>
          <w:sz w:val="28"/>
          <w:szCs w:val="28"/>
          <w:rtl w:val="true"/>
          <w:lang w:bidi="ar-SA"/>
        </w:rPr>
        <w:t>، و جمیل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التراب طهوراً کما جعل الماء طهوراً</w:t>
      </w:r>
      <w:r>
        <w:rPr>
          <w:rFonts w:eastAsia="Amiri" w:cs="Amiri" w:ascii="Amiri" w:hAnsi="Amiri"/>
          <w:color w:val="111111"/>
          <w:sz w:val="28"/>
          <w:szCs w:val="28"/>
          <w:rtl w:val="true"/>
          <w:lang w:bidi="ar-SA"/>
        </w:rPr>
        <w:t xml:space="preserve">» </w:t>
      </w:r>
      <w:r>
        <w:rPr>
          <w:rStyle w:val="FootnoteAnchor"/>
          <w:rtl w:val="true"/>
        </w:rPr>
        <w:footnoteReference w:id="2150"/>
      </w:r>
      <w:r>
        <w:rPr>
          <w:rFonts w:ascii="IRNazanin" w:hAnsi="IRNazanin" w:eastAsia="IRNazanin"/>
          <w:color w:val="111111"/>
          <w:sz w:val="28"/>
          <w:sz w:val="28"/>
          <w:szCs w:val="28"/>
          <w:rtl w:val="true"/>
          <w:lang w:bidi="fa-IR"/>
        </w:rPr>
        <w:t>، و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التیمّم أحد الطهورین</w:t>
      </w:r>
      <w:r>
        <w:rPr>
          <w:rFonts w:eastAsia="IRNazanin" w:cs="IRNazanin"/>
          <w:color w:val="111111"/>
          <w:sz w:val="28"/>
          <w:szCs w:val="28"/>
          <w:rtl w:val="true"/>
          <w:lang w:bidi="fa-IR"/>
        </w:rPr>
        <w:t xml:space="preserve">»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ذلک کلّه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التیمّم غسل المضطرّ و وضوؤه</w:t>
      </w:r>
      <w:r>
        <w:rPr>
          <w:rFonts w:eastAsia="IRNazanin" w:cs="IRNazanin"/>
          <w:color w:val="111111"/>
          <w:sz w:val="28"/>
          <w:szCs w:val="28"/>
          <w:rtl w:val="true"/>
          <w:lang w:bidi="fa-IR"/>
        </w:rPr>
        <w:t xml:space="preserve">» </w:t>
      </w:r>
      <w:r>
        <w:rPr>
          <w:rStyle w:val="FootnoteAnchor"/>
          <w:rtl w:val="true"/>
        </w:rPr>
        <w:footnoteReference w:id="215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الاستدلال علی ذلک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 الماء ربّ الصعید</w:t>
      </w:r>
      <w:r>
        <w:rPr>
          <w:rFonts w:eastAsia="IRNazanin" w:cs="IRNazanin"/>
          <w:color w:val="111111"/>
          <w:sz w:val="28"/>
          <w:szCs w:val="28"/>
          <w:rtl w:val="true"/>
          <w:lang w:bidi="fa-IR"/>
        </w:rPr>
        <w:t xml:space="preserve">» </w:t>
      </w:r>
      <w:r>
        <w:rPr>
          <w:rStyle w:val="FootnoteAnchor"/>
          <w:rtl w:val="true"/>
        </w:rPr>
        <w:footnoteReference w:id="21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154"/>
      </w:r>
      <w:r>
        <w:rPr>
          <w:rFonts w:ascii="IRNazanin" w:hAnsi="IRNazanin" w:eastAsia="IRNazanin"/>
          <w:color w:val="111111"/>
          <w:sz w:val="28"/>
          <w:sz w:val="28"/>
          <w:szCs w:val="28"/>
          <w:rtl w:val="true"/>
          <w:lang w:bidi="fa-IR"/>
        </w:rPr>
        <w:t>نظر؛ لأنّ الظاهر منه سیّما بملاحظة ما قبله هو أنّ المأمور بالتیمّم لأجل ما یشترط فیه الطهارة لا یجب علیه إعادته إذا فعله به؛ لأنّ الأمر بالطهارة المائیّة عند وجود الماء هو الأمر بالتیمّم بدلًا عنه عند عدمه، فقد أتی بما هو بدل الطهارة المائیّة بحکم الأمر بها، فلا یدلّ علی تمام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مقتضی إطلاق تلک الأخبار عموم إباحة ما تبیحه المائیّة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الطواف و دخول الکعبة علی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لمن منع من دخول الکعبة و ما یستلزمه کالطواف، و حکی عن فخر المحقّقین عدم إباحة اللبث فی مطلق المساجد؛ تمسّکاً بقوله تعالی وَ لٰا جُنُباً إِلّٰا عٰابِرِی سَبِیلٍ حَتَّیٰ تَغْتَسِلُوا </w:t>
      </w:r>
      <w:r>
        <w:rPr>
          <w:rFonts w:eastAsia="Amiri" w:cs="Amiri" w:ascii="Amiri" w:hAnsi="Amiri"/>
          <w:color w:val="111111"/>
          <w:sz w:val="28"/>
          <w:szCs w:val="28"/>
          <w:rtl w:val="true"/>
          <w:lang w:bidi="ar-SA"/>
        </w:rPr>
        <w:t xml:space="preserve">.. </w:t>
      </w:r>
      <w:r>
        <w:rPr>
          <w:rStyle w:val="FootnoteAnchor"/>
          <w:rtl w:val="true"/>
        </w:rPr>
        <w:footnoteReference w:id="2155"/>
      </w:r>
      <w:r>
        <w:rPr>
          <w:rFonts w:ascii="IRNazanin" w:hAnsi="IRNazanin" w:eastAsia="IRNazanin"/>
          <w:color w:val="111111"/>
          <w:sz w:val="28"/>
          <w:sz w:val="28"/>
          <w:szCs w:val="28"/>
          <w:rtl w:val="true"/>
          <w:lang w:bidi="fa-IR"/>
        </w:rPr>
        <w:t>حیث نهی عن أن یقرب الصلاة جنباً حتّی الاغتسال، و المراد من الصلاة بالنسبة إلی هذا الحکم محلّها و هو المسجد؛ بقرینة استثناء العبور، و أُلحق به مسّ المصحف؛ لعدم فرق الأُمّة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بعد تسلیم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دلّ بعمومه علی بدلیّة التیمّم للطهارتین وارد علی هذا الحکم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یبطل بالردّة، و لا بنزع العمامة و الخفّ، و لا بظنّ الماء أو شکّه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بالتمکّن من استعمال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بالإجماع و السنّة المستفیضة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وجده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p>
    <w:p>
      <w:pPr>
        <w:pStyle w:val="BookText"/>
        <w:rPr/>
      </w:pPr>
      <w:r>
        <w:rPr>
          <w:rFonts w:ascii="Amiri" w:hAnsi="Amiri" w:eastAsia="Amiri" w:cs="Amiri"/>
          <w:color w:val="111111"/>
          <w:sz w:val="28"/>
          <w:sz w:val="28"/>
          <w:szCs w:val="28"/>
          <w:rtl w:val="true"/>
          <w:lang w:bidi="ar-SA"/>
        </w:rPr>
        <w:t xml:space="preserve">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تدلّ علیه صحیحة الحلبی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أجنب و لم یجد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بالصعید، فإذا وجد الماء اغتسل و لا یعید الصلاة</w:t>
      </w:r>
      <w:r>
        <w:rPr>
          <w:rFonts w:eastAsia="IRNazanin" w:cs="IRNazanin"/>
          <w:color w:val="111111"/>
          <w:sz w:val="28"/>
          <w:szCs w:val="28"/>
          <w:rtl w:val="true"/>
          <w:lang w:bidi="fa-IR"/>
        </w:rPr>
        <w:t xml:space="preserve">»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 الماء و قد صلّی یتیمّم و هو فی 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صلاته و لا إعادة علیه</w:t>
      </w:r>
      <w:r>
        <w:rPr>
          <w:rFonts w:eastAsia="IRNazanin" w:cs="IRNazanin"/>
          <w:color w:val="111111"/>
          <w:sz w:val="28"/>
          <w:szCs w:val="28"/>
          <w:rtl w:val="true"/>
          <w:lang w:bidi="fa-IR"/>
        </w:rPr>
        <w:t xml:space="preserve">»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معاویة بن میسرة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فی السفر لا یجد الماء ثمّ صلّی </w:t>
      </w:r>
      <w:r>
        <w:rPr>
          <w:rStyle w:val="FootnoteAnchor"/>
          <w:rtl w:val="true"/>
        </w:rPr>
        <w:footnoteReference w:id="2160"/>
      </w:r>
      <w:r>
        <w:rPr>
          <w:rFonts w:ascii="IRNazanin" w:hAnsi="IRNazanin" w:eastAsia="IRNazanin"/>
          <w:color w:val="111111"/>
          <w:sz w:val="28"/>
          <w:sz w:val="28"/>
          <w:szCs w:val="28"/>
          <w:rtl w:val="true"/>
          <w:lang w:bidi="fa-IR"/>
        </w:rPr>
        <w:t>ثمّ أتی بالماء و علیه شی‌ءٌ من الوقت، أ یمضی علی صلاته، أم یتوضّأ و یعید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علی صلاته؛ فإنّ ربّ الماء هو رَبّ التراب</w:t>
      </w:r>
      <w:r>
        <w:rPr>
          <w:rFonts w:eastAsia="IRNazanin" w:cs="IRNazanin"/>
          <w:color w:val="111111"/>
          <w:sz w:val="28"/>
          <w:szCs w:val="28"/>
          <w:rtl w:val="true"/>
          <w:lang w:bidi="fa-IR"/>
        </w:rPr>
        <w:t xml:space="preserve">» </w:t>
      </w:r>
      <w:r>
        <w:rPr>
          <w:rStyle w:val="FootnoteAnchor"/>
          <w:rtl w:val="true"/>
        </w:rPr>
        <w:footnoteReference w:id="2161"/>
      </w:r>
      <w:r>
        <w:rPr>
          <w:rFonts w:ascii="IRNazanin" w:hAnsi="IRNazanin" w:eastAsia="IRNazanin"/>
          <w:color w:val="111111"/>
          <w:sz w:val="28"/>
          <w:sz w:val="28"/>
          <w:szCs w:val="28"/>
          <w:rtl w:val="true"/>
          <w:lang w:bidi="fa-IR"/>
        </w:rPr>
        <w:t xml:space="preserve">إلی غیر ذلک من الأخبار المستفیضة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صریح صحیحتی زرارة و معاویة و ظاهر غیرهما عدم لزوم الإعادة و لو فی الوقت، و مقتضی ظواهر الکلّ عدم الفرق فی الجنابة بین الإجناب تعمّداً و غیره، و لا بین الحاضر و المسافر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للمحکیّ عن القدیمین </w:t>
      </w:r>
      <w:r>
        <w:rPr>
          <w:rStyle w:val="FootnoteAnchor"/>
          <w:rtl w:val="true"/>
        </w:rPr>
        <w:footnoteReference w:id="2163"/>
      </w:r>
      <w:r>
        <w:rPr>
          <w:rFonts w:ascii="IRNazanin" w:hAnsi="IRNazanin" w:eastAsia="IRNazanin"/>
          <w:color w:val="111111"/>
          <w:sz w:val="28"/>
          <w:sz w:val="28"/>
          <w:szCs w:val="28"/>
          <w:rtl w:val="true"/>
          <w:lang w:bidi="fa-IR"/>
        </w:rPr>
        <w:t>فأوجبا الإعادة فی الوقت؛ لصحیحة یعقوب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تیمّم فصلّی فأصاب بعد صلاته ماءً، أ یتوضّأ و یعید الصلاة أم تجوز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وجد الماء قبل أن یمضی الوقت توضّأ و أعاد الصلاة، فإن مضی الوقت فلا إعادة علیه</w:t>
      </w:r>
      <w:r>
        <w:rPr>
          <w:rFonts w:eastAsia="IRNazanin" w:cs="IRNazanin"/>
          <w:color w:val="111111"/>
          <w:sz w:val="28"/>
          <w:szCs w:val="28"/>
          <w:rtl w:val="true"/>
          <w:lang w:bidi="fa-IR"/>
        </w:rPr>
        <w:t xml:space="preserve">» </w:t>
      </w:r>
      <w:r>
        <w:rPr>
          <w:rStyle w:val="FootnoteAnchor"/>
          <w:rtl w:val="true"/>
        </w:rPr>
        <w:footnoteReference w:id="2164"/>
      </w:r>
      <w:r>
        <w:rPr>
          <w:rFonts w:ascii="IRNazanin" w:hAnsi="IRNazanin" w:eastAsia="IRNazanin"/>
          <w:color w:val="111111"/>
          <w:sz w:val="28"/>
          <w:sz w:val="28"/>
          <w:szCs w:val="28"/>
          <w:rtl w:val="true"/>
          <w:lang w:bidi="fa-IR"/>
        </w:rPr>
        <w:t>، و أُجیب بالحمل علی الاستحباب، و لا بأس به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للمحکیّ عن الشیخ فی المبسوط، فأوجب الإعادة علی من تعمّد الجنابة </w:t>
      </w:r>
      <w:r>
        <w:rPr>
          <w:rStyle w:val="FootnoteAnchor"/>
          <w:rtl w:val="true"/>
        </w:rPr>
        <w:footnoteReference w:id="2165"/>
      </w:r>
      <w:r>
        <w:rPr>
          <w:rFonts w:ascii="Amiri" w:hAnsi="Amiri" w:eastAsia="Amiri" w:cs="Amiri"/>
          <w:color w:val="111111"/>
          <w:sz w:val="28"/>
          <w:sz w:val="28"/>
          <w:szCs w:val="28"/>
          <w:rtl w:val="true"/>
          <w:lang w:bidi="ar-SA"/>
        </w:rPr>
        <w:t xml:space="preserve">لأخبارٍ </w:t>
      </w:r>
      <w:r>
        <w:rPr>
          <w:rStyle w:val="FootnoteAnchor"/>
          <w:rtl w:val="true"/>
        </w:rPr>
        <w:footnoteReference w:id="2166"/>
      </w:r>
      <w:r>
        <w:rPr>
          <w:rFonts w:ascii="IRNazanin" w:hAnsi="IRNazanin" w:eastAsia="IRNazanin"/>
          <w:color w:val="111111"/>
          <w:sz w:val="28"/>
          <w:sz w:val="28"/>
          <w:szCs w:val="28"/>
          <w:rtl w:val="true"/>
          <w:lang w:bidi="fa-IR"/>
        </w:rPr>
        <w:t>دالّةٍ علی وجوب الإعادة مطلقاً من غیر تقیید بمتعمّد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غیر المتعمّد عنها بالأدلّة و بقاء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حملها علی الاستحباب؛ لأنّ مثل هذا المجاز أولی من هذا التخصیص بالفرد الغیر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ترجیح التخصیص لأجل لزوم ارتکاب التخصیص علی تقدیر الحمل بالاستحباب؛ إذ لا یستحبّ قضاء الصلاة بعد خروج الوقت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للمحکیّ عن السیّد المرتضی، فأوجب القضاء علی الحاضر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وجوب فعلها ثانیاً، خرج المسافر بالإجماع و 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ضعفه و شذوذه، و لا بأس بمراعاة الاحتیاط</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تلبّس بالصلاة فوجد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أثنائها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ففی المسألة أقوال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أقواها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اعتضاداً بالأصل و العمومات الدالّة علی حرمة قطع</w:t>
      </w:r>
    </w:p>
    <w:p>
      <w:pPr>
        <w:pStyle w:val="BookText"/>
        <w:rPr/>
      </w:pP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المضیّ 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علی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للمحکیّ عن السیّدین فی مسائل الخلاف </w:t>
      </w:r>
      <w:r>
        <w:rPr>
          <w:rStyle w:val="FootnoteAnchor"/>
          <w:rtl w:val="true"/>
        </w:rPr>
        <w:footnoteReference w:id="2168"/>
      </w:r>
      <w:r>
        <w:rPr>
          <w:rFonts w:ascii="IRNazanin" w:hAnsi="IRNazanin" w:eastAsia="IRNazanin"/>
          <w:color w:val="111111"/>
          <w:sz w:val="28"/>
          <w:sz w:val="28"/>
          <w:szCs w:val="28"/>
          <w:rtl w:val="true"/>
          <w:lang w:bidi="fa-IR"/>
        </w:rPr>
        <w:t xml:space="preserve">و الغنیة </w:t>
      </w:r>
      <w:r>
        <w:rPr>
          <w:rStyle w:val="FootnoteAnchor"/>
          <w:rtl w:val="true"/>
        </w:rPr>
        <w:footnoteReference w:id="2169"/>
      </w:r>
      <w:r>
        <w:rPr>
          <w:rFonts w:ascii="IRNazanin" w:hAnsi="IRNazanin" w:eastAsia="IRNazanin"/>
          <w:color w:val="111111"/>
          <w:sz w:val="28"/>
          <w:sz w:val="28"/>
          <w:szCs w:val="28"/>
          <w:rtl w:val="true"/>
          <w:lang w:bidi="fa-IR"/>
        </w:rPr>
        <w:t xml:space="preserve">، و الشیخ فی الخلاف </w:t>
      </w:r>
      <w:r>
        <w:rPr>
          <w:rStyle w:val="FootnoteAnchor"/>
          <w:rtl w:val="true"/>
        </w:rPr>
        <w:footnoteReference w:id="2170"/>
      </w:r>
      <w:r>
        <w:rPr>
          <w:rFonts w:ascii="IRNazanin" w:hAnsi="IRNazanin" w:eastAsia="IRNazanin"/>
          <w:color w:val="111111"/>
          <w:sz w:val="28"/>
          <w:sz w:val="28"/>
          <w:szCs w:val="28"/>
          <w:rtl w:val="true"/>
          <w:lang w:bidi="fa-IR"/>
        </w:rPr>
        <w:t xml:space="preserve">و المبسوط </w:t>
      </w:r>
      <w:r>
        <w:rPr>
          <w:rStyle w:val="FootnoteAnchor"/>
          <w:rtl w:val="true"/>
        </w:rPr>
        <w:footnoteReference w:id="21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2172"/>
      </w:r>
      <w:r>
        <w:rPr>
          <w:rFonts w:ascii="Amiri" w:hAnsi="Amiri" w:eastAsia="Amiri" w:cs="Amiri"/>
          <w:color w:val="111111"/>
          <w:sz w:val="28"/>
          <w:sz w:val="28"/>
          <w:szCs w:val="28"/>
          <w:rtl w:val="true"/>
          <w:lang w:bidi="ar-SA"/>
        </w:rPr>
        <w:t xml:space="preserve">، و الحلّی </w:t>
      </w:r>
      <w:r>
        <w:rPr>
          <w:rStyle w:val="FootnoteAnchor"/>
          <w:rtl w:val="true"/>
        </w:rPr>
        <w:footnoteReference w:id="2173"/>
      </w:r>
      <w:r>
        <w:rPr>
          <w:rFonts w:ascii="Amiri" w:hAnsi="Amiri" w:eastAsia="Amiri" w:cs="Amiri"/>
          <w:color w:val="111111"/>
          <w:sz w:val="28"/>
          <w:sz w:val="28"/>
          <w:szCs w:val="28"/>
          <w:rtl w:val="true"/>
          <w:lang w:bidi="ar-SA"/>
        </w:rPr>
        <w:t xml:space="preserve">مدّعیاً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w:t>
      </w:r>
      <w:r>
        <w:rPr>
          <w:rStyle w:val="FootnoteAnchor"/>
          <w:rtl w:val="true"/>
        </w:rPr>
        <w:footnoteReference w:id="2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لروایة محمّد بن عمران المعتبرة بوجود البزنطی قبله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یتیمّم ثمّ دخل فی الصلاة و قد کان طلب الماء فلم یقدر علیه، ثمّ یُؤتی بالماء حین یدخل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فی الصلاة، و اعلم أنّه لیس ینبغی لأحدٍ أن یتیمّم إلّا فی آخر الوقت</w:t>
      </w:r>
      <w:r>
        <w:rPr>
          <w:rFonts w:eastAsia="IRNazanin" w:cs="IRNazanin"/>
          <w:color w:val="111111"/>
          <w:sz w:val="28"/>
          <w:szCs w:val="28"/>
          <w:rtl w:val="true"/>
          <w:lang w:bidi="fa-IR"/>
        </w:rPr>
        <w:t xml:space="preserve">» </w:t>
      </w:r>
      <w:r>
        <w:rPr>
          <w:rStyle w:val="FootnoteAnchor"/>
          <w:rtl w:val="true"/>
        </w:rPr>
        <w:footnoteReference w:id="2175"/>
      </w:r>
      <w:r>
        <w:rPr>
          <w:rFonts w:ascii="IRNazanin" w:hAnsi="IRNazanin" w:eastAsia="IRNazanin"/>
          <w:color w:val="111111"/>
          <w:sz w:val="28"/>
          <w:sz w:val="28"/>
          <w:szCs w:val="28"/>
          <w:rtl w:val="true"/>
          <w:lang w:bidi="fa-IR"/>
        </w:rPr>
        <w:t>، و صحیحة زرارة و محمّد بن مسلم فی الفقیه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لم یصب الماء و حضرت الصلاة فتیمّم و صلّی رکعتین، ثمّ أصاب الماء، أ ینقض الرکعتین، أو یقطعهما یتوضّأ ثمّ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 یمضی فی صلاته و لا ینقضها لمکان أنّه دخلها علی طهور طهر خ ل بتیمّم</w:t>
      </w:r>
      <w:r>
        <w:rPr>
          <w:rFonts w:eastAsia="IRNazanin" w:cs="IRNazanin"/>
          <w:color w:val="111111"/>
          <w:sz w:val="28"/>
          <w:szCs w:val="28"/>
          <w:rtl w:val="true"/>
          <w:lang w:bidi="fa-IR"/>
        </w:rPr>
        <w:t xml:space="preserve">»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مورد السؤال و إن کان خاصّاً بمن صلّی رکعتین، إلّا أنّ التعلیل</w:t>
      </w:r>
    </w:p>
    <w:p>
      <w:pPr>
        <w:pStyle w:val="BookText"/>
        <w:rPr/>
      </w:pPr>
      <w:r>
        <w:rPr>
          <w:rFonts w:ascii="IRNazanin" w:hAnsi="IRNazanin" w:eastAsia="IRNazanin"/>
          <w:color w:val="111111"/>
          <w:sz w:val="28"/>
          <w:sz w:val="28"/>
          <w:szCs w:val="28"/>
          <w:rtl w:val="true"/>
          <w:lang w:bidi="fa-IR"/>
        </w:rPr>
        <w:t>بالدخول فیهما علی الطهر یثبت تمام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الشیخ فی النهایة </w:t>
      </w:r>
      <w:r>
        <w:rPr>
          <w:rStyle w:val="FootnoteAnchor"/>
          <w:rtl w:val="true"/>
        </w:rPr>
        <w:footnoteReference w:id="2177"/>
      </w:r>
      <w:r>
        <w:rPr>
          <w:rFonts w:ascii="IRNazanin" w:hAnsi="IRNazanin" w:eastAsia="IRNazanin"/>
          <w:color w:val="111111"/>
          <w:sz w:val="28"/>
          <w:sz w:val="28"/>
          <w:szCs w:val="28"/>
          <w:rtl w:val="true"/>
          <w:lang w:bidi="fa-IR"/>
        </w:rPr>
        <w:t xml:space="preserve">و العمانی </w:t>
      </w:r>
      <w:r>
        <w:rPr>
          <w:rStyle w:val="FootnoteAnchor"/>
          <w:rtl w:val="true"/>
        </w:rPr>
        <w:footnoteReference w:id="2178"/>
      </w:r>
      <w:r>
        <w:rPr>
          <w:rFonts w:ascii="IRNazanin" w:hAnsi="IRNazanin" w:eastAsia="IRNazanin"/>
          <w:color w:val="111111"/>
          <w:sz w:val="28"/>
          <w:sz w:val="28"/>
          <w:szCs w:val="28"/>
          <w:rtl w:val="true"/>
          <w:lang w:bidi="fa-IR"/>
        </w:rPr>
        <w:t xml:space="preserve">و ابن بابویه </w:t>
      </w:r>
      <w:r>
        <w:rPr>
          <w:rStyle w:val="FootnoteAnchor"/>
          <w:rtl w:val="true"/>
        </w:rPr>
        <w:footnoteReference w:id="2179"/>
      </w:r>
      <w:r>
        <w:rPr>
          <w:rFonts w:ascii="IRNazanin" w:hAnsi="IRNazanin" w:eastAsia="IRNazanin"/>
          <w:color w:val="111111"/>
          <w:sz w:val="28"/>
          <w:sz w:val="28"/>
          <w:szCs w:val="28"/>
          <w:rtl w:val="true"/>
          <w:lang w:bidi="fa-IR"/>
        </w:rPr>
        <w:t xml:space="preserve">و السیّد فی شرح الرسالة </w:t>
      </w:r>
      <w:r>
        <w:rPr>
          <w:rStyle w:val="FootnoteAnchor"/>
          <w:rtl w:val="true"/>
        </w:rPr>
        <w:footnoteReference w:id="2180"/>
      </w:r>
      <w:r>
        <w:rPr>
          <w:rFonts w:ascii="IRNazanin" w:hAnsi="IRNazanin" w:eastAsia="IRNazanin"/>
          <w:color w:val="111111"/>
          <w:sz w:val="28"/>
          <w:sz w:val="28"/>
          <w:szCs w:val="28"/>
          <w:rtl w:val="true"/>
          <w:lang w:bidi="fa-IR"/>
        </w:rPr>
        <w:t>وجوب الرجوع ما لم یرکع؛ لصحیحة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 الماء و قد دخل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فلینصرف و لیتوضّأ ما لم یرکع، فإن کان قد رکع فلیمضِ فی صلاته، فإن التیمّم أحد الطهورین</w:t>
      </w:r>
      <w:r>
        <w:rPr>
          <w:rFonts w:eastAsia="IRNazanin" w:cs="IRNazanin"/>
          <w:color w:val="111111"/>
          <w:sz w:val="28"/>
          <w:szCs w:val="28"/>
          <w:rtl w:val="true"/>
          <w:lang w:bidi="fa-IR"/>
        </w:rPr>
        <w:t xml:space="preserve">»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مثلها روایة عبد اللّٰه بن عاصم </w:t>
      </w:r>
      <w:r>
        <w:rPr>
          <w:rStyle w:val="FootnoteAnchor"/>
          <w:rtl w:val="true"/>
        </w:rPr>
        <w:footnoteReference w:id="2182"/>
      </w:r>
      <w:r>
        <w:rPr>
          <w:rFonts w:ascii="IRNazanin" w:hAnsi="IRNazanin" w:eastAsia="IRNazanin"/>
          <w:color w:val="111111"/>
          <w:sz w:val="28"/>
          <w:sz w:val="28"/>
          <w:szCs w:val="28"/>
          <w:rtl w:val="true"/>
          <w:lang w:bidi="fa-IR"/>
        </w:rPr>
        <w:t>، و فی طریقها الحسن بن الحسین اللؤلؤی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بهما یخصّص عموماته حرمة قطع الصلاة و عمومات وجوب المضیّ مطلقاً، إلّا أنّ روایة حمران </w:t>
      </w:r>
      <w:r>
        <w:rPr>
          <w:rStyle w:val="FootnoteAnchor"/>
          <w:rtl w:val="true"/>
        </w:rPr>
        <w:footnoteReference w:id="2183"/>
      </w:r>
      <w:r>
        <w:rPr>
          <w:rFonts w:ascii="IRNazanin" w:hAnsi="IRNazanin" w:eastAsia="IRNazanin"/>
          <w:color w:val="111111"/>
          <w:sz w:val="28"/>
          <w:sz w:val="28"/>
          <w:szCs w:val="28"/>
          <w:rtl w:val="true"/>
          <w:lang w:bidi="fa-IR"/>
        </w:rPr>
        <w:t>ظاهرة فی ما قبل الرکوع؛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بالماء حین دخل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أنّها لا تقوی لمعارضة الصحیح، مع قوّة احتمال إرادة خصوص آخر الوقت منها 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أنّه لیس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لا خلاف فی وجوب المضیّ حینئذٍ، و احتمال حمل الانصراف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محلّ إشکال، و إن کان الأقوی ما علیه المصنّف؛ للأصل، و عمومات حرمة الإبطال، و کفایة الدخول فی الصلاة علی التیمّم، و عدم مقاومة صحیحة زرارة للتخصیص بعد معارضتها بروایة حمران، و إن سلّم کونها دونها فی الصحیحة مع أنّ ذلک ممنوع، کیف و قد أجمع الأصحاب علی تصحیح ما یصحّ عن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فی المدارک عن المحقّق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حمران أشهر فی العلم و العدالة من عبد اللّٰه بن عاصم، فتکون الروایة صحیحة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صحیحة زرارة موافقة لما دلّ علی أنّ غایة أجزاء التیمّم وجدان الماء، کما فی صحیحة زرارة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تیمّم،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ذلک إلی أن یجد الماء</w:t>
      </w:r>
      <w:r>
        <w:rPr>
          <w:rFonts w:eastAsia="IRNazanin" w:cs="IRNazanin"/>
          <w:color w:val="111111"/>
          <w:sz w:val="28"/>
          <w:szCs w:val="28"/>
          <w:rtl w:val="true"/>
          <w:lang w:bidi="fa-IR"/>
        </w:rPr>
        <w:t xml:space="preserve">» </w:t>
      </w:r>
      <w:r>
        <w:rPr>
          <w:rStyle w:val="FootnoteAnchor"/>
          <w:rtl w:val="true"/>
        </w:rPr>
        <w:footnoteReference w:id="2185"/>
      </w:r>
      <w:r>
        <w:rPr>
          <w:rFonts w:ascii="IRNazanin" w:hAnsi="IRNazanin" w:eastAsia="IRNazanin"/>
          <w:color w:val="111111"/>
          <w:sz w:val="28"/>
          <w:sz w:val="28"/>
          <w:szCs w:val="28"/>
          <w:rtl w:val="true"/>
          <w:lang w:bidi="fa-IR"/>
        </w:rPr>
        <w:t>دلّ علی أنّه إذا وجد الماء فلا یجزی التیمّم و یفسد الصلاة؛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2186"/>
      </w:r>
      <w:r>
        <w:rPr>
          <w:rFonts w:ascii="IRNazanin" w:hAnsi="IRNazanin" w:eastAsia="IRNazanin"/>
          <w:color w:val="111111"/>
          <w:sz w:val="28"/>
          <w:sz w:val="28"/>
          <w:szCs w:val="28"/>
          <w:rtl w:val="true"/>
          <w:lang w:bidi="fa-IR"/>
        </w:rPr>
        <w:t>خرج من هذا العموم ما إذا وجده بعد الرکوع و یبقی الباقی، لکن تخصیصها بصحیحة زرارة الأُخری المتقدّمة هنا متعیّن،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الإتمام ثمّ الفعل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جریان الخلاف فی المضیّ و القطع علی القول بجواز التیمّم فی السعة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بعدم جوازه فی السعة مطلقاً أو مع رجاء زوال العذر فیتصوّر المسألة فیما انکشف بقاء الوقت مع ظنّ ضیقه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بجریانه علی هذا القول مطلقاً؛ نظراً إلی أنّ المراد بآخر الوقت آخره العرفی فلا یقدح بقاء شی‌ءٍ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من هذا العموم ما إذا وجده بعد الرکوع و یبقی الباقی، لکن تخصیصها بصحیحة زرارة الأُخری المتقدّمة هنا متعیّن،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الإتمام ثمّ الفعل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جریان الخلاف فی المضیّ و القطع علی القول بجواز التیمّم فی السعة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بعدم جوازه فی السعة مطلقاً أو مع رجاء زوال العذر فیتصوّر المسألة فیما انکشف بقاء الوقت مع ظنّ ضیقه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بجریانه علی هذا القول مطلقاً؛ نظراً إلی أنّ المراد بآخر الوقت آخره العرفی فلا یقدح بقاء شی‌ءٍ یسیر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ذلک مع ظنّ الضیق أو احتماله احتمالًا معتدّاً به یصدق معه الخوف فهو راجع إلی ما ذکرنا، و إن أراد جواز التیمّم فی الآخر العرفی مع العلم ببقاء شی‌ءٍ یسیر فالظاهر عدم قول القائلین بالتضیّق به، و إباء أدلّة التضیّق عنه، سیّما ما علّل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إن فاته الماء لم تفته الأرض</w:t>
      </w:r>
      <w:r>
        <w:rPr>
          <w:rFonts w:eastAsia="IRNazanin" w:cs="IRNazanin"/>
          <w:color w:val="111111"/>
          <w:sz w:val="28"/>
          <w:szCs w:val="28"/>
          <w:rtl w:val="true"/>
          <w:lang w:bidi="fa-IR"/>
        </w:rPr>
        <w:t xml:space="preserve">». </w:t>
      </w:r>
      <w:r>
        <w:rPr>
          <w:rStyle w:val="FootnoteAnchor"/>
          <w:rtl w:val="true"/>
        </w:rPr>
        <w:footnoteReference w:id="2187"/>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النظر و النظر الخامس الذی یلیه من الإرشاد، و لم نقف علی شرح المؤلف قدّس سرّه لهما، إلّا أنّا وجدنا ورقتین من المؤلف فی بحث التیمّم، و هو شرح لکتاب الدروس، جعلناه فی ملحق فی آخر هذا المجلّد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راجع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 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ذیل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الخُطّاف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النجاسات، و الصفحة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بالعرض</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عندنا، و 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 الفاضل المقداد فی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بغیره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الجامعیّة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فی هامش الفوائد الملیّة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راجع الروایة 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صاحب الجواهر فی الجواهر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راجع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و حکاه عنه السیّد بحر العلوم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یوجدان لدینا، نعم حکاه عنهما السیّد بحر العلوم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یوجدان لدینا، نعم حکاه عنهما السیّد بحر العلوم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نعم حکاه عنه السیّد بحر العلوم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حسنة زرارة و النبوی و موثّقة عمّار، المتقدّمات فی الصفحة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النقل عنه فی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النقل عن السرائر فی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نقلها فی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الحدیث الأوّل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تأتی فی الصفحة اللاحقة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لم نعثر فی الغنیة علیه بالخصوص، و لا علی الحاکی عنه، نعم ادّعی الإجماع علی نجاسة بول و خرء ما لا یؤکل لحمه، راجع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فأشبهت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فأنفخه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فانضحه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المنتقی، و لا علی الحاکی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حکاه فی الحدائق عن المعالم، راجع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إلیها آنفاً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روایة زرارة المتقدّمة فی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و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کان مأکولًا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المصدر و الباب،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 انظر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 السابقة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الأدواء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أصاب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قد تقدّمت فی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مع تفاوت فی بعض الألفاظ، و العبارة محکیّة من المعتبر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الدین فی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الذخیرة، بل رجّح فیه النجاسة قبل البرد، کما حکاه السیّد العاملی فی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راجع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نعم قال فی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بحث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یستفاد من هذه الأخبار الاختصاص بحال برده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المدارک، بل صرّح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الحکم بعد البرد، کما حکاه عنه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الظاهر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نعم 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نعم 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حفص بن غیاث</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الأوّل 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ظاهر الخلاف الفاضل الأصفهانی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مثله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راجع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الوحید البهبهانی فی 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أُستاذه الوحید البهبهانی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الحدیث الأوّل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اختصاصها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تأتی فی الصفحة اللاحقة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یفعله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المجامیع الروائیّة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نقله العلّامة فی 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حکیم 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الحکم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حسنة حریز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الأُستاد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العظم و الظفر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 الأوّل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کالخوانساری فی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الشیخ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و ابن حمزة فی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المختصر النافع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الشهید فی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العلّامة فی نهایة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ابن سعید فی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الطریحی فی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راجع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الأوّل، و تقدّمت الروایة فی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ذیل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 الأوّل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الحکایة عنها فی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الشهید الثانی فی الروضة البهیّة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النسبة فی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الحاکی، راجع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ابن سعید فی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کشف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 الطباطبائی فی الدرّة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4217</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وهب بن وهب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کتاب الطهارة من اللوامع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 و الذباحة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 ابن حمزة فی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 سلّار فی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المسفوح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ضمن متن الإرشاد، لکنّها لم ترد فی النسخة المطبوعة من الإرشاد، و لا فی الإرشاد المطبوع مزجاً مع کتب اخری، مثل روض الجنان و ذخیرة المعاد؛ و علیه فلا مورد لما قاله المؤلف قدّس سرّه بعد أسطر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إنّ کلام المصنّف هنا و فی المنتهی و إن اختصّ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بالمسفوح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کلام العلّامة و إن اختصّ بالمسفوح فی المنتهی، لکنّه هنا مطلق</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الحدیث الأوّل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اضطراب و تشویش</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کلّها فی الصفحة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القسم الثانی فی الصفحة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إلیهما صاحب الجواهر فی الجواهر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إلیه فی الجواهر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 انظر الدرة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فی مهذّب القاضی، و الذی حکاه عنه فی مفتاح الکرامة هو المهذّب، و الظاهر أنّه المهذّب البارع لابن فهد، لوجود العبارة المنقولة هناک، انظر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فیه علقة البیضة بخصوصها، انظر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صحّحت فی المخطوطة، و فی النسخ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إطلاق</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النوع الأوّل فی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نجاستهما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قد تقدّمت الروایة فی الصفحة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المیاه، الحدیث الأوّل، و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المیاه،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یرتّب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افهم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المنتهی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الأقرب أنّ کلب الماء لا یتناوله هذا الحکم؛ لأنّ اللفظ مقولٌ علیه و علی المعهود بالاشتراک اللفظی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ذکر فی مفتاح الکرامة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أنّ کلب الماء یتناوله هذا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لأن الاستدلال بالاشتراک اللفظی یناسب شمول الحکم لا النفی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لبس الخزّ،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نجاسته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قول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الیهودی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 الأوّل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الباب الأوّل من أبواب نکاح البهائم، الحدیث الأوّل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عبد الرحیم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کراهة لحوم الخیل و البغال،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من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النجس</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ألفاظ التنبیه أو لغة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الروایة منقولة عن زکریا بن إبراهیم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الروایة منقولة عن زکریا بن إبراهیم أیضاً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الثیاب السابریّة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11142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 الأوّلات، لأنّ الأوّلة تأتی للمفرد المؤنث، راجع 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التفسیر الکبیر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ضمن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التفسیر الکبیر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نقلهما الفاضل الأصفهانی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 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و حکاه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الوحید البهبهانی فی الحاشیة علی المدارک علی ما نقله عنه تلمیذه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إلیها فی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الأطفال،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التلخیص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الینابیع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 فی ما لو سبی مع أحد أبویه، فیکون کذلک لو سبی مع أبویه بطریق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الکبری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الحدیث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فأبواه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أمالی السیّد المرتضی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عنه فی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العلّامة فی المنتهی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أُنظر المغنی لابن قدامة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الکبری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الحدیث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فأبواه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الشهید الثانی فی 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لم نعثر علیه فی السرائر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الباب الأوّل من موانع الإرث،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الملکوت فی شرح الیاقوت، لم نعثر علیها فی النسخة المطبوعة و إنما وجدناها 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الکفر،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الکفر،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الکفر، الحدیث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الروایة منقولة عن موسی بن بکیر عن أبی إبراهیم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الکفر،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شطراً منها المحدّث البحرانی فی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الحدیث الأوّل</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الحدیث الأوّل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ضمن الحدیث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لا تخلو عن خلل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فی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کتبه و رسائله، نعم حکاه عنه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المحدّث البحرانی فی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الکافی،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الأُخری</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الروایة عن أبی مالک الجهنی، لا ابن أبی یعفور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 شرح الشرح</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انظر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إلیهم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قد تقدّم ذلک فی الصفحة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الکافی، و فی النسخ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تقطع أیدیهم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یقطع</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الکافی، و فی النسخ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جوائز</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لیست للحدیث تتمّة، 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المنقول تمام الحدیث، 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الکبائر،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باب الشرک، الحدیث الأوّل</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یزعم أنّه یعبد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باب أدنی ما یکون به العبد مؤمناً أو کافراً، الحدیث الأوّل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الحدیث الأوّل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المسکر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علیه ما فی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الصلوات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المسکر، الحدیث الأوّل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القسمین المتقدّمین فی الصفحة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إلیهم فی الصفحة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و نحوه،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و نحوه، ضمن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الأوّل، 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ضمن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الروایة فی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المناسب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المتدیّنون ببغضة علی رضی اللّٰه عنه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نَصَبتُ لفلانٍ نَصْباً، إذا عادیته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عنه فی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المزار، ضمن الحدیث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مفتاح الکرامة عن الدلائل، انظر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الرمیّة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المفید، انظر تصحیح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ترجمة الحسین بن عبید اللّٰه بن السعدی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الحکایة الشیخ المفید، انظر تصحیح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العلّامة فی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لعلّه من سهو النسّاخ نشأ من الاشتباه فی قراءة الرمز، انظر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الارتداد،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یوجدان لدینا، نعم حکاه عنهما صاحب الجواهر فی الجواهر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قضیّته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فیه، لکن حکاه عنه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أیضاً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فی الجواهر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فی شرح الوافیة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فیه، لکن حکاه تلمیذه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دلّ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حکاه عنه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الحدیث الأوّل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الحدیث الأوّل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الروایة فی الصفحة السابقة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فی الجواهر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أصاب</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الأشربة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الأشربة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مسکر من الشراب خمر إذا أخمر فهو حرام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المحدّث البحرانی فی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صاحب الجواهر فی الجواهر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فاغسله کلّه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و 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العصیر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فی باب الأطعمة، بل هو فی باب الحدود، انظر التنقیح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کون القائل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الخمر و کلّ مسکر و الفقّاع و العصیر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نجس ذهب إلیه أکثر علمائنا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حکی خلاف ابن أبی عقیل فی الخمر و العصیر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ذلک فی الدروس، بل ظاهره خلاف ذلک، انظر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الطلاء،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السیّد الطباطبائی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الروایة فی العیون، نعم وردت فی العلل روایتان حول حکایة منازعة إبلیس مع نوح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تتضمّن هذا المضمون علی تفصیله لکنّها لیست مرویّة عن محمّد بن مسلم، بل و لا عن الإمام علیه السلام، بل منقولة عن وهب بن منبه الیمانی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الأُخری تتضمّن شطراً من الحکایة، و هی التی رواها محمّد بن مسلم 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لیست للحدیث تتمّة، انظر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السیّد الطباطبائی فی الریاض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 الأوّل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السیّد الطباطبائی فی الریاض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بشی‌ءٍ</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تضع فیه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یطرح الآخر ثمّ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 و ورد بدلها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اطرح الثلث الآخر و حدّه حیث یبلغ الماء</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 تمام الحدیث، انظر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تغلی</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الحدیث من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الباب الأوّل من أبواب الأشربة المحرّمة، الحدیث الأوّل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 العصیر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الحدیث منقول بتمامه، انظر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تقدّم أیضاً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الطلاء، 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باب صفة الشراب الحلال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النبیذ،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مولی حر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مولی جریر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علیه السلام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 الوسائل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النضوح المعتق</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النضوح</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حکاها عنهم السیّد بحر العلوم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النضوح</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المنقول تمام الحدیث، انظر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الأثیر فی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ضیح</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الضیح</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المنقول تمام الحدیث، انظر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النبیذ،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الروایة فی غیر المخطوطة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النبیذ،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أخذته الجاریة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أخرجته الجاریة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یسکر ثمّ یشرب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یسکن ثمّ یشرب</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النبیذ،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باب النبیذ، الحدیث الأوّل</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تمام الحدیث فی الصفحة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غلا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ثلثیه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فی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ابن فهد فی 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المحقّق الأردبیلی فی 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باب العصیر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باب الطلاء</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حکی عن والده فی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 المنقول تمام الخبر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المخطوطة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ولد الزنا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الزانی</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یغتسل فیه ولد الزنا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ابن إدریس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 الشهید الثانی فی فوائد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لفظ الحدیث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ناکح الکفّ ملعون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الحلّی فی السرائر هو النجاسة، انظر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ابن فهد فی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الحدیثیّة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الإبل الجلّالة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لذا لا وجه لما سیذکره المصنّف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ظاهر الصحیحة الأُولی کالحسنة عدم اختصاص الحکم بالإبل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الصحیحة و إن لم تختصّ بالإبل، إلّا أنّ الحسنة مختصّة بها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الانتصار هو الإجماع علی مجرّد الحرمة من دون تعرّض للنجاسة، انظر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 فی الخلاف أیضاً هو الإجماع علی مجرّد الحرمة، انظر 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الفاضل المقداد فی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المناسب ما أثبتناه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أجوبة المسائل المهنّائیة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انظر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جوابات المسائل الرازیّة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یوضع</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عن مقدادیّات الشهید، انظر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نشش</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و حکاه عنها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منوطٌ</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أشربه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لدینا</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إلیها فی الصفحة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فی قرب الإسناد، و إنّما هو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یقع فیه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أیضاً فی الصفحة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المحدّث البحرانی فی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أکیل النمیری عن أبی عبد اللّٰه علیه السلام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النجاسات</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تعالی وَ ثِیٰابَکَ فَطَهِّرْ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الرُّجْزَ فَاهْجُرْ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قد تقدّمت فی الصفحة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موسی بن أکیل عن أبی عبد اللّٰه علیه السلام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تجوز الصلاة فی شی‌ء من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قد تقدّمت فی الصفحة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لم نقف علیه فی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رواه علیّ بن جعفر فی کتابه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العلّامة فی 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وعاءٌ یوضع فیه الدُّهن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دبب</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الوسائل و لا فی الفقیه، و فیهما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بغل</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فی جامع المقاصد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ذلک، و إن نسبه إلیه فی 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تبع المحقّق فی القول بالجواز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 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الصیمری و صاحب الدلائل، علی ما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روایة وهب بن وهب المتقدّمة فی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دخول المساجد، و عن الآنیة للاستعمال</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ذکری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للنراقی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یوجد عندنا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 الأوّل</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 الحدیث الأوّل</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 ظاهر کلامه منع الإجماعین، فراجع</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التعلیل للقول باختصاص المنع بالمتعدّیة، و قد سقطت قبله کلمات کما لا یخفی</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مذهب الطباطبائی فی منظومته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الدرّة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الباب الأوّل من أبواب الاستحاضة، الحدیث الأوّل</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لم نقف فی المدارک علی ما یستظهر منه ذلک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الجواهر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راجع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بقرینة الضمائر الآتیة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المحقّق النراقی فی المستند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أدلّة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قد عبّر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یمکنه التحرّز</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الأردبیلی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السیّد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البحرانی فی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قد عبّر فیه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الحرج</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فی کلامه الاستدلال بلزوم المشقّة، انظر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قد عبّر أیضاً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الحرج</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عن مستطرفات السرائر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ظاهراً موثّقة عبد الرحمن المتقدّمة فی الصفحة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لکنّ الأخیرة هی موثّقة عمّار المتقدّمة فی 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الزیادة اقتضاها السیاق</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الجمل و 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انظر شرح الألفیّة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یوجد لدینا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موثّقة سماعة و مضمرة مستطرفات السرائر، المذکورتان فی الصفحة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العبارة ما لا یخفی</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عبارته هو الثانی، کما سیأتی عن شارح الروضة نسبة ذلک إلیه، راجع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قد حکاه عنهما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أوّل المسألة حکایة خلاف ذلک عنه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عندنا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الجواهر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ذیل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شُطب علیها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 السابقة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لکونهما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ملاحظة کلماتهم، فراجع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کشف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راجع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 العلم و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 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فی الجواهر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العلّامة فی متن الکتاب،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غیرهما</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کالشهیدین فی اللمعة و شرحها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الفاضل المقداد فی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 أکثر کتبهم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لم نقف علی التصریح بالجمع إلّا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عنهم فی الصفحة السابقة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 أبو عبد اللّٰه علیه السلام سنة ثلاث و ثمانین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أرّخ الطبری هلاک عبد الملک بن مروان فی سنة ستّ و ثمانین، راجع تأریخ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أخمص الراحة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الإرشاد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سقوطها من النسخ لا عدم ذکر المؤلّف لها، بدلیل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فی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الماتن فی متن الکتاب و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من یأتی ذکرهم فی الهامش التالی</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المعلّلین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إذا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القطب الراوندی علی ما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 للسیاق تذکیر الضمیر، و إن کان التأنیث أیضاً صحیحاً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لا یوجد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 حکاه عنه کاشف اللثام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تصلی فیه ما لم ترَ فیه دماً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علیها العلّامة فی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 کذا الراوندی، علی ما نقله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صرّح فیها باختصاص العفو بالملابس، راجع 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الشیخ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ابن سعید فی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نستفد التعمیم من عبارة المختلف لو لم نقل أنّها ظاهرة فی الاختصاص بالملبوس، راجع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اقتضاها السیاق</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نجست</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الباب الأوّل من أبواب النجاسات، الحدیث الأوّل</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السبزواری فی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العلّامة المجلسی فی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نقله السیّد العاملی فی مفتاح الکرامة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المدارک، و فیه التعبیر بالأکثر، راجع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الباب الأوّل من أبواب النجاسات</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الجواهر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لعلّه لذا حکی عن المبسوط و النهایة و الجمل و ظاهر الانتصار و الناصریات إطلاق الغسل من غیر تعرّض للعصر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الجواهر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النراقی فی المستند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علیه فی کتب الأخبار، نعم نقله العلّامة فی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علماء الشیعة؛ و نقله المحدّث النوری قدّس سرّه عن المختلف،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الشیخ الأعظم فی کتاب الطهارة فی کلام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مضافاً إلی قوله علیه السلام فی بعض الروایات مشیراً إلی غدیر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أراد به هذا الخبر، و لیس فیه ذکر للغدیر، و هو أعرف بما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ذیل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قد تقدّمت فی الصفحة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ولده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الحدیث الأوّل</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صرّح بأنّ الظاهر عدم الخلاف، راجع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نستظهر نفی الخلاف منه، راجع 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ما فی العبارة، و علی فرض عدم تصحیف النسخ و عدم سقوط شی‌ء من العبارة، فالمراد إطلاق مرسلة الکاهلی المتقدّمة فی الصفحة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ظهور خبر السکونی المتقدّم فی الصفحة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العظیم، و لا یقال لها ذَنوب إلّا و فیها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العبارة أنّها روایة أُخری، و نقلها الشیخ ذیل روایة أبی هریرة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ذیل المسألة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فی الموجز</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الیوم</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الوسائل هکذا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فیبول علیها، کیف تصنع؟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تغسل القمیص فی الیوم مرّة</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 مع اختلاف</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 التحریر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حکاه عنهما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و إلیهم الفاضل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مقداد فی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نفی البعد عن شمول الحکم للصبیّة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حیث علّل الحکم بتکرار البول</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لم یقیّد الثوب هنا بما إذا تنجّس بالبول، و فی التحریر عبّر بثوب تصیبه النجاسة</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فی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 الفاضل الأصفهانی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الإرشاد قبل هذه المسألة مسائل لم یتعرّض المؤلّف قدّس سرّه لشرحها، أو سقطت مع شرحها من النسخ</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ظاهراً ما رواه فی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لکن لم نعرف وجه دلالتها، فراجع</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ابن زهرة فی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ادّعی ابن إدریس عدم الخلاف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ابن زهرة فی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ابن فهد فی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ادّعی ابن إدریس عدم الخلاف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ذلک من عبارة العلّامة فی 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حیث نسب عدم وجوب الإعادة فی خارج الوقت إلی الأکثر</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الاعتضاد بإجماع الغنیة إنّما هو بالنسبة إلی الوقت لا القضاء خارج الوقت، راجع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زیادة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تعذّر للبرد و غیره صلّی فیه و لا یعید</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إطلاق التعلیل فی خبر خیران الخادم المروی 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و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علی قائله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التعلیق علی هذه الکلمة فی الصفحة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لکن فی الصفحة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الأرض إذا أصابتها نجاسة مثل البول و ما أشبهه و طلعت علیها الشمس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تأتی فی الصفحة الآتیة</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أکثر علمائنا ذلک</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 السابقة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یصرّح فیه بالتردید، بل استفاد ذلک صاحب المعالم من لازم کلامه، 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 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 أنّها زائدة</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ابن فهد فی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 الثلاثة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مفروض المسألة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 النجس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أعمّ من حجر الاستنجاء، راجع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علی القائل</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الذکری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نقله عن الراوندی و ابن حمزة و نفی عنه البُعد</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التذکرة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طهرت ظاهراً و باطناً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یقیّدها باتّحاد الاسم، راجع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نعم نسب ذلک إلیها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فیه أیضاً مثل ما فی التذکرة</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ابن إدریس فی السرائر الدخان و لم یدّع الإجماع، بل قال فی مسألة العجین بالماء النجس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النار لا تطهّر الخبز إلّا إذا أحالته و صیّرته رماداً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ذیل المسألة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علی دلیل غیر ما سیذکره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یستدلّ زیادةً علی ذلک بصحیحة ابن محبوب </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یجز تجصیص المسجد بالجصّ الملاقی بهما</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لیست</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یأتی الکلام عن مطهریّة الاستحالة باستیفاء</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روایة ابن محبوب المتقدّمة فی الصفحة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یوجد لدینا</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ذلک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کالشهید الأوّل فی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الفیض الکاشانی فی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علیه فی المنتهی</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عنها الفاضل الأصفهانی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باطن الخفّ و النعل </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الصواب فی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کما فی الروض</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النجاسات، الحدیث الأوّل</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ذکرهم فی مسألة اعتبار الیبوسة فی الصفحة السابقة</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التعبیر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یشترطه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لا یخفی</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الشرائع للمحقّق الکرکی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کشف اللثام، 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علی مصرّحٍ به غیر من یأتی ذکرهم</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کصاحب الجواهر فی الجواهر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فی الجواهر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لکن لا یوجد ذلک فی جامع المقاصد، 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الصفحة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عنها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فشربت</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کلوا خلّ الخمر ما فسد</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الأطعمة المباحة،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یغلبها</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ابن فهد فی 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الشهید فی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یصرّح فیه بقبول النجاسة للمضاعفة، راجع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الأشربة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أفتی به ابن حمزة فی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علی نصّ قیّده بإذهاب النار، نعم یمکن أن یستظهر ذلک من بعض الروایات، 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 مع اختلاف</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زاد الطلاء علی الثلث فهو حرام</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نفهمه</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لاقته أو لاقت</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صاحب الجواهر عن اللوامع، راجع الجواهر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المحقّق القمیّ قدّس سرّه تغایر ما نسبه المؤلف قدّس سرّه إلیه، راجع جامع الشتات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کتاب الطهارة من المناهج السویّة، و لا یوجد لدینا کتاب الحدود منها</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تلک الأخبار المستفاد منها ما ذکره المؤلّف قدّس سرّه، راجع أُصول الکافی، کتاب الکفر و الإیمان</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أُصول الکافی، کتاب الإیمان و الکفر، 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کتاب المرتدّ،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الخبر،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ظفرنا علیه فی الذکری هو ما قاله فی کتاب الطهارة منها، و إلیک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یطهر الکافر بإسلامه إجماعاً و لو کان عن ردّة فطریّة علی الأشبه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کتاب الطهارة من المناهج السویّة، و لا یوجد لدینا کتاب الحدود منها</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المرتدّ،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المرتدّ،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 الأوّل، مع اختلاف</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خبر یدلّ بمنطوقه علی طهارة المسلمین، نعم هو معلوم من الإجماع و الضرورة و فحوی الأخبار الدالّة علی نجاسة الکفّار</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لکنّه نسبه فیها إلی الشیخ</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الشهید الثانی فی 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الحاکی، و سیأتی من المؤلّف قدّس سرّه أنّ ابن فهد وافق المشهور فی المهذّب و الموجز</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تقف علیه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نقله فی الحدائق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قولًا، و لم یسمّ قائله</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 السابقة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شروح کثیرة تناهز ثلاثین شرحاً کما فی الذریعة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یتیسّر لنا تعیین الشرح الحاکی للإجماع</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الودیعة، الحدیث الأوّل</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الشهید الثانی، و قد تقدّمت الحکایة عنه فی الصفحة السابقة</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أثبتناه، لأنّ ظاهر عبارة السیّد فی منظومته و الشیخ فی کشف الغطاء و صریح النراقی فی اللوامع هو عدم اعتبار علم المکلّف بعروض النجاسة</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للنراقی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و لکن حکاه عنه فی الجواهر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المقسم فی الصفحة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فیه فی الصفحة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لیس من الظاهر من 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من المخطوطة، إلّا أنّ فیها أیضاً تقدّمت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 فی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یظهر منه قول أو عمل</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المراد بها أدلّة وجوب تصدیق المسلم و عدم جواز اتّهامه، راجع الصفحة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ذکر</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الشهیدین، راجع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فیه</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بشی‌ء</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الشهیدین فی الصفحة السابقة</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تأثّرها</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عثرنا علیه فی کشف الغطاء هو التصریح بمعاملة البواطن مع المذکورات من حیث الحدث، راجع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العبارة لا تخلو عن قصور</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ذیل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ابن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لا یوقنون</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ذیل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41065</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کالفاضل الآبی فی 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ابن فهد فی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فی زکاة الخلاف، نعم صرّح بذلک فی طهارة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علی ذکر الشرب، راجع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 المحقّق السبزواری فی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المحدّث البحرانی فی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الحاکی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الموجود فی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عن مطلق الاستعمال</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استظهاراً</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قد عبّر الشیخ بالکراهة، لکن حملوها علی إرادة الحرمة</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یطلق</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یجتنب</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 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 السیّد الطباطبائی فی منظومته، الدرّة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قد صرّح به فی خصوص المکحلة الصغیرة و ظرف الغالیة</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لیس فیه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یوضع فیه الشی‌ء</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 الحمد للّٰه</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یوجد لدینا</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فی کتبهم، و لا علی من حکاه عنهم</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لفظ الحدیث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و فی إحدی یدیه ذهب و الأُخری حریر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هذین محرّمان علی ذکور أُمّتی، حلّ لإناثها</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یتعرّض فی الشرائع للمسألة، 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فیهما، و لم نقف علی الحاکی أیضاً</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العبارة فیها، انظر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الذکیّ</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المخطوطة، و فی النسخ المطبوعة وردت العبارة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یغسل الإناء من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غیره من النجاسات حتّی تزول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المشهور، کما فی الروض، و عن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غسل الإناء من الخمر سبعاً </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و الأشربة،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السبع، راجع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فی الخلاف و المبسوط، لا فی التهذیب، 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نقل فی التهذیب روایة عمّار فقط، راجع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کشف اللثام أیضاً، لکن قاله الشیخ فی کتاب الأطعمة المحذورة و المباحة، راجع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فی جامع المقاصد هو الترجیح بالشهرة فقط، و لیس فیه فرض المساواة و الرجوع إلی الأصل، راجع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کلامٍ ظاهرٍ فی کفایة المرّة، بل ما وقفنا علیه من کلام القائلین بذلک صریح فی الکفایة، منهم العلّامة فی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منهم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الشیخ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لرجوع الضمیر إلی النجاسات</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فی کتبه، و لا علی من حکاه عنه</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المسالک، راجع الجزء الأوّل،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یوجد لدینا</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ذیل المسألة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فی الخلاف، نعم صرّح بذلک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فی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علماء الشیعة</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یوجد لدینا</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یوجد لدینا</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من النسّاخ</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منع من مثل الخشب أو القرع، و صرّح بجواز استعمال الخزف، راجع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خالف فی خصوص الخشب، راجع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إلیهما فی الصفحة السابقة</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العبارة مضطربة جدّاً؛ و لم یتقدّم وجوب الغسل ممّا عدا البول مرّتین</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المخطوطة</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إلیها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المرتضی فی جمل العلم و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 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المستدلّ به هو المحدّث البحرانی قدّس سرّه فی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یُغسل بالتراب ثمّ بالماء</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فقه القرآن، لکن 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التعلّق</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تخریجهما فی الصفحة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إلیهما العلّامة فی 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صحیحة أبی العباس الفضل المتقدّمة فی الصفحة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هذا التفصیل من کلام کاشف الغطاء، انظر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الإطلاقات</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الصحیحة فی الصفحة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المرسلة و الروایة فی الصفحة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یصرّح بعدم سقوط التعدّد، بل استشکل علی قول المبسوط بالسقوط، 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لا تخلو عن خلل</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یوجد لدینا</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بهم کلّ من حکم بنجاسة الخنزیر و لم یذکر لتطهیر ملاقیه کیفیّة خاصّة، قال الفاضل الأصفهانی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ظاهر الأکثر أنّه کسائر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فی المعتبر، و المفید فی المقنعة کما سیأتی، و لم نجد التصریح به فی کلام غیرهما</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سبطه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المخطوطة، و فی النسخ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استظهره الشهید الثانی من إطلاق عبارة الماتن،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جرذ</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جرذ</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الفاضل الأصفهانی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جرذ</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جرذ</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شرح المؤلف قدّس سرّه لمبحث التیمّم من الإرشاد، إلّا ورقتین جعلناهما فی الملحق، و هو شرح لکتاب الدروس، و قد أشرنا فی مقدّمة کتاب الطهارة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العلّامة الطهرانی نسب إلی الشیخ الأنصاری رسالة فی التیمم، و أنّه رأی نسخة منها فی خزانة المجدد الشیرازی بسامراء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اننا لم نعثر علی تلک الرسالة إلّا أننا عثرنا علی عدّة أوراق مبتورة من بحث التیمم ضمن مجموعة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المکتبة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رجّحنا تحقیقها و طبعها حفظاً من الضیاع</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جواز التفریق فی التیمّم البدل من الغسل</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الحدیث الأوّل</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النجاسة</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الشهید فی 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تقدّم</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الدروس، و لم یذکره المصنّف، و محلّه بیاض فی الأصل</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الحدیث الأوّل</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الدروس، و محلّه بیاض فی الأصل</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الحدیث الأوّل</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تیمّم فصلّی ثمّ أتی الماء </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الشهید فی 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الطهارة،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الحدیث الأوّل</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ابن إدریس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لا یمکن قراءتها</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ظاهراً، و الکلمة لا تقرأ</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الموجود فی المعتبر حکایة القولین عن السیّد المرتضی، إلّا أنّ الذی نقله عن الرسالة هو القول الأوّل، 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الحدیث الأوّل</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الباب الأوّل من أبواب الوضوء، الحدیث الأوّل</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image" Target="media/image2.jpeg"/><Relationship Id="rId378" Type="http://schemas.openxmlformats.org/officeDocument/2006/relationships/image" Target="media/image2.jpeg"/><Relationship Id="rId379" Type="http://schemas.openxmlformats.org/officeDocument/2006/relationships/footer" Target="footer372.xml"/><Relationship Id="rId380" Type="http://schemas.openxmlformats.org/officeDocument/2006/relationships/footnotes" Target="footnotes.xml"/><Relationship Id="rId381" Type="http://schemas.openxmlformats.org/officeDocument/2006/relationships/numbering" Target="numbering.xml"/><Relationship Id="rId382" Type="http://schemas.openxmlformats.org/officeDocument/2006/relationships/fontTable" Target="fontTable.xml"/><Relationship Id="rId383" Type="http://schemas.openxmlformats.org/officeDocument/2006/relationships/settings" Target="settings.xml"/><Relationship Id="rId3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376</Pages>
  <Words>77487</Words>
  <Characters>316823</Characters>
  <CharactersWithSpaces>392260</CharactersWithSpaces>
  <Paragraphs>4239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2026-08-24T00:13:47Z</dcterms:created>
  <dc:creator>ghaemiyeh.com</dc:creator>
  <dc:description/>
  <dc:language>en-US</dc:language>
  <cp:lastModifiedBy/>
  <dcterms:modified xsi:type="dcterms:W3CDTF">2026-08-24T03:44:03Z</dcterms:modified>
  <cp:revision>1</cp:revision>
  <dc:subject/>
  <dc:title>کتاب الطهاره جلد 5</dc:title>
</cp:coreProperties>
</file>

<file path=docProps/custom.xml><?xml version="1.0" encoding="utf-8"?>
<Properties xmlns="http://schemas.openxmlformats.org/officeDocument/2006/custom-properties" xmlns:vt="http://schemas.openxmlformats.org/officeDocument/2006/docPropsVTypes"/>
</file>