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منتهی المطلب ط </w:t>
      </w:r>
      <w:r>
        <w:rPr>
          <w:rtl w:val="true"/>
        </w:rPr>
        <w:t xml:space="preserve">- </w:t>
      </w:r>
      <w:r>
        <w:rPr>
          <w:rtl w:val="true"/>
        </w:rPr>
        <w:t xml:space="preserve">الحدیثة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46621_222507752">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746623_222507752">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746625_222507752">
            <w:r>
              <w:rPr>
                <w:webHidden/>
                <w:rStyle w:val="IndexLink"/>
                <w:rtl w:val="true"/>
              </w:rPr>
              <w:t>تقديم</w:t>
            </w:r>
            <w:r>
              <w:rPr>
                <w:rStyle w:val="IndexLink"/>
                <w:rtl w:val="true"/>
              </w:rPr>
              <w:tab/>
            </w:r>
            <w:r>
              <w:rPr>
                <w:rStyle w:val="IndexLink"/>
              </w:rPr>
              <w:t>19</w:t>
            </w:r>
          </w:hyperlink>
        </w:p>
        <w:p>
          <w:pPr>
            <w:pStyle w:val="Contents3"/>
            <w:tabs>
              <w:tab w:val="clear" w:pos="8459"/>
              <w:tab w:val="right" w:pos="9026" w:leader="dot"/>
            </w:tabs>
            <w:rPr/>
          </w:pPr>
          <w:hyperlink w:anchor="__RefHeading___Toc746627_222507752">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746629_222507752">
            <w:r>
              <w:rPr>
                <w:webHidden/>
                <w:rStyle w:val="IndexLink"/>
                <w:rtl w:val="true"/>
              </w:rPr>
              <w:t>(</w:t>
            </w:r>
            <w:r>
              <w:rPr>
                <w:rStyle w:val="IndexLink"/>
              </w:rPr>
              <w:t>1</w:t>
            </w:r>
            <w:r>
              <w:rPr>
                <w:rStyle w:val="IndexLink"/>
                <w:rtl w:val="true"/>
              </w:rPr>
              <w:t>)</w:t>
              <w:tab/>
            </w:r>
            <w:r>
              <w:rPr>
                <w:rStyle w:val="IndexLink"/>
              </w:rPr>
              <w:t>19</w:t>
            </w:r>
          </w:hyperlink>
        </w:p>
        <w:p>
          <w:pPr>
            <w:pStyle w:val="Contents3"/>
            <w:tabs>
              <w:tab w:val="clear" w:pos="8459"/>
              <w:tab w:val="right" w:pos="9026" w:leader="dot"/>
            </w:tabs>
            <w:rPr/>
          </w:pPr>
          <w:hyperlink w:anchor="__RefHeading___Toc746631_222507752">
            <w:r>
              <w:rPr>
                <w:webHidden/>
                <w:rStyle w:val="IndexLink"/>
                <w:rtl w:val="true"/>
              </w:rPr>
              <w:t>(</w:t>
            </w:r>
            <w:r>
              <w:rPr>
                <w:rStyle w:val="IndexLink"/>
              </w:rPr>
              <w:t>2</w:t>
            </w:r>
            <w:r>
              <w:rPr>
                <w:rStyle w:val="IndexLink"/>
                <w:rtl w:val="true"/>
              </w:rPr>
              <w:t>)</w:t>
              <w:tab/>
            </w:r>
            <w:r>
              <w:rPr>
                <w:rStyle w:val="IndexLink"/>
              </w:rPr>
              <w:t>20</w:t>
            </w:r>
          </w:hyperlink>
        </w:p>
        <w:p>
          <w:pPr>
            <w:pStyle w:val="Contents3"/>
            <w:tabs>
              <w:tab w:val="clear" w:pos="8459"/>
              <w:tab w:val="right" w:pos="9026" w:leader="dot"/>
            </w:tabs>
            <w:rPr/>
          </w:pPr>
          <w:hyperlink w:anchor="__RefHeading___Toc746633_222507752">
            <w:r>
              <w:rPr>
                <w:webHidden/>
                <w:rStyle w:val="IndexLink"/>
                <w:rtl w:val="true"/>
              </w:rPr>
              <w:t>(</w:t>
            </w:r>
            <w:r>
              <w:rPr>
                <w:rStyle w:val="IndexLink"/>
              </w:rPr>
              <w:t>3</w:t>
            </w:r>
            <w:r>
              <w:rPr>
                <w:rStyle w:val="IndexLink"/>
                <w:rtl w:val="true"/>
              </w:rPr>
              <w:t>)</w:t>
              <w:tab/>
            </w:r>
            <w:r>
              <w:rPr>
                <w:rStyle w:val="IndexLink"/>
              </w:rPr>
              <w:t>22</w:t>
            </w:r>
          </w:hyperlink>
        </w:p>
        <w:p>
          <w:pPr>
            <w:pStyle w:val="Contents4"/>
            <w:tabs>
              <w:tab w:val="clear" w:pos="8176"/>
              <w:tab w:val="right" w:pos="9026" w:leader="dot"/>
            </w:tabs>
            <w:rPr/>
          </w:pPr>
          <w:hyperlink w:anchor="__RefHeading___Toc746635_222507752">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746637_222507752">
            <w:r>
              <w:rPr>
                <w:webHidden/>
                <w:rStyle w:val="IndexLink"/>
              </w:rPr>
              <w:t>1</w:t>
            </w:r>
            <w:r>
              <w:rPr>
                <w:rStyle w:val="IndexLink"/>
                <w:rtl w:val="true"/>
              </w:rPr>
              <w:t>-</w:t>
            </w:r>
            <w:r>
              <w:rPr>
                <w:rStyle w:val="IndexLink"/>
                <w:rtl w:val="true"/>
              </w:rPr>
              <w:t>عرض الأقوال</w:t>
            </w:r>
            <w:r>
              <w:rPr>
                <w:rStyle w:val="IndexLink"/>
                <w:rtl w:val="true"/>
              </w:rPr>
              <w:t>:</w:t>
              <w:tab/>
            </w:r>
            <w:r>
              <w:rPr>
                <w:rStyle w:val="IndexLink"/>
              </w:rPr>
              <w:t>23</w:t>
            </w:r>
          </w:hyperlink>
        </w:p>
        <w:p>
          <w:pPr>
            <w:pStyle w:val="Contents4"/>
            <w:tabs>
              <w:tab w:val="clear" w:pos="8176"/>
              <w:tab w:val="right" w:pos="9026" w:leader="dot"/>
            </w:tabs>
            <w:rPr/>
          </w:pPr>
          <w:hyperlink w:anchor="__RefHeading___Toc746639_222507752">
            <w:r>
              <w:rPr>
                <w:webHidden/>
                <w:rStyle w:val="IndexLink"/>
              </w:rPr>
              <w:t>2</w:t>
            </w:r>
            <w:r>
              <w:rPr>
                <w:rStyle w:val="IndexLink"/>
                <w:rtl w:val="true"/>
              </w:rPr>
              <w:t>-</w:t>
            </w:r>
            <w:r>
              <w:rPr>
                <w:rStyle w:val="IndexLink"/>
                <w:rtl w:val="true"/>
              </w:rPr>
              <w:t>عرض الدّليل الشّخصيّ</w:t>
            </w:r>
            <w:r>
              <w:rPr>
                <w:rStyle w:val="IndexLink"/>
                <w:rtl w:val="true"/>
              </w:rPr>
              <w:t>:</w:t>
              <w:tab/>
            </w:r>
            <w:r>
              <w:rPr>
                <w:rStyle w:val="IndexLink"/>
              </w:rPr>
              <w:t>25</w:t>
            </w:r>
          </w:hyperlink>
        </w:p>
        <w:p>
          <w:pPr>
            <w:pStyle w:val="Contents4"/>
            <w:tabs>
              <w:tab w:val="clear" w:pos="8176"/>
              <w:tab w:val="right" w:pos="9026" w:leader="dot"/>
            </w:tabs>
            <w:rPr/>
          </w:pPr>
          <w:hyperlink w:anchor="__RefHeading___Toc746641_222507752">
            <w:r>
              <w:rPr>
                <w:webHidden/>
                <w:rStyle w:val="IndexLink"/>
              </w:rPr>
              <w:t>3</w:t>
            </w:r>
            <w:r>
              <w:rPr>
                <w:rStyle w:val="IndexLink"/>
                <w:rtl w:val="true"/>
              </w:rPr>
              <w:t xml:space="preserve"> </w:t>
            </w:r>
            <w:r>
              <w:rPr>
                <w:rStyle w:val="IndexLink"/>
                <w:rtl w:val="true"/>
              </w:rPr>
              <w:t>فرضيّة النّقض</w:t>
            </w:r>
            <w:r>
              <w:rPr>
                <w:rStyle w:val="IndexLink"/>
                <w:rtl w:val="true"/>
              </w:rPr>
              <w:t>:</w:t>
              <w:tab/>
            </w:r>
            <w:r>
              <w:rPr>
                <w:rStyle w:val="IndexLink"/>
              </w:rPr>
              <w:t>33</w:t>
            </w:r>
          </w:hyperlink>
        </w:p>
        <w:p>
          <w:pPr>
            <w:pStyle w:val="Contents4"/>
            <w:tabs>
              <w:tab w:val="clear" w:pos="8176"/>
              <w:tab w:val="right" w:pos="9026" w:leader="dot"/>
            </w:tabs>
            <w:rPr/>
          </w:pPr>
          <w:hyperlink w:anchor="__RefHeading___Toc746643_222507752">
            <w:r>
              <w:rPr>
                <w:webHidden/>
                <w:rStyle w:val="IndexLink"/>
              </w:rPr>
              <w:t>4</w:t>
            </w:r>
            <w:r>
              <w:rPr>
                <w:rStyle w:val="IndexLink"/>
                <w:rtl w:val="true"/>
              </w:rPr>
              <w:t>-</w:t>
            </w:r>
            <w:r>
              <w:rPr>
                <w:rStyle w:val="IndexLink"/>
                <w:rtl w:val="true"/>
              </w:rPr>
              <w:t>أدلّة المخالفين</w:t>
            </w:r>
            <w:r>
              <w:rPr>
                <w:rStyle w:val="IndexLink"/>
                <w:rtl w:val="true"/>
              </w:rPr>
              <w:t>:</w:t>
              <w:tab/>
            </w:r>
            <w:r>
              <w:rPr>
                <w:rStyle w:val="IndexLink"/>
              </w:rPr>
              <w:t>36</w:t>
            </w:r>
          </w:hyperlink>
        </w:p>
        <w:p>
          <w:pPr>
            <w:pStyle w:val="Contents4"/>
            <w:tabs>
              <w:tab w:val="clear" w:pos="8176"/>
              <w:tab w:val="right" w:pos="9026" w:leader="dot"/>
            </w:tabs>
            <w:rPr/>
          </w:pPr>
          <w:hyperlink w:anchor="__RefHeading___Toc746645_222507752">
            <w:r>
              <w:rPr>
                <w:webHidden/>
                <w:rStyle w:val="IndexLink"/>
              </w:rPr>
              <w:t>5</w:t>
            </w:r>
            <w:r>
              <w:rPr>
                <w:rStyle w:val="IndexLink"/>
                <w:rtl w:val="true"/>
              </w:rPr>
              <w:t xml:space="preserve"> </w:t>
            </w:r>
            <w:r>
              <w:rPr>
                <w:rStyle w:val="IndexLink"/>
                <w:rtl w:val="true"/>
              </w:rPr>
              <w:t>الرّد على أدلّة المخالفين</w:t>
            </w:r>
            <w:r>
              <w:rPr>
                <w:rStyle w:val="IndexLink"/>
                <w:rtl w:val="true"/>
              </w:rPr>
              <w:t>:</w:t>
              <w:tab/>
            </w:r>
            <w:r>
              <w:rPr>
                <w:rStyle w:val="IndexLink"/>
              </w:rPr>
              <w:t>38</w:t>
            </w:r>
          </w:hyperlink>
        </w:p>
        <w:p>
          <w:pPr>
            <w:pStyle w:val="Contents5"/>
            <w:tabs>
              <w:tab w:val="clear" w:pos="7892"/>
              <w:tab w:val="right" w:pos="9026" w:leader="dot"/>
            </w:tabs>
            <w:rPr/>
          </w:pPr>
          <w:hyperlink w:anchor="__RefHeading___Toc746647_222507752">
            <w:r>
              <w:rPr>
                <w:webHidden/>
                <w:rStyle w:val="IndexLink"/>
                <w:rtl w:val="true"/>
              </w:rPr>
              <w:t>اشارة</w:t>
            </w:r>
            <w:r>
              <w:rPr>
                <w:rStyle w:val="IndexLink"/>
                <w:rtl w:val="true"/>
              </w:rPr>
              <w:tab/>
            </w:r>
            <w:r>
              <w:rPr>
                <w:rStyle w:val="IndexLink"/>
              </w:rPr>
              <w:t>38</w:t>
            </w:r>
          </w:hyperlink>
        </w:p>
        <w:p>
          <w:pPr>
            <w:pStyle w:val="Contents5"/>
            <w:tabs>
              <w:tab w:val="clear" w:pos="7892"/>
              <w:tab w:val="right" w:pos="9026" w:leader="dot"/>
            </w:tabs>
            <w:rPr/>
          </w:pPr>
          <w:hyperlink w:anchor="__RefHeading___Toc746649_222507752">
            <w:r>
              <w:rPr>
                <w:webHidden/>
                <w:rStyle w:val="IndexLink"/>
                <w:rtl w:val="true"/>
              </w:rPr>
              <w:t>التّعامل مع الأدلّة الأخرى</w:t>
            </w:r>
            <w:r>
              <w:rPr>
                <w:rStyle w:val="IndexLink"/>
                <w:rtl w:val="true"/>
              </w:rPr>
              <w:t>:</w:t>
              <w:tab/>
            </w:r>
            <w:r>
              <w:rPr>
                <w:rStyle w:val="IndexLink"/>
              </w:rPr>
              <w:t>45</w:t>
            </w:r>
          </w:hyperlink>
        </w:p>
        <w:p>
          <w:pPr>
            <w:pStyle w:val="Contents6"/>
            <w:tabs>
              <w:tab w:val="clear" w:pos="7609"/>
              <w:tab w:val="right" w:pos="9026" w:leader="dot"/>
            </w:tabs>
            <w:rPr/>
          </w:pPr>
          <w:hyperlink w:anchor="__RefHeading___Toc746651_222507752">
            <w:r>
              <w:rPr>
                <w:webHidden/>
                <w:rStyle w:val="IndexLink"/>
                <w:rtl w:val="true"/>
              </w:rPr>
              <w:t>الإجماع</w:t>
            </w:r>
            <w:r>
              <w:rPr>
                <w:rStyle w:val="IndexLink"/>
                <w:rtl w:val="true"/>
              </w:rPr>
              <w:t>:</w:t>
              <w:tab/>
            </w:r>
            <w:r>
              <w:rPr>
                <w:rStyle w:val="IndexLink"/>
              </w:rPr>
              <w:t>45</w:t>
            </w:r>
          </w:hyperlink>
        </w:p>
        <w:p>
          <w:pPr>
            <w:pStyle w:val="Contents6"/>
            <w:tabs>
              <w:tab w:val="clear" w:pos="7609"/>
              <w:tab w:val="right" w:pos="9026" w:leader="dot"/>
            </w:tabs>
            <w:rPr/>
          </w:pPr>
          <w:hyperlink w:anchor="__RefHeading___Toc746653_222507752">
            <w:r>
              <w:rPr>
                <w:webHidden/>
                <w:rStyle w:val="IndexLink"/>
                <w:rtl w:val="true"/>
              </w:rPr>
              <w:t>الشّهرة الرّوائيّة و العمليّة و الفتوائيّة</w:t>
            </w:r>
            <w:r>
              <w:rPr>
                <w:rStyle w:val="IndexLink"/>
                <w:rtl w:val="true"/>
              </w:rPr>
              <w:t>:</w:t>
              <w:tab/>
            </w:r>
            <w:r>
              <w:rPr>
                <w:rStyle w:val="IndexLink"/>
              </w:rPr>
              <w:t>46</w:t>
            </w:r>
          </w:hyperlink>
        </w:p>
        <w:p>
          <w:pPr>
            <w:pStyle w:val="Contents6"/>
            <w:tabs>
              <w:tab w:val="clear" w:pos="7609"/>
              <w:tab w:val="right" w:pos="9026" w:leader="dot"/>
            </w:tabs>
            <w:rPr/>
          </w:pPr>
          <w:hyperlink w:anchor="__RefHeading___Toc746655_222507752">
            <w:r>
              <w:rPr>
                <w:webHidden/>
                <w:rStyle w:val="IndexLink"/>
                <w:rtl w:val="true"/>
              </w:rPr>
              <w:t>عمل الصّحابيّ</w:t>
            </w:r>
            <w:r>
              <w:rPr>
                <w:rStyle w:val="IndexLink"/>
                <w:rtl w:val="true"/>
              </w:rPr>
              <w:t>:</w:t>
              <w:tab/>
            </w:r>
            <w:r>
              <w:rPr>
                <w:rStyle w:val="IndexLink"/>
              </w:rPr>
              <w:t>47</w:t>
            </w:r>
          </w:hyperlink>
        </w:p>
        <w:p>
          <w:pPr>
            <w:pStyle w:val="Contents5"/>
            <w:tabs>
              <w:tab w:val="clear" w:pos="7892"/>
              <w:tab w:val="right" w:pos="9026" w:leader="dot"/>
            </w:tabs>
            <w:rPr/>
          </w:pPr>
          <w:hyperlink w:anchor="__RefHeading___Toc746657_222507752">
            <w:r>
              <w:rPr>
                <w:webHidden/>
                <w:rStyle w:val="IndexLink"/>
                <w:rtl w:val="true"/>
              </w:rPr>
              <w:t>الأدلّة المنهيّ عنها</w:t>
            </w:r>
            <w:r>
              <w:rPr>
                <w:rStyle w:val="IndexLink"/>
                <w:rtl w:val="true"/>
              </w:rPr>
              <w:t>:</w:t>
              <w:tab/>
            </w:r>
            <w:r>
              <w:rPr>
                <w:rStyle w:val="IndexLink"/>
              </w:rPr>
              <w:t>48</w:t>
            </w:r>
          </w:hyperlink>
        </w:p>
        <w:p>
          <w:pPr>
            <w:pStyle w:val="Contents4"/>
            <w:tabs>
              <w:tab w:val="clear" w:pos="8176"/>
              <w:tab w:val="right" w:pos="9026" w:leader="dot"/>
            </w:tabs>
            <w:rPr/>
          </w:pPr>
          <w:hyperlink w:anchor="__RefHeading___Toc746659_222507752">
            <w:r>
              <w:rPr>
                <w:webHidden/>
                <w:rStyle w:val="IndexLink"/>
              </w:rPr>
              <w:t>6</w:t>
            </w:r>
            <w:r>
              <w:rPr>
                <w:rStyle w:val="IndexLink"/>
                <w:rtl w:val="true"/>
              </w:rPr>
              <w:t>-</w:t>
            </w:r>
            <w:r>
              <w:rPr>
                <w:rStyle w:val="IndexLink"/>
                <w:rtl w:val="true"/>
              </w:rPr>
              <w:t>فرضيّة النّقض أو الإشكال على ردوده</w:t>
            </w:r>
            <w:r>
              <w:rPr>
                <w:rStyle w:val="IndexLink"/>
                <w:rtl w:val="true"/>
              </w:rPr>
              <w:t>:</w:t>
              <w:tab/>
            </w:r>
            <w:r>
              <w:rPr>
                <w:rStyle w:val="IndexLink"/>
              </w:rPr>
              <w:t>49</w:t>
            </w:r>
          </w:hyperlink>
        </w:p>
        <w:p>
          <w:pPr>
            <w:pStyle w:val="Contents3"/>
            <w:tabs>
              <w:tab w:val="clear" w:pos="8459"/>
              <w:tab w:val="right" w:pos="9026" w:leader="dot"/>
            </w:tabs>
            <w:rPr/>
          </w:pPr>
          <w:hyperlink w:anchor="__RefHeading___Toc746661_222507752">
            <w:r>
              <w:rPr>
                <w:webHidden/>
                <w:rStyle w:val="IndexLink"/>
                <w:rtl w:val="true"/>
              </w:rPr>
              <w:t>(</w:t>
            </w:r>
            <w:r>
              <w:rPr>
                <w:rStyle w:val="IndexLink"/>
              </w:rPr>
              <w:t>4</w:t>
            </w:r>
            <w:r>
              <w:rPr>
                <w:rStyle w:val="IndexLink"/>
                <w:rtl w:val="true"/>
              </w:rPr>
              <w:t>)</w:t>
              <w:tab/>
            </w:r>
            <w:r>
              <w:rPr>
                <w:rStyle w:val="IndexLink"/>
              </w:rPr>
              <w:t>52</w:t>
            </w:r>
          </w:hyperlink>
        </w:p>
        <w:p>
          <w:pPr>
            <w:pStyle w:val="Contents4"/>
            <w:tabs>
              <w:tab w:val="clear" w:pos="8176"/>
              <w:tab w:val="right" w:pos="9026" w:leader="dot"/>
            </w:tabs>
            <w:rPr/>
          </w:pPr>
          <w:hyperlink w:anchor="__RefHeading___Toc746663_222507752">
            <w:r>
              <w:rPr>
                <w:webHidden/>
                <w:rStyle w:val="IndexLink"/>
                <w:rtl w:val="true"/>
              </w:rPr>
              <w:t>اشارة</w:t>
            </w:r>
            <w:r>
              <w:rPr>
                <w:rStyle w:val="IndexLink"/>
                <w:rtl w:val="true"/>
              </w:rPr>
              <w:tab/>
            </w:r>
            <w:r>
              <w:rPr>
                <w:rStyle w:val="IndexLink"/>
              </w:rPr>
              <w:t>52</w:t>
            </w:r>
          </w:hyperlink>
        </w:p>
        <w:p>
          <w:pPr>
            <w:pStyle w:val="Contents4"/>
            <w:tabs>
              <w:tab w:val="clear" w:pos="8176"/>
              <w:tab w:val="right" w:pos="9026" w:leader="dot"/>
            </w:tabs>
            <w:rPr/>
          </w:pPr>
          <w:hyperlink w:anchor="__RefHeading___Toc746665_222507752">
            <w:r>
              <w:rPr>
                <w:webHidden/>
                <w:rStyle w:val="IndexLink"/>
                <w:rtl w:val="true"/>
              </w:rPr>
              <w:t>التّعامل مع النّصوص</w:t>
            </w:r>
            <w:r>
              <w:rPr>
                <w:rStyle w:val="IndexLink"/>
                <w:rtl w:val="true"/>
              </w:rPr>
              <w:t>:</w:t>
              <w:tab/>
            </w:r>
            <w:r>
              <w:rPr>
                <w:rStyle w:val="IndexLink"/>
              </w:rPr>
              <w:t>53</w:t>
            </w:r>
          </w:hyperlink>
        </w:p>
        <w:p>
          <w:pPr>
            <w:pStyle w:val="Contents5"/>
            <w:tabs>
              <w:tab w:val="clear" w:pos="7892"/>
              <w:tab w:val="right" w:pos="9026" w:leader="dot"/>
            </w:tabs>
            <w:rPr/>
          </w:pPr>
          <w:hyperlink w:anchor="__RefHeading___Toc746667_222507752">
            <w:r>
              <w:rPr>
                <w:webHidden/>
                <w:rStyle w:val="IndexLink"/>
              </w:rPr>
              <w:t>1</w:t>
            </w:r>
            <w:r>
              <w:rPr>
                <w:rStyle w:val="IndexLink"/>
                <w:rtl w:val="true"/>
              </w:rPr>
              <w:t>-</w:t>
            </w:r>
            <w:r>
              <w:rPr>
                <w:rStyle w:val="IndexLink"/>
                <w:rtl w:val="true"/>
              </w:rPr>
              <w:t>التّفسير اللّغويّ</w:t>
            </w:r>
            <w:r>
              <w:rPr>
                <w:rStyle w:val="IndexLink"/>
                <w:rtl w:val="true"/>
              </w:rPr>
              <w:t>:</w:t>
              <w:tab/>
            </w:r>
            <w:r>
              <w:rPr>
                <w:rStyle w:val="IndexLink"/>
              </w:rPr>
              <w:t>53</w:t>
            </w:r>
          </w:hyperlink>
        </w:p>
        <w:p>
          <w:pPr>
            <w:pStyle w:val="Contents5"/>
            <w:tabs>
              <w:tab w:val="clear" w:pos="7892"/>
              <w:tab w:val="right" w:pos="9026" w:leader="dot"/>
            </w:tabs>
            <w:rPr/>
          </w:pPr>
          <w:hyperlink w:anchor="__RefHeading___Toc746669_222507752">
            <w:r>
              <w:rPr>
                <w:webHidden/>
                <w:rStyle w:val="IndexLink"/>
              </w:rPr>
              <w:t>2</w:t>
            </w:r>
            <w:r>
              <w:rPr>
                <w:rStyle w:val="IndexLink"/>
                <w:rtl w:val="true"/>
              </w:rPr>
              <w:t>-</w:t>
            </w:r>
            <w:r>
              <w:rPr>
                <w:rStyle w:val="IndexLink"/>
                <w:rtl w:val="true"/>
              </w:rPr>
              <w:t>التّفسير من خلال النّصّ</w:t>
            </w:r>
            <w:r>
              <w:rPr>
                <w:rStyle w:val="IndexLink"/>
                <w:rtl w:val="true"/>
              </w:rPr>
              <w:t>:</w:t>
              <w:tab/>
            </w:r>
            <w:r>
              <w:rPr>
                <w:rStyle w:val="IndexLink"/>
              </w:rPr>
              <w:t>56</w:t>
            </w:r>
          </w:hyperlink>
        </w:p>
        <w:p>
          <w:pPr>
            <w:pStyle w:val="Contents5"/>
            <w:tabs>
              <w:tab w:val="clear" w:pos="7892"/>
              <w:tab w:val="right" w:pos="9026" w:leader="dot"/>
            </w:tabs>
            <w:rPr/>
          </w:pPr>
          <w:hyperlink w:anchor="__RefHeading___Toc746671_222507752">
            <w:r>
              <w:rPr>
                <w:webHidden/>
                <w:rStyle w:val="IndexLink"/>
              </w:rPr>
              <w:t>3</w:t>
            </w:r>
            <w:r>
              <w:rPr>
                <w:rStyle w:val="IndexLink"/>
                <w:rtl w:val="true"/>
              </w:rPr>
              <w:t>-</w:t>
            </w:r>
            <w:r>
              <w:rPr>
                <w:rStyle w:val="IndexLink"/>
                <w:rtl w:val="true"/>
              </w:rPr>
              <w:t>النّصّ و التّعارض</w:t>
            </w:r>
            <w:r>
              <w:rPr>
                <w:rStyle w:val="IndexLink"/>
                <w:rtl w:val="true"/>
              </w:rPr>
              <w:t>:</w:t>
              <w:tab/>
            </w:r>
            <w:r>
              <w:rPr>
                <w:rStyle w:val="IndexLink"/>
              </w:rPr>
              <w:t>60</w:t>
            </w:r>
          </w:hyperlink>
        </w:p>
        <w:p>
          <w:pPr>
            <w:pStyle w:val="Contents5"/>
            <w:tabs>
              <w:tab w:val="clear" w:pos="7892"/>
              <w:tab w:val="right" w:pos="9026" w:leader="dot"/>
            </w:tabs>
            <w:rPr/>
          </w:pPr>
          <w:hyperlink w:anchor="__RefHeading___Toc746673_222507752">
            <w:r>
              <w:rPr>
                <w:webHidden/>
                <w:rStyle w:val="IndexLink"/>
              </w:rPr>
              <w:t>4</w:t>
            </w:r>
            <w:r>
              <w:rPr>
                <w:rStyle w:val="IndexLink"/>
                <w:rtl w:val="true"/>
              </w:rPr>
              <w:t>-</w:t>
            </w:r>
            <w:r>
              <w:rPr>
                <w:rStyle w:val="IndexLink"/>
                <w:rtl w:val="true"/>
              </w:rPr>
              <w:t>استقراء النّصوص</w:t>
            </w:r>
            <w:r>
              <w:rPr>
                <w:rStyle w:val="IndexLink"/>
                <w:rtl w:val="true"/>
              </w:rPr>
              <w:t>:</w:t>
              <w:tab/>
            </w:r>
            <w:r>
              <w:rPr>
                <w:rStyle w:val="IndexLink"/>
              </w:rPr>
              <w:t>62</w:t>
            </w:r>
          </w:hyperlink>
        </w:p>
        <w:p>
          <w:pPr>
            <w:pStyle w:val="Contents5"/>
            <w:tabs>
              <w:tab w:val="clear" w:pos="7892"/>
              <w:tab w:val="right" w:pos="9026" w:leader="dot"/>
            </w:tabs>
            <w:rPr/>
          </w:pPr>
          <w:hyperlink w:anchor="__RefHeading___Toc746675_222507752">
            <w:r>
              <w:rPr>
                <w:webHidden/>
                <w:rStyle w:val="IndexLink"/>
              </w:rPr>
              <w:t>5</w:t>
            </w:r>
            <w:r>
              <w:rPr>
                <w:rStyle w:val="IndexLink"/>
                <w:rtl w:val="true"/>
              </w:rPr>
              <w:t>-</w:t>
            </w:r>
            <w:r>
              <w:rPr>
                <w:rStyle w:val="IndexLink"/>
                <w:rtl w:val="true"/>
              </w:rPr>
              <w:t>تعليل النّصوص</w:t>
            </w:r>
            <w:r>
              <w:rPr>
                <w:rStyle w:val="IndexLink"/>
                <w:rtl w:val="true"/>
              </w:rPr>
              <w:t>:</w:t>
              <w:tab/>
            </w:r>
            <w:r>
              <w:rPr>
                <w:rStyle w:val="IndexLink"/>
              </w:rPr>
              <w:t>65</w:t>
            </w:r>
          </w:hyperlink>
        </w:p>
        <w:p>
          <w:pPr>
            <w:pStyle w:val="Contents5"/>
            <w:tabs>
              <w:tab w:val="clear" w:pos="7892"/>
              <w:tab w:val="right" w:pos="9026" w:leader="dot"/>
            </w:tabs>
            <w:rPr/>
          </w:pPr>
          <w:hyperlink w:anchor="__RefHeading___Toc746677_222507752">
            <w:r>
              <w:rPr>
                <w:webHidden/>
                <w:rStyle w:val="IndexLink"/>
              </w:rPr>
              <w:t>6</w:t>
            </w:r>
            <w:r>
              <w:rPr>
                <w:rStyle w:val="IndexLink"/>
                <w:rtl w:val="true"/>
              </w:rPr>
              <w:t>-</w:t>
            </w:r>
            <w:r>
              <w:rPr>
                <w:rStyle w:val="IndexLink"/>
                <w:rtl w:val="true"/>
              </w:rPr>
              <w:t>تفكيك النّصوص</w:t>
            </w:r>
            <w:r>
              <w:rPr>
                <w:rStyle w:val="IndexLink"/>
                <w:rtl w:val="true"/>
              </w:rPr>
              <w:t>:</w:t>
              <w:tab/>
            </w:r>
            <w:r>
              <w:rPr>
                <w:rStyle w:val="IndexLink"/>
              </w:rPr>
              <w:t>69</w:t>
            </w:r>
          </w:hyperlink>
        </w:p>
        <w:p>
          <w:pPr>
            <w:pStyle w:val="Contents4"/>
            <w:tabs>
              <w:tab w:val="clear" w:pos="8176"/>
              <w:tab w:val="right" w:pos="9026" w:leader="dot"/>
            </w:tabs>
            <w:rPr/>
          </w:pPr>
          <w:hyperlink w:anchor="__RefHeading___Toc746679_222507752">
            <w:r>
              <w:rPr>
                <w:webHidden/>
                <w:rStyle w:val="IndexLink"/>
                <w:rtl w:val="true"/>
              </w:rPr>
              <w:t>التّعامل مع الأصول العمليّة و سواها</w:t>
            </w:r>
            <w:r>
              <w:rPr>
                <w:rStyle w:val="IndexLink"/>
                <w:rtl w:val="true"/>
              </w:rPr>
              <w:t>:</w:t>
              <w:tab/>
            </w:r>
            <w:r>
              <w:rPr>
                <w:rStyle w:val="IndexLink"/>
              </w:rPr>
              <w:t>71</w:t>
            </w:r>
          </w:hyperlink>
        </w:p>
        <w:p>
          <w:pPr>
            <w:pStyle w:val="Contents4"/>
            <w:tabs>
              <w:tab w:val="clear" w:pos="8176"/>
              <w:tab w:val="right" w:pos="9026" w:leader="dot"/>
            </w:tabs>
            <w:rPr/>
          </w:pPr>
          <w:hyperlink w:anchor="__RefHeading___Toc746681_222507752">
            <w:r>
              <w:rPr>
                <w:webHidden/>
                <w:rStyle w:val="IndexLink"/>
                <w:rtl w:val="true"/>
              </w:rPr>
              <w:t>تعدّد الأدلّة</w:t>
            </w:r>
            <w:r>
              <w:rPr>
                <w:rStyle w:val="IndexLink"/>
                <w:rtl w:val="true"/>
              </w:rPr>
              <w:t>:</w:t>
              <w:tab/>
            </w:r>
            <w:r>
              <w:rPr>
                <w:rStyle w:val="IndexLink"/>
              </w:rPr>
              <w:t>74</w:t>
            </w:r>
          </w:hyperlink>
        </w:p>
        <w:p>
          <w:pPr>
            <w:pStyle w:val="Contents4"/>
            <w:tabs>
              <w:tab w:val="clear" w:pos="8176"/>
              <w:tab w:val="right" w:pos="9026" w:leader="dot"/>
            </w:tabs>
            <w:rPr/>
          </w:pPr>
          <w:hyperlink w:anchor="__RefHeading___Toc746683_222507752">
            <w:r>
              <w:rPr>
                <w:webHidden/>
                <w:rStyle w:val="IndexLink"/>
                <w:rtl w:val="true"/>
              </w:rPr>
              <w:t>التّعامل مع السّند</w:t>
            </w:r>
            <w:r>
              <w:rPr>
                <w:rStyle w:val="IndexLink"/>
                <w:rtl w:val="true"/>
              </w:rPr>
              <w:t>:</w:t>
              <w:tab/>
            </w:r>
            <w:r>
              <w:rPr>
                <w:rStyle w:val="IndexLink"/>
              </w:rPr>
              <w:t>75</w:t>
            </w:r>
          </w:hyperlink>
        </w:p>
        <w:p>
          <w:pPr>
            <w:pStyle w:val="Contents4"/>
            <w:tabs>
              <w:tab w:val="clear" w:pos="8176"/>
              <w:tab w:val="right" w:pos="9026" w:leader="dot"/>
            </w:tabs>
            <w:rPr/>
          </w:pPr>
          <w:hyperlink w:anchor="__RefHeading___Toc746685_222507752">
            <w:r>
              <w:rPr>
                <w:webHidden/>
                <w:rStyle w:val="IndexLink"/>
                <w:rtl w:val="true"/>
              </w:rPr>
              <w:t>عمل الأصحاب</w:t>
            </w:r>
            <w:r>
              <w:rPr>
                <w:rStyle w:val="IndexLink"/>
                <w:rtl w:val="true"/>
              </w:rPr>
              <w:t>:</w:t>
              <w:tab/>
            </w:r>
            <w:r>
              <w:rPr>
                <w:rStyle w:val="IndexLink"/>
              </w:rPr>
              <w:t>77</w:t>
            </w:r>
          </w:hyperlink>
        </w:p>
        <w:p>
          <w:pPr>
            <w:pStyle w:val="Contents4"/>
            <w:tabs>
              <w:tab w:val="clear" w:pos="8176"/>
              <w:tab w:val="right" w:pos="9026" w:leader="dot"/>
            </w:tabs>
            <w:rPr/>
          </w:pPr>
          <w:hyperlink w:anchor="__RefHeading___Toc746687_222507752">
            <w:r>
              <w:rPr>
                <w:webHidden/>
                <w:rStyle w:val="IndexLink"/>
                <w:rtl w:val="true"/>
              </w:rPr>
              <w:t>تصحيح الأصحاب</w:t>
            </w:r>
            <w:r>
              <w:rPr>
                <w:rStyle w:val="IndexLink"/>
                <w:rtl w:val="true"/>
              </w:rPr>
              <w:t>:</w:t>
              <w:tab/>
            </w:r>
            <w:r>
              <w:rPr>
                <w:rStyle w:val="IndexLink"/>
              </w:rPr>
              <w:t>77</w:t>
            </w:r>
          </w:hyperlink>
        </w:p>
        <w:p>
          <w:pPr>
            <w:pStyle w:val="Contents4"/>
            <w:tabs>
              <w:tab w:val="clear" w:pos="8176"/>
              <w:tab w:val="right" w:pos="9026" w:leader="dot"/>
            </w:tabs>
            <w:rPr/>
          </w:pPr>
          <w:hyperlink w:anchor="__RefHeading___Toc746689_222507752">
            <w:r>
              <w:rPr>
                <w:webHidden/>
                <w:rStyle w:val="IndexLink"/>
                <w:rtl w:val="true"/>
              </w:rPr>
              <w:t>مناسبة المذهب</w:t>
            </w:r>
            <w:r>
              <w:rPr>
                <w:rStyle w:val="IndexLink"/>
                <w:rtl w:val="true"/>
              </w:rPr>
              <w:t>:</w:t>
              <w:tab/>
            </w:r>
            <w:r>
              <w:rPr>
                <w:rStyle w:val="IndexLink"/>
              </w:rPr>
              <w:t>78</w:t>
            </w:r>
          </w:hyperlink>
        </w:p>
        <w:p>
          <w:pPr>
            <w:pStyle w:val="Contents4"/>
            <w:tabs>
              <w:tab w:val="clear" w:pos="8176"/>
              <w:tab w:val="right" w:pos="9026" w:leader="dot"/>
            </w:tabs>
            <w:rPr/>
          </w:pPr>
          <w:hyperlink w:anchor="__RefHeading___Toc746691_222507752">
            <w:r>
              <w:rPr>
                <w:webHidden/>
                <w:rStyle w:val="IndexLink"/>
                <w:rtl w:val="true"/>
              </w:rPr>
              <w:t>تأييد و تقوية</w:t>
            </w:r>
            <w:r>
              <w:rPr>
                <w:rStyle w:val="IndexLink"/>
                <w:rtl w:val="true"/>
              </w:rPr>
              <w:t>:</w:t>
              <w:tab/>
            </w:r>
            <w:r>
              <w:rPr>
                <w:rStyle w:val="IndexLink"/>
              </w:rPr>
              <w:t>79</w:t>
            </w:r>
          </w:hyperlink>
        </w:p>
        <w:p>
          <w:pPr>
            <w:pStyle w:val="Contents4"/>
            <w:tabs>
              <w:tab w:val="clear" w:pos="8176"/>
              <w:tab w:val="right" w:pos="9026" w:leader="dot"/>
            </w:tabs>
            <w:rPr/>
          </w:pPr>
          <w:hyperlink w:anchor="__RefHeading___Toc746693_222507752">
            <w:r>
              <w:rPr>
                <w:webHidden/>
                <w:rStyle w:val="IndexLink"/>
                <w:rtl w:val="true"/>
              </w:rPr>
              <w:t>إلزام المخالف</w:t>
            </w:r>
            <w:r>
              <w:rPr>
                <w:rStyle w:val="IndexLink"/>
                <w:rtl w:val="true"/>
              </w:rPr>
              <w:t>:</w:t>
              <w:tab/>
            </w:r>
            <w:r>
              <w:rPr>
                <w:rStyle w:val="IndexLink"/>
              </w:rPr>
              <w:t>79</w:t>
            </w:r>
          </w:hyperlink>
        </w:p>
        <w:p>
          <w:pPr>
            <w:pStyle w:val="Contents4"/>
            <w:tabs>
              <w:tab w:val="clear" w:pos="8176"/>
              <w:tab w:val="right" w:pos="9026" w:leader="dot"/>
            </w:tabs>
            <w:rPr/>
          </w:pPr>
          <w:hyperlink w:anchor="__RefHeading___Toc746695_222507752">
            <w:r>
              <w:rPr>
                <w:webHidden/>
                <w:rStyle w:val="IndexLink"/>
                <w:rtl w:val="true"/>
              </w:rPr>
              <w:t>العمل أولى من الطّرح</w:t>
            </w:r>
            <w:r>
              <w:rPr>
                <w:rStyle w:val="IndexLink"/>
                <w:rtl w:val="true"/>
              </w:rPr>
              <w:t>:</w:t>
              <w:tab/>
            </w:r>
            <w:r>
              <w:rPr>
                <w:rStyle w:val="IndexLink"/>
              </w:rPr>
              <w:t>81</w:t>
            </w:r>
          </w:hyperlink>
        </w:p>
        <w:p>
          <w:pPr>
            <w:pStyle w:val="Contents4"/>
            <w:tabs>
              <w:tab w:val="clear" w:pos="8176"/>
              <w:tab w:val="right" w:pos="9026" w:leader="dot"/>
            </w:tabs>
            <w:rPr/>
          </w:pPr>
          <w:hyperlink w:anchor="__RefHeading___Toc746697_222507752">
            <w:r>
              <w:rPr>
                <w:webHidden/>
                <w:rStyle w:val="IndexLink"/>
                <w:rtl w:val="true"/>
              </w:rPr>
              <w:t>العمل بالضّعيف مطلقا</w:t>
            </w:r>
            <w:r>
              <w:rPr>
                <w:rStyle w:val="IndexLink"/>
                <w:rtl w:val="true"/>
              </w:rPr>
              <w:t>:</w:t>
              <w:tab/>
            </w:r>
            <w:r>
              <w:rPr>
                <w:rStyle w:val="IndexLink"/>
              </w:rPr>
              <w:t>82</w:t>
            </w:r>
          </w:hyperlink>
        </w:p>
        <w:p>
          <w:pPr>
            <w:pStyle w:val="Contents4"/>
            <w:tabs>
              <w:tab w:val="clear" w:pos="8176"/>
              <w:tab w:val="right" w:pos="9026" w:leader="dot"/>
            </w:tabs>
            <w:rPr/>
          </w:pPr>
          <w:hyperlink w:anchor="__RefHeading___Toc746699_222507752">
            <w:r>
              <w:rPr>
                <w:webHidden/>
                <w:rStyle w:val="IndexLink"/>
                <w:rtl w:val="true"/>
              </w:rPr>
              <w:t>التّوقّف أو التّردّد</w:t>
            </w:r>
            <w:r>
              <w:rPr>
                <w:rStyle w:val="IndexLink"/>
                <w:rtl w:val="true"/>
              </w:rPr>
              <w:t>:</w:t>
              <w:tab/>
            </w:r>
            <w:r>
              <w:rPr>
                <w:rStyle w:val="IndexLink"/>
              </w:rPr>
              <w:t>84</w:t>
            </w:r>
          </w:hyperlink>
        </w:p>
        <w:p>
          <w:pPr>
            <w:pStyle w:val="Contents4"/>
            <w:tabs>
              <w:tab w:val="clear" w:pos="8176"/>
              <w:tab w:val="right" w:pos="9026" w:leader="dot"/>
            </w:tabs>
            <w:rPr/>
          </w:pPr>
          <w:hyperlink w:anchor="__RefHeading___Toc746701_222507752">
            <w:r>
              <w:rPr>
                <w:webHidden/>
                <w:rStyle w:val="IndexLink"/>
                <w:rtl w:val="true"/>
              </w:rPr>
              <w:t>الافتراضات و الحكم</w:t>
            </w:r>
            <w:r>
              <w:rPr>
                <w:rStyle w:val="IndexLink"/>
                <w:rtl w:val="true"/>
              </w:rPr>
              <w:t>:</w:t>
              <w:tab/>
            </w:r>
            <w:r>
              <w:rPr>
                <w:rStyle w:val="IndexLink"/>
              </w:rPr>
              <w:t>87</w:t>
            </w:r>
          </w:hyperlink>
        </w:p>
        <w:p>
          <w:pPr>
            <w:pStyle w:val="Contents4"/>
            <w:tabs>
              <w:tab w:val="clear" w:pos="8176"/>
              <w:tab w:val="right" w:pos="9026" w:leader="dot"/>
            </w:tabs>
            <w:rPr/>
          </w:pPr>
          <w:hyperlink w:anchor="__RefHeading___Toc746703_222507752">
            <w:r>
              <w:rPr>
                <w:webHidden/>
                <w:rStyle w:val="IndexLink"/>
                <w:rtl w:val="true"/>
              </w:rPr>
              <w:t>عنصر التّطوير الفقهيّ</w:t>
            </w:r>
            <w:r>
              <w:rPr>
                <w:rStyle w:val="IndexLink"/>
                <w:rtl w:val="true"/>
              </w:rPr>
              <w:t>:</w:t>
              <w:tab/>
            </w:r>
            <w:r>
              <w:rPr>
                <w:rStyle w:val="IndexLink"/>
              </w:rPr>
              <w:t>89</w:t>
            </w:r>
          </w:hyperlink>
        </w:p>
        <w:p>
          <w:pPr>
            <w:pStyle w:val="Contents3"/>
            <w:tabs>
              <w:tab w:val="clear" w:pos="8459"/>
              <w:tab w:val="right" w:pos="9026" w:leader="dot"/>
            </w:tabs>
            <w:rPr/>
          </w:pPr>
          <w:hyperlink w:anchor="__RefHeading___Toc746705_222507752">
            <w:r>
              <w:rPr>
                <w:webHidden/>
                <w:rStyle w:val="IndexLink"/>
                <w:rtl w:val="true"/>
              </w:rPr>
              <w:t>كلمة القسم</w:t>
            </w:r>
            <w:r>
              <w:rPr>
                <w:rStyle w:val="IndexLink"/>
                <w:rtl w:val="true"/>
              </w:rPr>
              <w:tab/>
            </w:r>
            <w:r>
              <w:rPr>
                <w:rStyle w:val="IndexLink"/>
              </w:rPr>
              <w:t>94</w:t>
            </w:r>
          </w:hyperlink>
        </w:p>
        <w:p>
          <w:pPr>
            <w:pStyle w:val="Contents4"/>
            <w:tabs>
              <w:tab w:val="clear" w:pos="8176"/>
              <w:tab w:val="right" w:pos="9026" w:leader="dot"/>
            </w:tabs>
            <w:rPr/>
          </w:pPr>
          <w:hyperlink w:anchor="__RefHeading___Toc746707_222507752">
            <w:r>
              <w:rPr>
                <w:webHidden/>
                <w:rStyle w:val="IndexLink"/>
                <w:rtl w:val="true"/>
              </w:rPr>
              <w:t>النّسخ المخطوطة المعتمدة في تحقيق الكتاب</w:t>
            </w:r>
            <w:r>
              <w:rPr>
                <w:rStyle w:val="IndexLink"/>
                <w:rtl w:val="true"/>
              </w:rPr>
              <w:t>:</w:t>
              <w:tab/>
            </w:r>
            <w:r>
              <w:rPr>
                <w:rStyle w:val="IndexLink"/>
              </w:rPr>
              <w:t>94</w:t>
            </w:r>
          </w:hyperlink>
        </w:p>
        <w:p>
          <w:pPr>
            <w:pStyle w:val="Contents5"/>
            <w:tabs>
              <w:tab w:val="clear" w:pos="7892"/>
              <w:tab w:val="right" w:pos="9026" w:leader="dot"/>
            </w:tabs>
            <w:rPr/>
          </w:pPr>
          <w:hyperlink w:anchor="__RefHeading___Toc746709_222507752">
            <w:r>
              <w:rPr>
                <w:webHidden/>
                <w:rStyle w:val="IndexLink"/>
                <w:rtl w:val="true"/>
              </w:rPr>
              <w:t>اشارة</w:t>
            </w:r>
            <w:r>
              <w:rPr>
                <w:rStyle w:val="IndexLink"/>
                <w:rtl w:val="true"/>
              </w:rPr>
              <w:tab/>
            </w:r>
            <w:r>
              <w:rPr>
                <w:rStyle w:val="IndexLink"/>
              </w:rPr>
              <w:t>94</w:t>
            </w:r>
          </w:hyperlink>
        </w:p>
        <w:p>
          <w:pPr>
            <w:pStyle w:val="Contents5"/>
            <w:tabs>
              <w:tab w:val="clear" w:pos="7892"/>
              <w:tab w:val="right" w:pos="9026" w:leader="dot"/>
            </w:tabs>
            <w:rPr/>
          </w:pPr>
          <w:hyperlink w:anchor="__RefHeading___Toc746711_222507752">
            <w:r>
              <w:rPr>
                <w:webHidden/>
                <w:rStyle w:val="IndexLink"/>
              </w:rPr>
              <w:t>1</w:t>
            </w:r>
            <w:r>
              <w:rPr>
                <w:rStyle w:val="IndexLink"/>
                <w:rtl w:val="true"/>
              </w:rPr>
              <w:t>-</w:t>
            </w:r>
            <w:r>
              <w:rPr>
                <w:rStyle w:val="IndexLink"/>
                <w:rtl w:val="true"/>
              </w:rPr>
              <w:t>النّسخة الموقوفة لخان بابا مشار،</w:t>
            </w:r>
            <w:r>
              <w:rPr>
                <w:rStyle w:val="IndexLink"/>
                <w:rtl w:val="true"/>
              </w:rPr>
              <w:tab/>
            </w:r>
            <w:r>
              <w:rPr>
                <w:rStyle w:val="IndexLink"/>
              </w:rPr>
              <w:t>94</w:t>
            </w:r>
          </w:hyperlink>
        </w:p>
        <w:p>
          <w:pPr>
            <w:pStyle w:val="Contents5"/>
            <w:tabs>
              <w:tab w:val="clear" w:pos="7892"/>
              <w:tab w:val="right" w:pos="9026" w:leader="dot"/>
            </w:tabs>
            <w:rPr/>
          </w:pPr>
          <w:hyperlink w:anchor="__RefHeading___Toc746713_222507752">
            <w:r>
              <w:rPr>
                <w:webHidden/>
                <w:rStyle w:val="IndexLink"/>
              </w:rPr>
              <w:t>2</w:t>
            </w:r>
            <w:r>
              <w:rPr>
                <w:rStyle w:val="IndexLink"/>
                <w:rtl w:val="true"/>
              </w:rPr>
              <w:t>-</w:t>
            </w:r>
            <w:r>
              <w:rPr>
                <w:rStyle w:val="IndexLink"/>
                <w:rtl w:val="true"/>
              </w:rPr>
              <w:t>النّسخة المحفوظة في مكتبة الآستانة الرّضويّة المقدّسة في مشهد،</w:t>
            </w:r>
            <w:r>
              <w:rPr>
                <w:rStyle w:val="IndexLink"/>
                <w:rtl w:val="true"/>
              </w:rPr>
              <w:tab/>
            </w:r>
            <w:r>
              <w:rPr>
                <w:rStyle w:val="IndexLink"/>
              </w:rPr>
              <w:t>94</w:t>
            </w:r>
          </w:hyperlink>
        </w:p>
        <w:p>
          <w:pPr>
            <w:pStyle w:val="Contents5"/>
            <w:tabs>
              <w:tab w:val="clear" w:pos="7892"/>
              <w:tab w:val="right" w:pos="9026" w:leader="dot"/>
            </w:tabs>
            <w:rPr/>
          </w:pPr>
          <w:hyperlink w:anchor="__RefHeading___Toc746715_222507752">
            <w:r>
              <w:rPr>
                <w:webHidden/>
                <w:rStyle w:val="IndexLink"/>
              </w:rPr>
              <w:t>3</w:t>
            </w:r>
            <w:r>
              <w:rPr>
                <w:rStyle w:val="IndexLink"/>
                <w:rtl w:val="true"/>
              </w:rPr>
              <w:t>-</w:t>
            </w:r>
            <w:r>
              <w:rPr>
                <w:rStyle w:val="IndexLink"/>
                <w:rtl w:val="true"/>
              </w:rPr>
              <w:t>النّسخة المحفوظة في مكتبة ملك الوطنيّة</w:t>
            </w:r>
            <w:r>
              <w:rPr>
                <w:rStyle w:val="IndexLink"/>
                <w:rtl w:val="true"/>
              </w:rPr>
              <w:t>(</w:t>
            </w:r>
            <w:r>
              <w:rPr>
                <w:rStyle w:val="IndexLink"/>
                <w:rtl w:val="true"/>
              </w:rPr>
              <w:t>كتابخانه ملّى ملك</w:t>
            </w:r>
            <w:r>
              <w:rPr>
                <w:rStyle w:val="IndexLink"/>
                <w:rtl w:val="true"/>
              </w:rPr>
              <w:t>)</w:t>
              <w:tab/>
            </w:r>
            <w:r>
              <w:rPr>
                <w:rStyle w:val="IndexLink"/>
              </w:rPr>
              <w:t>94</w:t>
            </w:r>
          </w:hyperlink>
        </w:p>
        <w:p>
          <w:pPr>
            <w:pStyle w:val="Contents5"/>
            <w:tabs>
              <w:tab w:val="clear" w:pos="7892"/>
              <w:tab w:val="right" w:pos="9026" w:leader="dot"/>
            </w:tabs>
            <w:rPr/>
          </w:pPr>
          <w:hyperlink w:anchor="__RefHeading___Toc746717_222507752">
            <w:r>
              <w:rPr>
                <w:webHidden/>
                <w:rStyle w:val="IndexLink"/>
              </w:rPr>
              <w:t>4</w:t>
            </w:r>
            <w:r>
              <w:rPr>
                <w:rStyle w:val="IndexLink"/>
                <w:rtl w:val="true"/>
              </w:rPr>
              <w:t>-</w:t>
            </w:r>
            <w:r>
              <w:rPr>
                <w:rStyle w:val="IndexLink"/>
                <w:rtl w:val="true"/>
              </w:rPr>
              <w:t>النّسخة المحفوظة في مكتبة الآستانة الرّضويّة المقدّسة في مشهد،</w:t>
            </w:r>
            <w:r>
              <w:rPr>
                <w:rStyle w:val="IndexLink"/>
                <w:rtl w:val="true"/>
              </w:rPr>
              <w:tab/>
            </w:r>
            <w:r>
              <w:rPr>
                <w:rStyle w:val="IndexLink"/>
              </w:rPr>
              <w:t>95</w:t>
            </w:r>
          </w:hyperlink>
        </w:p>
        <w:p>
          <w:pPr>
            <w:pStyle w:val="Contents5"/>
            <w:tabs>
              <w:tab w:val="clear" w:pos="7892"/>
              <w:tab w:val="right" w:pos="9026" w:leader="dot"/>
            </w:tabs>
            <w:rPr/>
          </w:pPr>
          <w:hyperlink w:anchor="__RefHeading___Toc746719_222507752">
            <w:r>
              <w:rPr>
                <w:webHidden/>
                <w:rStyle w:val="IndexLink"/>
              </w:rPr>
              <w:t>5</w:t>
            </w:r>
            <w:r>
              <w:rPr>
                <w:rStyle w:val="IndexLink"/>
                <w:rtl w:val="true"/>
              </w:rPr>
              <w:t>-</w:t>
            </w:r>
            <w:r>
              <w:rPr>
                <w:rStyle w:val="IndexLink"/>
                <w:rtl w:val="true"/>
              </w:rPr>
              <w:t>النّسخة المحفوظة في مكتبة الآستانة الرّضويّة المقدّسة في مشهد،</w:t>
            </w:r>
            <w:r>
              <w:rPr>
                <w:rStyle w:val="IndexLink"/>
                <w:rtl w:val="true"/>
              </w:rPr>
              <w:tab/>
            </w:r>
            <w:r>
              <w:rPr>
                <w:rStyle w:val="IndexLink"/>
              </w:rPr>
              <w:t>95</w:t>
            </w:r>
          </w:hyperlink>
        </w:p>
        <w:p>
          <w:pPr>
            <w:pStyle w:val="Contents5"/>
            <w:tabs>
              <w:tab w:val="clear" w:pos="7892"/>
              <w:tab w:val="right" w:pos="9026" w:leader="dot"/>
            </w:tabs>
            <w:rPr/>
          </w:pPr>
          <w:hyperlink w:anchor="__RefHeading___Toc746721_222507752">
            <w:r>
              <w:rPr>
                <w:webHidden/>
                <w:rStyle w:val="IndexLink"/>
              </w:rPr>
              <w:t>6</w:t>
            </w:r>
            <w:r>
              <w:rPr>
                <w:rStyle w:val="IndexLink"/>
                <w:rtl w:val="true"/>
              </w:rPr>
              <w:t>-</w:t>
            </w:r>
            <w:r>
              <w:rPr>
                <w:rStyle w:val="IndexLink"/>
                <w:rtl w:val="true"/>
              </w:rPr>
              <w:t>النّسخة المحفوظة في مكتبة مسجد جامع گوهرشاد في مشهد،</w:t>
            </w:r>
            <w:r>
              <w:rPr>
                <w:rStyle w:val="IndexLink"/>
                <w:rtl w:val="true"/>
              </w:rPr>
              <w:tab/>
            </w:r>
            <w:r>
              <w:rPr>
                <w:rStyle w:val="IndexLink"/>
              </w:rPr>
              <w:t>95</w:t>
            </w:r>
          </w:hyperlink>
        </w:p>
        <w:p>
          <w:pPr>
            <w:pStyle w:val="Contents5"/>
            <w:tabs>
              <w:tab w:val="clear" w:pos="7892"/>
              <w:tab w:val="right" w:pos="9026" w:leader="dot"/>
            </w:tabs>
            <w:rPr/>
          </w:pPr>
          <w:hyperlink w:anchor="__RefHeading___Toc746723_222507752">
            <w:r>
              <w:rPr>
                <w:webHidden/>
                <w:rStyle w:val="IndexLink"/>
              </w:rPr>
              <w:t>7</w:t>
            </w:r>
            <w:r>
              <w:rPr>
                <w:rStyle w:val="IndexLink"/>
                <w:rtl w:val="true"/>
              </w:rPr>
              <w:t>-</w:t>
            </w:r>
            <w:r>
              <w:rPr>
                <w:rStyle w:val="IndexLink"/>
                <w:rtl w:val="true"/>
              </w:rPr>
              <w:t>النّسخة الموقوفة في مكتبة مسجد جامع گوهرشاد في مشهد،</w:t>
            </w:r>
            <w:r>
              <w:rPr>
                <w:rStyle w:val="IndexLink"/>
                <w:rtl w:val="true"/>
              </w:rPr>
              <w:tab/>
            </w:r>
            <w:r>
              <w:rPr>
                <w:rStyle w:val="IndexLink"/>
              </w:rPr>
              <w:t>95</w:t>
            </w:r>
          </w:hyperlink>
        </w:p>
        <w:p>
          <w:pPr>
            <w:pStyle w:val="Contents5"/>
            <w:tabs>
              <w:tab w:val="clear" w:pos="7892"/>
              <w:tab w:val="right" w:pos="9026" w:leader="dot"/>
            </w:tabs>
            <w:rPr/>
          </w:pPr>
          <w:hyperlink w:anchor="__RefHeading___Toc746725_222507752">
            <w:r>
              <w:rPr>
                <w:webHidden/>
                <w:rStyle w:val="IndexLink"/>
              </w:rPr>
              <w:t>8</w:t>
            </w:r>
            <w:r>
              <w:rPr>
                <w:rStyle w:val="IndexLink"/>
                <w:rtl w:val="true"/>
              </w:rPr>
              <w:t>-</w:t>
            </w:r>
            <w:r>
              <w:rPr>
                <w:rStyle w:val="IndexLink"/>
                <w:rtl w:val="true"/>
              </w:rPr>
              <w:t>النّسخة المحفوظة في مكتبة الآستانة الرّضويّة المقدّسة في مشهد،</w:t>
            </w:r>
            <w:r>
              <w:rPr>
                <w:rStyle w:val="IndexLink"/>
                <w:rtl w:val="true"/>
              </w:rPr>
              <w:tab/>
            </w:r>
            <w:r>
              <w:rPr>
                <w:rStyle w:val="IndexLink"/>
              </w:rPr>
              <w:t>96</w:t>
            </w:r>
          </w:hyperlink>
        </w:p>
        <w:p>
          <w:pPr>
            <w:pStyle w:val="Contents5"/>
            <w:tabs>
              <w:tab w:val="clear" w:pos="7892"/>
              <w:tab w:val="right" w:pos="9026" w:leader="dot"/>
            </w:tabs>
            <w:rPr/>
          </w:pPr>
          <w:hyperlink w:anchor="__RefHeading___Toc746727_222507752">
            <w:r>
              <w:rPr>
                <w:webHidden/>
                <w:rStyle w:val="IndexLink"/>
              </w:rPr>
              <w:t>9</w:t>
            </w:r>
            <w:r>
              <w:rPr>
                <w:rStyle w:val="IndexLink"/>
                <w:rtl w:val="true"/>
              </w:rPr>
              <w:t>-</w:t>
            </w:r>
            <w:r>
              <w:rPr>
                <w:rStyle w:val="IndexLink"/>
                <w:rtl w:val="true"/>
              </w:rPr>
              <w:t>النّسخة المحفوظة عند السّيّد جعفر مير داماد،في طهران،</w:t>
            </w:r>
            <w:r>
              <w:rPr>
                <w:rStyle w:val="IndexLink"/>
                <w:rtl w:val="true"/>
              </w:rPr>
              <w:tab/>
            </w:r>
            <w:r>
              <w:rPr>
                <w:rStyle w:val="IndexLink"/>
              </w:rPr>
              <w:t>96</w:t>
            </w:r>
          </w:hyperlink>
        </w:p>
        <w:p>
          <w:pPr>
            <w:pStyle w:val="Contents4"/>
            <w:tabs>
              <w:tab w:val="clear" w:pos="8176"/>
              <w:tab w:val="right" w:pos="9026" w:leader="dot"/>
            </w:tabs>
            <w:rPr/>
          </w:pPr>
          <w:hyperlink w:anchor="__RefHeading___Toc746729_222507752">
            <w:r>
              <w:rPr>
                <w:webHidden/>
                <w:rStyle w:val="IndexLink"/>
                <w:rtl w:val="true"/>
              </w:rPr>
              <w:t>منهجيّة تحقيق الكتاب</w:t>
            </w:r>
            <w:r>
              <w:rPr>
                <w:rStyle w:val="IndexLink"/>
                <w:rtl w:val="true"/>
              </w:rPr>
              <w:t>:</w:t>
              <w:tab/>
            </w:r>
            <w:r>
              <w:rPr>
                <w:rStyle w:val="IndexLink"/>
              </w:rPr>
              <w:t>97</w:t>
            </w:r>
          </w:hyperlink>
        </w:p>
        <w:p>
          <w:pPr>
            <w:pStyle w:val="Contents2"/>
            <w:tabs>
              <w:tab w:val="clear" w:pos="8743"/>
              <w:tab w:val="right" w:pos="9026" w:leader="dot"/>
            </w:tabs>
            <w:rPr/>
          </w:pPr>
          <w:hyperlink w:anchor="__RefHeading___Toc746731_222507752">
            <w:r>
              <w:rPr>
                <w:webHidden/>
                <w:rStyle w:val="IndexLink"/>
                <w:rtl w:val="true"/>
              </w:rPr>
              <w:t>اشارة</w:t>
            </w:r>
            <w:r>
              <w:rPr>
                <w:rStyle w:val="IndexLink"/>
                <w:rtl w:val="true"/>
              </w:rPr>
              <w:tab/>
            </w:r>
            <w:r>
              <w:rPr>
                <w:rStyle w:val="IndexLink"/>
              </w:rPr>
              <w:t>100</w:t>
            </w:r>
          </w:hyperlink>
        </w:p>
        <w:p>
          <w:pPr>
            <w:pStyle w:val="Contents2"/>
            <w:tabs>
              <w:tab w:val="clear" w:pos="8743"/>
              <w:tab w:val="right" w:pos="9026" w:leader="dot"/>
            </w:tabs>
            <w:rPr/>
          </w:pPr>
          <w:hyperlink w:anchor="__RefHeading___Toc746733_222507752">
            <w:r>
              <w:rPr>
                <w:webHidden/>
                <w:rStyle w:val="IndexLink"/>
                <w:rtl w:val="true"/>
              </w:rPr>
              <w:t>مقدمة المؤلف</w:t>
            </w:r>
            <w:r>
              <w:rPr>
                <w:rStyle w:val="IndexLink"/>
                <w:rtl w:val="true"/>
              </w:rPr>
              <w:tab/>
            </w:r>
            <w:r>
              <w:rPr>
                <w:rStyle w:val="IndexLink"/>
              </w:rPr>
              <w:t>102</w:t>
            </w:r>
          </w:hyperlink>
        </w:p>
        <w:p>
          <w:pPr>
            <w:pStyle w:val="Contents3"/>
            <w:tabs>
              <w:tab w:val="clear" w:pos="8459"/>
              <w:tab w:val="right" w:pos="9026" w:leader="dot"/>
            </w:tabs>
            <w:rPr/>
          </w:pPr>
          <w:hyperlink w:anchor="__RefHeading___Toc746735_222507752">
            <w:r>
              <w:rPr>
                <w:webHidden/>
                <w:rStyle w:val="IndexLink"/>
                <w:rtl w:val="true"/>
              </w:rPr>
              <w:t>اشارة</w:t>
            </w:r>
            <w:r>
              <w:rPr>
                <w:rStyle w:val="IndexLink"/>
                <w:rtl w:val="true"/>
              </w:rPr>
              <w:tab/>
            </w:r>
            <w:r>
              <w:rPr>
                <w:rStyle w:val="IndexLink"/>
              </w:rPr>
              <w:t>102</w:t>
            </w:r>
          </w:hyperlink>
        </w:p>
        <w:p>
          <w:pPr>
            <w:pStyle w:val="Contents3"/>
            <w:tabs>
              <w:tab w:val="clear" w:pos="8459"/>
              <w:tab w:val="right" w:pos="9026" w:leader="dot"/>
            </w:tabs>
            <w:rPr/>
          </w:pPr>
          <w:hyperlink w:anchor="__RefHeading___Toc746737_222507752">
            <w:r>
              <w:rPr>
                <w:webHidden/>
                <w:rStyle w:val="IndexLink"/>
                <w:rtl w:val="true"/>
              </w:rPr>
              <w:t>المقدمة الاولى</w:t>
            </w:r>
            <w:r>
              <w:rPr>
                <w:rStyle w:val="IndexLink"/>
                <w:rtl w:val="true"/>
              </w:rPr>
              <w:t>:</w:t>
            </w:r>
            <w:r>
              <w:rPr>
                <w:rStyle w:val="IndexLink"/>
                <w:rtl w:val="true"/>
              </w:rPr>
              <w:t>في ذكر الغرض من هذا العلم،و وجه الحاجة إليه</w:t>
            </w:r>
            <w:r>
              <w:rPr>
                <w:rStyle w:val="IndexLink"/>
                <w:rtl w:val="true"/>
              </w:rPr>
              <w:tab/>
            </w:r>
            <w:r>
              <w:rPr>
                <w:rStyle w:val="IndexLink"/>
              </w:rPr>
              <w:t>104</w:t>
            </w:r>
          </w:hyperlink>
        </w:p>
        <w:p>
          <w:pPr>
            <w:pStyle w:val="Contents3"/>
            <w:tabs>
              <w:tab w:val="clear" w:pos="8459"/>
              <w:tab w:val="right" w:pos="9026" w:leader="dot"/>
            </w:tabs>
            <w:rPr/>
          </w:pPr>
          <w:hyperlink w:anchor="__RefHeading___Toc746739_222507752">
            <w:r>
              <w:rPr>
                <w:webHidden/>
                <w:rStyle w:val="IndexLink"/>
                <w:rtl w:val="true"/>
              </w:rPr>
              <w:t>المقدّمة الثّانية</w:t>
            </w:r>
            <w:r>
              <w:rPr>
                <w:rStyle w:val="IndexLink"/>
                <w:rtl w:val="true"/>
              </w:rPr>
              <w:t>:</w:t>
            </w:r>
            <w:r>
              <w:rPr>
                <w:rStyle w:val="IndexLink"/>
                <w:rtl w:val="true"/>
              </w:rPr>
              <w:t>في مرتبة هذا العلم</w:t>
            </w:r>
            <w:r>
              <w:rPr>
                <w:rStyle w:val="IndexLink"/>
                <w:rtl w:val="true"/>
              </w:rPr>
              <w:tab/>
            </w:r>
            <w:r>
              <w:rPr>
                <w:rStyle w:val="IndexLink"/>
              </w:rPr>
              <w:t>105</w:t>
            </w:r>
          </w:hyperlink>
        </w:p>
        <w:p>
          <w:pPr>
            <w:pStyle w:val="Contents3"/>
            <w:tabs>
              <w:tab w:val="clear" w:pos="8459"/>
              <w:tab w:val="right" w:pos="9026" w:leader="dot"/>
            </w:tabs>
            <w:rPr/>
          </w:pPr>
          <w:hyperlink w:anchor="__RefHeading___Toc746741_222507752">
            <w:r>
              <w:rPr>
                <w:webHidden/>
                <w:rStyle w:val="IndexLink"/>
                <w:rtl w:val="true"/>
              </w:rPr>
              <w:t>المقدّمة الثّالثة</w:t>
            </w:r>
            <w:r>
              <w:rPr>
                <w:rStyle w:val="IndexLink"/>
                <w:rtl w:val="true"/>
              </w:rPr>
              <w:t>:</w:t>
            </w:r>
            <w:r>
              <w:rPr>
                <w:rStyle w:val="IndexLink"/>
                <w:rtl w:val="true"/>
              </w:rPr>
              <w:t>في موضوع هذا العلم و مبادئه و مسائله</w:t>
            </w:r>
            <w:r>
              <w:rPr>
                <w:rStyle w:val="IndexLink"/>
                <w:rtl w:val="true"/>
              </w:rPr>
              <w:tab/>
            </w:r>
            <w:r>
              <w:rPr>
                <w:rStyle w:val="IndexLink"/>
              </w:rPr>
              <w:t>105</w:t>
            </w:r>
          </w:hyperlink>
        </w:p>
        <w:p>
          <w:pPr>
            <w:pStyle w:val="Contents3"/>
            <w:tabs>
              <w:tab w:val="clear" w:pos="8459"/>
              <w:tab w:val="right" w:pos="9026" w:leader="dot"/>
            </w:tabs>
            <w:rPr/>
          </w:pPr>
          <w:hyperlink w:anchor="__RefHeading___Toc746743_222507752">
            <w:r>
              <w:rPr>
                <w:webHidden/>
                <w:rStyle w:val="IndexLink"/>
                <w:rtl w:val="true"/>
              </w:rPr>
              <w:t>المقدّمة الرّابعة</w:t>
            </w:r>
            <w:r>
              <w:rPr>
                <w:rStyle w:val="IndexLink"/>
                <w:rtl w:val="true"/>
              </w:rPr>
              <w:t>:</w:t>
            </w:r>
            <w:r>
              <w:rPr>
                <w:rStyle w:val="IndexLink"/>
                <w:rtl w:val="true"/>
              </w:rPr>
              <w:t>في تحديد هذا العلم</w:t>
            </w:r>
            <w:r>
              <w:rPr>
                <w:rStyle w:val="IndexLink"/>
                <w:rtl w:val="true"/>
              </w:rPr>
              <w:tab/>
            </w:r>
            <w:r>
              <w:rPr>
                <w:rStyle w:val="IndexLink"/>
              </w:rPr>
              <w:t>106</w:t>
            </w:r>
          </w:hyperlink>
        </w:p>
        <w:p>
          <w:pPr>
            <w:pStyle w:val="Contents3"/>
            <w:tabs>
              <w:tab w:val="clear" w:pos="8459"/>
              <w:tab w:val="right" w:pos="9026" w:leader="dot"/>
            </w:tabs>
            <w:rPr/>
          </w:pPr>
          <w:hyperlink w:anchor="__RefHeading___Toc746745_222507752">
            <w:r>
              <w:rPr>
                <w:webHidden/>
                <w:rStyle w:val="IndexLink"/>
                <w:rtl w:val="true"/>
              </w:rPr>
              <w:t>المقدّمة الخامسة</w:t>
            </w:r>
            <w:r>
              <w:rPr>
                <w:rStyle w:val="IndexLink"/>
                <w:rtl w:val="true"/>
              </w:rPr>
              <w:t>:</w:t>
            </w:r>
            <w:r>
              <w:rPr>
                <w:rStyle w:val="IndexLink"/>
                <w:rtl w:val="true"/>
              </w:rPr>
              <w:t>في أنّ تحصيل هذا العلم واجب يدلّ عليه المعقول و المنقول</w:t>
            </w:r>
            <w:r>
              <w:rPr>
                <w:rStyle w:val="IndexLink"/>
                <w:rtl w:val="true"/>
              </w:rPr>
              <w:tab/>
            </w:r>
            <w:r>
              <w:rPr>
                <w:rStyle w:val="IndexLink"/>
              </w:rPr>
              <w:t>106</w:t>
            </w:r>
          </w:hyperlink>
        </w:p>
        <w:p>
          <w:pPr>
            <w:pStyle w:val="Contents3"/>
            <w:tabs>
              <w:tab w:val="clear" w:pos="8459"/>
              <w:tab w:val="right" w:pos="9026" w:leader="dot"/>
            </w:tabs>
            <w:rPr/>
          </w:pPr>
          <w:hyperlink w:anchor="__RefHeading___Toc746747_222507752">
            <w:r>
              <w:rPr>
                <w:webHidden/>
                <w:rStyle w:val="IndexLink"/>
                <w:rtl w:val="true"/>
              </w:rPr>
              <w:t>المقدّمة السّادسة</w:t>
            </w:r>
            <w:r>
              <w:rPr>
                <w:rStyle w:val="IndexLink"/>
                <w:rtl w:val="true"/>
              </w:rPr>
              <w:t>:</w:t>
            </w:r>
            <w:r>
              <w:rPr>
                <w:rStyle w:val="IndexLink"/>
                <w:rtl w:val="true"/>
              </w:rPr>
              <w:t>في أنّ تحصيل هذا العلم واجب على الكفاية</w:t>
            </w:r>
            <w:r>
              <w:rPr>
                <w:rStyle w:val="IndexLink"/>
                <w:rtl w:val="true"/>
              </w:rPr>
              <w:tab/>
            </w:r>
            <w:r>
              <w:rPr>
                <w:rStyle w:val="IndexLink"/>
              </w:rPr>
              <w:t>107</w:t>
            </w:r>
          </w:hyperlink>
        </w:p>
        <w:p>
          <w:pPr>
            <w:pStyle w:val="Contents3"/>
            <w:tabs>
              <w:tab w:val="clear" w:pos="8459"/>
              <w:tab w:val="right" w:pos="9026" w:leader="dot"/>
            </w:tabs>
            <w:rPr/>
          </w:pPr>
          <w:hyperlink w:anchor="__RefHeading___Toc746749_222507752">
            <w:r>
              <w:rPr>
                <w:webHidden/>
                <w:rStyle w:val="IndexLink"/>
                <w:rtl w:val="true"/>
              </w:rPr>
              <w:t>المقدّمة السّابعة</w:t>
            </w:r>
            <w:r>
              <w:rPr>
                <w:rStyle w:val="IndexLink"/>
                <w:rtl w:val="true"/>
              </w:rPr>
              <w:t>:</w:t>
              <w:tab/>
            </w:r>
            <w:r>
              <w:rPr>
                <w:rStyle w:val="IndexLink"/>
              </w:rPr>
              <w:t>107</w:t>
            </w:r>
          </w:hyperlink>
        </w:p>
        <w:p>
          <w:pPr>
            <w:pStyle w:val="Contents3"/>
            <w:tabs>
              <w:tab w:val="clear" w:pos="8459"/>
              <w:tab w:val="right" w:pos="9026" w:leader="dot"/>
            </w:tabs>
            <w:rPr/>
          </w:pPr>
          <w:hyperlink w:anchor="__RefHeading___Toc746751_222507752">
            <w:r>
              <w:rPr>
                <w:webHidden/>
                <w:rStyle w:val="IndexLink"/>
                <w:rtl w:val="true"/>
              </w:rPr>
              <w:t>المقدّمة الثّامنة</w:t>
            </w:r>
            <w:r>
              <w:rPr>
                <w:rStyle w:val="IndexLink"/>
                <w:rtl w:val="true"/>
              </w:rPr>
              <w:t>:</w:t>
              <w:tab/>
            </w:r>
            <w:r>
              <w:rPr>
                <w:rStyle w:val="IndexLink"/>
              </w:rPr>
              <w:t>108</w:t>
            </w:r>
          </w:hyperlink>
        </w:p>
        <w:p>
          <w:pPr>
            <w:pStyle w:val="Contents3"/>
            <w:tabs>
              <w:tab w:val="clear" w:pos="8459"/>
              <w:tab w:val="right" w:pos="9026" w:leader="dot"/>
            </w:tabs>
            <w:rPr/>
          </w:pPr>
          <w:hyperlink w:anchor="__RefHeading___Toc746753_222507752">
            <w:r>
              <w:rPr>
                <w:webHidden/>
                <w:rStyle w:val="IndexLink"/>
                <w:rtl w:val="true"/>
              </w:rPr>
              <w:t>المقدّمة التّاسعة</w:t>
            </w:r>
            <w:r>
              <w:rPr>
                <w:rStyle w:val="IndexLink"/>
                <w:rtl w:val="true"/>
              </w:rPr>
              <w:t>:</w:t>
              <w:tab/>
            </w:r>
            <w:r>
              <w:rPr>
                <w:rStyle w:val="IndexLink"/>
              </w:rPr>
              <w:t>109</w:t>
            </w:r>
          </w:hyperlink>
        </w:p>
        <w:p>
          <w:pPr>
            <w:pStyle w:val="Contents2"/>
            <w:tabs>
              <w:tab w:val="clear" w:pos="8743"/>
              <w:tab w:val="right" w:pos="9026" w:leader="dot"/>
            </w:tabs>
            <w:rPr/>
          </w:pPr>
          <w:hyperlink w:anchor="__RefHeading___Toc746755_222507752">
            <w:r>
              <w:rPr>
                <w:webHidden/>
                <w:rStyle w:val="IndexLink"/>
                <w:rtl w:val="true"/>
              </w:rPr>
              <w:t>القاعدة الأولى</w:t>
            </w:r>
            <w:r>
              <w:rPr>
                <w:rStyle w:val="IndexLink"/>
                <w:rtl w:val="true"/>
              </w:rPr>
              <w:tab/>
            </w:r>
            <w:r>
              <w:rPr>
                <w:rStyle w:val="IndexLink"/>
              </w:rPr>
              <w:t>112</w:t>
            </w:r>
          </w:hyperlink>
        </w:p>
        <w:p>
          <w:pPr>
            <w:pStyle w:val="Contents3"/>
            <w:tabs>
              <w:tab w:val="clear" w:pos="8459"/>
              <w:tab w:val="right" w:pos="9026" w:leader="dot"/>
            </w:tabs>
            <w:rPr/>
          </w:pPr>
          <w:hyperlink w:anchor="__RefHeading___Toc746757_222507752">
            <w:r>
              <w:rPr>
                <w:webHidden/>
                <w:rStyle w:val="IndexLink"/>
                <w:rtl w:val="true"/>
              </w:rPr>
              <w:t>اشارة</w:t>
            </w:r>
            <w:r>
              <w:rPr>
                <w:rStyle w:val="IndexLink"/>
                <w:rtl w:val="true"/>
              </w:rPr>
              <w:tab/>
            </w:r>
            <w:r>
              <w:rPr>
                <w:rStyle w:val="IndexLink"/>
              </w:rPr>
              <w:t>112</w:t>
            </w:r>
          </w:hyperlink>
        </w:p>
        <w:p>
          <w:pPr>
            <w:pStyle w:val="Contents3"/>
            <w:tabs>
              <w:tab w:val="clear" w:pos="8459"/>
              <w:tab w:val="right" w:pos="9026" w:leader="dot"/>
            </w:tabs>
            <w:rPr/>
          </w:pPr>
          <w:hyperlink w:anchor="__RefHeading___Toc746759_222507752">
            <w:r>
              <w:rPr>
                <w:webHidden/>
                <w:rStyle w:val="IndexLink"/>
                <w:rtl w:val="true"/>
              </w:rPr>
              <w:t>الكتاب الأوّل</w:t>
            </w:r>
            <w:r>
              <w:rPr>
                <w:rStyle w:val="IndexLink"/>
                <w:rtl w:val="true"/>
              </w:rPr>
              <w:t>:</w:t>
            </w:r>
            <w:r>
              <w:rPr>
                <w:rStyle w:val="IndexLink"/>
                <w:rtl w:val="true"/>
              </w:rPr>
              <w:t>في الطّهارة</w:t>
            </w:r>
            <w:r>
              <w:rPr>
                <w:rStyle w:val="IndexLink"/>
                <w:rtl w:val="true"/>
              </w:rPr>
              <w:tab/>
            </w:r>
            <w:r>
              <w:rPr>
                <w:rStyle w:val="IndexLink"/>
              </w:rPr>
              <w:t>112</w:t>
            </w:r>
          </w:hyperlink>
        </w:p>
        <w:p>
          <w:pPr>
            <w:pStyle w:val="Contents4"/>
            <w:tabs>
              <w:tab w:val="clear" w:pos="8176"/>
              <w:tab w:val="right" w:pos="9026" w:leader="dot"/>
            </w:tabs>
            <w:rPr/>
          </w:pPr>
          <w:hyperlink w:anchor="__RefHeading___Toc746761_222507752">
            <w:r>
              <w:rPr>
                <w:webHidden/>
                <w:rStyle w:val="IndexLink"/>
                <w:rtl w:val="true"/>
              </w:rPr>
              <w:t>اشارة</w:t>
            </w:r>
            <w:r>
              <w:rPr>
                <w:rStyle w:val="IndexLink"/>
                <w:rtl w:val="true"/>
              </w:rPr>
              <w:tab/>
            </w:r>
            <w:r>
              <w:rPr>
                <w:rStyle w:val="IndexLink"/>
              </w:rPr>
              <w:t>112</w:t>
            </w:r>
          </w:hyperlink>
        </w:p>
        <w:p>
          <w:pPr>
            <w:pStyle w:val="Contents4"/>
            <w:tabs>
              <w:tab w:val="clear" w:pos="8176"/>
              <w:tab w:val="right" w:pos="9026" w:leader="dot"/>
            </w:tabs>
            <w:rPr/>
          </w:pPr>
          <w:hyperlink w:anchor="__RefHeading___Toc746763_222507752">
            <w:r>
              <w:rPr>
                <w:webHidden/>
                <w:rStyle w:val="IndexLink"/>
                <w:rtl w:val="true"/>
              </w:rPr>
              <w:t>أمّا المقدّمة،ففيها بحثان</w:t>
            </w:r>
            <w:r>
              <w:rPr>
                <w:rStyle w:val="IndexLink"/>
                <w:rtl w:val="true"/>
              </w:rPr>
              <w:t>:</w:t>
              <w:tab/>
            </w:r>
            <w:r>
              <w:rPr>
                <w:rStyle w:val="IndexLink"/>
              </w:rPr>
              <w:t>112</w:t>
            </w:r>
          </w:hyperlink>
        </w:p>
        <w:p>
          <w:pPr>
            <w:pStyle w:val="Contents5"/>
            <w:tabs>
              <w:tab w:val="clear" w:pos="7892"/>
              <w:tab w:val="right" w:pos="9026" w:leader="dot"/>
            </w:tabs>
            <w:rPr/>
          </w:pPr>
          <w:hyperlink w:anchor="__RefHeading___Toc746765_222507752">
            <w:r>
              <w:rPr>
                <w:webHidden/>
                <w:rStyle w:val="IndexLink"/>
                <w:rtl w:val="true"/>
              </w:rPr>
              <w:t>اشارة</w:t>
            </w:r>
            <w:r>
              <w:rPr>
                <w:rStyle w:val="IndexLink"/>
                <w:rtl w:val="true"/>
              </w:rPr>
              <w:tab/>
            </w:r>
            <w:r>
              <w:rPr>
                <w:rStyle w:val="IndexLink"/>
              </w:rPr>
              <w:t>112</w:t>
            </w:r>
          </w:hyperlink>
        </w:p>
        <w:p>
          <w:pPr>
            <w:pStyle w:val="Contents5"/>
            <w:tabs>
              <w:tab w:val="clear" w:pos="7892"/>
              <w:tab w:val="right" w:pos="9026" w:leader="dot"/>
            </w:tabs>
            <w:rPr/>
          </w:pPr>
          <w:hyperlink w:anchor="__RefHeading___Toc746767_222507752">
            <w:r>
              <w:rPr>
                <w:webHidden/>
                <w:rStyle w:val="IndexLink"/>
                <w:rtl w:val="true"/>
              </w:rPr>
              <w:t>البحث الأوّل</w:t>
            </w:r>
            <w:r>
              <w:rPr>
                <w:rStyle w:val="IndexLink"/>
                <w:rtl w:val="true"/>
              </w:rPr>
              <w:t>:</w:t>
            </w:r>
            <w:r>
              <w:rPr>
                <w:rStyle w:val="IndexLink"/>
                <w:rtl w:val="true"/>
              </w:rPr>
              <w:t>في تعريفها</w:t>
            </w:r>
            <w:r>
              <w:rPr>
                <w:rStyle w:val="IndexLink"/>
                <w:rtl w:val="true"/>
              </w:rPr>
              <w:tab/>
            </w:r>
            <w:r>
              <w:rPr>
                <w:rStyle w:val="IndexLink"/>
              </w:rPr>
              <w:t>114</w:t>
            </w:r>
          </w:hyperlink>
        </w:p>
        <w:p>
          <w:pPr>
            <w:pStyle w:val="Contents5"/>
            <w:tabs>
              <w:tab w:val="clear" w:pos="7892"/>
              <w:tab w:val="right" w:pos="9026" w:leader="dot"/>
            </w:tabs>
            <w:rPr/>
          </w:pPr>
          <w:hyperlink w:anchor="__RefHeading___Toc746769_222507752">
            <w:r>
              <w:rPr>
                <w:webHidden/>
                <w:rStyle w:val="IndexLink"/>
                <w:rtl w:val="true"/>
              </w:rPr>
              <w:t>البحث الثّاني</w:t>
            </w:r>
            <w:r>
              <w:rPr>
                <w:rStyle w:val="IndexLink"/>
                <w:rtl w:val="true"/>
              </w:rPr>
              <w:t>:</w:t>
            </w:r>
            <w:r>
              <w:rPr>
                <w:rStyle w:val="IndexLink"/>
                <w:rtl w:val="true"/>
              </w:rPr>
              <w:t>في تقسيمها،و ذلك على نوعين</w:t>
            </w:r>
            <w:r>
              <w:rPr>
                <w:rStyle w:val="IndexLink"/>
                <w:rtl w:val="true"/>
              </w:rPr>
              <w:t>:</w:t>
              <w:tab/>
            </w:r>
            <w:r>
              <w:rPr>
                <w:rStyle w:val="IndexLink"/>
              </w:rPr>
              <w:t>115</w:t>
            </w:r>
          </w:hyperlink>
        </w:p>
        <w:p>
          <w:pPr>
            <w:pStyle w:val="Contents6"/>
            <w:tabs>
              <w:tab w:val="clear" w:pos="7609"/>
              <w:tab w:val="right" w:pos="9026" w:leader="dot"/>
            </w:tabs>
            <w:rPr/>
          </w:pPr>
          <w:hyperlink w:anchor="__RefHeading___Toc746771_222507752">
            <w:r>
              <w:rPr>
                <w:webHidden/>
                <w:rStyle w:val="IndexLink"/>
                <w:rtl w:val="true"/>
              </w:rPr>
              <w:t>النوع الأوّل</w:t>
            </w:r>
            <w:r>
              <w:rPr>
                <w:rStyle w:val="IndexLink"/>
                <w:rtl w:val="true"/>
              </w:rPr>
              <w:t>:</w:t>
              <w:tab/>
            </w:r>
            <w:r>
              <w:rPr>
                <w:rStyle w:val="IndexLink"/>
              </w:rPr>
              <w:t>115</w:t>
            </w:r>
          </w:hyperlink>
        </w:p>
        <w:p>
          <w:pPr>
            <w:pStyle w:val="Contents6"/>
            <w:tabs>
              <w:tab w:val="clear" w:pos="7609"/>
              <w:tab w:val="right" w:pos="9026" w:leader="dot"/>
            </w:tabs>
            <w:rPr/>
          </w:pPr>
          <w:hyperlink w:anchor="__RefHeading___Toc746773_222507752">
            <w:r>
              <w:rPr>
                <w:webHidden/>
                <w:rStyle w:val="IndexLink"/>
                <w:rtl w:val="true"/>
              </w:rPr>
              <w:t>النوع الثّاني</w:t>
            </w:r>
            <w:r>
              <w:rPr>
                <w:rStyle w:val="IndexLink"/>
                <w:rtl w:val="true"/>
              </w:rPr>
              <w:t>:</w:t>
              <w:tab/>
            </w:r>
            <w:r>
              <w:rPr>
                <w:rStyle w:val="IndexLink"/>
              </w:rPr>
              <w:t>115</w:t>
            </w:r>
          </w:hyperlink>
        </w:p>
        <w:p>
          <w:pPr>
            <w:pStyle w:val="Contents4"/>
            <w:tabs>
              <w:tab w:val="clear" w:pos="8176"/>
              <w:tab w:val="right" w:pos="9026" w:leader="dot"/>
            </w:tabs>
            <w:rPr/>
          </w:pPr>
          <w:hyperlink w:anchor="__RefHeading___Toc746775_222507752">
            <w:r>
              <w:rPr>
                <w:webHidden/>
                <w:rStyle w:val="IndexLink"/>
                <w:rtl w:val="true"/>
              </w:rPr>
              <w:t>و أما المقاصد فهي</w:t>
            </w:r>
            <w:r>
              <w:rPr>
                <w:rStyle w:val="IndexLink"/>
                <w:rtl w:val="true"/>
              </w:rPr>
              <w:t>:</w:t>
              <w:tab/>
            </w:r>
            <w:r>
              <w:rPr>
                <w:rStyle w:val="IndexLink"/>
              </w:rPr>
              <w:t>116</w:t>
            </w:r>
          </w:hyperlink>
        </w:p>
        <w:p>
          <w:pPr>
            <w:pStyle w:val="Contents5"/>
            <w:tabs>
              <w:tab w:val="clear" w:pos="7892"/>
              <w:tab w:val="right" w:pos="9026" w:leader="dot"/>
            </w:tabs>
            <w:rPr/>
          </w:pPr>
          <w:hyperlink w:anchor="__RefHeading___Toc746777_222507752">
            <w:r>
              <w:rPr>
                <w:webHidden/>
                <w:rStyle w:val="IndexLink"/>
                <w:rtl w:val="true"/>
              </w:rPr>
              <w:t>المقصد الأول</w:t>
            </w:r>
            <w:r>
              <w:rPr>
                <w:rStyle w:val="IndexLink"/>
                <w:rtl w:val="true"/>
              </w:rPr>
              <w:t>:</w:t>
            </w:r>
            <w:r>
              <w:rPr>
                <w:rStyle w:val="IndexLink"/>
                <w:rtl w:val="true"/>
              </w:rPr>
              <w:t>فيما يتطهّر به من المياه،و فيه مباحث</w:t>
            </w:r>
            <w:r>
              <w:rPr>
                <w:rStyle w:val="IndexLink"/>
                <w:rtl w:val="true"/>
              </w:rPr>
              <w:t>:</w:t>
              <w:tab/>
            </w:r>
            <w:r>
              <w:rPr>
                <w:rStyle w:val="IndexLink"/>
              </w:rPr>
              <w:t>116</w:t>
            </w:r>
          </w:hyperlink>
        </w:p>
        <w:p>
          <w:pPr>
            <w:pStyle w:val="Contents6"/>
            <w:tabs>
              <w:tab w:val="clear" w:pos="7609"/>
              <w:tab w:val="right" w:pos="9026" w:leader="dot"/>
            </w:tabs>
            <w:rPr/>
          </w:pPr>
          <w:hyperlink w:anchor="__RefHeading___Toc746779_222507752">
            <w:r>
              <w:rPr>
                <w:webHidden/>
                <w:rStyle w:val="IndexLink"/>
                <w:rtl w:val="true"/>
              </w:rPr>
              <w:t>البحث الأوّل</w:t>
            </w:r>
            <w:r>
              <w:rPr>
                <w:rStyle w:val="IndexLink"/>
                <w:rtl w:val="true"/>
              </w:rPr>
              <w:t>:</w:t>
            </w:r>
            <w:r>
              <w:rPr>
                <w:rStyle w:val="IndexLink"/>
                <w:rtl w:val="true"/>
              </w:rPr>
              <w:t>في الماء المطلق</w:t>
            </w:r>
            <w:r>
              <w:rPr>
                <w:rStyle w:val="IndexLink"/>
                <w:rtl w:val="true"/>
              </w:rPr>
              <w:t>:</w:t>
              <w:tab/>
            </w:r>
            <w:r>
              <w:rPr>
                <w:rStyle w:val="IndexLink"/>
              </w:rPr>
              <w:t>116</w:t>
            </w:r>
          </w:hyperlink>
        </w:p>
        <w:p>
          <w:pPr>
            <w:pStyle w:val="Contents6"/>
            <w:tabs>
              <w:tab w:val="clear" w:pos="7609"/>
              <w:tab w:val="right" w:pos="9026" w:leader="dot"/>
            </w:tabs>
            <w:rPr/>
          </w:pPr>
          <w:hyperlink w:anchor="__RefHeading___Toc746781_222507752">
            <w:r>
              <w:rPr>
                <w:webHidden/>
                <w:rStyle w:val="IndexLink"/>
                <w:rtl w:val="true"/>
              </w:rPr>
              <w:t>مسألة</w:t>
            </w:r>
            <w:r>
              <w:rPr>
                <w:rStyle w:val="IndexLink"/>
                <w:rtl w:val="true"/>
              </w:rPr>
              <w:t>:</w:t>
            </w:r>
            <w:r>
              <w:rPr>
                <w:rStyle w:val="IndexLink"/>
                <w:rtl w:val="true"/>
              </w:rPr>
              <w:t>الماء المطلق طاهر في نفسه،و مطهّر لغيره</w:t>
            </w:r>
            <w:r>
              <w:rPr>
                <w:rStyle w:val="IndexLink"/>
                <w:rtl w:val="true"/>
              </w:rPr>
              <w:tab/>
            </w:r>
            <w:r>
              <w:rPr>
                <w:rStyle w:val="IndexLink"/>
              </w:rPr>
              <w:t>116</w:t>
            </w:r>
          </w:hyperlink>
        </w:p>
        <w:p>
          <w:pPr>
            <w:pStyle w:val="Contents6"/>
            <w:tabs>
              <w:tab w:val="clear" w:pos="7609"/>
              <w:tab w:val="right" w:pos="9026" w:leader="dot"/>
            </w:tabs>
            <w:rPr/>
          </w:pPr>
          <w:hyperlink w:anchor="__RefHeading___Toc746783_222507752">
            <w:r>
              <w:rPr>
                <w:webHidden/>
                <w:rStyle w:val="IndexLink"/>
                <w:rtl w:val="true"/>
              </w:rPr>
              <w:t>مسألة</w:t>
            </w:r>
            <w:r>
              <w:rPr>
                <w:rStyle w:val="IndexLink"/>
                <w:rtl w:val="true"/>
              </w:rPr>
              <w:t>:</w:t>
            </w:r>
            <w:r>
              <w:rPr>
                <w:rStyle w:val="IndexLink"/>
                <w:rtl w:val="true"/>
              </w:rPr>
              <w:t>إذا تغيّر أحد أوصاف الماء المطلق</w:t>
            </w:r>
            <w:r>
              <w:rPr>
                <w:rStyle w:val="IndexLink"/>
                <w:rtl w:val="true"/>
              </w:rPr>
              <w:t>:</w:t>
              <w:tab/>
            </w:r>
            <w:r>
              <w:rPr>
                <w:rStyle w:val="IndexLink"/>
              </w:rPr>
              <w:t>119</w:t>
            </w:r>
          </w:hyperlink>
        </w:p>
        <w:p>
          <w:pPr>
            <w:pStyle w:val="Contents6"/>
            <w:tabs>
              <w:tab w:val="clear" w:pos="7609"/>
              <w:tab w:val="right" w:pos="9026" w:leader="dot"/>
            </w:tabs>
            <w:rPr/>
          </w:pPr>
          <w:hyperlink w:anchor="__RefHeading___Toc746785_222507752">
            <w:r>
              <w:rPr>
                <w:webHidden/>
                <w:rStyle w:val="IndexLink"/>
                <w:rtl w:val="true"/>
              </w:rPr>
              <w:t>فروع</w:t>
            </w:r>
            <w:r>
              <w:rPr>
                <w:rStyle w:val="IndexLink"/>
                <w:rtl w:val="true"/>
              </w:rPr>
              <w:t>:</w:t>
              <w:tab/>
            </w:r>
            <w:r>
              <w:rPr>
                <w:rStyle w:val="IndexLink"/>
              </w:rPr>
              <w:t>121</w:t>
            </w:r>
          </w:hyperlink>
        </w:p>
        <w:p>
          <w:pPr>
            <w:pStyle w:val="Contents6"/>
            <w:tabs>
              <w:tab w:val="clear" w:pos="7609"/>
              <w:tab w:val="right" w:pos="9026" w:leader="dot"/>
            </w:tabs>
            <w:rPr/>
          </w:pPr>
          <w:hyperlink w:anchor="__RefHeading___Toc746787_222507752">
            <w:r>
              <w:rPr>
                <w:webHidden/>
                <w:rStyle w:val="IndexLink"/>
                <w:rtl w:val="true"/>
              </w:rPr>
              <w:t>الأوّل</w:t>
            </w:r>
            <w:r>
              <w:rPr>
                <w:rStyle w:val="IndexLink"/>
                <w:rtl w:val="true"/>
              </w:rPr>
              <w:t>:</w:t>
            </w:r>
            <w:r>
              <w:rPr>
                <w:rStyle w:val="IndexLink"/>
                <w:rtl w:val="true"/>
              </w:rPr>
              <w:t>لو امتزج الماء بما يشابهه كماء الورد المنقطع الرّائحة،</w:t>
            </w:r>
            <w:r>
              <w:rPr>
                <w:rStyle w:val="IndexLink"/>
                <w:rtl w:val="true"/>
              </w:rPr>
              <w:tab/>
            </w:r>
            <w:r>
              <w:rPr>
                <w:rStyle w:val="IndexLink"/>
              </w:rPr>
              <w:t>121</w:t>
            </w:r>
          </w:hyperlink>
        </w:p>
        <w:p>
          <w:pPr>
            <w:pStyle w:val="Contents6"/>
            <w:tabs>
              <w:tab w:val="clear" w:pos="7609"/>
              <w:tab w:val="right" w:pos="9026" w:leader="dot"/>
            </w:tabs>
            <w:rPr/>
          </w:pPr>
          <w:hyperlink w:anchor="__RefHeading___Toc746789_222507752">
            <w:r>
              <w:rPr>
                <w:webHidden/>
                <w:rStyle w:val="IndexLink"/>
                <w:rtl w:val="true"/>
              </w:rPr>
              <w:t>الثّاني</w:t>
            </w:r>
            <w:r>
              <w:rPr>
                <w:rStyle w:val="IndexLink"/>
                <w:rtl w:val="true"/>
              </w:rPr>
              <w:t>:</w:t>
            </w:r>
            <w:r>
              <w:rPr>
                <w:rStyle w:val="IndexLink"/>
                <w:rtl w:val="true"/>
              </w:rPr>
              <w:t>الذّائب من الثّلج و البرد يجوز التّطهّر به،</w:t>
            </w:r>
            <w:r>
              <w:rPr>
                <w:rStyle w:val="IndexLink"/>
                <w:rtl w:val="true"/>
              </w:rPr>
              <w:tab/>
            </w:r>
            <w:r>
              <w:rPr>
                <w:rStyle w:val="IndexLink"/>
              </w:rPr>
              <w:t>122</w:t>
            </w:r>
          </w:hyperlink>
        </w:p>
        <w:p>
          <w:pPr>
            <w:pStyle w:val="Contents6"/>
            <w:tabs>
              <w:tab w:val="clear" w:pos="7609"/>
              <w:tab w:val="right" w:pos="9026" w:leader="dot"/>
            </w:tabs>
            <w:rPr/>
          </w:pPr>
          <w:hyperlink w:anchor="__RefHeading___Toc746791_222507752">
            <w:r>
              <w:rPr>
                <w:webHidden/>
                <w:rStyle w:val="IndexLink"/>
                <w:rtl w:val="true"/>
              </w:rPr>
              <w:t>الثّالث</w:t>
            </w:r>
            <w:r>
              <w:rPr>
                <w:rStyle w:val="IndexLink"/>
                <w:rtl w:val="true"/>
              </w:rPr>
              <w:t>:</w:t>
            </w:r>
            <w:r>
              <w:rPr>
                <w:rStyle w:val="IndexLink"/>
                <w:rtl w:val="true"/>
              </w:rPr>
              <w:t>لو كان معه ماء قليل لا يكفيه للطّهارة،</w:t>
            </w:r>
            <w:r>
              <w:rPr>
                <w:rStyle w:val="IndexLink"/>
                <w:rtl w:val="true"/>
              </w:rPr>
              <w:tab/>
            </w:r>
            <w:r>
              <w:rPr>
                <w:rStyle w:val="IndexLink"/>
              </w:rPr>
              <w:t>122</w:t>
            </w:r>
          </w:hyperlink>
        </w:p>
        <w:p>
          <w:pPr>
            <w:pStyle w:val="Contents6"/>
            <w:tabs>
              <w:tab w:val="clear" w:pos="7609"/>
              <w:tab w:val="right" w:pos="9026" w:leader="dot"/>
            </w:tabs>
            <w:rPr/>
          </w:pPr>
          <w:hyperlink w:anchor="__RefHeading___Toc746793_222507752">
            <w:r>
              <w:rPr>
                <w:webHidden/>
                <w:rStyle w:val="IndexLink"/>
                <w:rtl w:val="true"/>
              </w:rPr>
              <w:t>الرّابع</w:t>
            </w:r>
            <w:r>
              <w:rPr>
                <w:rStyle w:val="IndexLink"/>
                <w:rtl w:val="true"/>
              </w:rPr>
              <w:t>:</w:t>
            </w:r>
            <w:r>
              <w:rPr>
                <w:rStyle w:val="IndexLink"/>
                <w:rtl w:val="true"/>
              </w:rPr>
              <w:t>لو كان تغيّره لطول بقائه،</w:t>
            </w:r>
            <w:r>
              <w:rPr>
                <w:rStyle w:val="IndexLink"/>
                <w:rtl w:val="true"/>
              </w:rPr>
              <w:tab/>
            </w:r>
            <w:r>
              <w:rPr>
                <w:rStyle w:val="IndexLink"/>
              </w:rPr>
              <w:t>122</w:t>
            </w:r>
          </w:hyperlink>
        </w:p>
        <w:p>
          <w:pPr>
            <w:pStyle w:val="Contents6"/>
            <w:tabs>
              <w:tab w:val="clear" w:pos="7609"/>
              <w:tab w:val="right" w:pos="9026" w:leader="dot"/>
            </w:tabs>
            <w:rPr/>
          </w:pPr>
          <w:hyperlink w:anchor="__RefHeading___Toc746795_222507752">
            <w:r>
              <w:rPr>
                <w:webHidden/>
                <w:rStyle w:val="IndexLink"/>
                <w:rtl w:val="true"/>
              </w:rPr>
              <w:t>الخامس</w:t>
            </w:r>
            <w:r>
              <w:rPr>
                <w:rStyle w:val="IndexLink"/>
                <w:rtl w:val="true"/>
              </w:rPr>
              <w:t>:</w:t>
            </w:r>
            <w:r>
              <w:rPr>
                <w:rStyle w:val="IndexLink"/>
                <w:rtl w:val="true"/>
              </w:rPr>
              <w:t>لو كان على العضو المغسول طاهر كالزّعفران فيتغيّر به الماء وقت غسله،</w:t>
            </w:r>
            <w:r>
              <w:rPr>
                <w:rStyle w:val="IndexLink"/>
                <w:rtl w:val="true"/>
              </w:rPr>
              <w:tab/>
            </w:r>
            <w:r>
              <w:rPr>
                <w:rStyle w:val="IndexLink"/>
              </w:rPr>
              <w:t>123</w:t>
            </w:r>
          </w:hyperlink>
        </w:p>
        <w:p>
          <w:pPr>
            <w:pStyle w:val="Contents6"/>
            <w:tabs>
              <w:tab w:val="clear" w:pos="7609"/>
              <w:tab w:val="right" w:pos="9026" w:leader="dot"/>
            </w:tabs>
            <w:rPr/>
          </w:pPr>
          <w:hyperlink w:anchor="__RefHeading___Toc746797_222507752">
            <w:r>
              <w:rPr>
                <w:webHidden/>
                <w:rStyle w:val="IndexLink"/>
                <w:rtl w:val="true"/>
              </w:rPr>
              <w:t>مسألة</w:t>
            </w:r>
            <w:r>
              <w:rPr>
                <w:rStyle w:val="IndexLink"/>
                <w:rtl w:val="true"/>
              </w:rPr>
              <w:t>:</w:t>
            </w:r>
            <w:r>
              <w:rPr>
                <w:rStyle w:val="IndexLink"/>
                <w:rtl w:val="true"/>
              </w:rPr>
              <w:t>يكره استعمال ماء أسخنته الشّمس في الآنية في الطّهارة</w:t>
            </w:r>
            <w:r>
              <w:rPr>
                <w:rStyle w:val="IndexLink"/>
                <w:rtl w:val="true"/>
              </w:rPr>
              <w:tab/>
            </w:r>
            <w:r>
              <w:rPr>
                <w:rStyle w:val="IndexLink"/>
              </w:rPr>
              <w:t>123</w:t>
            </w:r>
          </w:hyperlink>
        </w:p>
        <w:p>
          <w:pPr>
            <w:pStyle w:val="Contents6"/>
            <w:tabs>
              <w:tab w:val="clear" w:pos="7609"/>
              <w:tab w:val="right" w:pos="9026" w:leader="dot"/>
            </w:tabs>
            <w:rPr/>
          </w:pPr>
          <w:hyperlink w:anchor="__RefHeading___Toc746799_222507752">
            <w:r>
              <w:rPr>
                <w:webHidden/>
                <w:rStyle w:val="IndexLink"/>
                <w:rtl w:val="true"/>
              </w:rPr>
              <w:t>فرعان</w:t>
            </w:r>
            <w:r>
              <w:rPr>
                <w:rStyle w:val="IndexLink"/>
                <w:rtl w:val="true"/>
              </w:rPr>
              <w:t>:</w:t>
              <w:tab/>
            </w:r>
            <w:r>
              <w:rPr>
                <w:rStyle w:val="IndexLink"/>
              </w:rPr>
              <w:t>124</w:t>
            </w:r>
          </w:hyperlink>
        </w:p>
        <w:p>
          <w:pPr>
            <w:pStyle w:val="Contents6"/>
            <w:tabs>
              <w:tab w:val="clear" w:pos="7609"/>
              <w:tab w:val="right" w:pos="9026" w:leader="dot"/>
            </w:tabs>
            <w:rPr/>
          </w:pPr>
          <w:hyperlink w:anchor="__RefHeading___Toc746801_222507752">
            <w:r>
              <w:rPr>
                <w:webHidden/>
                <w:rStyle w:val="IndexLink"/>
                <w:rtl w:val="true"/>
              </w:rPr>
              <w:t>الأوّل</w:t>
            </w:r>
            <w:r>
              <w:rPr>
                <w:rStyle w:val="IndexLink"/>
                <w:rtl w:val="true"/>
              </w:rPr>
              <w:t>:</w:t>
            </w:r>
            <w:r>
              <w:rPr>
                <w:rStyle w:val="IndexLink"/>
                <w:rtl w:val="true"/>
              </w:rPr>
              <w:t>الظّاهر عموم النّهي،</w:t>
            </w:r>
            <w:r>
              <w:rPr>
                <w:rStyle w:val="IndexLink"/>
                <w:rtl w:val="true"/>
              </w:rPr>
              <w:tab/>
            </w:r>
            <w:r>
              <w:rPr>
                <w:rStyle w:val="IndexLink"/>
              </w:rPr>
              <w:t>124</w:t>
            </w:r>
          </w:hyperlink>
        </w:p>
        <w:p>
          <w:pPr>
            <w:pStyle w:val="Contents6"/>
            <w:tabs>
              <w:tab w:val="clear" w:pos="7609"/>
              <w:tab w:val="right" w:pos="9026" w:leader="dot"/>
            </w:tabs>
            <w:rPr/>
          </w:pPr>
          <w:hyperlink w:anchor="__RefHeading___Toc746803_222507752">
            <w:r>
              <w:rPr>
                <w:webHidden/>
                <w:rStyle w:val="IndexLink"/>
                <w:rtl w:val="true"/>
              </w:rPr>
              <w:t>الثّاني</w:t>
            </w:r>
            <w:r>
              <w:rPr>
                <w:rStyle w:val="IndexLink"/>
                <w:rtl w:val="true"/>
              </w:rPr>
              <w:t>:</w:t>
            </w:r>
            <w:r>
              <w:rPr>
                <w:rStyle w:val="IndexLink"/>
                <w:rtl w:val="true"/>
              </w:rPr>
              <w:t>لو زالت حرارة المشمّس</w:t>
            </w:r>
            <w:r>
              <w:rPr>
                <w:rStyle w:val="IndexLink"/>
                <w:rtl w:val="true"/>
              </w:rPr>
              <w:tab/>
            </w:r>
            <w:r>
              <w:rPr>
                <w:rStyle w:val="IndexLink"/>
              </w:rPr>
              <w:t>124</w:t>
            </w:r>
          </w:hyperlink>
        </w:p>
        <w:p>
          <w:pPr>
            <w:pStyle w:val="Contents6"/>
            <w:tabs>
              <w:tab w:val="clear" w:pos="7609"/>
              <w:tab w:val="right" w:pos="9026" w:leader="dot"/>
            </w:tabs>
            <w:rPr/>
          </w:pPr>
          <w:hyperlink w:anchor="__RefHeading___Toc746805_222507752">
            <w:r>
              <w:rPr>
                <w:webHidden/>
                <w:rStyle w:val="IndexLink"/>
                <w:rtl w:val="true"/>
              </w:rPr>
              <w:t>مسألة</w:t>
            </w:r>
            <w:r>
              <w:rPr>
                <w:rStyle w:val="IndexLink"/>
                <w:rtl w:val="true"/>
              </w:rPr>
              <w:t>:</w:t>
            </w:r>
            <w:r>
              <w:rPr>
                <w:rStyle w:val="IndexLink"/>
                <w:rtl w:val="true"/>
              </w:rPr>
              <w:t>الماء المسخن بالنّار لا بأس باستعماله</w:t>
            </w:r>
            <w:r>
              <w:rPr>
                <w:rStyle w:val="IndexLink"/>
                <w:rtl w:val="true"/>
              </w:rPr>
              <w:tab/>
            </w:r>
            <w:r>
              <w:rPr>
                <w:rStyle w:val="IndexLink"/>
              </w:rPr>
              <w:t>125</w:t>
            </w:r>
          </w:hyperlink>
        </w:p>
        <w:p>
          <w:pPr>
            <w:pStyle w:val="Contents6"/>
            <w:tabs>
              <w:tab w:val="clear" w:pos="7609"/>
              <w:tab w:val="right" w:pos="9026" w:leader="dot"/>
            </w:tabs>
            <w:rPr/>
          </w:pPr>
          <w:hyperlink w:anchor="__RefHeading___Toc746807_222507752">
            <w:r>
              <w:rPr>
                <w:webHidden/>
                <w:rStyle w:val="IndexLink"/>
                <w:rtl w:val="true"/>
              </w:rPr>
              <w:t>فرع</w:t>
            </w:r>
            <w:r>
              <w:rPr>
                <w:rStyle w:val="IndexLink"/>
                <w:rtl w:val="true"/>
              </w:rPr>
              <w:t>:</w:t>
            </w:r>
            <w:r>
              <w:rPr>
                <w:rStyle w:val="IndexLink"/>
                <w:rtl w:val="true"/>
              </w:rPr>
              <w:t>النّجس من الجاري إنّما هو المتغيّر دون ما عداه</w:t>
            </w:r>
            <w:r>
              <w:rPr>
                <w:rStyle w:val="IndexLink"/>
                <w:rtl w:val="true"/>
              </w:rPr>
              <w:t>.</w:t>
              <w:tab/>
            </w:r>
            <w:r>
              <w:rPr>
                <w:rStyle w:val="IndexLink"/>
              </w:rPr>
              <w:t>126</w:t>
            </w:r>
          </w:hyperlink>
        </w:p>
        <w:p>
          <w:pPr>
            <w:pStyle w:val="Contents6"/>
            <w:tabs>
              <w:tab w:val="clear" w:pos="7609"/>
              <w:tab w:val="right" w:pos="9026" w:leader="dot"/>
            </w:tabs>
            <w:rPr/>
          </w:pPr>
          <w:hyperlink w:anchor="__RefHeading___Toc746809_222507752">
            <w:r>
              <w:rPr>
                <w:webHidden/>
                <w:rStyle w:val="IndexLink"/>
                <w:rtl w:val="true"/>
              </w:rPr>
              <w:t>مسألة</w:t>
            </w:r>
            <w:r>
              <w:rPr>
                <w:rStyle w:val="IndexLink"/>
                <w:rtl w:val="true"/>
              </w:rPr>
              <w:t>:</w:t>
            </w:r>
            <w:r>
              <w:rPr>
                <w:rStyle w:val="IndexLink"/>
                <w:rtl w:val="true"/>
              </w:rPr>
              <w:t>اتّفق علماؤنا على انّ الماء الجاري لا ينجس بالملاقاة</w:t>
            </w:r>
            <w:r>
              <w:rPr>
                <w:rStyle w:val="IndexLink"/>
                <w:rtl w:val="true"/>
              </w:rPr>
              <w:tab/>
            </w:r>
            <w:r>
              <w:rPr>
                <w:rStyle w:val="IndexLink"/>
              </w:rPr>
              <w:t>126</w:t>
            </w:r>
          </w:hyperlink>
        </w:p>
        <w:p>
          <w:pPr>
            <w:pStyle w:val="Contents6"/>
            <w:tabs>
              <w:tab w:val="clear" w:pos="7609"/>
              <w:tab w:val="right" w:pos="9026" w:leader="dot"/>
            </w:tabs>
            <w:rPr/>
          </w:pPr>
          <w:hyperlink w:anchor="__RefHeading___Toc746811_222507752">
            <w:r>
              <w:rPr>
                <w:webHidden/>
                <w:rStyle w:val="IndexLink"/>
                <w:rtl w:val="true"/>
              </w:rPr>
              <w:t>فروع</w:t>
            </w:r>
            <w:r>
              <w:rPr>
                <w:rStyle w:val="IndexLink"/>
                <w:rtl w:val="true"/>
              </w:rPr>
              <w:t>:</w:t>
              <w:tab/>
            </w:r>
            <w:r>
              <w:rPr>
                <w:rStyle w:val="IndexLink"/>
              </w:rPr>
              <w:t>127</w:t>
            </w:r>
          </w:hyperlink>
        </w:p>
        <w:p>
          <w:pPr>
            <w:pStyle w:val="Contents6"/>
            <w:tabs>
              <w:tab w:val="clear" w:pos="7609"/>
              <w:tab w:val="right" w:pos="9026" w:leader="dot"/>
            </w:tabs>
            <w:rPr/>
          </w:pPr>
          <w:hyperlink w:anchor="__RefHeading___Toc746813_222507752">
            <w:r>
              <w:rPr>
                <w:webHidden/>
                <w:rStyle w:val="IndexLink"/>
                <w:rtl w:val="true"/>
              </w:rPr>
              <w:t>الأوّل</w:t>
            </w:r>
            <w:r>
              <w:rPr>
                <w:rStyle w:val="IndexLink"/>
                <w:rtl w:val="true"/>
              </w:rPr>
              <w:t>:</w:t>
            </w:r>
            <w:r>
              <w:rPr>
                <w:rStyle w:val="IndexLink"/>
                <w:rtl w:val="true"/>
              </w:rPr>
              <w:t>الجريات في الماء الجاري متّحدة</w:t>
            </w:r>
            <w:r>
              <w:rPr>
                <w:rStyle w:val="IndexLink"/>
                <w:rtl w:val="true"/>
              </w:rPr>
              <w:tab/>
            </w:r>
            <w:r>
              <w:rPr>
                <w:rStyle w:val="IndexLink"/>
              </w:rPr>
              <w:t>127</w:t>
            </w:r>
          </w:hyperlink>
        </w:p>
        <w:p>
          <w:pPr>
            <w:pStyle w:val="Contents6"/>
            <w:tabs>
              <w:tab w:val="clear" w:pos="7609"/>
              <w:tab w:val="right" w:pos="9026" w:leader="dot"/>
            </w:tabs>
            <w:rPr/>
          </w:pPr>
          <w:hyperlink w:anchor="__RefHeading___Toc746815_222507752">
            <w:r>
              <w:rPr>
                <w:webHidden/>
                <w:rStyle w:val="IndexLink"/>
                <w:rtl w:val="true"/>
              </w:rPr>
              <w:t>الثّاني</w:t>
            </w:r>
            <w:r>
              <w:rPr>
                <w:rStyle w:val="IndexLink"/>
                <w:rtl w:val="true"/>
              </w:rPr>
              <w:t>:</w:t>
            </w:r>
            <w:r>
              <w:rPr>
                <w:rStyle w:val="IndexLink"/>
                <w:rtl w:val="true"/>
              </w:rPr>
              <w:t>لو جرى الماء على نجاسة واقفة،</w:t>
            </w:r>
            <w:r>
              <w:rPr>
                <w:rStyle w:val="IndexLink"/>
                <w:rtl w:val="true"/>
              </w:rPr>
              <w:tab/>
            </w:r>
            <w:r>
              <w:rPr>
                <w:rStyle w:val="IndexLink"/>
              </w:rPr>
              <w:t>127</w:t>
            </w:r>
          </w:hyperlink>
        </w:p>
        <w:p>
          <w:pPr>
            <w:pStyle w:val="Contents6"/>
            <w:tabs>
              <w:tab w:val="clear" w:pos="7609"/>
              <w:tab w:val="right" w:pos="9026" w:leader="dot"/>
            </w:tabs>
            <w:rPr/>
          </w:pPr>
          <w:hyperlink w:anchor="__RefHeading___Toc746817_222507752">
            <w:r>
              <w:rPr>
                <w:webHidden/>
                <w:rStyle w:val="IndexLink"/>
                <w:rtl w:val="true"/>
              </w:rPr>
              <w:t>الثّالث</w:t>
            </w:r>
            <w:r>
              <w:rPr>
                <w:rStyle w:val="IndexLink"/>
                <w:rtl w:val="true"/>
              </w:rPr>
              <w:t>:</w:t>
            </w:r>
            <w:r>
              <w:rPr>
                <w:rStyle w:val="IndexLink"/>
                <w:rtl w:val="true"/>
              </w:rPr>
              <w:t>لا فرق بين الأنهار الكبار و الصّغار</w:t>
            </w:r>
            <w:r>
              <w:rPr>
                <w:rStyle w:val="IndexLink"/>
                <w:rtl w:val="true"/>
              </w:rPr>
              <w:t>.</w:t>
              <w:tab/>
            </w:r>
            <w:r>
              <w:rPr>
                <w:rStyle w:val="IndexLink"/>
              </w:rPr>
              <w:t>127</w:t>
            </w:r>
          </w:hyperlink>
        </w:p>
        <w:p>
          <w:pPr>
            <w:pStyle w:val="Contents6"/>
            <w:tabs>
              <w:tab w:val="clear" w:pos="7609"/>
              <w:tab w:val="right" w:pos="9026" w:leader="dot"/>
            </w:tabs>
            <w:rPr/>
          </w:pPr>
          <w:hyperlink w:anchor="__RefHeading___Toc746819_222507752">
            <w:r>
              <w:rPr>
                <w:webHidden/>
                <w:rStyle w:val="IndexLink"/>
                <w:rtl w:val="true"/>
              </w:rPr>
              <w:t>الرّابع</w:t>
            </w:r>
            <w:r>
              <w:rPr>
                <w:rStyle w:val="IndexLink"/>
                <w:rtl w:val="true"/>
              </w:rPr>
              <w:t>:</w:t>
            </w:r>
            <w:r>
              <w:rPr>
                <w:rStyle w:val="IndexLink"/>
                <w:rtl w:val="true"/>
              </w:rPr>
              <w:t>الواقف في جانب النّهر المتّصل بالجاري،حكمه حكمه،</w:t>
            </w:r>
            <w:r>
              <w:rPr>
                <w:rStyle w:val="IndexLink"/>
                <w:rtl w:val="true"/>
              </w:rPr>
              <w:tab/>
            </w:r>
            <w:r>
              <w:rPr>
                <w:rStyle w:val="IndexLink"/>
              </w:rPr>
              <w:t>128</w:t>
            </w:r>
          </w:hyperlink>
        </w:p>
        <w:p>
          <w:pPr>
            <w:pStyle w:val="Contents6"/>
            <w:tabs>
              <w:tab w:val="clear" w:pos="7609"/>
              <w:tab w:val="right" w:pos="9026" w:leader="dot"/>
            </w:tabs>
            <w:rPr/>
          </w:pPr>
          <w:hyperlink w:anchor="__RefHeading___Toc746821_222507752">
            <w:r>
              <w:rPr>
                <w:webHidden/>
                <w:rStyle w:val="IndexLink"/>
                <w:rtl w:val="true"/>
              </w:rPr>
              <w:t>الخامس</w:t>
            </w:r>
            <w:r>
              <w:rPr>
                <w:rStyle w:val="IndexLink"/>
                <w:rtl w:val="true"/>
              </w:rPr>
              <w:t>:</w:t>
            </w:r>
            <w:r>
              <w:rPr>
                <w:rStyle w:val="IndexLink"/>
                <w:rtl w:val="true"/>
              </w:rPr>
              <w:t>ماء الغيث حال نزوله يحلق بالجاري،</w:t>
            </w:r>
            <w:r>
              <w:rPr>
                <w:rStyle w:val="IndexLink"/>
                <w:rtl w:val="true"/>
              </w:rPr>
              <w:tab/>
            </w:r>
            <w:r>
              <w:rPr>
                <w:rStyle w:val="IndexLink"/>
              </w:rPr>
              <w:t>128</w:t>
            </w:r>
          </w:hyperlink>
        </w:p>
        <w:p>
          <w:pPr>
            <w:pStyle w:val="Contents6"/>
            <w:tabs>
              <w:tab w:val="clear" w:pos="7609"/>
              <w:tab w:val="right" w:pos="9026" w:leader="dot"/>
            </w:tabs>
            <w:rPr/>
          </w:pPr>
          <w:hyperlink w:anchor="__RefHeading___Toc746823_222507752">
            <w:r>
              <w:rPr>
                <w:webHidden/>
                <w:rStyle w:val="IndexLink"/>
                <w:rtl w:val="true"/>
              </w:rPr>
              <w:t>مسألة</w:t>
            </w:r>
            <w:r>
              <w:rPr>
                <w:rStyle w:val="IndexLink"/>
                <w:rtl w:val="true"/>
              </w:rPr>
              <w:t>:</w:t>
            </w:r>
            <w:r>
              <w:rPr>
                <w:rStyle w:val="IndexLink"/>
                <w:rtl w:val="true"/>
              </w:rPr>
              <w:t>ماء الحمّام في حياضه الصّغار كالجاري إذا كان له مادّة تجري إليها</w:t>
            </w:r>
            <w:r>
              <w:rPr>
                <w:rStyle w:val="IndexLink"/>
                <w:rtl w:val="true"/>
              </w:rPr>
              <w:tab/>
            </w:r>
            <w:r>
              <w:rPr>
                <w:rStyle w:val="IndexLink"/>
              </w:rPr>
              <w:t>129</w:t>
            </w:r>
          </w:hyperlink>
        </w:p>
        <w:p>
          <w:pPr>
            <w:pStyle w:val="Contents6"/>
            <w:tabs>
              <w:tab w:val="clear" w:pos="7609"/>
              <w:tab w:val="right" w:pos="9026" w:leader="dot"/>
            </w:tabs>
            <w:rPr/>
          </w:pPr>
          <w:hyperlink w:anchor="__RefHeading___Toc746825_222507752">
            <w:r>
              <w:rPr>
                <w:webHidden/>
                <w:rStyle w:val="IndexLink"/>
                <w:rtl w:val="true"/>
              </w:rPr>
              <w:t>فروع</w:t>
            </w:r>
            <w:r>
              <w:rPr>
                <w:rStyle w:val="IndexLink"/>
                <w:rtl w:val="true"/>
              </w:rPr>
              <w:t>:</w:t>
              <w:tab/>
            </w:r>
            <w:r>
              <w:rPr>
                <w:rStyle w:val="IndexLink"/>
              </w:rPr>
              <w:t>131</w:t>
            </w:r>
          </w:hyperlink>
        </w:p>
        <w:p>
          <w:pPr>
            <w:pStyle w:val="Contents6"/>
            <w:tabs>
              <w:tab w:val="clear" w:pos="7609"/>
              <w:tab w:val="right" w:pos="9026" w:leader="dot"/>
            </w:tabs>
            <w:rPr/>
          </w:pPr>
          <w:hyperlink w:anchor="__RefHeading___Toc746827_222507752">
            <w:r>
              <w:rPr>
                <w:webHidden/>
                <w:rStyle w:val="IndexLink"/>
                <w:rtl w:val="true"/>
              </w:rPr>
              <w:t>الأوّل</w:t>
            </w:r>
            <w:r>
              <w:rPr>
                <w:rStyle w:val="IndexLink"/>
                <w:rtl w:val="true"/>
              </w:rPr>
              <w:t>:</w:t>
            </w:r>
            <w:r>
              <w:rPr>
                <w:rStyle w:val="IndexLink"/>
                <w:rtl w:val="true"/>
              </w:rPr>
              <w:t>هل يشترط الكرّيّة في المادّة؟</w:t>
            </w:r>
            <w:r>
              <w:rPr>
                <w:rStyle w:val="IndexLink"/>
                <w:rtl w:val="true"/>
              </w:rPr>
              <w:tab/>
            </w:r>
            <w:r>
              <w:rPr>
                <w:rStyle w:val="IndexLink"/>
              </w:rPr>
              <w:t>131</w:t>
            </w:r>
          </w:hyperlink>
        </w:p>
        <w:p>
          <w:pPr>
            <w:pStyle w:val="Contents6"/>
            <w:tabs>
              <w:tab w:val="clear" w:pos="7609"/>
              <w:tab w:val="right" w:pos="9026" w:leader="dot"/>
            </w:tabs>
            <w:rPr/>
          </w:pPr>
          <w:hyperlink w:anchor="__RefHeading___Toc746829_222507752">
            <w:r>
              <w:rPr>
                <w:webHidden/>
                <w:rStyle w:val="IndexLink"/>
                <w:rtl w:val="true"/>
              </w:rPr>
              <w:t>الثّاني</w:t>
            </w:r>
            <w:r>
              <w:rPr>
                <w:rStyle w:val="IndexLink"/>
                <w:rtl w:val="true"/>
              </w:rPr>
              <w:t>:</w:t>
            </w:r>
            <w:r>
              <w:rPr>
                <w:rStyle w:val="IndexLink"/>
                <w:rtl w:val="true"/>
              </w:rPr>
              <w:t>المادّة إنّما تؤثّر في تسوية الصّغير بالجاري</w:t>
            </w:r>
            <w:r>
              <w:rPr>
                <w:rStyle w:val="IndexLink"/>
                <w:rtl w:val="true"/>
              </w:rPr>
              <w:tab/>
            </w:r>
            <w:r>
              <w:rPr>
                <w:rStyle w:val="IndexLink"/>
              </w:rPr>
              <w:t>131</w:t>
            </w:r>
          </w:hyperlink>
        </w:p>
        <w:p>
          <w:pPr>
            <w:pStyle w:val="Contents6"/>
            <w:tabs>
              <w:tab w:val="clear" w:pos="7609"/>
              <w:tab w:val="right" w:pos="9026" w:leader="dot"/>
            </w:tabs>
            <w:rPr/>
          </w:pPr>
          <w:hyperlink w:anchor="__RefHeading___Toc746831_222507752">
            <w:r>
              <w:rPr>
                <w:webHidden/>
                <w:rStyle w:val="IndexLink"/>
                <w:rtl w:val="true"/>
              </w:rPr>
              <w:t>الثّالث</w:t>
            </w:r>
            <w:r>
              <w:rPr>
                <w:rStyle w:val="IndexLink"/>
                <w:rtl w:val="true"/>
              </w:rPr>
              <w:t>:</w:t>
            </w:r>
            <w:r>
              <w:rPr>
                <w:rStyle w:val="IndexLink"/>
                <w:rtl w:val="true"/>
              </w:rPr>
              <w:t>لو كان الحوض الصّغير في غير الحمّام و له مادّة،</w:t>
            </w:r>
            <w:r>
              <w:rPr>
                <w:rStyle w:val="IndexLink"/>
                <w:rtl w:val="true"/>
              </w:rPr>
              <w:tab/>
            </w:r>
            <w:r>
              <w:rPr>
                <w:rStyle w:val="IndexLink"/>
              </w:rPr>
              <w:t>131</w:t>
            </w:r>
          </w:hyperlink>
        </w:p>
        <w:p>
          <w:pPr>
            <w:pStyle w:val="Contents6"/>
            <w:tabs>
              <w:tab w:val="clear" w:pos="7609"/>
              <w:tab w:val="right" w:pos="9026" w:leader="dot"/>
            </w:tabs>
            <w:rPr/>
          </w:pPr>
          <w:hyperlink w:anchor="__RefHeading___Toc746833_222507752">
            <w:r>
              <w:rPr>
                <w:webHidden/>
                <w:rStyle w:val="IndexLink"/>
                <w:rtl w:val="true"/>
              </w:rPr>
              <w:t>الرّابع</w:t>
            </w:r>
            <w:r>
              <w:rPr>
                <w:rStyle w:val="IndexLink"/>
                <w:rtl w:val="true"/>
              </w:rPr>
              <w:t>:</w:t>
            </w:r>
            <w:r>
              <w:rPr>
                <w:rStyle w:val="IndexLink"/>
                <w:rtl w:val="true"/>
              </w:rPr>
              <w:t>الحوض الصّغير من الحمّام إذا نجس لم يطهر بإجراء المادّة إليه</w:t>
            </w:r>
            <w:r>
              <w:rPr>
                <w:rStyle w:val="IndexLink"/>
                <w:rtl w:val="true"/>
              </w:rPr>
              <w:tab/>
            </w:r>
            <w:r>
              <w:rPr>
                <w:rStyle w:val="IndexLink"/>
              </w:rPr>
              <w:t>131</w:t>
            </w:r>
          </w:hyperlink>
        </w:p>
        <w:p>
          <w:pPr>
            <w:pStyle w:val="Contents6"/>
            <w:tabs>
              <w:tab w:val="clear" w:pos="7609"/>
              <w:tab w:val="right" w:pos="9026" w:leader="dot"/>
            </w:tabs>
            <w:rPr/>
          </w:pPr>
          <w:hyperlink w:anchor="__RefHeading___Toc746835_222507752">
            <w:r>
              <w:rPr>
                <w:webHidden/>
                <w:rStyle w:val="IndexLink"/>
                <w:rtl w:val="true"/>
              </w:rPr>
              <w:t>مسألة</w:t>
            </w:r>
            <w:r>
              <w:rPr>
                <w:rStyle w:val="IndexLink"/>
                <w:rtl w:val="true"/>
              </w:rPr>
              <w:t>:</w:t>
            </w:r>
            <w:r>
              <w:rPr>
                <w:rStyle w:val="IndexLink"/>
                <w:rtl w:val="true"/>
              </w:rPr>
              <w:t>قال علماؤنا</w:t>
            </w:r>
            <w:r>
              <w:rPr>
                <w:rStyle w:val="IndexLink"/>
                <w:rtl w:val="true"/>
              </w:rPr>
              <w:t>:</w:t>
            </w:r>
            <w:r>
              <w:rPr>
                <w:rStyle w:val="IndexLink"/>
                <w:rtl w:val="true"/>
              </w:rPr>
              <w:t>الماء الكثير الواقف لا ينجس بالملاقاة</w:t>
            </w:r>
            <w:r>
              <w:rPr>
                <w:rStyle w:val="IndexLink"/>
                <w:rtl w:val="true"/>
              </w:rPr>
              <w:tab/>
            </w:r>
            <w:r>
              <w:rPr>
                <w:rStyle w:val="IndexLink"/>
              </w:rPr>
              <w:t>131</w:t>
            </w:r>
          </w:hyperlink>
        </w:p>
        <w:p>
          <w:pPr>
            <w:pStyle w:val="Contents6"/>
            <w:tabs>
              <w:tab w:val="clear" w:pos="7609"/>
              <w:tab w:val="right" w:pos="9026" w:leader="dot"/>
            </w:tabs>
            <w:rPr/>
          </w:pPr>
          <w:hyperlink w:anchor="__RefHeading___Toc746837_222507752">
            <w:r>
              <w:rPr>
                <w:webHidden/>
                <w:rStyle w:val="IndexLink"/>
                <w:rtl w:val="true"/>
              </w:rPr>
              <w:t>مسألة</w:t>
            </w:r>
            <w:r>
              <w:rPr>
                <w:rStyle w:val="IndexLink"/>
                <w:rtl w:val="true"/>
              </w:rPr>
              <w:t>:</w:t>
            </w:r>
            <w:r>
              <w:rPr>
                <w:rStyle w:val="IndexLink"/>
                <w:rtl w:val="true"/>
              </w:rPr>
              <w:t>اختلفت الرّواية في كمّيّة الكرّ</w:t>
            </w:r>
            <w:r>
              <w:rPr>
                <w:rStyle w:val="IndexLink"/>
                <w:rtl w:val="true"/>
              </w:rPr>
              <w:tab/>
            </w:r>
            <w:r>
              <w:rPr>
                <w:rStyle w:val="IndexLink"/>
              </w:rPr>
              <w:t>136</w:t>
            </w:r>
          </w:hyperlink>
        </w:p>
        <w:p>
          <w:pPr>
            <w:pStyle w:val="Contents6"/>
            <w:tabs>
              <w:tab w:val="clear" w:pos="7609"/>
              <w:tab w:val="right" w:pos="9026" w:leader="dot"/>
            </w:tabs>
            <w:rPr/>
          </w:pPr>
          <w:hyperlink w:anchor="__RefHeading___Toc746839_222507752">
            <w:r>
              <w:rPr>
                <w:webHidden/>
                <w:rStyle w:val="IndexLink"/>
                <w:rtl w:val="true"/>
              </w:rPr>
              <w:t>فروع</w:t>
            </w:r>
            <w:r>
              <w:rPr>
                <w:rStyle w:val="IndexLink"/>
                <w:rtl w:val="true"/>
              </w:rPr>
              <w:t>:</w:t>
              <w:tab/>
            </w:r>
            <w:r>
              <w:rPr>
                <w:rStyle w:val="IndexLink"/>
              </w:rPr>
              <w:t>139</w:t>
            </w:r>
          </w:hyperlink>
        </w:p>
        <w:p>
          <w:pPr>
            <w:pStyle w:val="Contents6"/>
            <w:tabs>
              <w:tab w:val="clear" w:pos="7609"/>
              <w:tab w:val="right" w:pos="9026" w:leader="dot"/>
            </w:tabs>
            <w:rPr/>
          </w:pPr>
          <w:hyperlink w:anchor="__RefHeading___Toc746841_222507752">
            <w:r>
              <w:rPr>
                <w:webHidden/>
                <w:rStyle w:val="IndexLink"/>
                <w:rtl w:val="true"/>
              </w:rPr>
              <w:t>الأوّل</w:t>
            </w:r>
            <w:r>
              <w:rPr>
                <w:rStyle w:val="IndexLink"/>
                <w:rtl w:val="true"/>
              </w:rPr>
              <w:t>:</w:t>
            </w:r>
            <w:r>
              <w:rPr>
                <w:rStyle w:val="IndexLink"/>
                <w:rtl w:val="true"/>
              </w:rPr>
              <w:t>الاعتبار في الأشبار إنّما هو بالغالب لا بالنّادر،</w:t>
            </w:r>
            <w:r>
              <w:rPr>
                <w:rStyle w:val="IndexLink"/>
                <w:rtl w:val="true"/>
              </w:rPr>
              <w:tab/>
            </w:r>
            <w:r>
              <w:rPr>
                <w:rStyle w:val="IndexLink"/>
              </w:rPr>
              <w:t>139</w:t>
            </w:r>
          </w:hyperlink>
        </w:p>
        <w:p>
          <w:pPr>
            <w:pStyle w:val="Contents6"/>
            <w:tabs>
              <w:tab w:val="clear" w:pos="7609"/>
              <w:tab w:val="right" w:pos="9026" w:leader="dot"/>
            </w:tabs>
            <w:rPr/>
          </w:pPr>
          <w:hyperlink w:anchor="__RefHeading___Toc746843_222507752">
            <w:r>
              <w:rPr>
                <w:webHidden/>
                <w:rStyle w:val="IndexLink"/>
                <w:rtl w:val="true"/>
              </w:rPr>
              <w:t>الثّاني</w:t>
            </w:r>
            <w:r>
              <w:rPr>
                <w:rStyle w:val="IndexLink"/>
                <w:rtl w:val="true"/>
              </w:rPr>
              <w:t>:</w:t>
            </w:r>
            <w:r>
              <w:rPr>
                <w:rStyle w:val="IndexLink"/>
                <w:rtl w:val="true"/>
              </w:rPr>
              <w:t>التّقدير الّذي ذكرناه تحقيق لا تقريب،</w:t>
            </w:r>
            <w:r>
              <w:rPr>
                <w:rStyle w:val="IndexLink"/>
                <w:rtl w:val="true"/>
              </w:rPr>
              <w:tab/>
            </w:r>
            <w:r>
              <w:rPr>
                <w:rStyle w:val="IndexLink"/>
              </w:rPr>
              <w:t>139</w:t>
            </w:r>
          </w:hyperlink>
        </w:p>
        <w:p>
          <w:pPr>
            <w:pStyle w:val="Contents6"/>
            <w:tabs>
              <w:tab w:val="clear" w:pos="7609"/>
              <w:tab w:val="right" w:pos="9026" w:leader="dot"/>
            </w:tabs>
            <w:rPr/>
          </w:pPr>
          <w:hyperlink w:anchor="__RefHeading___Toc746845_222507752">
            <w:r>
              <w:rPr>
                <w:webHidden/>
                <w:rStyle w:val="IndexLink"/>
                <w:rtl w:val="true"/>
              </w:rPr>
              <w:t>الثّالث</w:t>
            </w:r>
            <w:r>
              <w:rPr>
                <w:rStyle w:val="IndexLink"/>
                <w:rtl w:val="true"/>
              </w:rPr>
              <w:t>:</w:t>
            </w:r>
            <w:r>
              <w:rPr>
                <w:rStyle w:val="IndexLink"/>
                <w:rtl w:val="true"/>
              </w:rPr>
              <w:t>إذا وقعت النّجاسة المائعة في المقدّر الّذي لا يقبل التّنجيس و لم تغيّره،</w:t>
            </w:r>
            <w:r>
              <w:rPr>
                <w:rStyle w:val="IndexLink"/>
                <w:rtl w:val="true"/>
              </w:rPr>
              <w:tab/>
            </w:r>
            <w:r>
              <w:rPr>
                <w:rStyle w:val="IndexLink"/>
              </w:rPr>
              <w:t>140</w:t>
            </w:r>
          </w:hyperlink>
        </w:p>
        <w:p>
          <w:pPr>
            <w:pStyle w:val="Contents6"/>
            <w:tabs>
              <w:tab w:val="clear" w:pos="7609"/>
              <w:tab w:val="right" w:pos="9026" w:leader="dot"/>
            </w:tabs>
            <w:rPr/>
          </w:pPr>
          <w:hyperlink w:anchor="__RefHeading___Toc746847_222507752">
            <w:r>
              <w:rPr>
                <w:webHidden/>
                <w:rStyle w:val="IndexLink"/>
                <w:rtl w:val="true"/>
              </w:rPr>
              <w:t>الرّابع</w:t>
            </w:r>
            <w:r>
              <w:rPr>
                <w:rStyle w:val="IndexLink"/>
                <w:rtl w:val="true"/>
              </w:rPr>
              <w:t>:</w:t>
            </w:r>
            <w:r>
              <w:rPr>
                <w:rStyle w:val="IndexLink"/>
                <w:rtl w:val="true"/>
              </w:rPr>
              <w:t>بلوغ الكرّيّة حدّ</w:t>
            </w:r>
            <w:r>
              <w:rPr>
                <w:rStyle w:val="IndexLink"/>
                <w:rtl w:val="true"/>
              </w:rPr>
              <w:tab/>
            </w:r>
            <w:r>
              <w:rPr>
                <w:rStyle w:val="IndexLink"/>
              </w:rPr>
              <w:t>140</w:t>
            </w:r>
          </w:hyperlink>
        </w:p>
        <w:p>
          <w:pPr>
            <w:pStyle w:val="Contents6"/>
            <w:tabs>
              <w:tab w:val="clear" w:pos="7609"/>
              <w:tab w:val="right" w:pos="9026" w:leader="dot"/>
            </w:tabs>
            <w:rPr/>
          </w:pPr>
          <w:hyperlink w:anchor="__RefHeading___Toc746849_222507752">
            <w:r>
              <w:rPr>
                <w:webHidden/>
                <w:rStyle w:val="IndexLink"/>
                <w:rtl w:val="true"/>
              </w:rPr>
              <w:t>الخامس</w:t>
            </w:r>
            <w:r>
              <w:rPr>
                <w:rStyle w:val="IndexLink"/>
                <w:rtl w:val="true"/>
              </w:rPr>
              <w:t>:</w:t>
            </w:r>
            <w:r>
              <w:rPr>
                <w:rStyle w:val="IndexLink"/>
                <w:rtl w:val="true"/>
              </w:rPr>
              <w:t>لو وافقت النّجاسة الماء في صفاته،</w:t>
            </w:r>
            <w:r>
              <w:rPr>
                <w:rStyle w:val="IndexLink"/>
                <w:rtl w:val="true"/>
              </w:rPr>
              <w:tab/>
            </w:r>
            <w:r>
              <w:rPr>
                <w:rStyle w:val="IndexLink"/>
              </w:rPr>
              <w:t>141</w:t>
            </w:r>
          </w:hyperlink>
        </w:p>
        <w:p>
          <w:pPr>
            <w:pStyle w:val="Contents6"/>
            <w:tabs>
              <w:tab w:val="clear" w:pos="7609"/>
              <w:tab w:val="right" w:pos="9026" w:leader="dot"/>
            </w:tabs>
            <w:rPr/>
          </w:pPr>
          <w:hyperlink w:anchor="__RefHeading___Toc746851_222507752">
            <w:r>
              <w:rPr>
                <w:webHidden/>
                <w:rStyle w:val="IndexLink"/>
                <w:rtl w:val="true"/>
              </w:rPr>
              <w:t>السّادس</w:t>
            </w:r>
            <w:r>
              <w:rPr>
                <w:rStyle w:val="IndexLink"/>
                <w:rtl w:val="true"/>
              </w:rPr>
              <w:t>:</w:t>
            </w:r>
            <w:r>
              <w:rPr>
                <w:rStyle w:val="IndexLink"/>
                <w:rtl w:val="true"/>
              </w:rPr>
              <w:t>لو تغيّر بعض الزّائد على الكرّ،</w:t>
            </w:r>
            <w:r>
              <w:rPr>
                <w:rStyle w:val="IndexLink"/>
                <w:rtl w:val="true"/>
              </w:rPr>
              <w:tab/>
            </w:r>
            <w:r>
              <w:rPr>
                <w:rStyle w:val="IndexLink"/>
              </w:rPr>
              <w:t>141</w:t>
            </w:r>
          </w:hyperlink>
        </w:p>
        <w:p>
          <w:pPr>
            <w:pStyle w:val="Contents6"/>
            <w:tabs>
              <w:tab w:val="clear" w:pos="7609"/>
              <w:tab w:val="right" w:pos="9026" w:leader="dot"/>
            </w:tabs>
            <w:rPr/>
          </w:pPr>
          <w:hyperlink w:anchor="__RefHeading___Toc746853_222507752">
            <w:r>
              <w:rPr>
                <w:webHidden/>
                <w:rStyle w:val="IndexLink"/>
                <w:rtl w:val="true"/>
              </w:rPr>
              <w:t>السّابع</w:t>
            </w:r>
            <w:r>
              <w:rPr>
                <w:rStyle w:val="IndexLink"/>
                <w:rtl w:val="true"/>
              </w:rPr>
              <w:t>:</w:t>
            </w:r>
            <w:r>
              <w:rPr>
                <w:rStyle w:val="IndexLink"/>
                <w:rtl w:val="true"/>
              </w:rPr>
              <w:t>لو اغترف من كرّ فيه نجاسة عينيّة متميّزة،</w:t>
            </w:r>
            <w:r>
              <w:rPr>
                <w:rStyle w:val="IndexLink"/>
                <w:rtl w:val="true"/>
              </w:rPr>
              <w:tab/>
            </w:r>
            <w:r>
              <w:rPr>
                <w:rStyle w:val="IndexLink"/>
              </w:rPr>
              <w:t>141</w:t>
            </w:r>
          </w:hyperlink>
        </w:p>
        <w:p>
          <w:pPr>
            <w:pStyle w:val="Contents6"/>
            <w:tabs>
              <w:tab w:val="clear" w:pos="7609"/>
              <w:tab w:val="right" w:pos="9026" w:leader="dot"/>
            </w:tabs>
            <w:rPr/>
          </w:pPr>
          <w:hyperlink w:anchor="__RefHeading___Toc746855_222507752">
            <w:r>
              <w:rPr>
                <w:webHidden/>
                <w:rStyle w:val="IndexLink"/>
                <w:rtl w:val="true"/>
              </w:rPr>
              <w:t>الثّامن</w:t>
            </w:r>
            <w:r>
              <w:rPr>
                <w:rStyle w:val="IndexLink"/>
                <w:rtl w:val="true"/>
              </w:rPr>
              <w:t>:</w:t>
            </w:r>
            <w:r>
              <w:rPr>
                <w:rStyle w:val="IndexLink"/>
                <w:rtl w:val="true"/>
              </w:rPr>
              <w:t xml:space="preserve">قال داود </w:t>
            </w:r>
            <w:r>
              <w:rPr>
                <w:rStyle w:val="IndexLink"/>
                <w:rtl w:val="true"/>
              </w:rPr>
              <w:t>:</w:t>
            </w:r>
            <w:r>
              <w:rPr>
                <w:rStyle w:val="IndexLink"/>
                <w:rtl w:val="true"/>
              </w:rPr>
              <w:t>إذا بال الرّجل في الماء الرّاكد و لم يتغيّر،</w:t>
            </w:r>
            <w:r>
              <w:rPr>
                <w:rStyle w:val="IndexLink"/>
                <w:rtl w:val="true"/>
              </w:rPr>
              <w:tab/>
            </w:r>
            <w:r>
              <w:rPr>
                <w:rStyle w:val="IndexLink"/>
              </w:rPr>
              <w:t>141</w:t>
            </w:r>
          </w:hyperlink>
        </w:p>
        <w:p>
          <w:pPr>
            <w:pStyle w:val="Contents6"/>
            <w:tabs>
              <w:tab w:val="clear" w:pos="7609"/>
              <w:tab w:val="right" w:pos="9026" w:leader="dot"/>
            </w:tabs>
            <w:rPr/>
          </w:pPr>
          <w:hyperlink w:anchor="__RefHeading___Toc746857_222507752">
            <w:r>
              <w:rPr>
                <w:webHidden/>
                <w:rStyle w:val="IndexLink"/>
                <w:rtl w:val="true"/>
              </w:rPr>
              <w:t>التّاسع</w:t>
            </w:r>
            <w:r>
              <w:rPr>
                <w:rStyle w:val="IndexLink"/>
                <w:rtl w:val="true"/>
              </w:rPr>
              <w:t>:</w:t>
            </w:r>
            <w:r>
              <w:rPr>
                <w:rStyle w:val="IndexLink"/>
                <w:rtl w:val="true"/>
              </w:rPr>
              <w:t>لا فرق في عدم تنجيس الكرّ بملاقاة النّجاسة مع عدم التغيّر بين جميع</w:t>
            </w:r>
            <w:r>
              <w:rPr>
                <w:rStyle w:val="IndexLink"/>
                <w:rtl w:val="true"/>
              </w:rPr>
              <w:tab/>
            </w:r>
            <w:r>
              <w:rPr>
                <w:rStyle w:val="IndexLink"/>
              </w:rPr>
              <w:t>142</w:t>
            </w:r>
          </w:hyperlink>
        </w:p>
        <w:p>
          <w:pPr>
            <w:pStyle w:val="Contents6"/>
            <w:tabs>
              <w:tab w:val="clear" w:pos="7609"/>
              <w:tab w:val="right" w:pos="9026" w:leader="dot"/>
            </w:tabs>
            <w:rPr/>
          </w:pPr>
          <w:hyperlink w:anchor="__RefHeading___Toc746859_222507752">
            <w:r>
              <w:rPr>
                <w:webHidden/>
                <w:rStyle w:val="IndexLink"/>
                <w:rtl w:val="true"/>
              </w:rPr>
              <w:t>مسألة</w:t>
            </w:r>
            <w:r>
              <w:rPr>
                <w:rStyle w:val="IndexLink"/>
                <w:rtl w:val="true"/>
              </w:rPr>
              <w:t>:</w:t>
            </w:r>
            <w:r>
              <w:rPr>
                <w:rStyle w:val="IndexLink"/>
                <w:rtl w:val="true"/>
              </w:rPr>
              <w:t>الماء القليل ينجس بملاقاة النّجاسة له</w:t>
            </w:r>
            <w:r>
              <w:rPr>
                <w:rStyle w:val="IndexLink"/>
                <w:rtl w:val="true"/>
              </w:rPr>
              <w:tab/>
            </w:r>
            <w:r>
              <w:rPr>
                <w:rStyle w:val="IndexLink"/>
              </w:rPr>
              <w:t>142</w:t>
            </w:r>
          </w:hyperlink>
        </w:p>
        <w:p>
          <w:pPr>
            <w:pStyle w:val="Contents6"/>
            <w:tabs>
              <w:tab w:val="clear" w:pos="7609"/>
              <w:tab w:val="right" w:pos="9026" w:leader="dot"/>
            </w:tabs>
            <w:rPr/>
          </w:pPr>
          <w:hyperlink w:anchor="__RefHeading___Toc746861_222507752">
            <w:r>
              <w:rPr>
                <w:webHidden/>
                <w:rStyle w:val="IndexLink"/>
                <w:rtl w:val="true"/>
              </w:rPr>
              <w:t>فروع</w:t>
            </w:r>
            <w:r>
              <w:rPr>
                <w:rStyle w:val="IndexLink"/>
                <w:rtl w:val="true"/>
              </w:rPr>
              <w:t>:</w:t>
              <w:tab/>
            </w:r>
            <w:r>
              <w:rPr>
                <w:rStyle w:val="IndexLink"/>
              </w:rPr>
              <w:t>151</w:t>
            </w:r>
          </w:hyperlink>
        </w:p>
        <w:p>
          <w:pPr>
            <w:pStyle w:val="Contents6"/>
            <w:tabs>
              <w:tab w:val="clear" w:pos="7609"/>
              <w:tab w:val="right" w:pos="9026" w:leader="dot"/>
            </w:tabs>
            <w:rPr/>
          </w:pPr>
          <w:hyperlink w:anchor="__RefHeading___Toc746863_222507752">
            <w:r>
              <w:rPr>
                <w:webHidden/>
                <w:rStyle w:val="IndexLink"/>
                <w:rtl w:val="true"/>
              </w:rPr>
              <w:t>الأوّل</w:t>
            </w:r>
            <w:r>
              <w:rPr>
                <w:rStyle w:val="IndexLink"/>
                <w:rtl w:val="true"/>
              </w:rPr>
              <w:t>:</w:t>
            </w:r>
            <w:r>
              <w:rPr>
                <w:rStyle w:val="IndexLink"/>
                <w:rtl w:val="true"/>
              </w:rPr>
              <w:t>الماء القليل قابل للانفعال عن كلّ نجاسة،</w:t>
            </w:r>
            <w:r>
              <w:rPr>
                <w:rStyle w:val="IndexLink"/>
                <w:rtl w:val="true"/>
              </w:rPr>
              <w:tab/>
            </w:r>
            <w:r>
              <w:rPr>
                <w:rStyle w:val="IndexLink"/>
              </w:rPr>
              <w:t>151</w:t>
            </w:r>
          </w:hyperlink>
        </w:p>
        <w:p>
          <w:pPr>
            <w:pStyle w:val="Contents6"/>
            <w:tabs>
              <w:tab w:val="clear" w:pos="7609"/>
              <w:tab w:val="right" w:pos="9026" w:leader="dot"/>
            </w:tabs>
            <w:rPr/>
          </w:pPr>
          <w:hyperlink w:anchor="__RefHeading___Toc746865_222507752">
            <w:r>
              <w:rPr>
                <w:webHidden/>
                <w:rStyle w:val="IndexLink"/>
                <w:rtl w:val="true"/>
              </w:rPr>
              <w:t>الثّاني</w:t>
            </w:r>
            <w:r>
              <w:rPr>
                <w:rStyle w:val="IndexLink"/>
                <w:rtl w:val="true"/>
              </w:rPr>
              <w:t>:</w:t>
            </w:r>
            <w:r>
              <w:rPr>
                <w:rStyle w:val="IndexLink"/>
                <w:rtl w:val="true"/>
              </w:rPr>
              <w:t>أطلق المفيد و سلاّر تنجيس مياه الأواني و الحياض،</w:t>
            </w:r>
            <w:r>
              <w:rPr>
                <w:rStyle w:val="IndexLink"/>
                <w:rtl w:val="true"/>
              </w:rPr>
              <w:tab/>
            </w:r>
            <w:r>
              <w:rPr>
                <w:rStyle w:val="IndexLink"/>
              </w:rPr>
              <w:t>152</w:t>
            </w:r>
          </w:hyperlink>
        </w:p>
        <w:p>
          <w:pPr>
            <w:pStyle w:val="Contents6"/>
            <w:tabs>
              <w:tab w:val="clear" w:pos="7609"/>
              <w:tab w:val="right" w:pos="9026" w:leader="dot"/>
            </w:tabs>
            <w:rPr/>
          </w:pPr>
          <w:hyperlink w:anchor="__RefHeading___Toc746867_222507752">
            <w:r>
              <w:rPr>
                <w:webHidden/>
                <w:rStyle w:val="IndexLink"/>
                <w:rtl w:val="true"/>
              </w:rPr>
              <w:t>الثّالث</w:t>
            </w:r>
            <w:r>
              <w:rPr>
                <w:rStyle w:val="IndexLink"/>
                <w:rtl w:val="true"/>
              </w:rPr>
              <w:t>:</w:t>
            </w:r>
            <w:r>
              <w:rPr>
                <w:rStyle w:val="IndexLink"/>
                <w:rtl w:val="true"/>
              </w:rPr>
              <w:t>لو وصل بين الغديرين بساقية اتّحدا،</w:t>
            </w:r>
            <w:r>
              <w:rPr>
                <w:rStyle w:val="IndexLink"/>
                <w:rtl w:val="true"/>
              </w:rPr>
              <w:tab/>
            </w:r>
            <w:r>
              <w:rPr>
                <w:rStyle w:val="IndexLink"/>
              </w:rPr>
              <w:t>152</w:t>
            </w:r>
          </w:hyperlink>
        </w:p>
        <w:p>
          <w:pPr>
            <w:pStyle w:val="Contents6"/>
            <w:tabs>
              <w:tab w:val="clear" w:pos="7609"/>
              <w:tab w:val="right" w:pos="9026" w:leader="dot"/>
            </w:tabs>
            <w:rPr/>
          </w:pPr>
          <w:hyperlink w:anchor="__RefHeading___Toc746869_222507752">
            <w:r>
              <w:rPr>
                <w:webHidden/>
                <w:rStyle w:val="IndexLink"/>
                <w:rtl w:val="true"/>
              </w:rPr>
              <w:t>الرّابع</w:t>
            </w:r>
            <w:r>
              <w:rPr>
                <w:rStyle w:val="IndexLink"/>
                <w:rtl w:val="true"/>
              </w:rPr>
              <w:t>:</w:t>
            </w:r>
            <w:r>
              <w:rPr>
                <w:rStyle w:val="IndexLink"/>
                <w:rtl w:val="true"/>
              </w:rPr>
              <w:t>لو شكّ في بلوغ الكرّيّة،</w:t>
            </w:r>
            <w:r>
              <w:rPr>
                <w:rStyle w:val="IndexLink"/>
                <w:rtl w:val="true"/>
              </w:rPr>
              <w:tab/>
            </w:r>
            <w:r>
              <w:rPr>
                <w:rStyle w:val="IndexLink"/>
              </w:rPr>
              <w:t>153</w:t>
            </w:r>
          </w:hyperlink>
        </w:p>
        <w:p>
          <w:pPr>
            <w:pStyle w:val="Contents6"/>
            <w:tabs>
              <w:tab w:val="clear" w:pos="7609"/>
              <w:tab w:val="right" w:pos="9026" w:leader="dot"/>
            </w:tabs>
            <w:rPr/>
          </w:pPr>
          <w:hyperlink w:anchor="__RefHeading___Toc746871_222507752">
            <w:r>
              <w:rPr>
                <w:webHidden/>
                <w:rStyle w:val="IndexLink"/>
                <w:rtl w:val="true"/>
              </w:rPr>
              <w:t>الخامس</w:t>
            </w:r>
            <w:r>
              <w:rPr>
                <w:rStyle w:val="IndexLink"/>
                <w:rtl w:val="true"/>
              </w:rPr>
              <w:t>:</w:t>
            </w:r>
            <w:r>
              <w:rPr>
                <w:rStyle w:val="IndexLink"/>
                <w:rtl w:val="true"/>
              </w:rPr>
              <w:t>قد بيّنا انّ الكثير إذا تغيّر بالنّجاسة نجس،</w:t>
            </w:r>
            <w:r>
              <w:rPr>
                <w:rStyle w:val="IndexLink"/>
                <w:rtl w:val="true"/>
              </w:rPr>
              <w:tab/>
            </w:r>
            <w:r>
              <w:rPr>
                <w:rStyle w:val="IndexLink"/>
              </w:rPr>
              <w:t>153</w:t>
            </w:r>
          </w:hyperlink>
        </w:p>
        <w:p>
          <w:pPr>
            <w:pStyle w:val="Contents6"/>
            <w:tabs>
              <w:tab w:val="clear" w:pos="7609"/>
              <w:tab w:val="right" w:pos="9026" w:leader="dot"/>
            </w:tabs>
            <w:rPr/>
          </w:pPr>
          <w:hyperlink w:anchor="__RefHeading___Toc746873_222507752">
            <w:r>
              <w:rPr>
                <w:webHidden/>
                <w:rStyle w:val="IndexLink"/>
                <w:rtl w:val="true"/>
              </w:rPr>
              <w:t>مسألة</w:t>
            </w:r>
            <w:r>
              <w:rPr>
                <w:rStyle w:val="IndexLink"/>
                <w:rtl w:val="true"/>
              </w:rPr>
              <w:t>:</w:t>
            </w:r>
            <w:r>
              <w:rPr>
                <w:rStyle w:val="IndexLink"/>
                <w:rtl w:val="true"/>
              </w:rPr>
              <w:t>لا يجوز استعمال الماء النّجس في رفع الحدث و لا في إزالة النّجاسة</w:t>
            </w:r>
            <w:r>
              <w:rPr>
                <w:rStyle w:val="IndexLink"/>
                <w:rtl w:val="true"/>
              </w:rPr>
              <w:tab/>
            </w:r>
            <w:r>
              <w:rPr>
                <w:rStyle w:val="IndexLink"/>
              </w:rPr>
              <w:t>153</w:t>
            </w:r>
          </w:hyperlink>
        </w:p>
        <w:p>
          <w:pPr>
            <w:pStyle w:val="Contents6"/>
            <w:tabs>
              <w:tab w:val="clear" w:pos="7609"/>
              <w:tab w:val="right" w:pos="9026" w:leader="dot"/>
            </w:tabs>
            <w:rPr/>
          </w:pPr>
          <w:hyperlink w:anchor="__RefHeading___Toc746875_222507752">
            <w:r>
              <w:rPr>
                <w:webHidden/>
                <w:rStyle w:val="IndexLink"/>
                <w:rtl w:val="true"/>
              </w:rPr>
              <w:t>فروع</w:t>
            </w:r>
            <w:r>
              <w:rPr>
                <w:rStyle w:val="IndexLink"/>
                <w:rtl w:val="true"/>
              </w:rPr>
              <w:t>:</w:t>
              <w:tab/>
            </w:r>
            <w:r>
              <w:rPr>
                <w:rStyle w:val="IndexLink"/>
              </w:rPr>
              <w:t>154</w:t>
            </w:r>
          </w:hyperlink>
        </w:p>
        <w:p>
          <w:pPr>
            <w:pStyle w:val="Contents6"/>
            <w:tabs>
              <w:tab w:val="clear" w:pos="7609"/>
              <w:tab w:val="right" w:pos="9026" w:leader="dot"/>
            </w:tabs>
            <w:rPr/>
          </w:pPr>
          <w:hyperlink w:anchor="__RefHeading___Toc746877_222507752">
            <w:r>
              <w:rPr>
                <w:webHidden/>
                <w:rStyle w:val="IndexLink"/>
                <w:rtl w:val="true"/>
              </w:rPr>
              <w:t>الأوّل</w:t>
            </w:r>
            <w:r>
              <w:rPr>
                <w:rStyle w:val="IndexLink"/>
                <w:rtl w:val="true"/>
              </w:rPr>
              <w:t>:</w:t>
            </w:r>
            <w:r>
              <w:rPr>
                <w:rStyle w:val="IndexLink"/>
                <w:rtl w:val="true"/>
              </w:rPr>
              <w:t>لو شكّ في نجاسة متيقّن الطّهارة،</w:t>
            </w:r>
            <w:r>
              <w:rPr>
                <w:rStyle w:val="IndexLink"/>
                <w:rtl w:val="true"/>
              </w:rPr>
              <w:tab/>
            </w:r>
            <w:r>
              <w:rPr>
                <w:rStyle w:val="IndexLink"/>
              </w:rPr>
              <w:t>154</w:t>
            </w:r>
          </w:hyperlink>
        </w:p>
        <w:p>
          <w:pPr>
            <w:pStyle w:val="Contents6"/>
            <w:tabs>
              <w:tab w:val="clear" w:pos="7609"/>
              <w:tab w:val="right" w:pos="9026" w:leader="dot"/>
            </w:tabs>
            <w:rPr/>
          </w:pPr>
          <w:hyperlink w:anchor="__RefHeading___Toc746879_222507752">
            <w:r>
              <w:rPr>
                <w:webHidden/>
                <w:rStyle w:val="IndexLink"/>
                <w:rtl w:val="true"/>
              </w:rPr>
              <w:t>الثّاني</w:t>
            </w:r>
            <w:r>
              <w:rPr>
                <w:rStyle w:val="IndexLink"/>
                <w:rtl w:val="true"/>
              </w:rPr>
              <w:t>:</w:t>
            </w:r>
            <w:r>
              <w:rPr>
                <w:rStyle w:val="IndexLink"/>
                <w:rtl w:val="true"/>
              </w:rPr>
              <w:t>لو أخبره عدل بنجاسة الماء،</w:t>
            </w:r>
            <w:r>
              <w:rPr>
                <w:rStyle w:val="IndexLink"/>
                <w:rtl w:val="true"/>
              </w:rPr>
              <w:tab/>
            </w:r>
            <w:r>
              <w:rPr>
                <w:rStyle w:val="IndexLink"/>
              </w:rPr>
              <w:t>154</w:t>
            </w:r>
          </w:hyperlink>
        </w:p>
        <w:p>
          <w:pPr>
            <w:pStyle w:val="Contents6"/>
            <w:tabs>
              <w:tab w:val="clear" w:pos="7609"/>
              <w:tab w:val="right" w:pos="9026" w:leader="dot"/>
            </w:tabs>
            <w:rPr/>
          </w:pPr>
          <w:hyperlink w:anchor="__RefHeading___Toc746881_222507752">
            <w:r>
              <w:rPr>
                <w:webHidden/>
                <w:rStyle w:val="IndexLink"/>
                <w:rtl w:val="true"/>
              </w:rPr>
              <w:t>الثّالث</w:t>
            </w:r>
            <w:r>
              <w:rPr>
                <w:rStyle w:val="IndexLink"/>
                <w:rtl w:val="true"/>
              </w:rPr>
              <w:t>:</w:t>
            </w:r>
            <w:r>
              <w:rPr>
                <w:rStyle w:val="IndexLink"/>
                <w:rtl w:val="true"/>
              </w:rPr>
              <w:t>لو علم بالنّجاسة بعد الطّهارة و شكّ في سبقها عليه،فالأصل الصّحّة</w:t>
            </w:r>
            <w:r>
              <w:rPr>
                <w:rStyle w:val="IndexLink"/>
                <w:rtl w:val="true"/>
              </w:rPr>
              <w:t>.</w:t>
              <w:tab/>
            </w:r>
            <w:r>
              <w:rPr>
                <w:rStyle w:val="IndexLink"/>
              </w:rPr>
              <w:t>155</w:t>
            </w:r>
          </w:hyperlink>
        </w:p>
        <w:p>
          <w:pPr>
            <w:pStyle w:val="Contents6"/>
            <w:tabs>
              <w:tab w:val="clear" w:pos="7609"/>
              <w:tab w:val="right" w:pos="9026" w:leader="dot"/>
            </w:tabs>
            <w:rPr/>
          </w:pPr>
          <w:hyperlink w:anchor="__RefHeading___Toc746883_222507752">
            <w:r>
              <w:rPr>
                <w:webHidden/>
                <w:rStyle w:val="IndexLink"/>
                <w:rtl w:val="true"/>
              </w:rPr>
              <w:t>الرّابع</w:t>
            </w:r>
            <w:r>
              <w:rPr>
                <w:rStyle w:val="IndexLink"/>
                <w:rtl w:val="true"/>
              </w:rPr>
              <w:t>:</w:t>
            </w:r>
            <w:r>
              <w:rPr>
                <w:rStyle w:val="IndexLink"/>
                <w:rtl w:val="true"/>
              </w:rPr>
              <w:t>لو أخبر العدل بنجاسة إنائه أو الفاسق بطهارته،</w:t>
            </w:r>
            <w:r>
              <w:rPr>
                <w:rStyle w:val="IndexLink"/>
                <w:rtl w:val="true"/>
              </w:rPr>
              <w:tab/>
            </w:r>
            <w:r>
              <w:rPr>
                <w:rStyle w:val="IndexLink"/>
              </w:rPr>
              <w:t>155</w:t>
            </w:r>
          </w:hyperlink>
        </w:p>
        <w:p>
          <w:pPr>
            <w:pStyle w:val="Contents6"/>
            <w:tabs>
              <w:tab w:val="clear" w:pos="7609"/>
              <w:tab w:val="right" w:pos="9026" w:leader="dot"/>
            </w:tabs>
            <w:rPr/>
          </w:pPr>
          <w:hyperlink w:anchor="__RefHeading___Toc746885_222507752">
            <w:r>
              <w:rPr>
                <w:webHidden/>
                <w:rStyle w:val="IndexLink"/>
                <w:rtl w:val="true"/>
              </w:rPr>
              <w:t>مسألة</w:t>
            </w:r>
            <w:r>
              <w:rPr>
                <w:rStyle w:val="IndexLink"/>
                <w:rtl w:val="true"/>
              </w:rPr>
              <w:t>:</w:t>
            </w:r>
            <w:r>
              <w:rPr>
                <w:rStyle w:val="IndexLink"/>
                <w:rtl w:val="true"/>
              </w:rPr>
              <w:t>المشهور عند أصحابنا</w:t>
            </w:r>
            <w:r>
              <w:rPr>
                <w:rStyle w:val="IndexLink"/>
                <w:rtl w:val="true"/>
              </w:rPr>
              <w:t>:</w:t>
            </w:r>
            <w:r>
              <w:rPr>
                <w:rStyle w:val="IndexLink"/>
                <w:rtl w:val="true"/>
              </w:rPr>
              <w:t>تنجيس البئر بملاقاة النّجاسة</w:t>
            </w:r>
            <w:r>
              <w:rPr>
                <w:rStyle w:val="IndexLink"/>
                <w:rtl w:val="true"/>
              </w:rPr>
              <w:tab/>
            </w:r>
            <w:r>
              <w:rPr>
                <w:rStyle w:val="IndexLink"/>
              </w:rPr>
              <w:t>155</w:t>
            </w:r>
          </w:hyperlink>
        </w:p>
        <w:p>
          <w:pPr>
            <w:pStyle w:val="Contents6"/>
            <w:tabs>
              <w:tab w:val="clear" w:pos="7609"/>
              <w:tab w:val="right" w:pos="9026" w:leader="dot"/>
            </w:tabs>
            <w:rPr/>
          </w:pPr>
          <w:hyperlink w:anchor="__RefHeading___Toc746887_222507752">
            <w:r>
              <w:rPr>
                <w:webHidden/>
                <w:rStyle w:val="IndexLink"/>
                <w:rtl w:val="true"/>
              </w:rPr>
              <w:t>احتجّ القائلون بالتّنجيس بوجوه</w:t>
            </w:r>
            <w:r>
              <w:rPr>
                <w:rStyle w:val="IndexLink"/>
                <w:rtl w:val="true"/>
              </w:rPr>
              <w:t>:</w:t>
              <w:tab/>
            </w:r>
            <w:r>
              <w:rPr>
                <w:rStyle w:val="IndexLink"/>
              </w:rPr>
              <w:t>155</w:t>
            </w:r>
          </w:hyperlink>
        </w:p>
        <w:p>
          <w:pPr>
            <w:pStyle w:val="Contents6"/>
            <w:tabs>
              <w:tab w:val="clear" w:pos="7609"/>
              <w:tab w:val="right" w:pos="9026" w:leader="dot"/>
            </w:tabs>
            <w:rPr/>
          </w:pPr>
          <w:hyperlink w:anchor="__RefHeading___Toc746889_222507752">
            <w:r>
              <w:rPr>
                <w:webHidden/>
                <w:rStyle w:val="IndexLink"/>
                <w:rtl w:val="true"/>
              </w:rPr>
              <w:t>الأوّل</w:t>
            </w:r>
            <w:r>
              <w:rPr>
                <w:rStyle w:val="IndexLink"/>
                <w:rtl w:val="true"/>
              </w:rPr>
              <w:t>:</w:t>
            </w:r>
            <w:r>
              <w:rPr>
                <w:rStyle w:val="IndexLink"/>
                <w:rtl w:val="true"/>
              </w:rPr>
              <w:t>النّصّ</w:t>
            </w:r>
            <w:r>
              <w:rPr>
                <w:rStyle w:val="IndexLink"/>
                <w:rtl w:val="true"/>
              </w:rPr>
              <w:tab/>
            </w:r>
            <w:r>
              <w:rPr>
                <w:rStyle w:val="IndexLink"/>
              </w:rPr>
              <w:t>155</w:t>
            </w:r>
          </w:hyperlink>
        </w:p>
        <w:p>
          <w:pPr>
            <w:pStyle w:val="Contents6"/>
            <w:tabs>
              <w:tab w:val="clear" w:pos="7609"/>
              <w:tab w:val="right" w:pos="9026" w:leader="dot"/>
            </w:tabs>
            <w:rPr/>
          </w:pPr>
          <w:hyperlink w:anchor="__RefHeading___Toc746891_222507752">
            <w:r>
              <w:rPr>
                <w:webHidden/>
                <w:rStyle w:val="IndexLink"/>
                <w:rtl w:val="true"/>
              </w:rPr>
              <w:t>الثّاني</w:t>
            </w:r>
            <w:r>
              <w:rPr>
                <w:rStyle w:val="IndexLink"/>
                <w:rtl w:val="true"/>
              </w:rPr>
              <w:t>:</w:t>
            </w:r>
            <w:r>
              <w:rPr>
                <w:rStyle w:val="IndexLink"/>
                <w:rtl w:val="true"/>
              </w:rPr>
              <w:t>عمل أكثر الأصحاب</w:t>
            </w:r>
            <w:r>
              <w:rPr>
                <w:rStyle w:val="IndexLink"/>
                <w:rtl w:val="true"/>
              </w:rPr>
              <w:tab/>
            </w:r>
            <w:r>
              <w:rPr>
                <w:rStyle w:val="IndexLink"/>
              </w:rPr>
              <w:t>156</w:t>
            </w:r>
          </w:hyperlink>
        </w:p>
        <w:p>
          <w:pPr>
            <w:pStyle w:val="Contents6"/>
            <w:tabs>
              <w:tab w:val="clear" w:pos="7609"/>
              <w:tab w:val="right" w:pos="9026" w:leader="dot"/>
            </w:tabs>
            <w:rPr/>
          </w:pPr>
          <w:hyperlink w:anchor="__RefHeading___Toc746893_222507752">
            <w:r>
              <w:rPr>
                <w:webHidden/>
                <w:rStyle w:val="IndexLink"/>
                <w:rtl w:val="true"/>
              </w:rPr>
              <w:t>الثّالث</w:t>
            </w:r>
            <w:r>
              <w:rPr>
                <w:rStyle w:val="IndexLink"/>
                <w:rtl w:val="true"/>
              </w:rPr>
              <w:t>:</w:t>
            </w:r>
            <w:r>
              <w:rPr>
                <w:rStyle w:val="IndexLink"/>
                <w:rtl w:val="true"/>
              </w:rPr>
              <w:t>لو كان طاهرا،لما ساغ التّيمّم</w:t>
            </w:r>
            <w:r>
              <w:rPr>
                <w:rStyle w:val="IndexLink"/>
                <w:rtl w:val="true"/>
              </w:rPr>
              <w:tab/>
            </w:r>
            <w:r>
              <w:rPr>
                <w:rStyle w:val="IndexLink"/>
              </w:rPr>
              <w:t>156</w:t>
            </w:r>
          </w:hyperlink>
        </w:p>
        <w:p>
          <w:pPr>
            <w:pStyle w:val="Contents6"/>
            <w:tabs>
              <w:tab w:val="clear" w:pos="7609"/>
              <w:tab w:val="right" w:pos="9026" w:leader="dot"/>
            </w:tabs>
            <w:rPr/>
          </w:pPr>
          <w:hyperlink w:anchor="__RefHeading___Toc746895_222507752">
            <w:r>
              <w:rPr>
                <w:webHidden/>
                <w:rStyle w:val="IndexLink"/>
                <w:rtl w:val="true"/>
              </w:rPr>
              <w:t>الرّابع</w:t>
            </w:r>
            <w:r>
              <w:rPr>
                <w:rStyle w:val="IndexLink"/>
                <w:rtl w:val="true"/>
              </w:rPr>
              <w:t>:</w:t>
            </w:r>
            <w:r>
              <w:rPr>
                <w:rStyle w:val="IndexLink"/>
                <w:rtl w:val="true"/>
              </w:rPr>
              <w:t>انّه لو كان طاهرا،لكان النّزح عبثا</w:t>
            </w:r>
            <w:r>
              <w:rPr>
                <w:rStyle w:val="IndexLink"/>
                <w:rtl w:val="true"/>
              </w:rPr>
              <w:tab/>
            </w:r>
            <w:r>
              <w:rPr>
                <w:rStyle w:val="IndexLink"/>
              </w:rPr>
              <w:t>157</w:t>
            </w:r>
          </w:hyperlink>
        </w:p>
        <w:p>
          <w:pPr>
            <w:pStyle w:val="Contents6"/>
            <w:tabs>
              <w:tab w:val="clear" w:pos="7609"/>
              <w:tab w:val="right" w:pos="9026" w:leader="dot"/>
            </w:tabs>
            <w:rPr/>
          </w:pPr>
          <w:hyperlink w:anchor="__RefHeading___Toc746897_222507752">
            <w:r>
              <w:rPr>
                <w:webHidden/>
                <w:rStyle w:val="IndexLink"/>
                <w:rtl w:val="true"/>
              </w:rPr>
              <w:t>احتجّ الآخرون بوجوه</w:t>
            </w:r>
            <w:r>
              <w:rPr>
                <w:rStyle w:val="IndexLink"/>
                <w:rtl w:val="true"/>
              </w:rPr>
              <w:t>:</w:t>
              <w:tab/>
            </w:r>
            <w:r>
              <w:rPr>
                <w:rStyle w:val="IndexLink"/>
              </w:rPr>
              <w:t>157</w:t>
            </w:r>
          </w:hyperlink>
        </w:p>
        <w:p>
          <w:pPr>
            <w:pStyle w:val="Contents6"/>
            <w:tabs>
              <w:tab w:val="clear" w:pos="7609"/>
              <w:tab w:val="right" w:pos="9026" w:leader="dot"/>
            </w:tabs>
            <w:rPr/>
          </w:pPr>
          <w:hyperlink w:anchor="__RefHeading___Toc746899_222507752">
            <w:r>
              <w:rPr>
                <w:webHidden/>
                <w:rStyle w:val="IndexLink"/>
                <w:rtl w:val="true"/>
              </w:rPr>
              <w:t>الأوّل</w:t>
            </w:r>
            <w:r>
              <w:rPr>
                <w:rStyle w:val="IndexLink"/>
                <w:rtl w:val="true"/>
              </w:rPr>
              <w:t>:</w:t>
            </w:r>
            <w:r>
              <w:rPr>
                <w:rStyle w:val="IndexLink"/>
                <w:rtl w:val="true"/>
              </w:rPr>
              <w:t>النّصّ</w:t>
            </w:r>
            <w:r>
              <w:rPr>
                <w:rStyle w:val="IndexLink"/>
                <w:rtl w:val="true"/>
              </w:rPr>
              <w:tab/>
            </w:r>
            <w:r>
              <w:rPr>
                <w:rStyle w:val="IndexLink"/>
              </w:rPr>
              <w:t>157</w:t>
            </w:r>
          </w:hyperlink>
        </w:p>
        <w:p>
          <w:pPr>
            <w:pStyle w:val="Contents6"/>
            <w:tabs>
              <w:tab w:val="clear" w:pos="7609"/>
              <w:tab w:val="right" w:pos="9026" w:leader="dot"/>
            </w:tabs>
            <w:rPr/>
          </w:pPr>
          <w:hyperlink w:anchor="__RefHeading___Toc746901_222507752">
            <w:r>
              <w:rPr>
                <w:webHidden/>
                <w:rStyle w:val="IndexLink"/>
                <w:rtl w:val="true"/>
              </w:rPr>
              <w:t>الوجه الثّاني</w:t>
            </w:r>
            <w:r>
              <w:rPr>
                <w:rStyle w:val="IndexLink"/>
                <w:rtl w:val="true"/>
              </w:rPr>
              <w:t>:</w:t>
            </w:r>
            <w:r>
              <w:rPr>
                <w:rStyle w:val="IndexLink"/>
                <w:rtl w:val="true"/>
              </w:rPr>
              <w:t>العمومات الدّالّة على انّ مطلق الماء طهور</w:t>
            </w:r>
            <w:r>
              <w:rPr>
                <w:rStyle w:val="IndexLink"/>
                <w:rtl w:val="true"/>
              </w:rPr>
              <w:tab/>
            </w:r>
            <w:r>
              <w:rPr>
                <w:rStyle w:val="IndexLink"/>
              </w:rPr>
              <w:t>160</w:t>
            </w:r>
          </w:hyperlink>
        </w:p>
        <w:p>
          <w:pPr>
            <w:pStyle w:val="Contents6"/>
            <w:tabs>
              <w:tab w:val="clear" w:pos="7609"/>
              <w:tab w:val="right" w:pos="9026" w:leader="dot"/>
            </w:tabs>
            <w:rPr/>
          </w:pPr>
          <w:hyperlink w:anchor="__RefHeading___Toc746903_222507752">
            <w:r>
              <w:rPr>
                <w:webHidden/>
                <w:rStyle w:val="IndexLink"/>
                <w:rtl w:val="true"/>
              </w:rPr>
              <w:t>الوجه الثّالث</w:t>
            </w:r>
            <w:r>
              <w:rPr>
                <w:rStyle w:val="IndexLink"/>
                <w:rtl w:val="true"/>
              </w:rPr>
              <w:t>:</w:t>
            </w:r>
            <w:r>
              <w:rPr>
                <w:rStyle w:val="IndexLink"/>
                <w:rtl w:val="true"/>
              </w:rPr>
              <w:t>انّها لو نجست لما طهرت</w:t>
            </w:r>
            <w:r>
              <w:rPr>
                <w:rStyle w:val="IndexLink"/>
                <w:rtl w:val="true"/>
              </w:rPr>
              <w:tab/>
            </w:r>
            <w:r>
              <w:rPr>
                <w:rStyle w:val="IndexLink"/>
              </w:rPr>
              <w:t>160</w:t>
            </w:r>
          </w:hyperlink>
        </w:p>
        <w:p>
          <w:pPr>
            <w:pStyle w:val="Contents6"/>
            <w:tabs>
              <w:tab w:val="clear" w:pos="7609"/>
              <w:tab w:val="right" w:pos="9026" w:leader="dot"/>
            </w:tabs>
            <w:rPr/>
          </w:pPr>
          <w:hyperlink w:anchor="__RefHeading___Toc746905_222507752">
            <w:r>
              <w:rPr>
                <w:webHidden/>
                <w:rStyle w:val="IndexLink"/>
                <w:rtl w:val="true"/>
              </w:rPr>
              <w:t>الرّابع</w:t>
            </w:r>
            <w:r>
              <w:rPr>
                <w:rStyle w:val="IndexLink"/>
                <w:rtl w:val="true"/>
              </w:rPr>
              <w:t>:</w:t>
            </w:r>
            <w:r>
              <w:rPr>
                <w:rStyle w:val="IndexLink"/>
                <w:rtl w:val="true"/>
              </w:rPr>
              <w:t>انّه بجريانه من منابعه أشبه الماء الجاري،</w:t>
            </w:r>
            <w:r>
              <w:rPr>
                <w:rStyle w:val="IndexLink"/>
                <w:rtl w:val="true"/>
              </w:rPr>
              <w:tab/>
            </w:r>
            <w:r>
              <w:rPr>
                <w:rStyle w:val="IndexLink"/>
              </w:rPr>
              <w:t>161</w:t>
            </w:r>
          </w:hyperlink>
        </w:p>
        <w:p>
          <w:pPr>
            <w:pStyle w:val="Contents6"/>
            <w:tabs>
              <w:tab w:val="clear" w:pos="7609"/>
              <w:tab w:val="right" w:pos="9026" w:leader="dot"/>
            </w:tabs>
            <w:rPr/>
          </w:pPr>
          <w:hyperlink w:anchor="__RefHeading___Toc746907_222507752">
            <w:r>
              <w:rPr>
                <w:webHidden/>
                <w:rStyle w:val="IndexLink"/>
                <w:rtl w:val="true"/>
              </w:rPr>
              <w:t>الخامس</w:t>
            </w:r>
            <w:r>
              <w:rPr>
                <w:rStyle w:val="IndexLink"/>
                <w:rtl w:val="true"/>
              </w:rPr>
              <w:t>:</w:t>
            </w:r>
            <w:r>
              <w:rPr>
                <w:rStyle w:val="IndexLink"/>
                <w:rtl w:val="true"/>
              </w:rPr>
              <w:t>الأصل الدّالّ على الطّهارة و على نفي الحرج</w:t>
            </w:r>
            <w:r>
              <w:rPr>
                <w:rStyle w:val="IndexLink"/>
                <w:rtl w:val="true"/>
              </w:rPr>
              <w:tab/>
            </w:r>
            <w:r>
              <w:rPr>
                <w:rStyle w:val="IndexLink"/>
              </w:rPr>
              <w:t>161</w:t>
            </w:r>
          </w:hyperlink>
        </w:p>
        <w:p>
          <w:pPr>
            <w:pStyle w:val="Contents6"/>
            <w:tabs>
              <w:tab w:val="clear" w:pos="7609"/>
              <w:tab w:val="right" w:pos="9026" w:leader="dot"/>
            </w:tabs>
            <w:rPr/>
          </w:pPr>
          <w:hyperlink w:anchor="__RefHeading___Toc746909_222507752">
            <w:r>
              <w:rPr>
                <w:webHidden/>
                <w:rStyle w:val="IndexLink"/>
                <w:rtl w:val="true"/>
              </w:rPr>
              <w:t>فائدة</w:t>
            </w:r>
            <w:r>
              <w:rPr>
                <w:rStyle w:val="IndexLink"/>
                <w:rtl w:val="true"/>
              </w:rPr>
              <w:t>:</w:t>
            </w:r>
            <w:r>
              <w:rPr>
                <w:rStyle w:val="IndexLink"/>
                <w:rtl w:val="true"/>
              </w:rPr>
              <w:t>لا يكره الطّهارة بماء البئر</w:t>
            </w:r>
            <w:r>
              <w:rPr>
                <w:rStyle w:val="IndexLink"/>
                <w:rtl w:val="true"/>
              </w:rPr>
              <w:tab/>
            </w:r>
            <w:r>
              <w:rPr>
                <w:rStyle w:val="IndexLink"/>
              </w:rPr>
              <w:t>162</w:t>
            </w:r>
          </w:hyperlink>
        </w:p>
        <w:p>
          <w:pPr>
            <w:pStyle w:val="Contents6"/>
            <w:tabs>
              <w:tab w:val="clear" w:pos="7609"/>
              <w:tab w:val="right" w:pos="9026" w:leader="dot"/>
            </w:tabs>
            <w:rPr/>
          </w:pPr>
          <w:hyperlink w:anchor="__RefHeading___Toc746911_222507752">
            <w:r>
              <w:rPr>
                <w:webHidden/>
                <w:rStyle w:val="IndexLink"/>
                <w:rtl w:val="true"/>
              </w:rPr>
              <w:t>البحث الثّاني</w:t>
            </w:r>
            <w:r>
              <w:rPr>
                <w:rStyle w:val="IndexLink"/>
                <w:rtl w:val="true"/>
              </w:rPr>
              <w:t>:</w:t>
            </w:r>
            <w:r>
              <w:rPr>
                <w:rStyle w:val="IndexLink"/>
                <w:rtl w:val="true"/>
              </w:rPr>
              <w:t>في كيفيّة تطهير المياه من النّجاسات</w:t>
            </w:r>
            <w:r>
              <w:rPr>
                <w:rStyle w:val="IndexLink"/>
                <w:rtl w:val="true"/>
              </w:rPr>
              <w:t>:</w:t>
              <w:tab/>
            </w:r>
            <w:r>
              <w:rPr>
                <w:rStyle w:val="IndexLink"/>
              </w:rPr>
              <w:t>163</w:t>
            </w:r>
          </w:hyperlink>
        </w:p>
        <w:p>
          <w:pPr>
            <w:pStyle w:val="Contents6"/>
            <w:tabs>
              <w:tab w:val="clear" w:pos="7609"/>
              <w:tab w:val="right" w:pos="9026" w:leader="dot"/>
            </w:tabs>
            <w:rPr/>
          </w:pPr>
          <w:hyperlink w:anchor="__RefHeading___Toc746913_222507752">
            <w:r>
              <w:rPr>
                <w:webHidden/>
                <w:rStyle w:val="IndexLink"/>
                <w:rtl w:val="true"/>
              </w:rPr>
              <w:t>مسألة</w:t>
            </w:r>
            <w:r>
              <w:rPr>
                <w:rStyle w:val="IndexLink"/>
                <w:rtl w:val="true"/>
              </w:rPr>
              <w:t>:</w:t>
            </w:r>
            <w:r>
              <w:rPr>
                <w:rStyle w:val="IndexLink"/>
                <w:rtl w:val="true"/>
              </w:rPr>
              <w:t>المتغيّر إمّا أن يكون جاريا أو واقفا</w:t>
            </w:r>
            <w:r>
              <w:rPr>
                <w:rStyle w:val="IndexLink"/>
                <w:rtl w:val="true"/>
              </w:rPr>
              <w:tab/>
            </w:r>
            <w:r>
              <w:rPr>
                <w:rStyle w:val="IndexLink"/>
              </w:rPr>
              <w:t>163</w:t>
            </w:r>
          </w:hyperlink>
        </w:p>
        <w:p>
          <w:pPr>
            <w:pStyle w:val="Contents6"/>
            <w:tabs>
              <w:tab w:val="clear" w:pos="7609"/>
              <w:tab w:val="right" w:pos="9026" w:leader="dot"/>
            </w:tabs>
            <w:rPr/>
          </w:pPr>
          <w:hyperlink w:anchor="__RefHeading___Toc746915_222507752">
            <w:r>
              <w:rPr>
                <w:webHidden/>
                <w:rStyle w:val="IndexLink"/>
                <w:rtl w:val="true"/>
              </w:rPr>
              <w:t>مسألة</w:t>
            </w:r>
            <w:r>
              <w:rPr>
                <w:rStyle w:val="IndexLink"/>
                <w:rtl w:val="true"/>
              </w:rPr>
              <w:t>:</w:t>
            </w:r>
            <w:r>
              <w:rPr>
                <w:rStyle w:val="IndexLink"/>
                <w:rtl w:val="true"/>
              </w:rPr>
              <w:t>الماء القليل إن تغيّر بالنّجاسة فطريق تطهيره إلقاء كرّ عليه</w:t>
            </w:r>
            <w:r>
              <w:rPr>
                <w:rStyle w:val="IndexLink"/>
                <w:rtl w:val="true"/>
              </w:rPr>
              <w:tab/>
            </w:r>
            <w:r>
              <w:rPr>
                <w:rStyle w:val="IndexLink"/>
              </w:rPr>
              <w:t>164</w:t>
            </w:r>
          </w:hyperlink>
        </w:p>
        <w:p>
          <w:pPr>
            <w:pStyle w:val="Contents6"/>
            <w:tabs>
              <w:tab w:val="clear" w:pos="7609"/>
              <w:tab w:val="right" w:pos="9026" w:leader="dot"/>
            </w:tabs>
            <w:rPr/>
          </w:pPr>
          <w:hyperlink w:anchor="__RefHeading___Toc746917_222507752">
            <w:r>
              <w:rPr>
                <w:webHidden/>
                <w:rStyle w:val="IndexLink"/>
                <w:rtl w:val="true"/>
              </w:rPr>
              <w:t>و استدلّ المرتضى بوجهين</w:t>
            </w:r>
            <w:r>
              <w:rPr>
                <w:rStyle w:val="IndexLink"/>
                <w:rtl w:val="true"/>
              </w:rPr>
              <w:t>:</w:t>
              <w:tab/>
            </w:r>
            <w:r>
              <w:rPr>
                <w:rStyle w:val="IndexLink"/>
              </w:rPr>
              <w:t>165</w:t>
            </w:r>
          </w:hyperlink>
        </w:p>
        <w:p>
          <w:pPr>
            <w:pStyle w:val="Contents6"/>
            <w:tabs>
              <w:tab w:val="clear" w:pos="7609"/>
              <w:tab w:val="right" w:pos="9026" w:leader="dot"/>
            </w:tabs>
            <w:rPr/>
          </w:pPr>
          <w:hyperlink w:anchor="__RefHeading___Toc746919_222507752">
            <w:r>
              <w:rPr>
                <w:webHidden/>
                <w:rStyle w:val="IndexLink"/>
                <w:rtl w:val="true"/>
              </w:rPr>
              <w:t>الأوّل</w:t>
            </w:r>
            <w:r>
              <w:rPr>
                <w:rStyle w:val="IndexLink"/>
                <w:rtl w:val="true"/>
              </w:rPr>
              <w:t>:</w:t>
            </w:r>
            <w:r>
              <w:rPr>
                <w:rStyle w:val="IndexLink"/>
                <w:rtl w:val="true"/>
              </w:rPr>
              <w:t>انّ بلوغ الكرّيّة يوجب استهلاك النّجاسة</w:t>
            </w:r>
            <w:r>
              <w:rPr>
                <w:rStyle w:val="IndexLink"/>
                <w:rtl w:val="true"/>
              </w:rPr>
              <w:tab/>
            </w:r>
            <w:r>
              <w:rPr>
                <w:rStyle w:val="IndexLink"/>
              </w:rPr>
              <w:t>165</w:t>
            </w:r>
          </w:hyperlink>
        </w:p>
        <w:p>
          <w:pPr>
            <w:pStyle w:val="Contents6"/>
            <w:tabs>
              <w:tab w:val="clear" w:pos="7609"/>
              <w:tab w:val="right" w:pos="9026" w:leader="dot"/>
            </w:tabs>
            <w:rPr/>
          </w:pPr>
          <w:hyperlink w:anchor="__RefHeading___Toc746921_222507752">
            <w:r>
              <w:rPr>
                <w:webHidden/>
                <w:rStyle w:val="IndexLink"/>
                <w:rtl w:val="true"/>
              </w:rPr>
              <w:t>الثّاني</w:t>
            </w:r>
            <w:r>
              <w:rPr>
                <w:rStyle w:val="IndexLink"/>
                <w:rtl w:val="true"/>
              </w:rPr>
              <w:t>:</w:t>
            </w:r>
            <w:r>
              <w:rPr>
                <w:rStyle w:val="IndexLink"/>
                <w:rtl w:val="true"/>
              </w:rPr>
              <w:t>لو لم يحكم بالطّهارة حينئذ،لما حكم بطهارة الكثير</w:t>
            </w:r>
            <w:r>
              <w:rPr>
                <w:rStyle w:val="IndexLink"/>
                <w:rtl w:val="true"/>
              </w:rPr>
              <w:tab/>
            </w:r>
            <w:r>
              <w:rPr>
                <w:rStyle w:val="IndexLink"/>
              </w:rPr>
              <w:t>165</w:t>
            </w:r>
          </w:hyperlink>
        </w:p>
        <w:p>
          <w:pPr>
            <w:pStyle w:val="Contents6"/>
            <w:tabs>
              <w:tab w:val="clear" w:pos="7609"/>
              <w:tab w:val="right" w:pos="9026" w:leader="dot"/>
            </w:tabs>
            <w:rPr/>
          </w:pPr>
          <w:hyperlink w:anchor="__RefHeading___Toc746923_222507752">
            <w:r>
              <w:rPr>
                <w:webHidden/>
                <w:rStyle w:val="IndexLink"/>
                <w:rtl w:val="true"/>
              </w:rPr>
              <w:t>و احتجّ ابن إدريس بوجوه</w:t>
            </w:r>
            <w:r>
              <w:rPr>
                <w:rStyle w:val="IndexLink"/>
                <w:rtl w:val="true"/>
              </w:rPr>
              <w:t>:</w:t>
              <w:tab/>
            </w:r>
            <w:r>
              <w:rPr>
                <w:rStyle w:val="IndexLink"/>
              </w:rPr>
              <w:t>165</w:t>
            </w:r>
          </w:hyperlink>
        </w:p>
        <w:p>
          <w:pPr>
            <w:pStyle w:val="Contents6"/>
            <w:tabs>
              <w:tab w:val="clear" w:pos="7609"/>
              <w:tab w:val="right" w:pos="9026" w:leader="dot"/>
            </w:tabs>
            <w:rPr/>
          </w:pPr>
          <w:hyperlink w:anchor="__RefHeading___Toc746925_222507752">
            <w:r>
              <w:rPr>
                <w:webHidden/>
                <w:rStyle w:val="IndexLink"/>
                <w:rtl w:val="true"/>
              </w:rPr>
              <w:t>أحدها</w:t>
            </w:r>
            <w:r>
              <w:rPr>
                <w:rStyle w:val="IndexLink"/>
                <w:rtl w:val="true"/>
              </w:rPr>
              <w:t>:</w:t>
            </w:r>
            <w:r>
              <w:rPr>
                <w:rStyle w:val="IndexLink"/>
                <w:rtl w:val="true"/>
              </w:rPr>
              <w:t>قوله عليه السّلام</w:t>
            </w:r>
            <w:r>
              <w:rPr>
                <w:rStyle w:val="IndexLink"/>
                <w:rtl w:val="true"/>
              </w:rPr>
              <w:t>:(</w:t>
            </w:r>
            <w:r>
              <w:rPr>
                <w:rStyle w:val="IndexLink"/>
                <w:rtl w:val="true"/>
              </w:rPr>
              <w:t>إذا بلغ الماء كرّا لم يحمل خبثا</w:t>
            </w:r>
            <w:r>
              <w:rPr>
                <w:rStyle w:val="IndexLink"/>
                <w:rtl w:val="true"/>
              </w:rPr>
              <w:t>)</w:t>
              <w:tab/>
            </w:r>
            <w:r>
              <w:rPr>
                <w:rStyle w:val="IndexLink"/>
              </w:rPr>
              <w:t>165</w:t>
            </w:r>
          </w:hyperlink>
        </w:p>
        <w:p>
          <w:pPr>
            <w:pStyle w:val="Contents6"/>
            <w:tabs>
              <w:tab w:val="clear" w:pos="7609"/>
              <w:tab w:val="right" w:pos="9026" w:leader="dot"/>
            </w:tabs>
            <w:rPr/>
          </w:pPr>
          <w:hyperlink w:anchor="__RefHeading___Toc746927_222507752">
            <w:r>
              <w:rPr>
                <w:webHidden/>
                <w:rStyle w:val="IndexLink"/>
                <w:rtl w:val="true"/>
              </w:rPr>
              <w:t>الثّاني</w:t>
            </w:r>
            <w:r>
              <w:rPr>
                <w:rStyle w:val="IndexLink"/>
                <w:rtl w:val="true"/>
              </w:rPr>
              <w:t>:</w:t>
            </w:r>
            <w:r>
              <w:rPr>
                <w:rStyle w:val="IndexLink"/>
                <w:rtl w:val="true"/>
              </w:rPr>
              <w:t>قوله تعالى</w:t>
            </w:r>
            <w:r>
              <w:rPr>
                <w:rStyle w:val="IndexLink"/>
                <w:rtl w:val="true"/>
              </w:rPr>
              <w:t>:</w:t>
              <w:tab/>
            </w:r>
            <w:r>
              <w:rPr>
                <w:rStyle w:val="IndexLink"/>
              </w:rPr>
              <w:t>165</w:t>
            </w:r>
          </w:hyperlink>
        </w:p>
        <w:p>
          <w:pPr>
            <w:pStyle w:val="Contents6"/>
            <w:tabs>
              <w:tab w:val="clear" w:pos="7609"/>
              <w:tab w:val="right" w:pos="9026" w:leader="dot"/>
            </w:tabs>
            <w:rPr/>
          </w:pPr>
          <w:hyperlink w:anchor="__RefHeading___Toc746929_222507752">
            <w:r>
              <w:rPr>
                <w:webHidden/>
                <w:rStyle w:val="IndexLink"/>
                <w:rtl w:val="true"/>
              </w:rPr>
              <w:t>الثّالث</w:t>
            </w:r>
            <w:r>
              <w:rPr>
                <w:rStyle w:val="IndexLink"/>
                <w:rtl w:val="true"/>
              </w:rPr>
              <w:t>:</w:t>
            </w:r>
            <w:r>
              <w:rPr>
                <w:rStyle w:val="IndexLink"/>
                <w:rtl w:val="true"/>
              </w:rPr>
              <w:t>الإجماع</w:t>
            </w:r>
            <w:r>
              <w:rPr>
                <w:rStyle w:val="IndexLink"/>
                <w:rtl w:val="true"/>
              </w:rPr>
              <w:tab/>
            </w:r>
            <w:r>
              <w:rPr>
                <w:rStyle w:val="IndexLink"/>
              </w:rPr>
              <w:t>166</w:t>
            </w:r>
          </w:hyperlink>
        </w:p>
        <w:p>
          <w:pPr>
            <w:pStyle w:val="Contents6"/>
            <w:tabs>
              <w:tab w:val="clear" w:pos="7609"/>
              <w:tab w:val="right" w:pos="9026" w:leader="dot"/>
            </w:tabs>
            <w:rPr/>
          </w:pPr>
          <w:hyperlink w:anchor="__RefHeading___Toc746931_222507752">
            <w:r>
              <w:rPr>
                <w:webHidden/>
                <w:rStyle w:val="IndexLink"/>
                <w:rtl w:val="true"/>
              </w:rPr>
              <w:t>فروع</w:t>
            </w:r>
            <w:r>
              <w:rPr>
                <w:rStyle w:val="IndexLink"/>
                <w:rtl w:val="true"/>
              </w:rPr>
              <w:t>:</w:t>
              <w:tab/>
            </w:r>
            <w:r>
              <w:rPr>
                <w:rStyle w:val="IndexLink"/>
              </w:rPr>
              <w:t>166</w:t>
            </w:r>
          </w:hyperlink>
        </w:p>
        <w:p>
          <w:pPr>
            <w:pStyle w:val="Contents6"/>
            <w:tabs>
              <w:tab w:val="clear" w:pos="7609"/>
              <w:tab w:val="right" w:pos="9026" w:leader="dot"/>
            </w:tabs>
            <w:rPr/>
          </w:pPr>
          <w:hyperlink w:anchor="__RefHeading___Toc746933_222507752">
            <w:r>
              <w:rPr>
                <w:webHidden/>
                <w:rStyle w:val="IndexLink"/>
                <w:rtl w:val="true"/>
              </w:rPr>
              <w:t>الأوّل</w:t>
            </w:r>
            <w:r>
              <w:rPr>
                <w:rStyle w:val="IndexLink"/>
                <w:rtl w:val="true"/>
              </w:rPr>
              <w:t>:</w:t>
            </w:r>
            <w:r>
              <w:rPr>
                <w:rStyle w:val="IndexLink"/>
                <w:rtl w:val="true"/>
              </w:rPr>
              <w:t>لو كان بعض الكرّ نجسا و تمّم بالمستعمل،</w:t>
            </w:r>
            <w:r>
              <w:rPr>
                <w:rStyle w:val="IndexLink"/>
                <w:rtl w:val="true"/>
              </w:rPr>
              <w:tab/>
            </w:r>
            <w:r>
              <w:rPr>
                <w:rStyle w:val="IndexLink"/>
              </w:rPr>
              <w:t>166</w:t>
            </w:r>
          </w:hyperlink>
        </w:p>
        <w:p>
          <w:pPr>
            <w:pStyle w:val="Contents6"/>
            <w:tabs>
              <w:tab w:val="clear" w:pos="7609"/>
              <w:tab w:val="right" w:pos="9026" w:leader="dot"/>
            </w:tabs>
            <w:rPr/>
          </w:pPr>
          <w:hyperlink w:anchor="__RefHeading___Toc746935_222507752">
            <w:r>
              <w:rPr>
                <w:webHidden/>
                <w:rStyle w:val="IndexLink"/>
                <w:rtl w:val="true"/>
              </w:rPr>
              <w:t>الثّاني</w:t>
            </w:r>
            <w:r>
              <w:rPr>
                <w:rStyle w:val="IndexLink"/>
                <w:rtl w:val="true"/>
              </w:rPr>
              <w:t>:</w:t>
            </w:r>
            <w:r>
              <w:rPr>
                <w:rStyle w:val="IndexLink"/>
                <w:rtl w:val="true"/>
              </w:rPr>
              <w:t>لو قلنا بالطّهارة ففرّق،لم يصر نجسا،</w:t>
            </w:r>
            <w:r>
              <w:rPr>
                <w:rStyle w:val="IndexLink"/>
                <w:rtl w:val="true"/>
              </w:rPr>
              <w:tab/>
            </w:r>
            <w:r>
              <w:rPr>
                <w:rStyle w:val="IndexLink"/>
              </w:rPr>
              <w:t>166</w:t>
            </w:r>
          </w:hyperlink>
        </w:p>
        <w:p>
          <w:pPr>
            <w:pStyle w:val="Contents6"/>
            <w:tabs>
              <w:tab w:val="clear" w:pos="7609"/>
              <w:tab w:val="right" w:pos="9026" w:leader="dot"/>
            </w:tabs>
            <w:rPr/>
          </w:pPr>
          <w:hyperlink w:anchor="__RefHeading___Toc746937_222507752">
            <w:r>
              <w:rPr>
                <w:webHidden/>
                <w:rStyle w:val="IndexLink"/>
                <w:rtl w:val="true"/>
              </w:rPr>
              <w:t>الثّالث</w:t>
            </w:r>
            <w:r>
              <w:rPr>
                <w:rStyle w:val="IndexLink"/>
                <w:rtl w:val="true"/>
              </w:rPr>
              <w:t>:</w:t>
            </w:r>
            <w:r>
              <w:rPr>
                <w:rStyle w:val="IndexLink"/>
                <w:rtl w:val="true"/>
              </w:rPr>
              <w:t>لو قلنا بالطّهارة،لم يشترط خلوّه من نجاسة عينيّة</w:t>
            </w:r>
            <w:r>
              <w:rPr>
                <w:rStyle w:val="IndexLink"/>
                <w:rtl w:val="true"/>
              </w:rPr>
              <w:t>.</w:t>
              <w:tab/>
            </w:r>
            <w:r>
              <w:rPr>
                <w:rStyle w:val="IndexLink"/>
              </w:rPr>
              <w:t>166</w:t>
            </w:r>
          </w:hyperlink>
        </w:p>
        <w:p>
          <w:pPr>
            <w:pStyle w:val="Contents6"/>
            <w:tabs>
              <w:tab w:val="clear" w:pos="7609"/>
              <w:tab w:val="right" w:pos="9026" w:leader="dot"/>
            </w:tabs>
            <w:rPr/>
          </w:pPr>
          <w:hyperlink w:anchor="__RefHeading___Toc746939_222507752">
            <w:r>
              <w:rPr>
                <w:webHidden/>
                <w:rStyle w:val="IndexLink"/>
                <w:rtl w:val="true"/>
              </w:rPr>
              <w:t>الرّابع</w:t>
            </w:r>
            <w:r>
              <w:rPr>
                <w:rStyle w:val="IndexLink"/>
                <w:rtl w:val="true"/>
              </w:rPr>
              <w:t>:</w:t>
            </w:r>
            <w:r>
              <w:rPr>
                <w:rStyle w:val="IndexLink"/>
                <w:rtl w:val="true"/>
              </w:rPr>
              <w:t>إنّما لا يقبل النّجاسة الكثير من محض الماء،</w:t>
            </w:r>
            <w:r>
              <w:rPr>
                <w:rStyle w:val="IndexLink"/>
                <w:rtl w:val="true"/>
              </w:rPr>
              <w:tab/>
            </w:r>
            <w:r>
              <w:rPr>
                <w:rStyle w:val="IndexLink"/>
              </w:rPr>
              <w:t>167</w:t>
            </w:r>
          </w:hyperlink>
        </w:p>
        <w:p>
          <w:pPr>
            <w:pStyle w:val="Contents6"/>
            <w:tabs>
              <w:tab w:val="clear" w:pos="7609"/>
              <w:tab w:val="right" w:pos="9026" w:leader="dot"/>
            </w:tabs>
            <w:rPr/>
          </w:pPr>
          <w:hyperlink w:anchor="__RefHeading___Toc746941_222507752">
            <w:r>
              <w:rPr>
                <w:webHidden/>
                <w:rStyle w:val="IndexLink"/>
                <w:rtl w:val="true"/>
              </w:rPr>
              <w:t>الخامس</w:t>
            </w:r>
            <w:r>
              <w:rPr>
                <w:rStyle w:val="IndexLink"/>
                <w:rtl w:val="true"/>
              </w:rPr>
              <w:t>:</w:t>
            </w:r>
            <w:r>
              <w:rPr>
                <w:rStyle w:val="IndexLink"/>
                <w:rtl w:val="true"/>
              </w:rPr>
              <w:t>لو نجس القليل و زيد عليه ماء يقهره و لم يبلغ حدّ الكثرة لم يزل حكم</w:t>
            </w:r>
            <w:r>
              <w:rPr>
                <w:rStyle w:val="IndexLink"/>
                <w:rtl w:val="true"/>
              </w:rPr>
              <w:tab/>
            </w:r>
            <w:r>
              <w:rPr>
                <w:rStyle w:val="IndexLink"/>
              </w:rPr>
              <w:t>167</w:t>
            </w:r>
          </w:hyperlink>
        </w:p>
        <w:p>
          <w:pPr>
            <w:pStyle w:val="Contents6"/>
            <w:tabs>
              <w:tab w:val="clear" w:pos="7609"/>
              <w:tab w:val="right" w:pos="9026" w:leader="dot"/>
            </w:tabs>
            <w:rPr/>
          </w:pPr>
          <w:hyperlink w:anchor="__RefHeading___Toc746943_222507752">
            <w:r>
              <w:rPr>
                <w:webHidden/>
                <w:rStyle w:val="IndexLink"/>
                <w:rtl w:val="true"/>
              </w:rPr>
              <w:t>السّادس</w:t>
            </w:r>
            <w:r>
              <w:rPr>
                <w:rStyle w:val="IndexLink"/>
                <w:rtl w:val="true"/>
              </w:rPr>
              <w:t>:</w:t>
            </w:r>
            <w:r>
              <w:rPr>
                <w:rStyle w:val="IndexLink"/>
                <w:rtl w:val="true"/>
              </w:rPr>
              <w:t>لا يطهر غير الماء من المائعات</w:t>
            </w:r>
            <w:r>
              <w:rPr>
                <w:rStyle w:val="IndexLink"/>
                <w:rtl w:val="true"/>
              </w:rPr>
              <w:t>.</w:t>
              <w:tab/>
            </w:r>
            <w:r>
              <w:rPr>
                <w:rStyle w:val="IndexLink"/>
              </w:rPr>
              <w:t>167</w:t>
            </w:r>
          </w:hyperlink>
        </w:p>
        <w:p>
          <w:pPr>
            <w:pStyle w:val="Contents6"/>
            <w:tabs>
              <w:tab w:val="clear" w:pos="7609"/>
              <w:tab w:val="right" w:pos="9026" w:leader="dot"/>
            </w:tabs>
            <w:rPr/>
          </w:pPr>
          <w:hyperlink w:anchor="__RefHeading___Toc746945_222507752">
            <w:r>
              <w:rPr>
                <w:webHidden/>
                <w:rStyle w:val="IndexLink"/>
                <w:rtl w:val="true"/>
              </w:rPr>
              <w:t>مسألة</w:t>
            </w:r>
            <w:r>
              <w:rPr>
                <w:rStyle w:val="IndexLink"/>
                <w:rtl w:val="true"/>
              </w:rPr>
              <w:t>:</w:t>
            </w:r>
            <w:r>
              <w:rPr>
                <w:rStyle w:val="IndexLink"/>
                <w:rtl w:val="true"/>
              </w:rPr>
              <w:t>قد ذكرنا انّ الأقوى عندنا عدم تنجيس البئر بالملاقاة</w:t>
            </w:r>
            <w:r>
              <w:rPr>
                <w:rStyle w:val="IndexLink"/>
                <w:rtl w:val="true"/>
              </w:rPr>
              <w:tab/>
            </w:r>
            <w:r>
              <w:rPr>
                <w:rStyle w:val="IndexLink"/>
              </w:rPr>
              <w:t>167</w:t>
            </w:r>
          </w:hyperlink>
        </w:p>
        <w:p>
          <w:pPr>
            <w:pStyle w:val="Contents6"/>
            <w:tabs>
              <w:tab w:val="clear" w:pos="7609"/>
              <w:tab w:val="right" w:pos="9026" w:leader="dot"/>
            </w:tabs>
            <w:rPr/>
          </w:pPr>
          <w:hyperlink w:anchor="__RefHeading___Toc746947_222507752">
            <w:r>
              <w:rPr>
                <w:webHidden/>
                <w:rStyle w:val="IndexLink"/>
                <w:rtl w:val="true"/>
              </w:rPr>
              <w:t>الواقع في البئر على أنواع</w:t>
            </w:r>
            <w:r>
              <w:rPr>
                <w:rStyle w:val="IndexLink"/>
                <w:rtl w:val="true"/>
              </w:rPr>
              <w:t>:</w:t>
              <w:tab/>
            </w:r>
            <w:r>
              <w:rPr>
                <w:rStyle w:val="IndexLink"/>
              </w:rPr>
              <w:t>167</w:t>
            </w:r>
          </w:hyperlink>
        </w:p>
        <w:p>
          <w:pPr>
            <w:pStyle w:val="Contents6"/>
            <w:tabs>
              <w:tab w:val="clear" w:pos="7609"/>
              <w:tab w:val="right" w:pos="9026" w:leader="dot"/>
            </w:tabs>
            <w:rPr/>
          </w:pPr>
          <w:hyperlink w:anchor="__RefHeading___Toc746949_222507752">
            <w:r>
              <w:rPr>
                <w:webHidden/>
                <w:rStyle w:val="IndexLink"/>
                <w:rtl w:val="true"/>
              </w:rPr>
              <w:t>الأوّل</w:t>
            </w:r>
            <w:r>
              <w:rPr>
                <w:rStyle w:val="IndexLink"/>
                <w:rtl w:val="true"/>
              </w:rPr>
              <w:t>:</w:t>
            </w:r>
            <w:r>
              <w:rPr>
                <w:rStyle w:val="IndexLink"/>
                <w:rtl w:val="true"/>
              </w:rPr>
              <w:t>ما يوجب نزح الجميع</w:t>
            </w:r>
            <w:r>
              <w:rPr>
                <w:rStyle w:val="IndexLink"/>
                <w:rtl w:val="true"/>
              </w:rPr>
              <w:tab/>
            </w:r>
            <w:r>
              <w:rPr>
                <w:rStyle w:val="IndexLink"/>
              </w:rPr>
              <w:t>167</w:t>
            </w:r>
          </w:hyperlink>
        </w:p>
        <w:p>
          <w:pPr>
            <w:pStyle w:val="Contents6"/>
            <w:tabs>
              <w:tab w:val="clear" w:pos="7609"/>
              <w:tab w:val="right" w:pos="9026" w:leader="dot"/>
            </w:tabs>
            <w:rPr/>
          </w:pPr>
          <w:hyperlink w:anchor="__RefHeading___Toc746951_222507752">
            <w:r>
              <w:rPr>
                <w:webHidden/>
                <w:rStyle w:val="IndexLink"/>
                <w:rtl w:val="true"/>
              </w:rPr>
              <w:t>فروع</w:t>
            </w:r>
            <w:r>
              <w:rPr>
                <w:rStyle w:val="IndexLink"/>
                <w:rtl w:val="true"/>
              </w:rPr>
              <w:t>:</w:t>
              <w:tab/>
            </w:r>
            <w:r>
              <w:rPr>
                <w:rStyle w:val="IndexLink"/>
              </w:rPr>
              <w:t>172</w:t>
            </w:r>
          </w:hyperlink>
        </w:p>
        <w:p>
          <w:pPr>
            <w:pStyle w:val="Contents6"/>
            <w:tabs>
              <w:tab w:val="clear" w:pos="7609"/>
              <w:tab w:val="right" w:pos="9026" w:leader="dot"/>
            </w:tabs>
            <w:rPr/>
          </w:pPr>
          <w:hyperlink w:anchor="__RefHeading___Toc746953_222507752">
            <w:r>
              <w:rPr>
                <w:webHidden/>
                <w:rStyle w:val="IndexLink"/>
                <w:rtl w:val="true"/>
              </w:rPr>
              <w:t>الأوّل</w:t>
            </w:r>
            <w:r>
              <w:rPr>
                <w:rStyle w:val="IndexLink"/>
                <w:rtl w:val="true"/>
              </w:rPr>
              <w:t>:</w:t>
            </w:r>
            <w:r>
              <w:rPr>
                <w:rStyle w:val="IndexLink"/>
                <w:rtl w:val="true"/>
              </w:rPr>
              <w:t>لو تعذّر نزح الجميع لكثرته</w:t>
            </w:r>
            <w:r>
              <w:rPr>
                <w:rStyle w:val="IndexLink"/>
                <w:rtl w:val="true"/>
              </w:rPr>
              <w:tab/>
            </w:r>
            <w:r>
              <w:rPr>
                <w:rStyle w:val="IndexLink"/>
              </w:rPr>
              <w:t>172</w:t>
            </w:r>
          </w:hyperlink>
        </w:p>
        <w:p>
          <w:pPr>
            <w:pStyle w:val="Contents6"/>
            <w:tabs>
              <w:tab w:val="clear" w:pos="7609"/>
              <w:tab w:val="right" w:pos="9026" w:leader="dot"/>
            </w:tabs>
            <w:rPr/>
          </w:pPr>
          <w:hyperlink w:anchor="__RefHeading___Toc746955_222507752">
            <w:r>
              <w:rPr>
                <w:webHidden/>
                <w:rStyle w:val="IndexLink"/>
                <w:rtl w:val="true"/>
              </w:rPr>
              <w:t>الثّاني</w:t>
            </w:r>
            <w:r>
              <w:rPr>
                <w:rStyle w:val="IndexLink"/>
                <w:rtl w:val="true"/>
              </w:rPr>
              <w:t>:</w:t>
            </w:r>
            <w:r>
              <w:rPr>
                <w:rStyle w:val="IndexLink"/>
                <w:rtl w:val="true"/>
              </w:rPr>
              <w:t>إن أوجبنا الرّجال لم يجز النّساء و لا الصّبيان</w:t>
            </w:r>
            <w:r>
              <w:rPr>
                <w:rStyle w:val="IndexLink"/>
                <w:rtl w:val="true"/>
              </w:rPr>
              <w:tab/>
            </w:r>
            <w:r>
              <w:rPr>
                <w:rStyle w:val="IndexLink"/>
              </w:rPr>
              <w:t>173</w:t>
            </w:r>
          </w:hyperlink>
        </w:p>
        <w:p>
          <w:pPr>
            <w:pStyle w:val="Contents6"/>
            <w:tabs>
              <w:tab w:val="clear" w:pos="7609"/>
              <w:tab w:val="right" w:pos="9026" w:leader="dot"/>
            </w:tabs>
            <w:rPr/>
          </w:pPr>
          <w:hyperlink w:anchor="__RefHeading___Toc746957_222507752">
            <w:r>
              <w:rPr>
                <w:webHidden/>
                <w:rStyle w:val="IndexLink"/>
                <w:rtl w:val="true"/>
              </w:rPr>
              <w:t>الثّالث</w:t>
            </w:r>
            <w:r>
              <w:rPr>
                <w:rStyle w:val="IndexLink"/>
                <w:rtl w:val="true"/>
              </w:rPr>
              <w:t>:</w:t>
            </w:r>
            <w:r>
              <w:rPr>
                <w:rStyle w:val="IndexLink"/>
                <w:rtl w:val="true"/>
              </w:rPr>
              <w:t>لا بدّ من نزح اثنين اثنين تبعا للرّواية</w:t>
            </w:r>
            <w:r>
              <w:rPr>
                <w:rStyle w:val="IndexLink"/>
                <w:rtl w:val="true"/>
              </w:rPr>
              <w:tab/>
            </w:r>
            <w:r>
              <w:rPr>
                <w:rStyle w:val="IndexLink"/>
              </w:rPr>
              <w:t>173</w:t>
            </w:r>
          </w:hyperlink>
        </w:p>
        <w:p>
          <w:pPr>
            <w:pStyle w:val="Contents6"/>
            <w:tabs>
              <w:tab w:val="clear" w:pos="7609"/>
              <w:tab w:val="right" w:pos="9026" w:leader="dot"/>
            </w:tabs>
            <w:rPr/>
          </w:pPr>
          <w:hyperlink w:anchor="__RefHeading___Toc746959_222507752">
            <w:r>
              <w:rPr>
                <w:webHidden/>
                <w:rStyle w:val="IndexLink"/>
                <w:rtl w:val="true"/>
              </w:rPr>
              <w:t>الرّابع</w:t>
            </w:r>
            <w:r>
              <w:rPr>
                <w:rStyle w:val="IndexLink"/>
                <w:rtl w:val="true"/>
              </w:rPr>
              <w:t>:</w:t>
            </w:r>
            <w:r>
              <w:rPr>
                <w:rStyle w:val="IndexLink"/>
                <w:rtl w:val="true"/>
              </w:rPr>
              <w:t>لو نزح اثنان و امتدّ نزحهما إلى اللّيل</w:t>
            </w:r>
            <w:r>
              <w:rPr>
                <w:rStyle w:val="IndexLink"/>
                <w:rtl w:val="true"/>
              </w:rPr>
              <w:tab/>
            </w:r>
            <w:r>
              <w:rPr>
                <w:rStyle w:val="IndexLink"/>
              </w:rPr>
              <w:t>173</w:t>
            </w:r>
          </w:hyperlink>
        </w:p>
        <w:p>
          <w:pPr>
            <w:pStyle w:val="Contents6"/>
            <w:tabs>
              <w:tab w:val="clear" w:pos="7609"/>
              <w:tab w:val="right" w:pos="9026" w:leader="dot"/>
            </w:tabs>
            <w:rPr/>
          </w:pPr>
          <w:hyperlink w:anchor="__RefHeading___Toc746961_222507752">
            <w:r>
              <w:rPr>
                <w:webHidden/>
                <w:rStyle w:val="IndexLink"/>
                <w:rtl w:val="true"/>
              </w:rPr>
              <w:t>الخامس</w:t>
            </w:r>
            <w:r>
              <w:rPr>
                <w:rStyle w:val="IndexLink"/>
                <w:rtl w:val="true"/>
              </w:rPr>
              <w:t>:</w:t>
            </w:r>
            <w:r>
              <w:rPr>
                <w:rStyle w:val="IndexLink"/>
                <w:rtl w:val="true"/>
              </w:rPr>
              <w:t>البعير اسم جنس للصّغير و الكبير،و الذّكر و الأنثى،</w:t>
            </w:r>
            <w:r>
              <w:rPr>
                <w:rStyle w:val="IndexLink"/>
                <w:rtl w:val="true"/>
              </w:rPr>
              <w:tab/>
            </w:r>
            <w:r>
              <w:rPr>
                <w:rStyle w:val="IndexLink"/>
              </w:rPr>
              <w:t>173</w:t>
            </w:r>
          </w:hyperlink>
        </w:p>
        <w:p>
          <w:pPr>
            <w:pStyle w:val="Contents6"/>
            <w:tabs>
              <w:tab w:val="clear" w:pos="7609"/>
              <w:tab w:val="right" w:pos="9026" w:leader="dot"/>
            </w:tabs>
            <w:rPr/>
          </w:pPr>
          <w:hyperlink w:anchor="__RefHeading___Toc746963_222507752">
            <w:r>
              <w:rPr>
                <w:webHidden/>
                <w:rStyle w:val="IndexLink"/>
                <w:rtl w:val="true"/>
              </w:rPr>
              <w:t>النوع الثّاني</w:t>
            </w:r>
            <w:r>
              <w:rPr>
                <w:rStyle w:val="IndexLink"/>
                <w:rtl w:val="true"/>
              </w:rPr>
              <w:t>:</w:t>
            </w:r>
            <w:r>
              <w:rPr>
                <w:rStyle w:val="IndexLink"/>
                <w:rtl w:val="true"/>
              </w:rPr>
              <w:t>ما يوجب نزح كرّ</w:t>
            </w:r>
            <w:r>
              <w:rPr>
                <w:rStyle w:val="IndexLink"/>
                <w:rtl w:val="true"/>
              </w:rPr>
              <w:tab/>
            </w:r>
            <w:r>
              <w:rPr>
                <w:rStyle w:val="IndexLink"/>
              </w:rPr>
              <w:t>173</w:t>
            </w:r>
          </w:hyperlink>
        </w:p>
        <w:p>
          <w:pPr>
            <w:pStyle w:val="Contents6"/>
            <w:tabs>
              <w:tab w:val="clear" w:pos="7609"/>
              <w:tab w:val="right" w:pos="9026" w:leader="dot"/>
            </w:tabs>
            <w:rPr/>
          </w:pPr>
          <w:hyperlink w:anchor="__RefHeading___Toc746965_222507752">
            <w:r>
              <w:rPr>
                <w:webHidden/>
                <w:rStyle w:val="IndexLink"/>
                <w:rtl w:val="true"/>
              </w:rPr>
              <w:t>الثّالث</w:t>
            </w:r>
            <w:r>
              <w:rPr>
                <w:rStyle w:val="IndexLink"/>
                <w:rtl w:val="true"/>
              </w:rPr>
              <w:t>:</w:t>
            </w:r>
            <w:r>
              <w:rPr>
                <w:rStyle w:val="IndexLink"/>
                <w:rtl w:val="true"/>
              </w:rPr>
              <w:t>الإنسان</w:t>
            </w:r>
            <w:r>
              <w:rPr>
                <w:rStyle w:val="IndexLink"/>
                <w:rtl w:val="true"/>
              </w:rPr>
              <w:tab/>
            </w:r>
            <w:r>
              <w:rPr>
                <w:rStyle w:val="IndexLink"/>
              </w:rPr>
              <w:t>175</w:t>
            </w:r>
          </w:hyperlink>
        </w:p>
        <w:p>
          <w:pPr>
            <w:pStyle w:val="Contents6"/>
            <w:tabs>
              <w:tab w:val="clear" w:pos="7609"/>
              <w:tab w:val="right" w:pos="9026" w:leader="dot"/>
            </w:tabs>
            <w:rPr/>
          </w:pPr>
          <w:hyperlink w:anchor="__RefHeading___Toc746967_222507752">
            <w:r>
              <w:rPr>
                <w:webHidden/>
                <w:rStyle w:val="IndexLink"/>
                <w:rtl w:val="true"/>
              </w:rPr>
              <w:t>الرّابع</w:t>
            </w:r>
            <w:r>
              <w:rPr>
                <w:rStyle w:val="IndexLink"/>
                <w:rtl w:val="true"/>
              </w:rPr>
              <w:t>:</w:t>
            </w:r>
            <w:r>
              <w:rPr>
                <w:rStyle w:val="IndexLink"/>
                <w:rtl w:val="true"/>
              </w:rPr>
              <w:t>ما يوجب نزح خمسين</w:t>
            </w:r>
            <w:r>
              <w:rPr>
                <w:rStyle w:val="IndexLink"/>
                <w:rtl w:val="true"/>
              </w:rPr>
              <w:tab/>
            </w:r>
            <w:r>
              <w:rPr>
                <w:rStyle w:val="IndexLink"/>
              </w:rPr>
              <w:t>178</w:t>
            </w:r>
          </w:hyperlink>
        </w:p>
        <w:p>
          <w:pPr>
            <w:pStyle w:val="Contents6"/>
            <w:tabs>
              <w:tab w:val="clear" w:pos="7609"/>
              <w:tab w:val="right" w:pos="9026" w:leader="dot"/>
            </w:tabs>
            <w:rPr/>
          </w:pPr>
          <w:hyperlink w:anchor="__RefHeading___Toc746969_222507752">
            <w:r>
              <w:rPr>
                <w:webHidden/>
                <w:rStyle w:val="IndexLink"/>
                <w:rtl w:val="true"/>
              </w:rPr>
              <w:t>الخامس</w:t>
            </w:r>
            <w:r>
              <w:rPr>
                <w:rStyle w:val="IndexLink"/>
                <w:rtl w:val="true"/>
              </w:rPr>
              <w:t>:</w:t>
            </w:r>
            <w:r>
              <w:rPr>
                <w:rStyle w:val="IndexLink"/>
                <w:rtl w:val="true"/>
              </w:rPr>
              <w:t>ما يوجب نزح أربعين</w:t>
            </w:r>
            <w:r>
              <w:rPr>
                <w:rStyle w:val="IndexLink"/>
                <w:rtl w:val="true"/>
              </w:rPr>
              <w:tab/>
            </w:r>
            <w:r>
              <w:rPr>
                <w:rStyle w:val="IndexLink"/>
              </w:rPr>
              <w:t>181</w:t>
            </w:r>
          </w:hyperlink>
        </w:p>
        <w:p>
          <w:pPr>
            <w:pStyle w:val="Contents6"/>
            <w:tabs>
              <w:tab w:val="clear" w:pos="7609"/>
              <w:tab w:val="right" w:pos="9026" w:leader="dot"/>
            </w:tabs>
            <w:rPr/>
          </w:pPr>
          <w:hyperlink w:anchor="__RefHeading___Toc746971_222507752">
            <w:r>
              <w:rPr>
                <w:webHidden/>
                <w:rStyle w:val="IndexLink"/>
                <w:rtl w:val="true"/>
              </w:rPr>
              <w:t>فرعان</w:t>
            </w:r>
            <w:r>
              <w:rPr>
                <w:rStyle w:val="IndexLink"/>
                <w:rtl w:val="true"/>
              </w:rPr>
              <w:t>:</w:t>
              <w:tab/>
            </w:r>
            <w:r>
              <w:rPr>
                <w:rStyle w:val="IndexLink"/>
              </w:rPr>
              <w:t>185</w:t>
            </w:r>
          </w:hyperlink>
        </w:p>
        <w:p>
          <w:pPr>
            <w:pStyle w:val="Contents6"/>
            <w:tabs>
              <w:tab w:val="clear" w:pos="7609"/>
              <w:tab w:val="right" w:pos="9026" w:leader="dot"/>
            </w:tabs>
            <w:rPr/>
          </w:pPr>
          <w:hyperlink w:anchor="__RefHeading___Toc746973_222507752">
            <w:r>
              <w:rPr>
                <w:webHidden/>
                <w:rStyle w:val="IndexLink"/>
                <w:rtl w:val="true"/>
              </w:rPr>
              <w:t>الأوّل</w:t>
            </w:r>
            <w:r>
              <w:rPr>
                <w:rStyle w:val="IndexLink"/>
                <w:rtl w:val="true"/>
              </w:rPr>
              <w:t>:</w:t>
            </w:r>
            <w:r>
              <w:rPr>
                <w:rStyle w:val="IndexLink"/>
                <w:rtl w:val="true"/>
              </w:rPr>
              <w:t>لا فرق بين بول الكافر و المسلم</w:t>
            </w:r>
            <w:r>
              <w:rPr>
                <w:rStyle w:val="IndexLink"/>
                <w:rtl w:val="true"/>
              </w:rPr>
              <w:tab/>
            </w:r>
            <w:r>
              <w:rPr>
                <w:rStyle w:val="IndexLink"/>
              </w:rPr>
              <w:t>185</w:t>
            </w:r>
          </w:hyperlink>
        </w:p>
        <w:p>
          <w:pPr>
            <w:pStyle w:val="Contents6"/>
            <w:tabs>
              <w:tab w:val="clear" w:pos="7609"/>
              <w:tab w:val="right" w:pos="9026" w:leader="dot"/>
            </w:tabs>
            <w:rPr/>
          </w:pPr>
          <w:hyperlink w:anchor="__RefHeading___Toc746975_222507752">
            <w:r>
              <w:rPr>
                <w:webHidden/>
                <w:rStyle w:val="IndexLink"/>
                <w:rtl w:val="true"/>
              </w:rPr>
              <w:t>الثّاني</w:t>
            </w:r>
            <w:r>
              <w:rPr>
                <w:rStyle w:val="IndexLink"/>
                <w:rtl w:val="true"/>
              </w:rPr>
              <w:t>:</w:t>
            </w:r>
            <w:r>
              <w:rPr>
                <w:rStyle w:val="IndexLink"/>
                <w:rtl w:val="true"/>
              </w:rPr>
              <w:t>لا فرق بين بول المرأة و الرّجل</w:t>
            </w:r>
            <w:r>
              <w:rPr>
                <w:rStyle w:val="IndexLink"/>
                <w:rtl w:val="true"/>
              </w:rPr>
              <w:tab/>
            </w:r>
            <w:r>
              <w:rPr>
                <w:rStyle w:val="IndexLink"/>
              </w:rPr>
              <w:t>185</w:t>
            </w:r>
          </w:hyperlink>
        </w:p>
        <w:p>
          <w:pPr>
            <w:pStyle w:val="Contents6"/>
            <w:tabs>
              <w:tab w:val="clear" w:pos="7609"/>
              <w:tab w:val="right" w:pos="9026" w:leader="dot"/>
            </w:tabs>
            <w:rPr/>
          </w:pPr>
          <w:hyperlink w:anchor="__RefHeading___Toc746977_222507752">
            <w:r>
              <w:rPr>
                <w:webHidden/>
                <w:rStyle w:val="IndexLink"/>
                <w:rtl w:val="true"/>
              </w:rPr>
              <w:t>السّادس</w:t>
            </w:r>
            <w:r>
              <w:rPr>
                <w:rStyle w:val="IndexLink"/>
                <w:rtl w:val="true"/>
              </w:rPr>
              <w:t>:</w:t>
            </w:r>
            <w:r>
              <w:rPr>
                <w:rStyle w:val="IndexLink"/>
                <w:rtl w:val="true"/>
              </w:rPr>
              <w:t>ما يوجب نزح ثلاثين</w:t>
            </w:r>
            <w:r>
              <w:rPr>
                <w:rStyle w:val="IndexLink"/>
                <w:rtl w:val="true"/>
              </w:rPr>
              <w:tab/>
            </w:r>
            <w:r>
              <w:rPr>
                <w:rStyle w:val="IndexLink"/>
              </w:rPr>
              <w:t>186</w:t>
            </w:r>
          </w:hyperlink>
        </w:p>
        <w:p>
          <w:pPr>
            <w:pStyle w:val="Contents6"/>
            <w:tabs>
              <w:tab w:val="clear" w:pos="7609"/>
              <w:tab w:val="right" w:pos="9026" w:leader="dot"/>
            </w:tabs>
            <w:rPr/>
          </w:pPr>
          <w:hyperlink w:anchor="__RefHeading___Toc746979_222507752">
            <w:r>
              <w:rPr>
                <w:webHidden/>
                <w:rStyle w:val="IndexLink"/>
                <w:rtl w:val="true"/>
              </w:rPr>
              <w:t>السّابع</w:t>
            </w:r>
            <w:r>
              <w:rPr>
                <w:rStyle w:val="IndexLink"/>
                <w:rtl w:val="true"/>
              </w:rPr>
              <w:t>:</w:t>
            </w:r>
            <w:r>
              <w:rPr>
                <w:rStyle w:val="IndexLink"/>
                <w:rtl w:val="true"/>
              </w:rPr>
              <w:t>ما يوجب نزح عشر</w:t>
            </w:r>
            <w:r>
              <w:rPr>
                <w:rStyle w:val="IndexLink"/>
                <w:rtl w:val="true"/>
              </w:rPr>
              <w:tab/>
            </w:r>
            <w:r>
              <w:rPr>
                <w:rStyle w:val="IndexLink"/>
              </w:rPr>
              <w:t>186</w:t>
            </w:r>
          </w:hyperlink>
        </w:p>
        <w:p>
          <w:pPr>
            <w:pStyle w:val="Contents6"/>
            <w:tabs>
              <w:tab w:val="clear" w:pos="7609"/>
              <w:tab w:val="right" w:pos="9026" w:leader="dot"/>
            </w:tabs>
            <w:rPr/>
          </w:pPr>
          <w:hyperlink w:anchor="__RefHeading___Toc746981_222507752">
            <w:r>
              <w:rPr>
                <w:webHidden/>
                <w:rStyle w:val="IndexLink"/>
                <w:rtl w:val="true"/>
              </w:rPr>
              <w:t>الثّامن</w:t>
            </w:r>
            <w:r>
              <w:rPr>
                <w:rStyle w:val="IndexLink"/>
                <w:rtl w:val="true"/>
              </w:rPr>
              <w:t>:</w:t>
            </w:r>
            <w:r>
              <w:rPr>
                <w:rStyle w:val="IndexLink"/>
                <w:rtl w:val="true"/>
              </w:rPr>
              <w:t>ما يوجب نزح سبع</w:t>
            </w:r>
            <w:r>
              <w:rPr>
                <w:rStyle w:val="IndexLink"/>
                <w:rtl w:val="true"/>
              </w:rPr>
              <w:tab/>
            </w:r>
            <w:r>
              <w:rPr>
                <w:rStyle w:val="IndexLink"/>
              </w:rPr>
              <w:t>186</w:t>
            </w:r>
          </w:hyperlink>
        </w:p>
        <w:p>
          <w:pPr>
            <w:pStyle w:val="Contents6"/>
            <w:tabs>
              <w:tab w:val="clear" w:pos="7609"/>
              <w:tab w:val="right" w:pos="9026" w:leader="dot"/>
            </w:tabs>
            <w:rPr/>
          </w:pPr>
          <w:hyperlink w:anchor="__RefHeading___Toc746983_222507752">
            <w:r>
              <w:rPr>
                <w:webHidden/>
                <w:rStyle w:val="IndexLink"/>
                <w:rtl w:val="true"/>
              </w:rPr>
              <w:t>التّاسع</w:t>
            </w:r>
            <w:r>
              <w:rPr>
                <w:rStyle w:val="IndexLink"/>
                <w:rtl w:val="true"/>
              </w:rPr>
              <w:t>:</w:t>
            </w:r>
            <w:r>
              <w:rPr>
                <w:rStyle w:val="IndexLink"/>
                <w:rtl w:val="true"/>
              </w:rPr>
              <w:t>ما يوجب نزح خمس دلاء و هو ذرق الدّجاج</w:t>
            </w:r>
            <w:r>
              <w:rPr>
                <w:rStyle w:val="IndexLink"/>
                <w:rtl w:val="true"/>
              </w:rPr>
              <w:tab/>
            </w:r>
            <w:r>
              <w:rPr>
                <w:rStyle w:val="IndexLink"/>
              </w:rPr>
              <w:t>193</w:t>
            </w:r>
          </w:hyperlink>
        </w:p>
        <w:p>
          <w:pPr>
            <w:pStyle w:val="Contents6"/>
            <w:tabs>
              <w:tab w:val="clear" w:pos="7609"/>
              <w:tab w:val="right" w:pos="9026" w:leader="dot"/>
            </w:tabs>
            <w:rPr/>
          </w:pPr>
          <w:hyperlink w:anchor="__RefHeading___Toc746985_222507752">
            <w:r>
              <w:rPr>
                <w:webHidden/>
                <w:rStyle w:val="IndexLink"/>
                <w:rtl w:val="true"/>
              </w:rPr>
              <w:t>العاشر</w:t>
            </w:r>
            <w:r>
              <w:rPr>
                <w:rStyle w:val="IndexLink"/>
                <w:rtl w:val="true"/>
              </w:rPr>
              <w:t>:</w:t>
            </w:r>
            <w:r>
              <w:rPr>
                <w:rStyle w:val="IndexLink"/>
                <w:rtl w:val="true"/>
              </w:rPr>
              <w:t>ما يوجب نزح ثلاث</w:t>
            </w:r>
            <w:r>
              <w:rPr>
                <w:rStyle w:val="IndexLink"/>
                <w:rtl w:val="true"/>
              </w:rPr>
              <w:tab/>
            </w:r>
            <w:r>
              <w:rPr>
                <w:rStyle w:val="IndexLink"/>
              </w:rPr>
              <w:t>193</w:t>
            </w:r>
          </w:hyperlink>
        </w:p>
        <w:p>
          <w:pPr>
            <w:pStyle w:val="Contents6"/>
            <w:tabs>
              <w:tab w:val="clear" w:pos="7609"/>
              <w:tab w:val="right" w:pos="9026" w:leader="dot"/>
            </w:tabs>
            <w:rPr/>
          </w:pPr>
          <w:hyperlink w:anchor="__RefHeading___Toc746987_222507752">
            <w:r>
              <w:rPr>
                <w:webHidden/>
                <w:rStyle w:val="IndexLink"/>
                <w:rtl w:val="true"/>
              </w:rPr>
              <w:t>الحادي عشر</w:t>
            </w:r>
            <w:r>
              <w:rPr>
                <w:rStyle w:val="IndexLink"/>
                <w:rtl w:val="true"/>
              </w:rPr>
              <w:t>:</w:t>
            </w:r>
            <w:r>
              <w:rPr>
                <w:rStyle w:val="IndexLink"/>
                <w:rtl w:val="true"/>
              </w:rPr>
              <w:t>ما نزح له دلو واحدة</w:t>
            </w:r>
            <w:r>
              <w:rPr>
                <w:rStyle w:val="IndexLink"/>
                <w:rtl w:val="true"/>
              </w:rPr>
              <w:tab/>
            </w:r>
            <w:r>
              <w:rPr>
                <w:rStyle w:val="IndexLink"/>
              </w:rPr>
              <w:t>197</w:t>
            </w:r>
          </w:hyperlink>
        </w:p>
        <w:p>
          <w:pPr>
            <w:pStyle w:val="Contents6"/>
            <w:tabs>
              <w:tab w:val="clear" w:pos="7609"/>
              <w:tab w:val="right" w:pos="9026" w:leader="dot"/>
            </w:tabs>
            <w:rPr/>
          </w:pPr>
          <w:hyperlink w:anchor="__RefHeading___Toc746989_222507752">
            <w:r>
              <w:rPr>
                <w:webHidden/>
                <w:rStyle w:val="IndexLink"/>
                <w:rtl w:val="true"/>
              </w:rPr>
              <w:t>فروع</w:t>
            </w:r>
            <w:r>
              <w:rPr>
                <w:rStyle w:val="IndexLink"/>
                <w:rtl w:val="true"/>
              </w:rPr>
              <w:t>:</w:t>
              <w:tab/>
            </w:r>
            <w:r>
              <w:rPr>
                <w:rStyle w:val="IndexLink"/>
              </w:rPr>
              <w:t>200</w:t>
            </w:r>
          </w:hyperlink>
        </w:p>
        <w:p>
          <w:pPr>
            <w:pStyle w:val="Contents6"/>
            <w:tabs>
              <w:tab w:val="clear" w:pos="7609"/>
              <w:tab w:val="right" w:pos="9026" w:leader="dot"/>
            </w:tabs>
            <w:rPr/>
          </w:pPr>
          <w:hyperlink w:anchor="__RefHeading___Toc746991_222507752">
            <w:r>
              <w:rPr>
                <w:webHidden/>
                <w:rStyle w:val="IndexLink"/>
                <w:rtl w:val="true"/>
              </w:rPr>
              <w:t>الأوّل</w:t>
            </w:r>
            <w:r>
              <w:rPr>
                <w:rStyle w:val="IndexLink"/>
                <w:rtl w:val="true"/>
              </w:rPr>
              <w:t>:</w:t>
            </w:r>
            <w:r>
              <w:rPr>
                <w:rStyle w:val="IndexLink"/>
                <w:rtl w:val="true"/>
              </w:rPr>
              <w:t>إذا تغيّر ماء البئر بالنّجاسة نجس</w:t>
            </w:r>
            <w:r>
              <w:rPr>
                <w:rStyle w:val="IndexLink"/>
                <w:rtl w:val="true"/>
              </w:rPr>
              <w:tab/>
            </w:r>
            <w:r>
              <w:rPr>
                <w:rStyle w:val="IndexLink"/>
              </w:rPr>
              <w:t>200</w:t>
            </w:r>
          </w:hyperlink>
        </w:p>
        <w:p>
          <w:pPr>
            <w:pStyle w:val="Contents6"/>
            <w:tabs>
              <w:tab w:val="clear" w:pos="7609"/>
              <w:tab w:val="right" w:pos="9026" w:leader="dot"/>
            </w:tabs>
            <w:rPr/>
          </w:pPr>
          <w:hyperlink w:anchor="__RefHeading___Toc746993_222507752">
            <w:r>
              <w:rPr>
                <w:webHidden/>
                <w:rStyle w:val="IndexLink"/>
                <w:rtl w:val="true"/>
              </w:rPr>
              <w:t>الثّاني</w:t>
            </w:r>
            <w:r>
              <w:rPr>
                <w:rStyle w:val="IndexLink"/>
                <w:rtl w:val="true"/>
              </w:rPr>
              <w:t>:</w:t>
            </w:r>
            <w:r>
              <w:rPr>
                <w:rStyle w:val="IndexLink"/>
                <w:rtl w:val="true"/>
              </w:rPr>
              <w:t>إذا وقع فيها نجاسة لم يقدّر لها الشّارع منزوحا و لم يغيّر الماء</w:t>
            </w:r>
            <w:r>
              <w:rPr>
                <w:rStyle w:val="IndexLink"/>
                <w:rtl w:val="true"/>
              </w:rPr>
              <w:tab/>
            </w:r>
            <w:r>
              <w:rPr>
                <w:rStyle w:val="IndexLink"/>
              </w:rPr>
              <w:t>203</w:t>
            </w:r>
          </w:hyperlink>
        </w:p>
        <w:p>
          <w:pPr>
            <w:pStyle w:val="Contents6"/>
            <w:tabs>
              <w:tab w:val="clear" w:pos="7609"/>
              <w:tab w:val="right" w:pos="9026" w:leader="dot"/>
            </w:tabs>
            <w:rPr/>
          </w:pPr>
          <w:hyperlink w:anchor="__RefHeading___Toc746995_222507752">
            <w:r>
              <w:rPr>
                <w:webHidden/>
                <w:rStyle w:val="IndexLink"/>
                <w:rtl w:val="true"/>
              </w:rPr>
              <w:t>الثّالث</w:t>
            </w:r>
            <w:r>
              <w:rPr>
                <w:rStyle w:val="IndexLink"/>
                <w:rtl w:val="true"/>
              </w:rPr>
              <w:t>:</w:t>
            </w:r>
            <w:r>
              <w:rPr>
                <w:rStyle w:val="IndexLink"/>
                <w:rtl w:val="true"/>
              </w:rPr>
              <w:t>المعتبر في الدّلو العادة،لعدم النّصّ الدّالّ على التّقدير</w:t>
            </w:r>
            <w:r>
              <w:rPr>
                <w:rStyle w:val="IndexLink"/>
                <w:rtl w:val="true"/>
              </w:rPr>
              <w:tab/>
            </w:r>
            <w:r>
              <w:rPr>
                <w:rStyle w:val="IndexLink"/>
              </w:rPr>
              <w:t>203</w:t>
            </w:r>
          </w:hyperlink>
        </w:p>
        <w:p>
          <w:pPr>
            <w:pStyle w:val="Contents6"/>
            <w:tabs>
              <w:tab w:val="clear" w:pos="7609"/>
              <w:tab w:val="right" w:pos="9026" w:leader="dot"/>
            </w:tabs>
            <w:rPr/>
          </w:pPr>
          <w:hyperlink w:anchor="__RefHeading___Toc746997_222507752">
            <w:r>
              <w:rPr>
                <w:webHidden/>
                <w:rStyle w:val="IndexLink"/>
                <w:rtl w:val="true"/>
              </w:rPr>
              <w:t>الرّابع</w:t>
            </w:r>
            <w:r>
              <w:rPr>
                <w:rStyle w:val="IndexLink"/>
                <w:rtl w:val="true"/>
              </w:rPr>
              <w:t>:</w:t>
            </w:r>
            <w:r>
              <w:rPr>
                <w:rStyle w:val="IndexLink"/>
                <w:rtl w:val="true"/>
              </w:rPr>
              <w:t>لو تعلّق الحكم بعدد معيّن،فنزح بدلو عظيم يسع ذلك العدد</w:t>
            </w:r>
            <w:r>
              <w:rPr>
                <w:rStyle w:val="IndexLink"/>
                <w:rtl w:val="true"/>
              </w:rPr>
              <w:tab/>
            </w:r>
            <w:r>
              <w:rPr>
                <w:rStyle w:val="IndexLink"/>
              </w:rPr>
              <w:t>203</w:t>
            </w:r>
          </w:hyperlink>
        </w:p>
        <w:p>
          <w:pPr>
            <w:pStyle w:val="Contents6"/>
            <w:tabs>
              <w:tab w:val="clear" w:pos="7609"/>
              <w:tab w:val="right" w:pos="9026" w:leader="dot"/>
            </w:tabs>
            <w:rPr/>
          </w:pPr>
          <w:hyperlink w:anchor="__RefHeading___Toc746999_222507752">
            <w:r>
              <w:rPr>
                <w:webHidden/>
                <w:rStyle w:val="IndexLink"/>
                <w:rtl w:val="true"/>
              </w:rPr>
              <w:t>الخامس</w:t>
            </w:r>
            <w:r>
              <w:rPr>
                <w:rStyle w:val="IndexLink"/>
                <w:rtl w:val="true"/>
              </w:rPr>
              <w:t>:</w:t>
            </w:r>
            <w:r>
              <w:rPr>
                <w:rStyle w:val="IndexLink"/>
                <w:rtl w:val="true"/>
              </w:rPr>
              <w:t>لا تنجس جوانب البئر بما يصيبها من المنزوح للمشقّة المنفيّة</w:t>
            </w:r>
            <w:r>
              <w:rPr>
                <w:rStyle w:val="IndexLink"/>
                <w:rtl w:val="true"/>
              </w:rPr>
              <w:tab/>
            </w:r>
            <w:r>
              <w:rPr>
                <w:rStyle w:val="IndexLink"/>
              </w:rPr>
              <w:t>204</w:t>
            </w:r>
          </w:hyperlink>
        </w:p>
        <w:p>
          <w:pPr>
            <w:pStyle w:val="Contents6"/>
            <w:tabs>
              <w:tab w:val="clear" w:pos="7609"/>
              <w:tab w:val="right" w:pos="9026" w:leader="dot"/>
            </w:tabs>
            <w:rPr/>
          </w:pPr>
          <w:hyperlink w:anchor="__RefHeading___Toc747001_222507752">
            <w:r>
              <w:rPr>
                <w:webHidden/>
                <w:rStyle w:val="IndexLink"/>
                <w:rtl w:val="true"/>
              </w:rPr>
              <w:t>السّادس</w:t>
            </w:r>
            <w:r>
              <w:rPr>
                <w:rStyle w:val="IndexLink"/>
                <w:rtl w:val="true"/>
              </w:rPr>
              <w:t>:</w:t>
            </w:r>
            <w:r>
              <w:rPr>
                <w:rStyle w:val="IndexLink"/>
                <w:rtl w:val="true"/>
              </w:rPr>
              <w:t>لا يجب غسل الدّلو بعد الانتهاء من النّزح</w:t>
            </w:r>
            <w:r>
              <w:rPr>
                <w:rStyle w:val="IndexLink"/>
                <w:rtl w:val="true"/>
              </w:rPr>
              <w:tab/>
            </w:r>
            <w:r>
              <w:rPr>
                <w:rStyle w:val="IndexLink"/>
              </w:rPr>
              <w:t>204</w:t>
            </w:r>
          </w:hyperlink>
        </w:p>
        <w:p>
          <w:pPr>
            <w:pStyle w:val="Contents6"/>
            <w:tabs>
              <w:tab w:val="clear" w:pos="7609"/>
              <w:tab w:val="right" w:pos="9026" w:leader="dot"/>
            </w:tabs>
            <w:rPr/>
          </w:pPr>
          <w:hyperlink w:anchor="__RefHeading___Toc747003_222507752">
            <w:r>
              <w:rPr>
                <w:webHidden/>
                <w:rStyle w:val="IndexLink"/>
                <w:rtl w:val="true"/>
              </w:rPr>
              <w:t>السّابع</w:t>
            </w:r>
            <w:r>
              <w:rPr>
                <w:rStyle w:val="IndexLink"/>
                <w:rtl w:val="true"/>
              </w:rPr>
              <w:t>:</w:t>
            </w:r>
            <w:r>
              <w:rPr>
                <w:rStyle w:val="IndexLink"/>
                <w:rtl w:val="true"/>
              </w:rPr>
              <w:t>لا تجب النّيّة في النّزح</w:t>
            </w:r>
            <w:r>
              <w:rPr>
                <w:rStyle w:val="IndexLink"/>
                <w:rtl w:val="true"/>
              </w:rPr>
              <w:tab/>
            </w:r>
            <w:r>
              <w:rPr>
                <w:rStyle w:val="IndexLink"/>
              </w:rPr>
              <w:t>204</w:t>
            </w:r>
          </w:hyperlink>
        </w:p>
        <w:p>
          <w:pPr>
            <w:pStyle w:val="Contents6"/>
            <w:tabs>
              <w:tab w:val="clear" w:pos="7609"/>
              <w:tab w:val="right" w:pos="9026" w:leader="dot"/>
            </w:tabs>
            <w:rPr/>
          </w:pPr>
          <w:hyperlink w:anchor="__RefHeading___Toc747005_222507752">
            <w:r>
              <w:rPr>
                <w:webHidden/>
                <w:rStyle w:val="IndexLink"/>
                <w:rtl w:val="true"/>
              </w:rPr>
              <w:t>الثّامن</w:t>
            </w:r>
            <w:r>
              <w:rPr>
                <w:rStyle w:val="IndexLink"/>
                <w:rtl w:val="true"/>
              </w:rPr>
              <w:t>:</w:t>
            </w:r>
            <w:r>
              <w:rPr>
                <w:rStyle w:val="IndexLink"/>
                <w:rtl w:val="true"/>
              </w:rPr>
              <w:t>يحكم بالطّهارة عند مفارقة آخر الدّلاء لوجه الماء</w:t>
            </w:r>
            <w:r>
              <w:rPr>
                <w:rStyle w:val="IndexLink"/>
                <w:rtl w:val="true"/>
              </w:rPr>
              <w:tab/>
            </w:r>
            <w:r>
              <w:rPr>
                <w:rStyle w:val="IndexLink"/>
              </w:rPr>
              <w:t>204</w:t>
            </w:r>
          </w:hyperlink>
        </w:p>
        <w:p>
          <w:pPr>
            <w:pStyle w:val="Contents6"/>
            <w:tabs>
              <w:tab w:val="clear" w:pos="7609"/>
              <w:tab w:val="right" w:pos="9026" w:leader="dot"/>
            </w:tabs>
            <w:rPr/>
          </w:pPr>
          <w:hyperlink w:anchor="__RefHeading___Toc747007_222507752">
            <w:r>
              <w:rPr>
                <w:webHidden/>
                <w:rStyle w:val="IndexLink"/>
                <w:rtl w:val="true"/>
              </w:rPr>
              <w:t>التّاسع</w:t>
            </w:r>
            <w:r>
              <w:rPr>
                <w:rStyle w:val="IndexLink"/>
                <w:rtl w:val="true"/>
              </w:rPr>
              <w:t>:</w:t>
            </w:r>
            <w:r>
              <w:rPr>
                <w:rStyle w:val="IndexLink"/>
                <w:rtl w:val="true"/>
              </w:rPr>
              <w:t>إذا وجدت الجيفة في البئر</w:t>
            </w:r>
            <w:r>
              <w:rPr>
                <w:rStyle w:val="IndexLink"/>
                <w:rtl w:val="true"/>
              </w:rPr>
              <w:tab/>
            </w:r>
            <w:r>
              <w:rPr>
                <w:rStyle w:val="IndexLink"/>
              </w:rPr>
              <w:t>205</w:t>
            </w:r>
          </w:hyperlink>
        </w:p>
        <w:p>
          <w:pPr>
            <w:pStyle w:val="Contents6"/>
            <w:tabs>
              <w:tab w:val="clear" w:pos="7609"/>
              <w:tab w:val="right" w:pos="9026" w:leader="dot"/>
            </w:tabs>
            <w:rPr/>
          </w:pPr>
          <w:hyperlink w:anchor="__RefHeading___Toc747009_222507752">
            <w:r>
              <w:rPr>
                <w:webHidden/>
                <w:rStyle w:val="IndexLink"/>
                <w:rtl w:val="true"/>
              </w:rPr>
              <w:t>العاشر</w:t>
            </w:r>
            <w:r>
              <w:rPr>
                <w:rStyle w:val="IndexLink"/>
                <w:rtl w:val="true"/>
              </w:rPr>
              <w:t>:</w:t>
            </w:r>
            <w:r>
              <w:rPr>
                <w:rStyle w:val="IndexLink"/>
                <w:rtl w:val="true"/>
              </w:rPr>
              <w:t>إذا تكرّرت النّجاسة</w:t>
            </w:r>
            <w:r>
              <w:rPr>
                <w:rStyle w:val="IndexLink"/>
                <w:rtl w:val="true"/>
              </w:rPr>
              <w:tab/>
            </w:r>
            <w:r>
              <w:rPr>
                <w:rStyle w:val="IndexLink"/>
              </w:rPr>
              <w:t>206</w:t>
            </w:r>
          </w:hyperlink>
        </w:p>
        <w:p>
          <w:pPr>
            <w:pStyle w:val="Contents6"/>
            <w:tabs>
              <w:tab w:val="clear" w:pos="7609"/>
              <w:tab w:val="right" w:pos="9026" w:leader="dot"/>
            </w:tabs>
            <w:rPr/>
          </w:pPr>
          <w:hyperlink w:anchor="__RefHeading___Toc747011_222507752">
            <w:r>
              <w:rPr>
                <w:webHidden/>
                <w:rStyle w:val="IndexLink"/>
                <w:rtl w:val="true"/>
              </w:rPr>
              <w:t>الحادي عشر</w:t>
            </w:r>
            <w:r>
              <w:rPr>
                <w:rStyle w:val="IndexLink"/>
                <w:rtl w:val="true"/>
              </w:rPr>
              <w:t>:</w:t>
            </w:r>
            <w:r>
              <w:rPr>
                <w:rStyle w:val="IndexLink"/>
                <w:rtl w:val="true"/>
              </w:rPr>
              <w:t>لو وقع جزء الحيوان في البئر،كيده و رجله،يلحق بحكمه</w:t>
            </w:r>
            <w:r>
              <w:rPr>
                <w:rStyle w:val="IndexLink"/>
                <w:rtl w:val="true"/>
              </w:rPr>
              <w:tab/>
            </w:r>
            <w:r>
              <w:rPr>
                <w:rStyle w:val="IndexLink"/>
              </w:rPr>
              <w:t>206</w:t>
            </w:r>
          </w:hyperlink>
        </w:p>
        <w:p>
          <w:pPr>
            <w:pStyle w:val="Contents6"/>
            <w:tabs>
              <w:tab w:val="clear" w:pos="7609"/>
              <w:tab w:val="right" w:pos="9026" w:leader="dot"/>
            </w:tabs>
            <w:rPr/>
          </w:pPr>
          <w:hyperlink w:anchor="__RefHeading___Toc747013_222507752">
            <w:r>
              <w:rPr>
                <w:webHidden/>
                <w:rStyle w:val="IndexLink"/>
                <w:rtl w:val="true"/>
              </w:rPr>
              <w:t>الثّاني عشر</w:t>
            </w:r>
            <w:r>
              <w:rPr>
                <w:rStyle w:val="IndexLink"/>
                <w:rtl w:val="true"/>
              </w:rPr>
              <w:t>:</w:t>
            </w:r>
            <w:r>
              <w:rPr>
                <w:rStyle w:val="IndexLink"/>
                <w:rtl w:val="true"/>
              </w:rPr>
              <w:t>النّزح إنّما يجب بعد إخراج النّجاسة</w:t>
            </w:r>
            <w:r>
              <w:rPr>
                <w:rStyle w:val="IndexLink"/>
                <w:rtl w:val="true"/>
              </w:rPr>
              <w:tab/>
            </w:r>
            <w:r>
              <w:rPr>
                <w:rStyle w:val="IndexLink"/>
              </w:rPr>
              <w:t>206</w:t>
            </w:r>
          </w:hyperlink>
        </w:p>
        <w:p>
          <w:pPr>
            <w:pStyle w:val="Contents6"/>
            <w:tabs>
              <w:tab w:val="clear" w:pos="7609"/>
              <w:tab w:val="right" w:pos="9026" w:leader="dot"/>
            </w:tabs>
            <w:rPr/>
          </w:pPr>
          <w:hyperlink w:anchor="__RefHeading___Toc747015_222507752">
            <w:r>
              <w:rPr>
                <w:webHidden/>
                <w:rStyle w:val="IndexLink"/>
                <w:rtl w:val="true"/>
              </w:rPr>
              <w:t>الثّالث عشر</w:t>
            </w:r>
            <w:r>
              <w:rPr>
                <w:rStyle w:val="IndexLink"/>
                <w:rtl w:val="true"/>
              </w:rPr>
              <w:t>:</w:t>
            </w:r>
            <w:r>
              <w:rPr>
                <w:rStyle w:val="IndexLink"/>
                <w:rtl w:val="true"/>
              </w:rPr>
              <w:t>لو وجب نزح عدد معيّن،فنزح الدّلو الأوّل ثمَّ صبّ فيها</w:t>
            </w:r>
            <w:r>
              <w:rPr>
                <w:rStyle w:val="IndexLink"/>
                <w:rtl w:val="true"/>
              </w:rPr>
              <w:tab/>
            </w:r>
            <w:r>
              <w:rPr>
                <w:rStyle w:val="IndexLink"/>
              </w:rPr>
              <w:t>207</w:t>
            </w:r>
          </w:hyperlink>
        </w:p>
        <w:p>
          <w:pPr>
            <w:pStyle w:val="Contents6"/>
            <w:tabs>
              <w:tab w:val="clear" w:pos="7609"/>
              <w:tab w:val="right" w:pos="9026" w:leader="dot"/>
            </w:tabs>
            <w:rPr/>
          </w:pPr>
          <w:hyperlink w:anchor="__RefHeading___Toc747017_222507752">
            <w:r>
              <w:rPr>
                <w:webHidden/>
                <w:rStyle w:val="IndexLink"/>
                <w:rtl w:val="true"/>
              </w:rPr>
              <w:t>الرّابع عشر</w:t>
            </w:r>
            <w:r>
              <w:rPr>
                <w:rStyle w:val="IndexLink"/>
                <w:rtl w:val="true"/>
              </w:rPr>
              <w:t>:</w:t>
            </w:r>
            <w:r>
              <w:rPr>
                <w:rStyle w:val="IndexLink"/>
                <w:rtl w:val="true"/>
              </w:rPr>
              <w:t>لو غار ماؤها قبل النّزح ثمَّ ظهر فيها بعد الجفاف ماء</w:t>
            </w:r>
            <w:r>
              <w:rPr>
                <w:rStyle w:val="IndexLink"/>
                <w:rtl w:val="true"/>
              </w:rPr>
              <w:tab/>
            </w:r>
            <w:r>
              <w:rPr>
                <w:rStyle w:val="IndexLink"/>
              </w:rPr>
              <w:t>207</w:t>
            </w:r>
          </w:hyperlink>
        </w:p>
        <w:p>
          <w:pPr>
            <w:pStyle w:val="Contents6"/>
            <w:tabs>
              <w:tab w:val="clear" w:pos="7609"/>
              <w:tab w:val="right" w:pos="9026" w:leader="dot"/>
            </w:tabs>
            <w:rPr/>
          </w:pPr>
          <w:hyperlink w:anchor="__RefHeading___Toc747019_222507752">
            <w:r>
              <w:rPr>
                <w:webHidden/>
                <w:rStyle w:val="IndexLink"/>
                <w:rtl w:val="true"/>
              </w:rPr>
              <w:t>الخامس عشر</w:t>
            </w:r>
            <w:r>
              <w:rPr>
                <w:rStyle w:val="IndexLink"/>
                <w:rtl w:val="true"/>
              </w:rPr>
              <w:t>:</w:t>
            </w:r>
            <w:r>
              <w:rPr>
                <w:rStyle w:val="IndexLink"/>
                <w:rtl w:val="true"/>
              </w:rPr>
              <w:t>لو سيق إليها نهر من الماء الجاري و صارت متّصلة به</w:t>
            </w:r>
            <w:r>
              <w:rPr>
                <w:rStyle w:val="IndexLink"/>
                <w:rtl w:val="true"/>
              </w:rPr>
              <w:tab/>
            </w:r>
            <w:r>
              <w:rPr>
                <w:rStyle w:val="IndexLink"/>
              </w:rPr>
              <w:t>208</w:t>
            </w:r>
          </w:hyperlink>
        </w:p>
        <w:p>
          <w:pPr>
            <w:pStyle w:val="Contents6"/>
            <w:tabs>
              <w:tab w:val="clear" w:pos="7609"/>
              <w:tab w:val="right" w:pos="9026" w:leader="dot"/>
            </w:tabs>
            <w:rPr/>
          </w:pPr>
          <w:hyperlink w:anchor="__RefHeading___Toc747021_222507752">
            <w:r>
              <w:rPr>
                <w:webHidden/>
                <w:rStyle w:val="IndexLink"/>
                <w:rtl w:val="true"/>
              </w:rPr>
              <w:t>السّادس عشر</w:t>
            </w:r>
            <w:r>
              <w:rPr>
                <w:rStyle w:val="IndexLink"/>
                <w:rtl w:val="true"/>
              </w:rPr>
              <w:t>:</w:t>
            </w:r>
            <w:r>
              <w:rPr>
                <w:rStyle w:val="IndexLink"/>
                <w:rtl w:val="true"/>
              </w:rPr>
              <w:t>الجنب إذا ارتمس فيها هل يطهر أم لا؟</w:t>
            </w:r>
            <w:r>
              <w:rPr>
                <w:rStyle w:val="IndexLink"/>
                <w:rtl w:val="true"/>
              </w:rPr>
              <w:tab/>
            </w:r>
            <w:r>
              <w:rPr>
                <w:rStyle w:val="IndexLink"/>
              </w:rPr>
              <w:t>208</w:t>
            </w:r>
          </w:hyperlink>
        </w:p>
        <w:p>
          <w:pPr>
            <w:pStyle w:val="Contents6"/>
            <w:tabs>
              <w:tab w:val="clear" w:pos="7609"/>
              <w:tab w:val="right" w:pos="9026" w:leader="dot"/>
            </w:tabs>
            <w:rPr/>
          </w:pPr>
          <w:hyperlink w:anchor="__RefHeading___Toc747023_222507752">
            <w:r>
              <w:rPr>
                <w:webHidden/>
                <w:rStyle w:val="IndexLink"/>
                <w:rtl w:val="true"/>
              </w:rPr>
              <w:t>مسألة</w:t>
            </w:r>
            <w:r>
              <w:rPr>
                <w:rStyle w:val="IndexLink"/>
                <w:rtl w:val="true"/>
              </w:rPr>
              <w:t>:</w:t>
            </w:r>
            <w:r>
              <w:rPr>
                <w:rStyle w:val="IndexLink"/>
                <w:rtl w:val="true"/>
              </w:rPr>
              <w:t>لا تنجس البئر بالبالوعة و إن قربت ما لم تتّصل بالنّجاسة</w:t>
            </w:r>
            <w:r>
              <w:rPr>
                <w:rStyle w:val="IndexLink"/>
                <w:rtl w:val="true"/>
              </w:rPr>
              <w:tab/>
            </w:r>
            <w:r>
              <w:rPr>
                <w:rStyle w:val="IndexLink"/>
              </w:rPr>
              <w:t>208</w:t>
            </w:r>
          </w:hyperlink>
        </w:p>
        <w:p>
          <w:pPr>
            <w:pStyle w:val="Contents6"/>
            <w:tabs>
              <w:tab w:val="clear" w:pos="7609"/>
              <w:tab w:val="right" w:pos="9026" w:leader="dot"/>
            </w:tabs>
            <w:rPr/>
          </w:pPr>
          <w:hyperlink w:anchor="__RefHeading___Toc747025_222507752">
            <w:r>
              <w:rPr>
                <w:webHidden/>
                <w:rStyle w:val="IndexLink"/>
                <w:rtl w:val="true"/>
              </w:rPr>
              <w:t>البحث الثّالث</w:t>
            </w:r>
            <w:r>
              <w:rPr>
                <w:rStyle w:val="IndexLink"/>
                <w:rtl w:val="true"/>
              </w:rPr>
              <w:t>:</w:t>
            </w:r>
            <w:r>
              <w:rPr>
                <w:rStyle w:val="IndexLink"/>
                <w:rtl w:val="true"/>
              </w:rPr>
              <w:t>في المضاف</w:t>
            </w:r>
            <w:r>
              <w:rPr>
                <w:rStyle w:val="IndexLink"/>
                <w:rtl w:val="true"/>
              </w:rPr>
              <w:tab/>
            </w:r>
            <w:r>
              <w:rPr>
                <w:rStyle w:val="IndexLink"/>
              </w:rPr>
              <w:t>213</w:t>
            </w:r>
          </w:hyperlink>
        </w:p>
        <w:p>
          <w:pPr>
            <w:pStyle w:val="Contents6"/>
            <w:tabs>
              <w:tab w:val="clear" w:pos="7609"/>
              <w:tab w:val="right" w:pos="9026" w:leader="dot"/>
            </w:tabs>
            <w:rPr/>
          </w:pPr>
          <w:hyperlink w:anchor="__RefHeading___Toc747027_222507752">
            <w:r>
              <w:rPr>
                <w:webHidden/>
                <w:rStyle w:val="IndexLink"/>
                <w:rtl w:val="true"/>
              </w:rPr>
              <w:t>فرع</w:t>
            </w:r>
            <w:r>
              <w:rPr>
                <w:rStyle w:val="IndexLink"/>
                <w:rtl w:val="true"/>
              </w:rPr>
              <w:t>:</w:t>
              <w:tab/>
            </w:r>
            <w:r>
              <w:rPr>
                <w:rStyle w:val="IndexLink"/>
              </w:rPr>
              <w:t>219</w:t>
            </w:r>
          </w:hyperlink>
        </w:p>
        <w:p>
          <w:pPr>
            <w:pStyle w:val="Contents6"/>
            <w:tabs>
              <w:tab w:val="clear" w:pos="7609"/>
              <w:tab w:val="right" w:pos="9026" w:leader="dot"/>
            </w:tabs>
            <w:rPr/>
          </w:pPr>
          <w:hyperlink w:anchor="__RefHeading___Toc747029_222507752">
            <w:r>
              <w:rPr>
                <w:webHidden/>
                <w:rStyle w:val="IndexLink"/>
                <w:rtl w:val="true"/>
              </w:rPr>
              <w:t xml:space="preserve">مسألة </w:t>
            </w:r>
            <w:r>
              <w:rPr>
                <w:rStyle w:val="IndexLink"/>
                <w:rtl w:val="true"/>
              </w:rPr>
              <w:t>:</w:t>
            </w:r>
            <w:r>
              <w:rPr>
                <w:rStyle w:val="IndexLink"/>
                <w:rtl w:val="true"/>
              </w:rPr>
              <w:t>للأصحاب في إزالة النّجاسة بالمضاف قولان</w:t>
            </w:r>
            <w:r>
              <w:rPr>
                <w:rStyle w:val="IndexLink"/>
                <w:rtl w:val="true"/>
              </w:rPr>
              <w:tab/>
            </w:r>
            <w:r>
              <w:rPr>
                <w:rStyle w:val="IndexLink"/>
              </w:rPr>
              <w:t>219</w:t>
            </w:r>
          </w:hyperlink>
        </w:p>
        <w:p>
          <w:pPr>
            <w:pStyle w:val="Contents6"/>
            <w:tabs>
              <w:tab w:val="clear" w:pos="7609"/>
              <w:tab w:val="right" w:pos="9026" w:leader="dot"/>
            </w:tabs>
            <w:rPr/>
          </w:pPr>
          <w:hyperlink w:anchor="__RefHeading___Toc747031_222507752">
            <w:r>
              <w:rPr>
                <w:webHidden/>
                <w:rStyle w:val="IndexLink"/>
                <w:rtl w:val="true"/>
              </w:rPr>
              <w:t>مسألة</w:t>
            </w:r>
            <w:r>
              <w:rPr>
                <w:rStyle w:val="IndexLink"/>
                <w:rtl w:val="true"/>
              </w:rPr>
              <w:t>:</w:t>
            </w:r>
            <w:r>
              <w:rPr>
                <w:rStyle w:val="IndexLink"/>
                <w:rtl w:val="true"/>
              </w:rPr>
              <w:t>لا خلاف بيننا انّ المضاف ينجس بالملاقاة و إن كثر</w:t>
            </w:r>
            <w:r>
              <w:rPr>
                <w:rStyle w:val="IndexLink"/>
                <w:rtl w:val="true"/>
              </w:rPr>
              <w:tab/>
            </w:r>
            <w:r>
              <w:rPr>
                <w:rStyle w:val="IndexLink"/>
              </w:rPr>
              <w:t>226</w:t>
            </w:r>
          </w:hyperlink>
        </w:p>
        <w:p>
          <w:pPr>
            <w:pStyle w:val="Contents6"/>
            <w:tabs>
              <w:tab w:val="clear" w:pos="7609"/>
              <w:tab w:val="right" w:pos="9026" w:leader="dot"/>
            </w:tabs>
            <w:rPr/>
          </w:pPr>
          <w:hyperlink w:anchor="__RefHeading___Toc747033_222507752">
            <w:r>
              <w:rPr>
                <w:webHidden/>
                <w:rStyle w:val="IndexLink"/>
                <w:rtl w:val="true"/>
              </w:rPr>
              <w:t>فرعان</w:t>
            </w:r>
            <w:r>
              <w:rPr>
                <w:rStyle w:val="IndexLink"/>
                <w:rtl w:val="true"/>
              </w:rPr>
              <w:t>:</w:t>
              <w:tab/>
            </w:r>
            <w:r>
              <w:rPr>
                <w:rStyle w:val="IndexLink"/>
              </w:rPr>
              <w:t>226</w:t>
            </w:r>
          </w:hyperlink>
        </w:p>
        <w:p>
          <w:pPr>
            <w:pStyle w:val="Contents6"/>
            <w:tabs>
              <w:tab w:val="clear" w:pos="7609"/>
              <w:tab w:val="right" w:pos="9026" w:leader="dot"/>
            </w:tabs>
            <w:rPr/>
          </w:pPr>
          <w:hyperlink w:anchor="__RefHeading___Toc747035_222507752">
            <w:r>
              <w:rPr>
                <w:webHidden/>
                <w:rStyle w:val="IndexLink"/>
                <w:rtl w:val="true"/>
              </w:rPr>
              <w:t>الأوّل</w:t>
            </w:r>
            <w:r>
              <w:rPr>
                <w:rStyle w:val="IndexLink"/>
                <w:rtl w:val="true"/>
              </w:rPr>
              <w:t>:</w:t>
            </w:r>
            <w:r>
              <w:rPr>
                <w:rStyle w:val="IndexLink"/>
                <w:rtl w:val="true"/>
              </w:rPr>
              <w:t>لو تغيّر الكثير بأحد أوصاف المضاف</w:t>
            </w:r>
            <w:r>
              <w:rPr>
                <w:rStyle w:val="IndexLink"/>
                <w:rtl w:val="true"/>
              </w:rPr>
              <w:t>:</w:t>
              <w:tab/>
            </w:r>
            <w:r>
              <w:rPr>
                <w:rStyle w:val="IndexLink"/>
              </w:rPr>
              <w:t>226</w:t>
            </w:r>
          </w:hyperlink>
        </w:p>
        <w:p>
          <w:pPr>
            <w:pStyle w:val="Contents6"/>
            <w:tabs>
              <w:tab w:val="clear" w:pos="7609"/>
              <w:tab w:val="right" w:pos="9026" w:leader="dot"/>
            </w:tabs>
            <w:rPr/>
          </w:pPr>
          <w:hyperlink w:anchor="__RefHeading___Toc747037_222507752">
            <w:r>
              <w:rPr>
                <w:webHidden/>
                <w:rStyle w:val="IndexLink"/>
                <w:rtl w:val="true"/>
              </w:rPr>
              <w:t>الثّاني</w:t>
            </w:r>
            <w:r>
              <w:rPr>
                <w:rStyle w:val="IndexLink"/>
                <w:rtl w:val="true"/>
              </w:rPr>
              <w:t>:</w:t>
            </w:r>
            <w:r>
              <w:rPr>
                <w:rStyle w:val="IndexLink"/>
                <w:rtl w:val="true"/>
              </w:rPr>
              <w:t>لو سلبه المضاف إطلاق الاسم،</w:t>
            </w:r>
            <w:r>
              <w:rPr>
                <w:rStyle w:val="IndexLink"/>
                <w:rtl w:val="true"/>
              </w:rPr>
              <w:tab/>
            </w:r>
            <w:r>
              <w:rPr>
                <w:rStyle w:val="IndexLink"/>
              </w:rPr>
              <w:t>227</w:t>
            </w:r>
          </w:hyperlink>
        </w:p>
        <w:p>
          <w:pPr>
            <w:pStyle w:val="Contents6"/>
            <w:tabs>
              <w:tab w:val="clear" w:pos="7609"/>
              <w:tab w:val="right" w:pos="9026" w:leader="dot"/>
            </w:tabs>
            <w:rPr/>
          </w:pPr>
          <w:hyperlink w:anchor="__RefHeading___Toc747039_222507752">
            <w:r>
              <w:rPr>
                <w:webHidden/>
                <w:rStyle w:val="IndexLink"/>
                <w:rtl w:val="true"/>
              </w:rPr>
              <w:t>مسألة</w:t>
            </w:r>
            <w:r>
              <w:rPr>
                <w:rStyle w:val="IndexLink"/>
                <w:rtl w:val="true"/>
              </w:rPr>
              <w:t>:</w:t>
            </w:r>
            <w:r>
              <w:rPr>
                <w:rStyle w:val="IndexLink"/>
                <w:rtl w:val="true"/>
              </w:rPr>
              <w:t>الماء المستعمل في رفع الحدث الأصغر طاهر مطهّر إجماعا منّا</w:t>
            </w:r>
            <w:r>
              <w:rPr>
                <w:rStyle w:val="IndexLink"/>
                <w:rtl w:val="true"/>
              </w:rPr>
              <w:tab/>
            </w:r>
            <w:r>
              <w:rPr>
                <w:rStyle w:val="IndexLink"/>
              </w:rPr>
              <w:t>227</w:t>
            </w:r>
          </w:hyperlink>
        </w:p>
        <w:p>
          <w:pPr>
            <w:pStyle w:val="Contents6"/>
            <w:tabs>
              <w:tab w:val="clear" w:pos="7609"/>
              <w:tab w:val="right" w:pos="9026" w:leader="dot"/>
            </w:tabs>
            <w:rPr/>
          </w:pPr>
          <w:hyperlink w:anchor="__RefHeading___Toc747041_222507752">
            <w:r>
              <w:rPr>
                <w:webHidden/>
                <w:rStyle w:val="IndexLink"/>
                <w:rtl w:val="true"/>
              </w:rPr>
              <w:t>فروع</w:t>
            </w:r>
            <w:r>
              <w:rPr>
                <w:rStyle w:val="IndexLink"/>
                <w:rtl w:val="true"/>
              </w:rPr>
              <w:t>:</w:t>
              <w:tab/>
            </w:r>
            <w:r>
              <w:rPr>
                <w:rStyle w:val="IndexLink"/>
              </w:rPr>
              <w:t>231</w:t>
            </w:r>
          </w:hyperlink>
        </w:p>
        <w:p>
          <w:pPr>
            <w:pStyle w:val="Contents6"/>
            <w:tabs>
              <w:tab w:val="clear" w:pos="7609"/>
              <w:tab w:val="right" w:pos="9026" w:leader="dot"/>
            </w:tabs>
            <w:rPr/>
          </w:pPr>
          <w:hyperlink w:anchor="__RefHeading___Toc747043_222507752">
            <w:r>
              <w:rPr>
                <w:webHidden/>
                <w:rStyle w:val="IndexLink"/>
                <w:rtl w:val="true"/>
              </w:rPr>
              <w:t>الأوّل</w:t>
            </w:r>
            <w:r>
              <w:rPr>
                <w:rStyle w:val="IndexLink"/>
                <w:rtl w:val="true"/>
              </w:rPr>
              <w:t>:</w:t>
            </w:r>
            <w:r>
              <w:rPr>
                <w:rStyle w:val="IndexLink"/>
                <w:rtl w:val="true"/>
              </w:rPr>
              <w:t>الماء المستعمل في المرّة الثّانية،أو في المضمضة و الاستنشاق،أو التّجديد،</w:t>
            </w:r>
            <w:r>
              <w:rPr>
                <w:rStyle w:val="IndexLink"/>
                <w:rtl w:val="true"/>
              </w:rPr>
              <w:tab/>
            </w:r>
            <w:r>
              <w:rPr>
                <w:rStyle w:val="IndexLink"/>
              </w:rPr>
              <w:t>231</w:t>
            </w:r>
          </w:hyperlink>
        </w:p>
        <w:p>
          <w:pPr>
            <w:pStyle w:val="Contents6"/>
            <w:tabs>
              <w:tab w:val="clear" w:pos="7609"/>
              <w:tab w:val="right" w:pos="9026" w:leader="dot"/>
            </w:tabs>
            <w:rPr/>
          </w:pPr>
          <w:hyperlink w:anchor="__RefHeading___Toc747045_222507752">
            <w:r>
              <w:rPr>
                <w:webHidden/>
                <w:rStyle w:val="IndexLink"/>
                <w:rtl w:val="true"/>
              </w:rPr>
              <w:t>الثّاني</w:t>
            </w:r>
            <w:r>
              <w:rPr>
                <w:rStyle w:val="IndexLink"/>
                <w:rtl w:val="true"/>
              </w:rPr>
              <w:t>:</w:t>
            </w:r>
            <w:r>
              <w:rPr>
                <w:rStyle w:val="IndexLink"/>
                <w:rtl w:val="true"/>
              </w:rPr>
              <w:t>يجوز إزالة النّجاسة بماء الوضوء عندنا،</w:t>
            </w:r>
            <w:r>
              <w:rPr>
                <w:rStyle w:val="IndexLink"/>
                <w:rtl w:val="true"/>
              </w:rPr>
              <w:tab/>
            </w:r>
            <w:r>
              <w:rPr>
                <w:rStyle w:val="IndexLink"/>
              </w:rPr>
              <w:t>231</w:t>
            </w:r>
          </w:hyperlink>
        </w:p>
        <w:p>
          <w:pPr>
            <w:pStyle w:val="Contents6"/>
            <w:tabs>
              <w:tab w:val="clear" w:pos="7609"/>
              <w:tab w:val="right" w:pos="9026" w:leader="dot"/>
            </w:tabs>
            <w:rPr/>
          </w:pPr>
          <w:hyperlink w:anchor="__RefHeading___Toc747047_222507752">
            <w:r>
              <w:rPr>
                <w:webHidden/>
                <w:rStyle w:val="IndexLink"/>
                <w:rtl w:val="true"/>
              </w:rPr>
              <w:t>الثّالث</w:t>
            </w:r>
            <w:r>
              <w:rPr>
                <w:rStyle w:val="IndexLink"/>
                <w:rtl w:val="true"/>
              </w:rPr>
              <w:t>:</w:t>
            </w:r>
            <w:r>
              <w:rPr>
                <w:rStyle w:val="IndexLink"/>
                <w:rtl w:val="true"/>
              </w:rPr>
              <w:t>لو بلغ المستعمل حدّ الكثرة،</w:t>
            </w:r>
            <w:r>
              <w:rPr>
                <w:rStyle w:val="IndexLink"/>
                <w:rtl w:val="true"/>
              </w:rPr>
              <w:tab/>
            </w:r>
            <w:r>
              <w:rPr>
                <w:rStyle w:val="IndexLink"/>
              </w:rPr>
              <w:t>232</w:t>
            </w:r>
          </w:hyperlink>
        </w:p>
        <w:p>
          <w:pPr>
            <w:pStyle w:val="Contents6"/>
            <w:tabs>
              <w:tab w:val="clear" w:pos="7609"/>
              <w:tab w:val="right" w:pos="9026" w:leader="dot"/>
            </w:tabs>
            <w:rPr/>
          </w:pPr>
          <w:hyperlink w:anchor="__RefHeading___Toc747049_222507752">
            <w:r>
              <w:rPr>
                <w:webHidden/>
                <w:rStyle w:val="IndexLink"/>
                <w:rtl w:val="true"/>
              </w:rPr>
              <w:t>الرّابع</w:t>
            </w:r>
            <w:r>
              <w:rPr>
                <w:rStyle w:val="IndexLink"/>
                <w:rtl w:val="true"/>
              </w:rPr>
              <w:t>:</w:t>
            </w:r>
            <w:r>
              <w:rPr>
                <w:rStyle w:val="IndexLink"/>
                <w:rtl w:val="true"/>
              </w:rPr>
              <w:t>المستعمل في تعبّد من غير حدث كغسل اليدين من نوم اللّيل طاهر مطهّر</w:t>
            </w:r>
            <w:r>
              <w:rPr>
                <w:rStyle w:val="IndexLink"/>
                <w:rtl w:val="true"/>
              </w:rPr>
              <w:t>.</w:t>
              <w:tab/>
            </w:r>
            <w:r>
              <w:rPr>
                <w:rStyle w:val="IndexLink"/>
              </w:rPr>
              <w:t>232</w:t>
            </w:r>
          </w:hyperlink>
        </w:p>
        <w:p>
          <w:pPr>
            <w:pStyle w:val="Contents6"/>
            <w:tabs>
              <w:tab w:val="clear" w:pos="7609"/>
              <w:tab w:val="right" w:pos="9026" w:leader="dot"/>
            </w:tabs>
            <w:rPr/>
          </w:pPr>
          <w:hyperlink w:anchor="__RefHeading___Toc747051_222507752">
            <w:r>
              <w:rPr>
                <w:webHidden/>
                <w:rStyle w:val="IndexLink"/>
                <w:rtl w:val="true"/>
              </w:rPr>
              <w:t>مسألة</w:t>
            </w:r>
            <w:r>
              <w:rPr>
                <w:rStyle w:val="IndexLink"/>
                <w:rtl w:val="true"/>
              </w:rPr>
              <w:t>:</w:t>
            </w:r>
            <w:r>
              <w:rPr>
                <w:rStyle w:val="IndexLink"/>
                <w:rtl w:val="true"/>
              </w:rPr>
              <w:t>المستعمل في رفع الحدث الأكبر كالجنابة</w:t>
            </w:r>
            <w:r>
              <w:rPr>
                <w:rStyle w:val="IndexLink"/>
                <w:rtl w:val="true"/>
              </w:rPr>
              <w:tab/>
            </w:r>
            <w:r>
              <w:rPr>
                <w:rStyle w:val="IndexLink"/>
              </w:rPr>
              <w:t>232</w:t>
            </w:r>
          </w:hyperlink>
        </w:p>
        <w:p>
          <w:pPr>
            <w:pStyle w:val="Contents6"/>
            <w:tabs>
              <w:tab w:val="clear" w:pos="7609"/>
              <w:tab w:val="right" w:pos="9026" w:leader="dot"/>
            </w:tabs>
            <w:rPr/>
          </w:pPr>
          <w:hyperlink w:anchor="__RefHeading___Toc747053_222507752">
            <w:r>
              <w:rPr>
                <w:webHidden/>
                <w:rStyle w:val="IndexLink"/>
                <w:rtl w:val="true"/>
              </w:rPr>
              <w:t>فروع</w:t>
            </w:r>
            <w:r>
              <w:rPr>
                <w:rStyle w:val="IndexLink"/>
                <w:rtl w:val="true"/>
              </w:rPr>
              <w:t>:</w:t>
              <w:tab/>
            </w:r>
            <w:r>
              <w:rPr>
                <w:rStyle w:val="IndexLink"/>
              </w:rPr>
              <w:t>235</w:t>
            </w:r>
          </w:hyperlink>
        </w:p>
        <w:p>
          <w:pPr>
            <w:pStyle w:val="Contents6"/>
            <w:tabs>
              <w:tab w:val="clear" w:pos="7609"/>
              <w:tab w:val="right" w:pos="9026" w:leader="dot"/>
            </w:tabs>
            <w:rPr/>
          </w:pPr>
          <w:hyperlink w:anchor="__RefHeading___Toc747055_222507752">
            <w:r>
              <w:rPr>
                <w:webHidden/>
                <w:rStyle w:val="IndexLink"/>
                <w:rtl w:val="true"/>
              </w:rPr>
              <w:t>الأوّل</w:t>
            </w:r>
            <w:r>
              <w:rPr>
                <w:rStyle w:val="IndexLink"/>
                <w:rtl w:val="true"/>
              </w:rPr>
              <w:t>:</w:t>
            </w:r>
            <w:r>
              <w:rPr>
                <w:rStyle w:val="IndexLink"/>
                <w:rtl w:val="true"/>
              </w:rPr>
              <w:t>إذا حصل الجنب عند غدير أو قليب و خشي إن نزل فساد الماء</w:t>
            </w:r>
            <w:r>
              <w:rPr>
                <w:rStyle w:val="IndexLink"/>
                <w:rtl w:val="true"/>
              </w:rPr>
              <w:tab/>
            </w:r>
            <w:r>
              <w:rPr>
                <w:rStyle w:val="IndexLink"/>
              </w:rPr>
              <w:t>235</w:t>
            </w:r>
          </w:hyperlink>
        </w:p>
        <w:p>
          <w:pPr>
            <w:pStyle w:val="Contents6"/>
            <w:tabs>
              <w:tab w:val="clear" w:pos="7609"/>
              <w:tab w:val="right" w:pos="9026" w:leader="dot"/>
            </w:tabs>
            <w:rPr/>
          </w:pPr>
          <w:hyperlink w:anchor="__RefHeading___Toc747057_222507752">
            <w:r>
              <w:rPr>
                <w:webHidden/>
                <w:rStyle w:val="IndexLink"/>
                <w:rtl w:val="true"/>
              </w:rPr>
              <w:t>الثّاني</w:t>
            </w:r>
            <w:r>
              <w:rPr>
                <w:rStyle w:val="IndexLink"/>
                <w:rtl w:val="true"/>
              </w:rPr>
              <w:t>:</w:t>
            </w:r>
            <w:r>
              <w:rPr>
                <w:rStyle w:val="IndexLink"/>
                <w:rtl w:val="true"/>
              </w:rPr>
              <w:t>متى كان على جسد المجنب أو المغتسل من حيض و شبهه نجاسة عينيّة</w:t>
            </w:r>
            <w:r>
              <w:rPr>
                <w:rStyle w:val="IndexLink"/>
                <w:rtl w:val="true"/>
              </w:rPr>
              <w:tab/>
            </w:r>
            <w:r>
              <w:rPr>
                <w:rStyle w:val="IndexLink"/>
              </w:rPr>
              <w:t>236</w:t>
            </w:r>
          </w:hyperlink>
        </w:p>
        <w:p>
          <w:pPr>
            <w:pStyle w:val="Contents6"/>
            <w:tabs>
              <w:tab w:val="clear" w:pos="7609"/>
              <w:tab w:val="right" w:pos="9026" w:leader="dot"/>
            </w:tabs>
            <w:rPr/>
          </w:pPr>
          <w:hyperlink w:anchor="__RefHeading___Toc747059_222507752">
            <w:r>
              <w:rPr>
                <w:webHidden/>
                <w:rStyle w:val="IndexLink"/>
                <w:rtl w:val="true"/>
              </w:rPr>
              <w:t>الثّالث</w:t>
            </w:r>
            <w:r>
              <w:rPr>
                <w:rStyle w:val="IndexLink"/>
                <w:rtl w:val="true"/>
              </w:rPr>
              <w:t>:</w:t>
            </w:r>
            <w:r>
              <w:rPr>
                <w:rStyle w:val="IndexLink"/>
                <w:rtl w:val="true"/>
              </w:rPr>
              <w:t>المستعمل في غسل الجنابة يجوز إزالة النّجاسة به إجماعا منّا</w:t>
            </w:r>
            <w:r>
              <w:rPr>
                <w:rStyle w:val="IndexLink"/>
                <w:rtl w:val="true"/>
              </w:rPr>
              <w:tab/>
            </w:r>
            <w:r>
              <w:rPr>
                <w:rStyle w:val="IndexLink"/>
              </w:rPr>
              <w:t>237</w:t>
            </w:r>
          </w:hyperlink>
        </w:p>
        <w:p>
          <w:pPr>
            <w:pStyle w:val="Contents6"/>
            <w:tabs>
              <w:tab w:val="clear" w:pos="7609"/>
              <w:tab w:val="right" w:pos="9026" w:leader="dot"/>
            </w:tabs>
            <w:rPr/>
          </w:pPr>
          <w:hyperlink w:anchor="__RefHeading___Toc747061_222507752">
            <w:r>
              <w:rPr>
                <w:webHidden/>
                <w:rStyle w:val="IndexLink"/>
                <w:rtl w:val="true"/>
              </w:rPr>
              <w:t>الرّابع</w:t>
            </w:r>
            <w:r>
              <w:rPr>
                <w:rStyle w:val="IndexLink"/>
                <w:rtl w:val="true"/>
              </w:rPr>
              <w:t>:</w:t>
            </w:r>
            <w:r>
              <w:rPr>
                <w:rStyle w:val="IndexLink"/>
                <w:rtl w:val="true"/>
              </w:rPr>
              <w:t>إذا بلغ المستعمل في الكبرى كرّا</w:t>
            </w:r>
            <w:r>
              <w:rPr>
                <w:rStyle w:val="IndexLink"/>
                <w:rtl w:val="true"/>
              </w:rPr>
              <w:tab/>
            </w:r>
            <w:r>
              <w:rPr>
                <w:rStyle w:val="IndexLink"/>
              </w:rPr>
              <w:t>237</w:t>
            </w:r>
          </w:hyperlink>
        </w:p>
        <w:p>
          <w:pPr>
            <w:pStyle w:val="Contents6"/>
            <w:tabs>
              <w:tab w:val="clear" w:pos="7609"/>
              <w:tab w:val="right" w:pos="9026" w:leader="dot"/>
            </w:tabs>
            <w:rPr/>
          </w:pPr>
          <w:hyperlink w:anchor="__RefHeading___Toc747063_222507752">
            <w:r>
              <w:rPr>
                <w:webHidden/>
                <w:rStyle w:val="IndexLink"/>
                <w:rtl w:val="true"/>
              </w:rPr>
              <w:t>الخامس</w:t>
            </w:r>
            <w:r>
              <w:rPr>
                <w:rStyle w:val="IndexLink"/>
                <w:rtl w:val="true"/>
              </w:rPr>
              <w:t>:</w:t>
            </w:r>
            <w:r>
              <w:rPr>
                <w:rStyle w:val="IndexLink"/>
                <w:rtl w:val="true"/>
              </w:rPr>
              <w:t>المستعمل في الأغسال المندوبة</w:t>
            </w:r>
            <w:r>
              <w:rPr>
                <w:rStyle w:val="IndexLink"/>
                <w:rtl w:val="true"/>
              </w:rPr>
              <w:tab/>
            </w:r>
            <w:r>
              <w:rPr>
                <w:rStyle w:val="IndexLink"/>
              </w:rPr>
              <w:t>237</w:t>
            </w:r>
          </w:hyperlink>
        </w:p>
        <w:p>
          <w:pPr>
            <w:pStyle w:val="Contents6"/>
            <w:tabs>
              <w:tab w:val="clear" w:pos="7609"/>
              <w:tab w:val="right" w:pos="9026" w:leader="dot"/>
            </w:tabs>
            <w:rPr/>
          </w:pPr>
          <w:hyperlink w:anchor="__RefHeading___Toc747065_222507752">
            <w:r>
              <w:rPr>
                <w:webHidden/>
                <w:rStyle w:val="IndexLink"/>
                <w:rtl w:val="true"/>
              </w:rPr>
              <w:t>السّادس</w:t>
            </w:r>
            <w:r>
              <w:rPr>
                <w:rStyle w:val="IndexLink"/>
                <w:rtl w:val="true"/>
              </w:rPr>
              <w:t>:</w:t>
            </w:r>
            <w:r>
              <w:rPr>
                <w:rStyle w:val="IndexLink"/>
                <w:rtl w:val="true"/>
              </w:rPr>
              <w:t>لو اغتسل من الجنابة و بقيت في العضو لمعة لم يصبها الماء</w:t>
            </w:r>
            <w:r>
              <w:rPr>
                <w:rStyle w:val="IndexLink"/>
                <w:rtl w:val="true"/>
              </w:rPr>
              <w:tab/>
            </w:r>
            <w:r>
              <w:rPr>
                <w:rStyle w:val="IndexLink"/>
              </w:rPr>
              <w:t>238</w:t>
            </w:r>
          </w:hyperlink>
        </w:p>
        <w:p>
          <w:pPr>
            <w:pStyle w:val="Contents6"/>
            <w:tabs>
              <w:tab w:val="clear" w:pos="7609"/>
              <w:tab w:val="right" w:pos="9026" w:leader="dot"/>
            </w:tabs>
            <w:rPr/>
          </w:pPr>
          <w:hyperlink w:anchor="__RefHeading___Toc747067_222507752">
            <w:r>
              <w:rPr>
                <w:webHidden/>
                <w:rStyle w:val="IndexLink"/>
                <w:rtl w:val="true"/>
              </w:rPr>
              <w:t>السّابع</w:t>
            </w:r>
            <w:r>
              <w:rPr>
                <w:rStyle w:val="IndexLink"/>
                <w:rtl w:val="true"/>
              </w:rPr>
              <w:t>:</w:t>
            </w:r>
            <w:r>
              <w:rPr>
                <w:rStyle w:val="IndexLink"/>
                <w:rtl w:val="true"/>
              </w:rPr>
              <w:t>لو اغتسل واجبا من جنابة مشكوك فيها</w:t>
            </w:r>
            <w:r>
              <w:rPr>
                <w:rStyle w:val="IndexLink"/>
                <w:rtl w:val="true"/>
              </w:rPr>
              <w:tab/>
            </w:r>
            <w:r>
              <w:rPr>
                <w:rStyle w:val="IndexLink"/>
              </w:rPr>
              <w:t>239</w:t>
            </w:r>
          </w:hyperlink>
        </w:p>
        <w:p>
          <w:pPr>
            <w:pStyle w:val="Contents6"/>
            <w:tabs>
              <w:tab w:val="clear" w:pos="7609"/>
              <w:tab w:val="right" w:pos="9026" w:leader="dot"/>
            </w:tabs>
            <w:rPr/>
          </w:pPr>
          <w:hyperlink w:anchor="__RefHeading___Toc747069_222507752">
            <w:r>
              <w:rPr>
                <w:webHidden/>
                <w:rStyle w:val="IndexLink"/>
                <w:rtl w:val="true"/>
              </w:rPr>
              <w:t>الثّامن</w:t>
            </w:r>
            <w:r>
              <w:rPr>
                <w:rStyle w:val="IndexLink"/>
                <w:rtl w:val="true"/>
              </w:rPr>
              <w:t>:</w:t>
            </w:r>
            <w:r>
              <w:rPr>
                <w:rStyle w:val="IndexLink"/>
                <w:rtl w:val="true"/>
              </w:rPr>
              <w:t>لو انغمس الجنب في ماء قليل</w:t>
            </w:r>
            <w:r>
              <w:rPr>
                <w:rStyle w:val="IndexLink"/>
                <w:rtl w:val="true"/>
              </w:rPr>
              <w:tab/>
            </w:r>
            <w:r>
              <w:rPr>
                <w:rStyle w:val="IndexLink"/>
              </w:rPr>
              <w:t>239</w:t>
            </w:r>
          </w:hyperlink>
        </w:p>
        <w:p>
          <w:pPr>
            <w:pStyle w:val="Contents6"/>
            <w:tabs>
              <w:tab w:val="clear" w:pos="7609"/>
              <w:tab w:val="right" w:pos="9026" w:leader="dot"/>
            </w:tabs>
            <w:rPr/>
          </w:pPr>
          <w:hyperlink w:anchor="__RefHeading___Toc747071_222507752">
            <w:r>
              <w:rPr>
                <w:webHidden/>
                <w:rStyle w:val="IndexLink"/>
                <w:rtl w:val="true"/>
              </w:rPr>
              <w:t>التّاسع</w:t>
            </w:r>
            <w:r>
              <w:rPr>
                <w:rStyle w:val="IndexLink"/>
                <w:rtl w:val="true"/>
              </w:rPr>
              <w:t>:</w:t>
            </w:r>
            <w:r>
              <w:rPr>
                <w:rStyle w:val="IndexLink"/>
                <w:rtl w:val="true"/>
              </w:rPr>
              <w:t>الذّمّيّة إذا اغتسلت من الحيض لإباحة وطء الزّوج،كان الماء نجسا عندنا،</w:t>
            </w:r>
            <w:r>
              <w:rPr>
                <w:rStyle w:val="IndexLink"/>
                <w:rtl w:val="true"/>
              </w:rPr>
              <w:tab/>
            </w:r>
            <w:r>
              <w:rPr>
                <w:rStyle w:val="IndexLink"/>
              </w:rPr>
              <w:t>239</w:t>
            </w:r>
          </w:hyperlink>
        </w:p>
        <w:p>
          <w:pPr>
            <w:pStyle w:val="Contents6"/>
            <w:tabs>
              <w:tab w:val="clear" w:pos="7609"/>
              <w:tab w:val="right" w:pos="9026" w:leader="dot"/>
            </w:tabs>
            <w:rPr/>
          </w:pPr>
          <w:hyperlink w:anchor="__RefHeading___Toc747073_222507752">
            <w:r>
              <w:rPr>
                <w:webHidden/>
                <w:rStyle w:val="IndexLink"/>
                <w:rtl w:val="true"/>
              </w:rPr>
              <w:t>العاشر</w:t>
            </w:r>
            <w:r>
              <w:rPr>
                <w:rStyle w:val="IndexLink"/>
                <w:rtl w:val="true"/>
              </w:rPr>
              <w:t>:</w:t>
            </w:r>
            <w:r>
              <w:rPr>
                <w:rStyle w:val="IndexLink"/>
                <w:rtl w:val="true"/>
              </w:rPr>
              <w:t>المستعمل في التّجديد أو الجمعة أو غسل العيدين</w:t>
            </w:r>
            <w:r>
              <w:rPr>
                <w:rStyle w:val="IndexLink"/>
                <w:rtl w:val="true"/>
              </w:rPr>
              <w:tab/>
            </w:r>
            <w:r>
              <w:rPr>
                <w:rStyle w:val="IndexLink"/>
              </w:rPr>
              <w:t>239</w:t>
            </w:r>
          </w:hyperlink>
        </w:p>
        <w:p>
          <w:pPr>
            <w:pStyle w:val="Contents6"/>
            <w:tabs>
              <w:tab w:val="clear" w:pos="7609"/>
              <w:tab w:val="right" w:pos="9026" w:leader="dot"/>
            </w:tabs>
            <w:rPr/>
          </w:pPr>
          <w:hyperlink w:anchor="__RefHeading___Toc747075_222507752">
            <w:r>
              <w:rPr>
                <w:webHidden/>
                <w:rStyle w:val="IndexLink"/>
                <w:rtl w:val="true"/>
              </w:rPr>
              <w:t>مسألة</w:t>
            </w:r>
            <w:r>
              <w:rPr>
                <w:rStyle w:val="IndexLink"/>
                <w:rtl w:val="true"/>
              </w:rPr>
              <w:t>:</w:t>
            </w:r>
            <w:r>
              <w:rPr>
                <w:rStyle w:val="IndexLink"/>
                <w:rtl w:val="true"/>
              </w:rPr>
              <w:t>المنفصل من غسالة النّجاسة</w:t>
            </w:r>
            <w:r>
              <w:rPr>
                <w:rStyle w:val="IndexLink"/>
                <w:rtl w:val="true"/>
              </w:rPr>
              <w:tab/>
            </w:r>
            <w:r>
              <w:rPr>
                <w:rStyle w:val="IndexLink"/>
              </w:rPr>
              <w:t>240</w:t>
            </w:r>
          </w:hyperlink>
        </w:p>
        <w:p>
          <w:pPr>
            <w:pStyle w:val="Contents6"/>
            <w:tabs>
              <w:tab w:val="clear" w:pos="7609"/>
              <w:tab w:val="right" w:pos="9026" w:leader="dot"/>
            </w:tabs>
            <w:rPr/>
          </w:pPr>
          <w:hyperlink w:anchor="__RefHeading___Toc747077_222507752">
            <w:r>
              <w:rPr>
                <w:webHidden/>
                <w:rStyle w:val="IndexLink"/>
                <w:rtl w:val="true"/>
              </w:rPr>
              <w:t>فرع</w:t>
            </w:r>
            <w:r>
              <w:rPr>
                <w:rStyle w:val="IndexLink"/>
                <w:rtl w:val="true"/>
              </w:rPr>
              <w:t>:</w:t>
              <w:tab/>
            </w:r>
            <w:r>
              <w:rPr>
                <w:rStyle w:val="IndexLink"/>
              </w:rPr>
              <w:t>241</w:t>
            </w:r>
          </w:hyperlink>
        </w:p>
        <w:p>
          <w:pPr>
            <w:pStyle w:val="Contents6"/>
            <w:tabs>
              <w:tab w:val="clear" w:pos="7609"/>
              <w:tab w:val="right" w:pos="9026" w:leader="dot"/>
            </w:tabs>
            <w:rPr/>
          </w:pPr>
          <w:hyperlink w:anchor="__RefHeading___Toc747079_222507752">
            <w:r>
              <w:rPr>
                <w:webHidden/>
                <w:rStyle w:val="IndexLink"/>
                <w:rtl w:val="true"/>
              </w:rPr>
              <w:t>مسألة عفى عن ماء الاستنجاء إذا سقط منه شيء على ثوبه أو بدنه</w:t>
            </w:r>
            <w:r>
              <w:rPr>
                <w:rStyle w:val="IndexLink"/>
                <w:rtl w:val="true"/>
              </w:rPr>
              <w:tab/>
            </w:r>
            <w:r>
              <w:rPr>
                <w:rStyle w:val="IndexLink"/>
              </w:rPr>
              <w:t>242</w:t>
            </w:r>
          </w:hyperlink>
        </w:p>
        <w:p>
          <w:pPr>
            <w:pStyle w:val="Contents6"/>
            <w:tabs>
              <w:tab w:val="clear" w:pos="7609"/>
              <w:tab w:val="right" w:pos="9026" w:leader="dot"/>
            </w:tabs>
            <w:rPr/>
          </w:pPr>
          <w:hyperlink w:anchor="__RefHeading___Toc747081_222507752">
            <w:r>
              <w:rPr>
                <w:webHidden/>
                <w:rStyle w:val="IndexLink"/>
                <w:rtl w:val="true"/>
              </w:rPr>
              <w:t>فروع</w:t>
            </w:r>
            <w:r>
              <w:rPr>
                <w:rStyle w:val="IndexLink"/>
                <w:rtl w:val="true"/>
              </w:rPr>
              <w:t>:</w:t>
              <w:tab/>
            </w:r>
            <w:r>
              <w:rPr>
                <w:rStyle w:val="IndexLink"/>
              </w:rPr>
              <w:t>243</w:t>
            </w:r>
          </w:hyperlink>
        </w:p>
        <w:p>
          <w:pPr>
            <w:pStyle w:val="Contents6"/>
            <w:tabs>
              <w:tab w:val="clear" w:pos="7609"/>
              <w:tab w:val="right" w:pos="9026" w:leader="dot"/>
            </w:tabs>
            <w:rPr/>
          </w:pPr>
          <w:hyperlink w:anchor="__RefHeading___Toc747083_222507752">
            <w:r>
              <w:rPr>
                <w:webHidden/>
                <w:rStyle w:val="IndexLink"/>
                <w:rtl w:val="true"/>
              </w:rPr>
              <w:t>الأوّل</w:t>
            </w:r>
            <w:r>
              <w:rPr>
                <w:rStyle w:val="IndexLink"/>
                <w:rtl w:val="true"/>
              </w:rPr>
              <w:t>:</w:t>
            </w:r>
            <w:r>
              <w:rPr>
                <w:rStyle w:val="IndexLink"/>
                <w:rtl w:val="true"/>
              </w:rPr>
              <w:t>الماء الّذي يغسل به القبل و الدّبر يدخل تحت هذا الحكم</w:t>
            </w:r>
            <w:r>
              <w:rPr>
                <w:rStyle w:val="IndexLink"/>
                <w:rtl w:val="true"/>
              </w:rPr>
              <w:tab/>
            </w:r>
            <w:r>
              <w:rPr>
                <w:rStyle w:val="IndexLink"/>
              </w:rPr>
              <w:t>243</w:t>
            </w:r>
          </w:hyperlink>
        </w:p>
        <w:p>
          <w:pPr>
            <w:pStyle w:val="Contents6"/>
            <w:tabs>
              <w:tab w:val="clear" w:pos="7609"/>
              <w:tab w:val="right" w:pos="9026" w:leader="dot"/>
            </w:tabs>
            <w:rPr/>
          </w:pPr>
          <w:hyperlink w:anchor="__RefHeading___Toc747085_222507752">
            <w:r>
              <w:rPr>
                <w:webHidden/>
                <w:rStyle w:val="IndexLink"/>
                <w:rtl w:val="true"/>
              </w:rPr>
              <w:t>الثّاني</w:t>
            </w:r>
            <w:r>
              <w:rPr>
                <w:rStyle w:val="IndexLink"/>
                <w:rtl w:val="true"/>
              </w:rPr>
              <w:t>:</w:t>
            </w:r>
            <w:r>
              <w:rPr>
                <w:rStyle w:val="IndexLink"/>
                <w:rtl w:val="true"/>
              </w:rPr>
              <w:t>الماء الّذي يغسل به الآنية لا يلحقه هذا الحكم</w:t>
            </w:r>
            <w:r>
              <w:rPr>
                <w:rStyle w:val="IndexLink"/>
                <w:rtl w:val="true"/>
              </w:rPr>
              <w:t>.</w:t>
              <w:tab/>
            </w:r>
            <w:r>
              <w:rPr>
                <w:rStyle w:val="IndexLink"/>
              </w:rPr>
              <w:t>243</w:t>
            </w:r>
          </w:hyperlink>
        </w:p>
        <w:p>
          <w:pPr>
            <w:pStyle w:val="Contents6"/>
            <w:tabs>
              <w:tab w:val="clear" w:pos="7609"/>
              <w:tab w:val="right" w:pos="9026" w:leader="dot"/>
            </w:tabs>
            <w:rPr/>
          </w:pPr>
          <w:hyperlink w:anchor="__RefHeading___Toc747087_222507752">
            <w:r>
              <w:rPr>
                <w:webHidden/>
                <w:rStyle w:val="IndexLink"/>
                <w:rtl w:val="true"/>
              </w:rPr>
              <w:t>الثّالث</w:t>
            </w:r>
            <w:r>
              <w:rPr>
                <w:rStyle w:val="IndexLink"/>
                <w:rtl w:val="true"/>
              </w:rPr>
              <w:t>:</w:t>
            </w:r>
            <w:r>
              <w:rPr>
                <w:rStyle w:val="IndexLink"/>
                <w:rtl w:val="true"/>
              </w:rPr>
              <w:t>لو اجتمع الماء الّذي يغسل به النّجاسة كرّا</w:t>
            </w:r>
            <w:r>
              <w:rPr>
                <w:rStyle w:val="IndexLink"/>
                <w:rtl w:val="true"/>
              </w:rPr>
              <w:tab/>
            </w:r>
            <w:r>
              <w:rPr>
                <w:rStyle w:val="IndexLink"/>
              </w:rPr>
              <w:t>244</w:t>
            </w:r>
          </w:hyperlink>
        </w:p>
        <w:p>
          <w:pPr>
            <w:pStyle w:val="Contents6"/>
            <w:tabs>
              <w:tab w:val="clear" w:pos="7609"/>
              <w:tab w:val="right" w:pos="9026" w:leader="dot"/>
            </w:tabs>
            <w:rPr/>
          </w:pPr>
          <w:hyperlink w:anchor="__RefHeading___Toc747089_222507752">
            <w:r>
              <w:rPr>
                <w:webHidden/>
                <w:rStyle w:val="IndexLink"/>
                <w:rtl w:val="true"/>
              </w:rPr>
              <w:t>الرّابع</w:t>
            </w:r>
            <w:r>
              <w:rPr>
                <w:rStyle w:val="IndexLink"/>
                <w:rtl w:val="true"/>
              </w:rPr>
              <w:t>:</w:t>
            </w:r>
            <w:r>
              <w:rPr>
                <w:rStyle w:val="IndexLink"/>
                <w:rtl w:val="true"/>
              </w:rPr>
              <w:t>إذا غسل الثّوب من البول في إجانة</w:t>
            </w:r>
            <w:r>
              <w:rPr>
                <w:rStyle w:val="IndexLink"/>
                <w:rtl w:val="true"/>
              </w:rPr>
              <w:tab/>
            </w:r>
            <w:r>
              <w:rPr>
                <w:rStyle w:val="IndexLink"/>
              </w:rPr>
              <w:t>245</w:t>
            </w:r>
          </w:hyperlink>
        </w:p>
        <w:p>
          <w:pPr>
            <w:pStyle w:val="Contents6"/>
            <w:tabs>
              <w:tab w:val="clear" w:pos="7609"/>
              <w:tab w:val="right" w:pos="9026" w:leader="dot"/>
            </w:tabs>
            <w:rPr/>
          </w:pPr>
          <w:hyperlink w:anchor="__RefHeading___Toc747091_222507752">
            <w:r>
              <w:rPr>
                <w:webHidden/>
                <w:rStyle w:val="IndexLink"/>
                <w:rtl w:val="true"/>
              </w:rPr>
              <w:t>الخامس</w:t>
            </w:r>
            <w:r>
              <w:rPr>
                <w:rStyle w:val="IndexLink"/>
                <w:rtl w:val="true"/>
              </w:rPr>
              <w:t>:</w:t>
            </w:r>
            <w:r>
              <w:rPr>
                <w:rStyle w:val="IndexLink"/>
                <w:rtl w:val="true"/>
              </w:rPr>
              <w:t>غسالة الحمّام و هو المستنقع</w:t>
            </w:r>
            <w:r>
              <w:rPr>
                <w:rStyle w:val="IndexLink"/>
                <w:rtl w:val="true"/>
              </w:rPr>
              <w:tab/>
            </w:r>
            <w:r>
              <w:rPr>
                <w:rStyle w:val="IndexLink"/>
              </w:rPr>
              <w:t>245</w:t>
            </w:r>
          </w:hyperlink>
        </w:p>
        <w:p>
          <w:pPr>
            <w:pStyle w:val="Contents6"/>
            <w:tabs>
              <w:tab w:val="clear" w:pos="7609"/>
              <w:tab w:val="right" w:pos="9026" w:leader="dot"/>
            </w:tabs>
            <w:rPr/>
          </w:pPr>
          <w:hyperlink w:anchor="__RefHeading___Toc747093_222507752">
            <w:r>
              <w:rPr>
                <w:webHidden/>
                <w:rStyle w:val="IndexLink"/>
                <w:rtl w:val="true"/>
              </w:rPr>
              <w:t>البحث الرّابع</w:t>
            </w:r>
            <w:r>
              <w:rPr>
                <w:rStyle w:val="IndexLink"/>
                <w:rtl w:val="true"/>
              </w:rPr>
              <w:t>:</w:t>
            </w:r>
            <w:r>
              <w:rPr>
                <w:rStyle w:val="IndexLink"/>
                <w:rtl w:val="true"/>
              </w:rPr>
              <w:t>في الأسئار و الأواني المشتبهة</w:t>
            </w:r>
            <w:r>
              <w:rPr>
                <w:rStyle w:val="IndexLink"/>
                <w:rtl w:val="true"/>
              </w:rPr>
              <w:tab/>
            </w:r>
            <w:r>
              <w:rPr>
                <w:rStyle w:val="IndexLink"/>
              </w:rPr>
              <w:t>247</w:t>
            </w:r>
          </w:hyperlink>
        </w:p>
        <w:p>
          <w:pPr>
            <w:pStyle w:val="Contents6"/>
            <w:tabs>
              <w:tab w:val="clear" w:pos="7609"/>
              <w:tab w:val="right" w:pos="9026" w:leader="dot"/>
            </w:tabs>
            <w:rPr/>
          </w:pPr>
          <w:hyperlink w:anchor="__RefHeading___Toc747095_222507752">
            <w:r>
              <w:rPr>
                <w:webHidden/>
                <w:rStyle w:val="IndexLink"/>
                <w:rtl w:val="true"/>
              </w:rPr>
              <w:t>مسألة</w:t>
            </w:r>
            <w:r>
              <w:rPr>
                <w:rStyle w:val="IndexLink"/>
                <w:rtl w:val="true"/>
              </w:rPr>
              <w:t>:</w:t>
            </w:r>
            <w:r>
              <w:rPr>
                <w:rStyle w:val="IndexLink"/>
                <w:rtl w:val="true"/>
              </w:rPr>
              <w:t>الحيوان على ضربين</w:t>
            </w:r>
            <w:r>
              <w:rPr>
                <w:rStyle w:val="IndexLink"/>
                <w:rtl w:val="true"/>
              </w:rPr>
              <w:t>:</w:t>
            </w:r>
            <w:r>
              <w:rPr>
                <w:rStyle w:val="IndexLink"/>
                <w:rtl w:val="true"/>
              </w:rPr>
              <w:t>آدميّ و غيره</w:t>
            </w:r>
            <w:r>
              <w:rPr>
                <w:rStyle w:val="IndexLink"/>
                <w:rtl w:val="true"/>
              </w:rPr>
              <w:tab/>
            </w:r>
            <w:r>
              <w:rPr>
                <w:rStyle w:val="IndexLink"/>
              </w:rPr>
              <w:t>247</w:t>
            </w:r>
          </w:hyperlink>
        </w:p>
        <w:p>
          <w:pPr>
            <w:pStyle w:val="Contents6"/>
            <w:tabs>
              <w:tab w:val="clear" w:pos="7609"/>
              <w:tab w:val="right" w:pos="9026" w:leader="dot"/>
            </w:tabs>
            <w:rPr/>
          </w:pPr>
          <w:hyperlink w:anchor="__RefHeading___Toc747097_222507752">
            <w:r>
              <w:rPr>
                <w:webHidden/>
                <w:rStyle w:val="IndexLink"/>
                <w:rtl w:val="true"/>
              </w:rPr>
              <w:t>فروع</w:t>
            </w:r>
            <w:r>
              <w:rPr>
                <w:rStyle w:val="IndexLink"/>
                <w:rtl w:val="true"/>
              </w:rPr>
              <w:t>:</w:t>
              <w:tab/>
            </w:r>
            <w:r>
              <w:rPr>
                <w:rStyle w:val="IndexLink"/>
              </w:rPr>
              <w:t>259</w:t>
            </w:r>
          </w:hyperlink>
        </w:p>
        <w:p>
          <w:pPr>
            <w:pStyle w:val="Contents6"/>
            <w:tabs>
              <w:tab w:val="clear" w:pos="7609"/>
              <w:tab w:val="right" w:pos="9026" w:leader="dot"/>
            </w:tabs>
            <w:rPr/>
          </w:pPr>
          <w:hyperlink w:anchor="__RefHeading___Toc747099_222507752">
            <w:r>
              <w:rPr>
                <w:webHidden/>
                <w:rStyle w:val="IndexLink"/>
                <w:rtl w:val="true"/>
              </w:rPr>
              <w:t>الأوّل</w:t>
            </w:r>
            <w:r>
              <w:rPr>
                <w:rStyle w:val="IndexLink"/>
                <w:rtl w:val="true"/>
              </w:rPr>
              <w:t>:</w:t>
            </w:r>
            <w:r>
              <w:rPr>
                <w:rStyle w:val="IndexLink"/>
                <w:rtl w:val="true"/>
              </w:rPr>
              <w:t>قال ابن بابويه</w:t>
            </w:r>
            <w:r>
              <w:rPr>
                <w:rStyle w:val="IndexLink"/>
                <w:rtl w:val="true"/>
              </w:rPr>
              <w:t>:</w:t>
            </w:r>
            <w:r>
              <w:rPr>
                <w:rStyle w:val="IndexLink"/>
                <w:rtl w:val="true"/>
              </w:rPr>
              <w:t>لا يجوز الوضوء بسؤر ولد الزّنا</w:t>
            </w:r>
            <w:r>
              <w:rPr>
                <w:rStyle w:val="IndexLink"/>
                <w:rtl w:val="true"/>
              </w:rPr>
              <w:tab/>
            </w:r>
            <w:r>
              <w:rPr>
                <w:rStyle w:val="IndexLink"/>
              </w:rPr>
              <w:t>259</w:t>
            </w:r>
          </w:hyperlink>
        </w:p>
        <w:p>
          <w:pPr>
            <w:pStyle w:val="Contents6"/>
            <w:tabs>
              <w:tab w:val="clear" w:pos="7609"/>
              <w:tab w:val="right" w:pos="9026" w:leader="dot"/>
            </w:tabs>
            <w:rPr/>
          </w:pPr>
          <w:hyperlink w:anchor="__RefHeading___Toc747101_222507752">
            <w:r>
              <w:rPr>
                <w:webHidden/>
                <w:rStyle w:val="IndexLink"/>
                <w:rtl w:val="true"/>
              </w:rPr>
              <w:t>الثّاني</w:t>
            </w:r>
            <w:r>
              <w:rPr>
                <w:rStyle w:val="IndexLink"/>
                <w:rtl w:val="true"/>
              </w:rPr>
              <w:t>:</w:t>
            </w:r>
            <w:r>
              <w:rPr>
                <w:rStyle w:val="IndexLink"/>
                <w:rtl w:val="true"/>
              </w:rPr>
              <w:t>قال الشّيخ بنجاسة سؤر المجبّرة و المجسّمة</w:t>
            </w:r>
            <w:r>
              <w:rPr>
                <w:rStyle w:val="IndexLink"/>
                <w:rtl w:val="true"/>
              </w:rPr>
              <w:tab/>
            </w:r>
            <w:r>
              <w:rPr>
                <w:rStyle w:val="IndexLink"/>
              </w:rPr>
              <w:t>260</w:t>
            </w:r>
          </w:hyperlink>
        </w:p>
        <w:p>
          <w:pPr>
            <w:pStyle w:val="Contents6"/>
            <w:tabs>
              <w:tab w:val="clear" w:pos="7609"/>
              <w:tab w:val="right" w:pos="9026" w:leader="dot"/>
            </w:tabs>
            <w:rPr/>
          </w:pPr>
          <w:hyperlink w:anchor="__RefHeading___Toc747103_222507752">
            <w:r>
              <w:rPr>
                <w:webHidden/>
                <w:rStyle w:val="IndexLink"/>
                <w:rtl w:val="true"/>
              </w:rPr>
              <w:t>الثّالث</w:t>
            </w:r>
            <w:r>
              <w:rPr>
                <w:rStyle w:val="IndexLink"/>
                <w:rtl w:val="true"/>
              </w:rPr>
              <w:t>:</w:t>
            </w:r>
            <w:r>
              <w:rPr>
                <w:rStyle w:val="IndexLink"/>
                <w:rtl w:val="true"/>
              </w:rPr>
              <w:t>يكره سؤر ما أكل الجيف من الطّير</w:t>
            </w:r>
            <w:r>
              <w:rPr>
                <w:rStyle w:val="IndexLink"/>
                <w:rtl w:val="true"/>
              </w:rPr>
              <w:tab/>
            </w:r>
            <w:r>
              <w:rPr>
                <w:rStyle w:val="IndexLink"/>
              </w:rPr>
              <w:t>260</w:t>
            </w:r>
          </w:hyperlink>
        </w:p>
        <w:p>
          <w:pPr>
            <w:pStyle w:val="Contents6"/>
            <w:tabs>
              <w:tab w:val="clear" w:pos="7609"/>
              <w:tab w:val="right" w:pos="9026" w:leader="dot"/>
            </w:tabs>
            <w:rPr/>
          </w:pPr>
          <w:hyperlink w:anchor="__RefHeading___Toc747105_222507752">
            <w:r>
              <w:rPr>
                <w:webHidden/>
                <w:rStyle w:val="IndexLink"/>
                <w:rtl w:val="true"/>
              </w:rPr>
              <w:t>الرّابع</w:t>
            </w:r>
            <w:r>
              <w:rPr>
                <w:rStyle w:val="IndexLink"/>
                <w:rtl w:val="true"/>
              </w:rPr>
              <w:t>:</w:t>
            </w:r>
            <w:r>
              <w:rPr>
                <w:rStyle w:val="IndexLink"/>
                <w:rtl w:val="true"/>
              </w:rPr>
              <w:t>يكره سؤر الحائض إن كانت متّهمة</w:t>
            </w:r>
            <w:r>
              <w:rPr>
                <w:rStyle w:val="IndexLink"/>
                <w:rtl w:val="true"/>
              </w:rPr>
              <w:tab/>
            </w:r>
            <w:r>
              <w:rPr>
                <w:rStyle w:val="IndexLink"/>
              </w:rPr>
              <w:t>261</w:t>
            </w:r>
          </w:hyperlink>
        </w:p>
        <w:p>
          <w:pPr>
            <w:pStyle w:val="Contents6"/>
            <w:tabs>
              <w:tab w:val="clear" w:pos="7609"/>
              <w:tab w:val="right" w:pos="9026" w:leader="dot"/>
            </w:tabs>
            <w:rPr/>
          </w:pPr>
          <w:hyperlink w:anchor="__RefHeading___Toc747107_222507752">
            <w:r>
              <w:rPr>
                <w:webHidden/>
                <w:rStyle w:val="IndexLink"/>
                <w:rtl w:val="true"/>
              </w:rPr>
              <w:t>الخامس</w:t>
            </w:r>
            <w:r>
              <w:rPr>
                <w:rStyle w:val="IndexLink"/>
                <w:rtl w:val="true"/>
              </w:rPr>
              <w:t xml:space="preserve">: </w:t>
            </w:r>
            <w:r>
              <w:rPr>
                <w:rStyle w:val="IndexLink"/>
                <w:rtl w:val="true"/>
              </w:rPr>
              <w:t>ذهب بعض أصحابنا إلى أنّ لعاب المسوخ كالقرد،و الدّبّ،و الثّعلب،</w:t>
            </w:r>
            <w:r>
              <w:rPr>
                <w:rStyle w:val="IndexLink"/>
                <w:rtl w:val="true"/>
              </w:rPr>
              <w:tab/>
            </w:r>
            <w:r>
              <w:rPr>
                <w:rStyle w:val="IndexLink"/>
              </w:rPr>
              <w:t>261</w:t>
            </w:r>
          </w:hyperlink>
        </w:p>
        <w:p>
          <w:pPr>
            <w:pStyle w:val="Contents6"/>
            <w:tabs>
              <w:tab w:val="clear" w:pos="7609"/>
              <w:tab w:val="right" w:pos="9026" w:leader="dot"/>
            </w:tabs>
            <w:rPr/>
          </w:pPr>
          <w:hyperlink w:anchor="__RefHeading___Toc747109_222507752">
            <w:r>
              <w:rPr>
                <w:webHidden/>
                <w:rStyle w:val="IndexLink"/>
                <w:rtl w:val="true"/>
              </w:rPr>
              <w:t>السّادس</w:t>
            </w:r>
            <w:r>
              <w:rPr>
                <w:rStyle w:val="IndexLink"/>
                <w:rtl w:val="true"/>
              </w:rPr>
              <w:t>:</w:t>
            </w:r>
            <w:r>
              <w:rPr>
                <w:rStyle w:val="IndexLink"/>
                <w:rtl w:val="true"/>
              </w:rPr>
              <w:t>يجوز للرّجل أن يستعمل فضل وضوء المرأة و غسلها،و بالعكس</w:t>
            </w:r>
            <w:r>
              <w:rPr>
                <w:rStyle w:val="IndexLink"/>
                <w:rtl w:val="true"/>
              </w:rPr>
              <w:tab/>
            </w:r>
            <w:r>
              <w:rPr>
                <w:rStyle w:val="IndexLink"/>
              </w:rPr>
              <w:t>263</w:t>
            </w:r>
          </w:hyperlink>
        </w:p>
        <w:p>
          <w:pPr>
            <w:pStyle w:val="Contents6"/>
            <w:tabs>
              <w:tab w:val="clear" w:pos="7609"/>
              <w:tab w:val="right" w:pos="9026" w:leader="dot"/>
            </w:tabs>
            <w:rPr/>
          </w:pPr>
          <w:hyperlink w:anchor="__RefHeading___Toc747111_222507752">
            <w:r>
              <w:rPr>
                <w:webHidden/>
                <w:rStyle w:val="IndexLink"/>
                <w:rtl w:val="true"/>
              </w:rPr>
              <w:t>مسألة</w:t>
            </w:r>
            <w:r>
              <w:rPr>
                <w:rStyle w:val="IndexLink"/>
                <w:rtl w:val="true"/>
              </w:rPr>
              <w:t>:</w:t>
            </w:r>
            <w:r>
              <w:rPr>
                <w:rStyle w:val="IndexLink"/>
                <w:rtl w:val="true"/>
              </w:rPr>
              <w:t>اتّفق علماؤنا على انّ ما لا نفس له سائلة من الحيوانات،لا ينجس بالموت</w:t>
            </w:r>
            <w:r>
              <w:rPr>
                <w:rStyle w:val="IndexLink"/>
                <w:rtl w:val="true"/>
              </w:rPr>
              <w:tab/>
            </w:r>
            <w:r>
              <w:rPr>
                <w:rStyle w:val="IndexLink"/>
              </w:rPr>
              <w:t>264</w:t>
            </w:r>
          </w:hyperlink>
        </w:p>
        <w:p>
          <w:pPr>
            <w:pStyle w:val="Contents6"/>
            <w:tabs>
              <w:tab w:val="clear" w:pos="7609"/>
              <w:tab w:val="right" w:pos="9026" w:leader="dot"/>
            </w:tabs>
            <w:rPr/>
          </w:pPr>
          <w:hyperlink w:anchor="__RefHeading___Toc747113_222507752">
            <w:r>
              <w:rPr>
                <w:webHidden/>
                <w:rStyle w:val="IndexLink"/>
                <w:rtl w:val="true"/>
              </w:rPr>
              <w:t>فروع</w:t>
            </w:r>
            <w:r>
              <w:rPr>
                <w:rStyle w:val="IndexLink"/>
                <w:rtl w:val="true"/>
              </w:rPr>
              <w:t>:</w:t>
              <w:tab/>
            </w:r>
            <w:r>
              <w:rPr>
                <w:rStyle w:val="IndexLink"/>
              </w:rPr>
              <w:t>268</w:t>
            </w:r>
          </w:hyperlink>
        </w:p>
        <w:p>
          <w:pPr>
            <w:pStyle w:val="Contents6"/>
            <w:tabs>
              <w:tab w:val="clear" w:pos="7609"/>
              <w:tab w:val="right" w:pos="9026" w:leader="dot"/>
            </w:tabs>
            <w:rPr/>
          </w:pPr>
          <w:hyperlink w:anchor="__RefHeading___Toc747115_222507752">
            <w:r>
              <w:rPr>
                <w:webHidden/>
                <w:rStyle w:val="IndexLink"/>
                <w:rtl w:val="true"/>
              </w:rPr>
              <w:t>الأوّل ميتة الحيوانات البحرية</w:t>
            </w:r>
            <w:r>
              <w:rPr>
                <w:rStyle w:val="IndexLink"/>
                <w:rtl w:val="true"/>
              </w:rPr>
              <w:tab/>
            </w:r>
            <w:r>
              <w:rPr>
                <w:rStyle w:val="IndexLink"/>
              </w:rPr>
              <w:t>268</w:t>
            </w:r>
          </w:hyperlink>
        </w:p>
        <w:p>
          <w:pPr>
            <w:pStyle w:val="Contents6"/>
            <w:tabs>
              <w:tab w:val="clear" w:pos="7609"/>
              <w:tab w:val="right" w:pos="9026" w:leader="dot"/>
            </w:tabs>
            <w:rPr/>
          </w:pPr>
          <w:hyperlink w:anchor="__RefHeading___Toc747117_222507752">
            <w:r>
              <w:rPr>
                <w:webHidden/>
                <w:rStyle w:val="IndexLink"/>
                <w:rtl w:val="true"/>
              </w:rPr>
              <w:t>الثّاني</w:t>
            </w:r>
            <w:r>
              <w:rPr>
                <w:rStyle w:val="IndexLink"/>
                <w:rtl w:val="true"/>
              </w:rPr>
              <w:t>:</w:t>
            </w:r>
            <w:r>
              <w:rPr>
                <w:rStyle w:val="IndexLink"/>
                <w:rtl w:val="true"/>
              </w:rPr>
              <w:t>الحيوان المتولّد من الأجسام الطّاهرة طاهر</w:t>
            </w:r>
            <w:r>
              <w:rPr>
                <w:rStyle w:val="IndexLink"/>
                <w:rtl w:val="true"/>
              </w:rPr>
              <w:tab/>
            </w:r>
            <w:r>
              <w:rPr>
                <w:rStyle w:val="IndexLink"/>
              </w:rPr>
              <w:t>269</w:t>
            </w:r>
          </w:hyperlink>
        </w:p>
        <w:p>
          <w:pPr>
            <w:pStyle w:val="Contents6"/>
            <w:tabs>
              <w:tab w:val="clear" w:pos="7609"/>
              <w:tab w:val="right" w:pos="9026" w:leader="dot"/>
            </w:tabs>
            <w:rPr/>
          </w:pPr>
          <w:hyperlink w:anchor="__RefHeading___Toc747119_222507752">
            <w:r>
              <w:rPr>
                <w:webHidden/>
                <w:rStyle w:val="IndexLink"/>
                <w:rtl w:val="true"/>
              </w:rPr>
              <w:t>الثّالث</w:t>
            </w:r>
            <w:r>
              <w:rPr>
                <w:rStyle w:val="IndexLink"/>
                <w:rtl w:val="true"/>
              </w:rPr>
              <w:t>:</w:t>
            </w:r>
            <w:r>
              <w:rPr>
                <w:rStyle w:val="IndexLink"/>
                <w:rtl w:val="true"/>
              </w:rPr>
              <w:t>لا خلاف عندنا في انّ الآدميّ ينجس بالموت</w:t>
            </w:r>
            <w:r>
              <w:rPr>
                <w:rStyle w:val="IndexLink"/>
                <w:rtl w:val="true"/>
              </w:rPr>
              <w:tab/>
            </w:r>
            <w:r>
              <w:rPr>
                <w:rStyle w:val="IndexLink"/>
              </w:rPr>
              <w:t>270</w:t>
            </w:r>
          </w:hyperlink>
        </w:p>
        <w:p>
          <w:pPr>
            <w:pStyle w:val="Contents6"/>
            <w:tabs>
              <w:tab w:val="clear" w:pos="7609"/>
              <w:tab w:val="right" w:pos="9026" w:leader="dot"/>
            </w:tabs>
            <w:rPr/>
          </w:pPr>
          <w:hyperlink w:anchor="__RefHeading___Toc747121_222507752">
            <w:r>
              <w:rPr>
                <w:webHidden/>
                <w:rStyle w:val="IndexLink"/>
                <w:rtl w:val="true"/>
              </w:rPr>
              <w:t>الرّابع</w:t>
            </w:r>
            <w:r>
              <w:rPr>
                <w:rStyle w:val="IndexLink"/>
                <w:rtl w:val="true"/>
              </w:rPr>
              <w:t>:</w:t>
            </w:r>
            <w:r>
              <w:rPr>
                <w:rStyle w:val="IndexLink"/>
                <w:rtl w:val="true"/>
              </w:rPr>
              <w:t>الصّيد المحلّل إذا وقع في الماء القليل مجروحا فمات فيه</w:t>
            </w:r>
            <w:r>
              <w:rPr>
                <w:rStyle w:val="IndexLink"/>
                <w:rtl w:val="true"/>
              </w:rPr>
              <w:tab/>
            </w:r>
            <w:r>
              <w:rPr>
                <w:rStyle w:val="IndexLink"/>
              </w:rPr>
              <w:t>271</w:t>
            </w:r>
          </w:hyperlink>
        </w:p>
        <w:p>
          <w:pPr>
            <w:pStyle w:val="Contents6"/>
            <w:tabs>
              <w:tab w:val="clear" w:pos="7609"/>
              <w:tab w:val="right" w:pos="9026" w:leader="dot"/>
            </w:tabs>
            <w:rPr/>
          </w:pPr>
          <w:hyperlink w:anchor="__RefHeading___Toc747123_222507752">
            <w:r>
              <w:rPr>
                <w:webHidden/>
                <w:rStyle w:val="IndexLink"/>
                <w:rtl w:val="true"/>
              </w:rPr>
              <w:t>الخامس</w:t>
            </w:r>
            <w:r>
              <w:rPr>
                <w:rStyle w:val="IndexLink"/>
                <w:rtl w:val="true"/>
              </w:rPr>
              <w:t>:</w:t>
            </w:r>
            <w:r>
              <w:rPr>
                <w:rStyle w:val="IndexLink"/>
                <w:rtl w:val="true"/>
              </w:rPr>
              <w:t>لو لاقى الحيوان الميّت أو غيره من النّجاسات ما زاد على الكرّ من الماء</w:t>
            </w:r>
            <w:r>
              <w:rPr>
                <w:rStyle w:val="IndexLink"/>
                <w:rtl w:val="true"/>
              </w:rPr>
              <w:tab/>
            </w:r>
            <w:r>
              <w:rPr>
                <w:rStyle w:val="IndexLink"/>
              </w:rPr>
              <w:t>271</w:t>
            </w:r>
          </w:hyperlink>
        </w:p>
        <w:p>
          <w:pPr>
            <w:pStyle w:val="Contents6"/>
            <w:tabs>
              <w:tab w:val="clear" w:pos="7609"/>
              <w:tab w:val="right" w:pos="9026" w:leader="dot"/>
            </w:tabs>
            <w:rPr/>
          </w:pPr>
          <w:hyperlink w:anchor="__RefHeading___Toc747125_222507752">
            <w:r>
              <w:rPr>
                <w:webHidden/>
                <w:rStyle w:val="IndexLink"/>
                <w:rtl w:val="true"/>
              </w:rPr>
              <w:t>مسألة</w:t>
            </w:r>
            <w:r>
              <w:rPr>
                <w:rStyle w:val="IndexLink"/>
                <w:rtl w:val="true"/>
              </w:rPr>
              <w:t>:</w:t>
            </w:r>
            <w:r>
              <w:rPr>
                <w:rStyle w:val="IndexLink"/>
                <w:rtl w:val="true"/>
              </w:rPr>
              <w:t>هل يجوز الطّهارة بالثّلج؟</w:t>
            </w:r>
            <w:r>
              <w:rPr>
                <w:rStyle w:val="IndexLink"/>
                <w:rtl w:val="true"/>
              </w:rPr>
              <w:tab/>
            </w:r>
            <w:r>
              <w:rPr>
                <w:rStyle w:val="IndexLink"/>
              </w:rPr>
              <w:t>272</w:t>
            </w:r>
          </w:hyperlink>
        </w:p>
        <w:p>
          <w:pPr>
            <w:pStyle w:val="Contents6"/>
            <w:tabs>
              <w:tab w:val="clear" w:pos="7609"/>
              <w:tab w:val="right" w:pos="9026" w:leader="dot"/>
            </w:tabs>
            <w:rPr/>
          </w:pPr>
          <w:hyperlink w:anchor="__RefHeading___Toc747127_222507752">
            <w:r>
              <w:rPr>
                <w:webHidden/>
                <w:rStyle w:val="IndexLink"/>
                <w:rtl w:val="true"/>
              </w:rPr>
              <w:t>فرعان</w:t>
            </w:r>
            <w:r>
              <w:rPr>
                <w:rStyle w:val="IndexLink"/>
                <w:rtl w:val="true"/>
              </w:rPr>
              <w:t>:</w:t>
              <w:tab/>
            </w:r>
            <w:r>
              <w:rPr>
                <w:rStyle w:val="IndexLink"/>
              </w:rPr>
              <w:t>273</w:t>
            </w:r>
          </w:hyperlink>
        </w:p>
        <w:p>
          <w:pPr>
            <w:pStyle w:val="Contents6"/>
            <w:tabs>
              <w:tab w:val="clear" w:pos="7609"/>
              <w:tab w:val="right" w:pos="9026" w:leader="dot"/>
            </w:tabs>
            <w:rPr/>
          </w:pPr>
          <w:hyperlink w:anchor="__RefHeading___Toc747129_222507752">
            <w:r>
              <w:rPr>
                <w:webHidden/>
                <w:rStyle w:val="IndexLink"/>
                <w:rtl w:val="true"/>
              </w:rPr>
              <w:t>الأوّل</w:t>
            </w:r>
            <w:r>
              <w:rPr>
                <w:rStyle w:val="IndexLink"/>
                <w:rtl w:val="true"/>
              </w:rPr>
              <w:t>:</w:t>
            </w:r>
            <w:r>
              <w:rPr>
                <w:rStyle w:val="IndexLink"/>
                <w:rtl w:val="true"/>
              </w:rPr>
              <w:t>ظهر من هذا جواز استعمال الثّلج مع وجود الماء</w:t>
            </w:r>
            <w:r>
              <w:rPr>
                <w:rStyle w:val="IndexLink"/>
                <w:rtl w:val="true"/>
              </w:rPr>
              <w:tab/>
            </w:r>
            <w:r>
              <w:rPr>
                <w:rStyle w:val="IndexLink"/>
              </w:rPr>
              <w:t>273</w:t>
            </w:r>
          </w:hyperlink>
        </w:p>
        <w:p>
          <w:pPr>
            <w:pStyle w:val="Contents6"/>
            <w:tabs>
              <w:tab w:val="clear" w:pos="7609"/>
              <w:tab w:val="right" w:pos="9026" w:leader="dot"/>
            </w:tabs>
            <w:rPr/>
          </w:pPr>
          <w:hyperlink w:anchor="__RefHeading___Toc747131_222507752">
            <w:r>
              <w:rPr>
                <w:webHidden/>
                <w:rStyle w:val="IndexLink"/>
                <w:rtl w:val="true"/>
              </w:rPr>
              <w:t>الثّاني</w:t>
            </w:r>
            <w:r>
              <w:rPr>
                <w:rStyle w:val="IndexLink"/>
                <w:rtl w:val="true"/>
              </w:rPr>
              <w:t>:</w:t>
            </w:r>
            <w:r>
              <w:rPr>
                <w:rStyle w:val="IndexLink"/>
                <w:rtl w:val="true"/>
              </w:rPr>
              <w:t>لو وقع في الماء القليل المائع الملاصق لما زاد على الكرّ من الثّلج نجاسة</w:t>
            </w:r>
            <w:r>
              <w:rPr>
                <w:rStyle w:val="IndexLink"/>
                <w:rtl w:val="true"/>
              </w:rPr>
              <w:tab/>
            </w:r>
            <w:r>
              <w:rPr>
                <w:rStyle w:val="IndexLink"/>
              </w:rPr>
              <w:t>273</w:t>
            </w:r>
          </w:hyperlink>
        </w:p>
        <w:p>
          <w:pPr>
            <w:pStyle w:val="Contents6"/>
            <w:tabs>
              <w:tab w:val="clear" w:pos="7609"/>
              <w:tab w:val="right" w:pos="9026" w:leader="dot"/>
            </w:tabs>
            <w:rPr/>
          </w:pPr>
          <w:hyperlink w:anchor="__RefHeading___Toc747133_222507752">
            <w:r>
              <w:rPr>
                <w:webHidden/>
                <w:rStyle w:val="IndexLink"/>
                <w:rtl w:val="true"/>
              </w:rPr>
              <w:t>مسألة</w:t>
            </w:r>
            <w:r>
              <w:rPr>
                <w:rStyle w:val="IndexLink"/>
                <w:rtl w:val="true"/>
              </w:rPr>
              <w:t>:</w:t>
            </w:r>
            <w:r>
              <w:rPr>
                <w:rStyle w:val="IndexLink"/>
                <w:rtl w:val="true"/>
              </w:rPr>
              <w:t>إذا كان معه إناءان أحدهما نجس بيقين و اشتبها،اجتنب ماءهما وجوبا</w:t>
            </w:r>
            <w:r>
              <w:rPr>
                <w:rStyle w:val="IndexLink"/>
                <w:rtl w:val="true"/>
              </w:rPr>
              <w:tab/>
            </w:r>
            <w:r>
              <w:rPr>
                <w:rStyle w:val="IndexLink"/>
              </w:rPr>
              <w:t>273</w:t>
            </w:r>
          </w:hyperlink>
        </w:p>
        <w:p>
          <w:pPr>
            <w:pStyle w:val="Contents6"/>
            <w:tabs>
              <w:tab w:val="clear" w:pos="7609"/>
              <w:tab w:val="right" w:pos="9026" w:leader="dot"/>
            </w:tabs>
            <w:rPr/>
          </w:pPr>
          <w:hyperlink w:anchor="__RefHeading___Toc747135_222507752">
            <w:r>
              <w:rPr>
                <w:webHidden/>
                <w:rStyle w:val="IndexLink"/>
                <w:rtl w:val="true"/>
              </w:rPr>
              <w:t>فروع</w:t>
            </w:r>
            <w:r>
              <w:rPr>
                <w:rStyle w:val="IndexLink"/>
                <w:rtl w:val="true"/>
              </w:rPr>
              <w:t>:</w:t>
              <w:tab/>
            </w:r>
            <w:r>
              <w:rPr>
                <w:rStyle w:val="IndexLink"/>
              </w:rPr>
              <w:t>276</w:t>
            </w:r>
          </w:hyperlink>
        </w:p>
        <w:p>
          <w:pPr>
            <w:pStyle w:val="Contents6"/>
            <w:tabs>
              <w:tab w:val="clear" w:pos="7609"/>
              <w:tab w:val="right" w:pos="9026" w:leader="dot"/>
            </w:tabs>
            <w:rPr/>
          </w:pPr>
          <w:hyperlink w:anchor="__RefHeading___Toc747137_222507752">
            <w:r>
              <w:rPr>
                <w:webHidden/>
                <w:rStyle w:val="IndexLink"/>
                <w:rtl w:val="true"/>
              </w:rPr>
              <w:t>الأوّل</w:t>
            </w:r>
            <w:r>
              <w:rPr>
                <w:rStyle w:val="IndexLink"/>
                <w:rtl w:val="true"/>
              </w:rPr>
              <w:t>:</w:t>
            </w:r>
            <w:r>
              <w:rPr>
                <w:rStyle w:val="IndexLink"/>
                <w:rtl w:val="true"/>
              </w:rPr>
              <w:t>حكم ما زاد على الإناءين حكم الإناءين في المنع من التّحرّي</w:t>
            </w:r>
            <w:r>
              <w:rPr>
                <w:rStyle w:val="IndexLink"/>
                <w:rtl w:val="true"/>
              </w:rPr>
              <w:tab/>
            </w:r>
            <w:r>
              <w:rPr>
                <w:rStyle w:val="IndexLink"/>
              </w:rPr>
              <w:t>276</w:t>
            </w:r>
          </w:hyperlink>
        </w:p>
        <w:p>
          <w:pPr>
            <w:pStyle w:val="Contents6"/>
            <w:tabs>
              <w:tab w:val="clear" w:pos="7609"/>
              <w:tab w:val="right" w:pos="9026" w:leader="dot"/>
            </w:tabs>
            <w:rPr/>
          </w:pPr>
          <w:hyperlink w:anchor="__RefHeading___Toc747139_222507752">
            <w:r>
              <w:rPr>
                <w:webHidden/>
                <w:rStyle w:val="IndexLink"/>
                <w:rtl w:val="true"/>
              </w:rPr>
              <w:t>الثّاني</w:t>
            </w:r>
            <w:r>
              <w:rPr>
                <w:rStyle w:val="IndexLink"/>
                <w:rtl w:val="true"/>
              </w:rPr>
              <w:t>:</w:t>
            </w:r>
            <w:r>
              <w:rPr>
                <w:rStyle w:val="IndexLink"/>
                <w:rtl w:val="true"/>
              </w:rPr>
              <w:t>لو كان أحدهما متيقّن الطّهارة و الآخر مشكوك النّجاسة</w:t>
            </w:r>
            <w:r>
              <w:rPr>
                <w:rStyle w:val="IndexLink"/>
                <w:rtl w:val="true"/>
              </w:rPr>
              <w:tab/>
            </w:r>
            <w:r>
              <w:rPr>
                <w:rStyle w:val="IndexLink"/>
              </w:rPr>
              <w:t>277</w:t>
            </w:r>
          </w:hyperlink>
        </w:p>
        <w:p>
          <w:pPr>
            <w:pStyle w:val="Contents6"/>
            <w:tabs>
              <w:tab w:val="clear" w:pos="7609"/>
              <w:tab w:val="right" w:pos="9026" w:leader="dot"/>
            </w:tabs>
            <w:rPr/>
          </w:pPr>
          <w:hyperlink w:anchor="__RefHeading___Toc747141_222507752">
            <w:r>
              <w:rPr>
                <w:webHidden/>
                <w:rStyle w:val="IndexLink"/>
                <w:rtl w:val="true"/>
              </w:rPr>
              <w:t>الثّالث</w:t>
            </w:r>
            <w:r>
              <w:rPr>
                <w:rStyle w:val="IndexLink"/>
                <w:rtl w:val="true"/>
              </w:rPr>
              <w:t>:</w:t>
            </w:r>
            <w:r>
              <w:rPr>
                <w:rStyle w:val="IndexLink"/>
                <w:rtl w:val="true"/>
              </w:rPr>
              <w:t>لو خاف العطش أمسك أيّهما شاء</w:t>
            </w:r>
            <w:r>
              <w:rPr>
                <w:rStyle w:val="IndexLink"/>
                <w:rtl w:val="true"/>
              </w:rPr>
              <w:tab/>
            </w:r>
            <w:r>
              <w:rPr>
                <w:rStyle w:val="IndexLink"/>
              </w:rPr>
              <w:t>277</w:t>
            </w:r>
          </w:hyperlink>
        </w:p>
        <w:p>
          <w:pPr>
            <w:pStyle w:val="Contents6"/>
            <w:tabs>
              <w:tab w:val="clear" w:pos="7609"/>
              <w:tab w:val="right" w:pos="9026" w:leader="dot"/>
            </w:tabs>
            <w:rPr/>
          </w:pPr>
          <w:hyperlink w:anchor="__RefHeading___Toc747143_222507752">
            <w:r>
              <w:rPr>
                <w:webHidden/>
                <w:rStyle w:val="IndexLink"/>
                <w:rtl w:val="true"/>
              </w:rPr>
              <w:t>الرّابع</w:t>
            </w:r>
            <w:r>
              <w:rPr>
                <w:rStyle w:val="IndexLink"/>
                <w:rtl w:val="true"/>
              </w:rPr>
              <w:t>:</w:t>
            </w:r>
            <w:r>
              <w:rPr>
                <w:rStyle w:val="IndexLink"/>
                <w:rtl w:val="true"/>
              </w:rPr>
              <w:t>لو استعمل الإناءين و أحدهما نجس مشتبه و صلّى،لم تصحّ صلاته</w:t>
            </w:r>
            <w:r>
              <w:rPr>
                <w:rStyle w:val="IndexLink"/>
                <w:rtl w:val="true"/>
              </w:rPr>
              <w:tab/>
            </w:r>
            <w:r>
              <w:rPr>
                <w:rStyle w:val="IndexLink"/>
              </w:rPr>
              <w:t>277</w:t>
            </w:r>
          </w:hyperlink>
        </w:p>
        <w:p>
          <w:pPr>
            <w:pStyle w:val="Contents6"/>
            <w:tabs>
              <w:tab w:val="clear" w:pos="7609"/>
              <w:tab w:val="right" w:pos="9026" w:leader="dot"/>
            </w:tabs>
            <w:rPr/>
          </w:pPr>
          <w:hyperlink w:anchor="__RefHeading___Toc747145_222507752">
            <w:r>
              <w:rPr>
                <w:webHidden/>
                <w:rStyle w:val="IndexLink"/>
                <w:rtl w:val="true"/>
              </w:rPr>
              <w:t>الخامس</w:t>
            </w:r>
            <w:r>
              <w:rPr>
                <w:rStyle w:val="IndexLink"/>
                <w:rtl w:val="true"/>
              </w:rPr>
              <w:t>:</w:t>
            </w:r>
            <w:r>
              <w:rPr>
                <w:rStyle w:val="IndexLink"/>
                <w:rtl w:val="true"/>
              </w:rPr>
              <w:t>لو كان معه ماء متيقّن الطّهارة،لم يجز له التّحرّي</w:t>
            </w:r>
            <w:r>
              <w:rPr>
                <w:rStyle w:val="IndexLink"/>
                <w:rtl w:val="true"/>
              </w:rPr>
              <w:tab/>
            </w:r>
            <w:r>
              <w:rPr>
                <w:rStyle w:val="IndexLink"/>
              </w:rPr>
              <w:t>278</w:t>
            </w:r>
          </w:hyperlink>
        </w:p>
        <w:p>
          <w:pPr>
            <w:pStyle w:val="Contents6"/>
            <w:tabs>
              <w:tab w:val="clear" w:pos="7609"/>
              <w:tab w:val="right" w:pos="9026" w:leader="dot"/>
            </w:tabs>
            <w:rPr/>
          </w:pPr>
          <w:hyperlink w:anchor="__RefHeading___Toc747147_222507752">
            <w:r>
              <w:rPr>
                <w:webHidden/>
                <w:rStyle w:val="IndexLink"/>
                <w:rtl w:val="true"/>
              </w:rPr>
              <w:t>السّادس</w:t>
            </w:r>
            <w:r>
              <w:rPr>
                <w:rStyle w:val="IndexLink"/>
                <w:rtl w:val="true"/>
              </w:rPr>
              <w:t>:</w:t>
            </w:r>
            <w:r>
              <w:rPr>
                <w:rStyle w:val="IndexLink"/>
                <w:rtl w:val="true"/>
              </w:rPr>
              <w:t>لو اشتبه بالمغصوب وجب اجتنابهما</w:t>
            </w:r>
            <w:r>
              <w:rPr>
                <w:rStyle w:val="IndexLink"/>
                <w:rtl w:val="true"/>
              </w:rPr>
              <w:tab/>
            </w:r>
            <w:r>
              <w:rPr>
                <w:rStyle w:val="IndexLink"/>
              </w:rPr>
              <w:t>278</w:t>
            </w:r>
          </w:hyperlink>
        </w:p>
        <w:p>
          <w:pPr>
            <w:pStyle w:val="Contents6"/>
            <w:tabs>
              <w:tab w:val="clear" w:pos="7609"/>
              <w:tab w:val="right" w:pos="9026" w:leader="dot"/>
            </w:tabs>
            <w:rPr/>
          </w:pPr>
          <w:hyperlink w:anchor="__RefHeading___Toc747149_222507752">
            <w:r>
              <w:rPr>
                <w:webHidden/>
                <w:rStyle w:val="IndexLink"/>
                <w:rtl w:val="true"/>
              </w:rPr>
              <w:t>السّابع</w:t>
            </w:r>
            <w:r>
              <w:rPr>
                <w:rStyle w:val="IndexLink"/>
                <w:rtl w:val="true"/>
              </w:rPr>
              <w:t>:</w:t>
            </w:r>
            <w:r>
              <w:rPr>
                <w:rStyle w:val="IndexLink"/>
                <w:rtl w:val="true"/>
              </w:rPr>
              <w:t>لا تجب الإراقة و لا المزج</w:t>
            </w:r>
            <w:r>
              <w:rPr>
                <w:rStyle w:val="IndexLink"/>
                <w:rtl w:val="true"/>
              </w:rPr>
              <w:tab/>
            </w:r>
            <w:r>
              <w:rPr>
                <w:rStyle w:val="IndexLink"/>
              </w:rPr>
              <w:t>278</w:t>
            </w:r>
          </w:hyperlink>
        </w:p>
        <w:p>
          <w:pPr>
            <w:pStyle w:val="Contents6"/>
            <w:tabs>
              <w:tab w:val="clear" w:pos="7609"/>
              <w:tab w:val="right" w:pos="9026" w:leader="dot"/>
            </w:tabs>
            <w:rPr/>
          </w:pPr>
          <w:hyperlink w:anchor="__RefHeading___Toc747151_222507752">
            <w:r>
              <w:rPr>
                <w:webHidden/>
                <w:rStyle w:val="IndexLink"/>
                <w:rtl w:val="true"/>
              </w:rPr>
              <w:t>الثّامن</w:t>
            </w:r>
            <w:r>
              <w:rPr>
                <w:rStyle w:val="IndexLink"/>
                <w:rtl w:val="true"/>
              </w:rPr>
              <w:t>:</w:t>
            </w:r>
            <w:r>
              <w:rPr>
                <w:rStyle w:val="IndexLink"/>
                <w:rtl w:val="true"/>
              </w:rPr>
              <w:t>لو بلغ ماؤهما كرّا لم يجب المزج،</w:t>
            </w:r>
            <w:r>
              <w:rPr>
                <w:rStyle w:val="IndexLink"/>
                <w:rtl w:val="true"/>
              </w:rPr>
              <w:tab/>
            </w:r>
            <w:r>
              <w:rPr>
                <w:rStyle w:val="IndexLink"/>
              </w:rPr>
              <w:t>278</w:t>
            </w:r>
          </w:hyperlink>
        </w:p>
        <w:p>
          <w:pPr>
            <w:pStyle w:val="Contents6"/>
            <w:tabs>
              <w:tab w:val="clear" w:pos="7609"/>
              <w:tab w:val="right" w:pos="9026" w:leader="dot"/>
            </w:tabs>
            <w:rPr/>
          </w:pPr>
          <w:hyperlink w:anchor="__RefHeading___Toc747153_222507752">
            <w:r>
              <w:rPr>
                <w:webHidden/>
                <w:rStyle w:val="IndexLink"/>
                <w:rtl w:val="true"/>
              </w:rPr>
              <w:t>التّاسع</w:t>
            </w:r>
            <w:r>
              <w:rPr>
                <w:rStyle w:val="IndexLink"/>
                <w:rtl w:val="true"/>
              </w:rPr>
              <w:t>:</w:t>
            </w:r>
            <w:r>
              <w:rPr>
                <w:rStyle w:val="IndexLink"/>
                <w:rtl w:val="true"/>
              </w:rPr>
              <w:t>لو أراق أحدهما،لم يجز التّحرّي أيضا</w:t>
            </w:r>
            <w:r>
              <w:rPr>
                <w:rStyle w:val="IndexLink"/>
                <w:rtl w:val="true"/>
              </w:rPr>
              <w:tab/>
            </w:r>
            <w:r>
              <w:rPr>
                <w:rStyle w:val="IndexLink"/>
              </w:rPr>
              <w:t>279</w:t>
            </w:r>
          </w:hyperlink>
        </w:p>
        <w:p>
          <w:pPr>
            <w:pStyle w:val="Contents6"/>
            <w:tabs>
              <w:tab w:val="clear" w:pos="7609"/>
              <w:tab w:val="right" w:pos="9026" w:leader="dot"/>
            </w:tabs>
            <w:rPr/>
          </w:pPr>
          <w:hyperlink w:anchor="__RefHeading___Toc747155_222507752">
            <w:r>
              <w:rPr>
                <w:webHidden/>
                <w:rStyle w:val="IndexLink"/>
                <w:rtl w:val="true"/>
              </w:rPr>
              <w:t>العاشر</w:t>
            </w:r>
            <w:r>
              <w:rPr>
                <w:rStyle w:val="IndexLink"/>
                <w:rtl w:val="true"/>
              </w:rPr>
              <w:t>:</w:t>
            </w:r>
            <w:r>
              <w:rPr>
                <w:rStyle w:val="IndexLink"/>
                <w:rtl w:val="true"/>
              </w:rPr>
              <w:t>كما لا يجوز التّحرّي في الإناءين من الماء،لا يجوز في غيرهما</w:t>
            </w:r>
            <w:r>
              <w:rPr>
                <w:rStyle w:val="IndexLink"/>
                <w:rtl w:val="true"/>
              </w:rPr>
              <w:tab/>
            </w:r>
            <w:r>
              <w:rPr>
                <w:rStyle w:val="IndexLink"/>
              </w:rPr>
              <w:t>279</w:t>
            </w:r>
          </w:hyperlink>
        </w:p>
        <w:p>
          <w:pPr>
            <w:pStyle w:val="Contents5"/>
            <w:tabs>
              <w:tab w:val="clear" w:pos="7892"/>
              <w:tab w:val="right" w:pos="9026" w:leader="dot"/>
            </w:tabs>
            <w:rPr/>
          </w:pPr>
          <w:hyperlink w:anchor="__RefHeading___Toc747157_222507752">
            <w:r>
              <w:rPr>
                <w:webHidden/>
                <w:rStyle w:val="IndexLink"/>
                <w:rtl w:val="true"/>
              </w:rPr>
              <w:t>المقصد الثّاني</w:t>
            </w:r>
            <w:r>
              <w:rPr>
                <w:rStyle w:val="IndexLink"/>
                <w:rtl w:val="true"/>
              </w:rPr>
              <w:t xml:space="preserve">: </w:t>
            </w:r>
            <w:r>
              <w:rPr>
                <w:rStyle w:val="IndexLink"/>
                <w:rtl w:val="true"/>
              </w:rPr>
              <w:t>في الوضوء و النّظر في الموجب و الكيفيّة و الأحكام</w:t>
            </w:r>
            <w:r>
              <w:rPr>
                <w:rStyle w:val="IndexLink"/>
                <w:rtl w:val="true"/>
              </w:rPr>
              <w:tab/>
            </w:r>
            <w:r>
              <w:rPr>
                <w:rStyle w:val="IndexLink"/>
              </w:rPr>
              <w:t>280</w:t>
            </w:r>
          </w:hyperlink>
        </w:p>
        <w:p>
          <w:pPr>
            <w:pStyle w:val="Contents6"/>
            <w:tabs>
              <w:tab w:val="clear" w:pos="7609"/>
              <w:tab w:val="right" w:pos="9026" w:leader="dot"/>
            </w:tabs>
            <w:rPr/>
          </w:pPr>
          <w:hyperlink w:anchor="__RefHeading___Toc747159_222507752">
            <w:r>
              <w:rPr>
                <w:webHidden/>
                <w:rStyle w:val="IndexLink"/>
                <w:rtl w:val="true"/>
              </w:rPr>
              <w:t>اشارة</w:t>
            </w:r>
            <w:r>
              <w:rPr>
                <w:rStyle w:val="IndexLink"/>
                <w:rtl w:val="true"/>
              </w:rPr>
              <w:tab/>
            </w:r>
            <w:r>
              <w:rPr>
                <w:rStyle w:val="IndexLink"/>
              </w:rPr>
              <w:t>280</w:t>
            </w:r>
          </w:hyperlink>
        </w:p>
        <w:p>
          <w:pPr>
            <w:pStyle w:val="Contents6"/>
            <w:tabs>
              <w:tab w:val="clear" w:pos="7609"/>
              <w:tab w:val="right" w:pos="9026" w:leader="dot"/>
            </w:tabs>
            <w:rPr/>
          </w:pPr>
          <w:hyperlink w:anchor="__RefHeading___Toc747161_222507752">
            <w:r>
              <w:rPr>
                <w:webHidden/>
                <w:rStyle w:val="IndexLink"/>
                <w:rtl w:val="true"/>
              </w:rPr>
              <w:t>الأوّل</w:t>
            </w:r>
            <w:r>
              <w:rPr>
                <w:rStyle w:val="IndexLink"/>
                <w:rtl w:val="true"/>
              </w:rPr>
              <w:t>:</w:t>
            </w:r>
            <w:r>
              <w:rPr>
                <w:rStyle w:val="IndexLink"/>
                <w:rtl w:val="true"/>
              </w:rPr>
              <w:t>في موجباته</w:t>
            </w:r>
            <w:r>
              <w:rPr>
                <w:rStyle w:val="IndexLink"/>
                <w:rtl w:val="true"/>
              </w:rPr>
              <w:tab/>
            </w:r>
            <w:r>
              <w:rPr>
                <w:rStyle w:val="IndexLink"/>
              </w:rPr>
              <w:t>282</w:t>
            </w:r>
          </w:hyperlink>
        </w:p>
        <w:p>
          <w:pPr>
            <w:pStyle w:val="Contents6"/>
            <w:tabs>
              <w:tab w:val="clear" w:pos="7609"/>
              <w:tab w:val="right" w:pos="9026" w:leader="dot"/>
            </w:tabs>
            <w:rPr/>
          </w:pPr>
          <w:hyperlink w:anchor="__RefHeading___Toc747163_222507752">
            <w:r>
              <w:rPr>
                <w:webHidden/>
                <w:rStyle w:val="IndexLink"/>
                <w:rtl w:val="true"/>
              </w:rPr>
              <w:t xml:space="preserve">مسألة </w:t>
            </w:r>
            <w:r>
              <w:rPr>
                <w:rStyle w:val="IndexLink"/>
                <w:rtl w:val="true"/>
              </w:rPr>
              <w:t>:</w:t>
            </w:r>
            <w:r>
              <w:rPr>
                <w:rStyle w:val="IndexLink"/>
                <w:rtl w:val="true"/>
              </w:rPr>
              <w:t>الحدث النّاقض للطّهارة</w:t>
            </w:r>
            <w:r>
              <w:rPr>
                <w:rStyle w:val="IndexLink"/>
                <w:rtl w:val="true"/>
              </w:rPr>
              <w:tab/>
            </w:r>
            <w:r>
              <w:rPr>
                <w:rStyle w:val="IndexLink"/>
              </w:rPr>
              <w:t>282</w:t>
            </w:r>
          </w:hyperlink>
        </w:p>
        <w:p>
          <w:pPr>
            <w:pStyle w:val="Contents6"/>
            <w:tabs>
              <w:tab w:val="clear" w:pos="7609"/>
              <w:tab w:val="right" w:pos="9026" w:leader="dot"/>
            </w:tabs>
            <w:rPr/>
          </w:pPr>
          <w:hyperlink w:anchor="__RefHeading___Toc747165_222507752">
            <w:r>
              <w:rPr>
                <w:webHidden/>
                <w:rStyle w:val="IndexLink"/>
                <w:rtl w:val="true"/>
              </w:rPr>
              <w:t>مسألة</w:t>
            </w:r>
            <w:r>
              <w:rPr>
                <w:rStyle w:val="IndexLink"/>
                <w:rtl w:val="true"/>
              </w:rPr>
              <w:t>:</w:t>
            </w:r>
            <w:r>
              <w:rPr>
                <w:rStyle w:val="IndexLink"/>
                <w:rtl w:val="true"/>
              </w:rPr>
              <w:t>لا نعرف خلافا بين أهل العلم في انّ خروج البول و الغائط و الرّيح من المعتاد</w:t>
            </w:r>
            <w:r>
              <w:rPr>
                <w:rStyle w:val="IndexLink"/>
                <w:rtl w:val="true"/>
              </w:rPr>
              <w:tab/>
            </w:r>
            <w:r>
              <w:rPr>
                <w:rStyle w:val="IndexLink"/>
              </w:rPr>
              <w:t>282</w:t>
            </w:r>
          </w:hyperlink>
        </w:p>
        <w:p>
          <w:pPr>
            <w:pStyle w:val="Contents6"/>
            <w:tabs>
              <w:tab w:val="clear" w:pos="7609"/>
              <w:tab w:val="right" w:pos="9026" w:leader="dot"/>
            </w:tabs>
            <w:rPr/>
          </w:pPr>
          <w:hyperlink w:anchor="__RefHeading___Toc747167_222507752">
            <w:r>
              <w:rPr>
                <w:webHidden/>
                <w:rStyle w:val="IndexLink"/>
                <w:rtl w:val="true"/>
              </w:rPr>
              <w:t>فروع</w:t>
            </w:r>
            <w:r>
              <w:rPr>
                <w:rStyle w:val="IndexLink"/>
                <w:rtl w:val="true"/>
              </w:rPr>
              <w:t>:</w:t>
              <w:tab/>
            </w:r>
            <w:r>
              <w:rPr>
                <w:rStyle w:val="IndexLink"/>
              </w:rPr>
              <w:t>283</w:t>
            </w:r>
          </w:hyperlink>
        </w:p>
        <w:p>
          <w:pPr>
            <w:pStyle w:val="Contents6"/>
            <w:tabs>
              <w:tab w:val="clear" w:pos="7609"/>
              <w:tab w:val="right" w:pos="9026" w:leader="dot"/>
            </w:tabs>
            <w:rPr/>
          </w:pPr>
          <w:hyperlink w:anchor="__RefHeading___Toc747169_222507752">
            <w:r>
              <w:rPr>
                <w:webHidden/>
                <w:rStyle w:val="IndexLink"/>
                <w:rtl w:val="true"/>
              </w:rPr>
              <w:t>الأوّل</w:t>
            </w:r>
            <w:r>
              <w:rPr>
                <w:rStyle w:val="IndexLink"/>
                <w:rtl w:val="true"/>
              </w:rPr>
              <w:t>:</w:t>
            </w:r>
            <w:r>
              <w:rPr>
                <w:rStyle w:val="IndexLink"/>
                <w:rtl w:val="true"/>
              </w:rPr>
              <w:t>لو خرج أحد الثّلاثة من غير المعتاد،فالوجه انّه لا ينقض</w:t>
            </w:r>
            <w:r>
              <w:rPr>
                <w:rStyle w:val="IndexLink"/>
                <w:rtl w:val="true"/>
              </w:rPr>
              <w:tab/>
            </w:r>
            <w:r>
              <w:rPr>
                <w:rStyle w:val="IndexLink"/>
              </w:rPr>
              <w:t>283</w:t>
            </w:r>
          </w:hyperlink>
        </w:p>
        <w:p>
          <w:pPr>
            <w:pStyle w:val="Contents6"/>
            <w:tabs>
              <w:tab w:val="clear" w:pos="7609"/>
              <w:tab w:val="right" w:pos="9026" w:leader="dot"/>
            </w:tabs>
            <w:rPr/>
          </w:pPr>
          <w:hyperlink w:anchor="__RefHeading___Toc747171_222507752">
            <w:r>
              <w:rPr>
                <w:webHidden/>
                <w:rStyle w:val="IndexLink"/>
                <w:rtl w:val="true"/>
              </w:rPr>
              <w:t>الثّاني</w:t>
            </w:r>
            <w:r>
              <w:rPr>
                <w:rStyle w:val="IndexLink"/>
                <w:rtl w:val="true"/>
              </w:rPr>
              <w:t>:</w:t>
            </w:r>
            <w:r>
              <w:rPr>
                <w:rStyle w:val="IndexLink"/>
                <w:rtl w:val="true"/>
              </w:rPr>
              <w:t>لو اتّفق المخرج في غير الموضع المعتاد خلقة،انتقضت الطّهارة بخروج الحدث</w:t>
            </w:r>
            <w:r>
              <w:rPr>
                <w:rStyle w:val="IndexLink"/>
                <w:rtl w:val="true"/>
              </w:rPr>
              <w:tab/>
            </w:r>
            <w:r>
              <w:rPr>
                <w:rStyle w:val="IndexLink"/>
              </w:rPr>
              <w:t>287</w:t>
            </w:r>
          </w:hyperlink>
        </w:p>
        <w:p>
          <w:pPr>
            <w:pStyle w:val="Contents6"/>
            <w:tabs>
              <w:tab w:val="clear" w:pos="7609"/>
              <w:tab w:val="right" w:pos="9026" w:leader="dot"/>
            </w:tabs>
            <w:rPr/>
          </w:pPr>
          <w:hyperlink w:anchor="__RefHeading___Toc747173_222507752">
            <w:r>
              <w:rPr>
                <w:webHidden/>
                <w:rStyle w:val="IndexLink"/>
                <w:rtl w:val="true"/>
              </w:rPr>
              <w:t>الثّالث</w:t>
            </w:r>
            <w:r>
              <w:rPr>
                <w:rStyle w:val="IndexLink"/>
                <w:rtl w:val="true"/>
              </w:rPr>
              <w:t>:</w:t>
            </w:r>
            <w:r>
              <w:rPr>
                <w:rStyle w:val="IndexLink"/>
                <w:rtl w:val="true"/>
              </w:rPr>
              <w:t>ما يخرج من السّبيلين غير البول و الغائط و الرّيح و المنيّ</w:t>
            </w:r>
            <w:r>
              <w:rPr>
                <w:rStyle w:val="IndexLink"/>
                <w:rtl w:val="true"/>
              </w:rPr>
              <w:t>.</w:t>
              <w:tab/>
            </w:r>
            <w:r>
              <w:rPr>
                <w:rStyle w:val="IndexLink"/>
              </w:rPr>
              <w:t>287</w:t>
            </w:r>
          </w:hyperlink>
        </w:p>
        <w:p>
          <w:pPr>
            <w:pStyle w:val="Contents6"/>
            <w:tabs>
              <w:tab w:val="clear" w:pos="7609"/>
              <w:tab w:val="right" w:pos="9026" w:leader="dot"/>
            </w:tabs>
            <w:rPr/>
          </w:pPr>
          <w:hyperlink w:anchor="__RefHeading___Toc747175_222507752">
            <w:r>
              <w:rPr>
                <w:webHidden/>
                <w:rStyle w:val="IndexLink"/>
                <w:rtl w:val="true"/>
              </w:rPr>
              <w:t>الرّابع</w:t>
            </w:r>
            <w:r>
              <w:rPr>
                <w:rStyle w:val="IndexLink"/>
                <w:rtl w:val="true"/>
              </w:rPr>
              <w:t>:</w:t>
            </w:r>
            <w:r>
              <w:rPr>
                <w:rStyle w:val="IndexLink"/>
                <w:rtl w:val="true"/>
              </w:rPr>
              <w:t>المذي،و الوذي</w:t>
            </w:r>
            <w:r>
              <w:rPr>
                <w:rStyle w:val="IndexLink"/>
                <w:rtl w:val="true"/>
              </w:rPr>
              <w:tab/>
            </w:r>
            <w:r>
              <w:rPr>
                <w:rStyle w:val="IndexLink"/>
              </w:rPr>
              <w:t>289</w:t>
            </w:r>
          </w:hyperlink>
        </w:p>
        <w:p>
          <w:pPr>
            <w:pStyle w:val="Contents6"/>
            <w:tabs>
              <w:tab w:val="clear" w:pos="7609"/>
              <w:tab w:val="right" w:pos="9026" w:leader="dot"/>
            </w:tabs>
            <w:rPr/>
          </w:pPr>
          <w:hyperlink w:anchor="__RefHeading___Toc747177_222507752">
            <w:r>
              <w:rPr>
                <w:webHidden/>
                <w:rStyle w:val="IndexLink"/>
                <w:rtl w:val="true"/>
              </w:rPr>
              <w:t>مسألة</w:t>
            </w:r>
            <w:r>
              <w:rPr>
                <w:rStyle w:val="IndexLink"/>
                <w:rtl w:val="true"/>
              </w:rPr>
              <w:t>:</w:t>
            </w:r>
            <w:r>
              <w:rPr>
                <w:rStyle w:val="IndexLink"/>
                <w:rtl w:val="true"/>
              </w:rPr>
              <w:t>قال علماؤنا</w:t>
            </w:r>
            <w:r>
              <w:rPr>
                <w:rStyle w:val="IndexLink"/>
                <w:rtl w:val="true"/>
              </w:rPr>
              <w:t>:</w:t>
            </w:r>
            <w:r>
              <w:rPr>
                <w:rStyle w:val="IndexLink"/>
                <w:rtl w:val="true"/>
              </w:rPr>
              <w:t>النّوم الغالب على السّمع و البصر ناقض للوضوء</w:t>
            </w:r>
            <w:r>
              <w:rPr>
                <w:rStyle w:val="IndexLink"/>
                <w:rtl w:val="true"/>
              </w:rPr>
              <w:tab/>
            </w:r>
            <w:r>
              <w:rPr>
                <w:rStyle w:val="IndexLink"/>
              </w:rPr>
              <w:t>292</w:t>
            </w:r>
          </w:hyperlink>
        </w:p>
        <w:p>
          <w:pPr>
            <w:pStyle w:val="Contents6"/>
            <w:tabs>
              <w:tab w:val="clear" w:pos="7609"/>
              <w:tab w:val="right" w:pos="9026" w:leader="dot"/>
            </w:tabs>
            <w:rPr/>
          </w:pPr>
          <w:hyperlink w:anchor="__RefHeading___Toc747179_222507752">
            <w:r>
              <w:rPr>
                <w:webHidden/>
                <w:rStyle w:val="IndexLink"/>
                <w:rtl w:val="true"/>
              </w:rPr>
              <w:t>فروع</w:t>
            </w:r>
            <w:r>
              <w:rPr>
                <w:rStyle w:val="IndexLink"/>
                <w:rtl w:val="true"/>
              </w:rPr>
              <w:t>:</w:t>
              <w:tab/>
            </w:r>
            <w:r>
              <w:rPr>
                <w:rStyle w:val="IndexLink"/>
              </w:rPr>
              <w:t>301</w:t>
            </w:r>
          </w:hyperlink>
        </w:p>
        <w:p>
          <w:pPr>
            <w:pStyle w:val="Contents6"/>
            <w:tabs>
              <w:tab w:val="clear" w:pos="7609"/>
              <w:tab w:val="right" w:pos="9026" w:leader="dot"/>
            </w:tabs>
            <w:rPr/>
          </w:pPr>
          <w:hyperlink w:anchor="__RefHeading___Toc747181_222507752">
            <w:r>
              <w:rPr>
                <w:webHidden/>
                <w:rStyle w:val="IndexLink"/>
                <w:rtl w:val="true"/>
              </w:rPr>
              <w:t>الأوّل</w:t>
            </w:r>
            <w:r>
              <w:rPr>
                <w:rStyle w:val="IndexLink"/>
                <w:rtl w:val="true"/>
              </w:rPr>
              <w:t>:</w:t>
            </w:r>
            <w:r>
              <w:rPr>
                <w:rStyle w:val="IndexLink"/>
                <w:rtl w:val="true"/>
              </w:rPr>
              <w:t>السّنة غير ناقضة</w:t>
            </w:r>
            <w:r>
              <w:rPr>
                <w:rStyle w:val="IndexLink"/>
                <w:rtl w:val="true"/>
              </w:rPr>
              <w:tab/>
            </w:r>
            <w:r>
              <w:rPr>
                <w:rStyle w:val="IndexLink"/>
              </w:rPr>
              <w:t>301</w:t>
            </w:r>
          </w:hyperlink>
        </w:p>
        <w:p>
          <w:pPr>
            <w:pStyle w:val="Contents6"/>
            <w:tabs>
              <w:tab w:val="clear" w:pos="7609"/>
              <w:tab w:val="right" w:pos="9026" w:leader="dot"/>
            </w:tabs>
            <w:rPr/>
          </w:pPr>
          <w:hyperlink w:anchor="__RefHeading___Toc747183_222507752">
            <w:r>
              <w:rPr>
                <w:webHidden/>
                <w:rStyle w:val="IndexLink"/>
                <w:rtl w:val="true"/>
              </w:rPr>
              <w:t>الثّاني</w:t>
            </w:r>
            <w:r>
              <w:rPr>
                <w:rStyle w:val="IndexLink"/>
                <w:rtl w:val="true"/>
              </w:rPr>
              <w:t>:</w:t>
            </w:r>
            <w:r>
              <w:rPr>
                <w:rStyle w:val="IndexLink"/>
                <w:rtl w:val="true"/>
              </w:rPr>
              <w:t>كلّما غلب على العقل من إغماء أو جنون أو سكر أو غيره،ناقض</w:t>
            </w:r>
            <w:r>
              <w:rPr>
                <w:rStyle w:val="IndexLink"/>
                <w:rtl w:val="true"/>
              </w:rPr>
              <w:tab/>
            </w:r>
            <w:r>
              <w:rPr>
                <w:rStyle w:val="IndexLink"/>
              </w:rPr>
              <w:t>301</w:t>
            </w:r>
          </w:hyperlink>
        </w:p>
        <w:p>
          <w:pPr>
            <w:pStyle w:val="Contents6"/>
            <w:tabs>
              <w:tab w:val="clear" w:pos="7609"/>
              <w:tab w:val="right" w:pos="9026" w:leader="dot"/>
            </w:tabs>
            <w:rPr/>
          </w:pPr>
          <w:hyperlink w:anchor="__RefHeading___Toc747185_222507752">
            <w:r>
              <w:rPr>
                <w:webHidden/>
                <w:rStyle w:val="IndexLink"/>
                <w:rtl w:val="true"/>
              </w:rPr>
              <w:t>الثّالث</w:t>
            </w:r>
            <w:r>
              <w:rPr>
                <w:rStyle w:val="IndexLink"/>
                <w:rtl w:val="true"/>
              </w:rPr>
              <w:t>:</w:t>
            </w:r>
            <w:r>
              <w:rPr>
                <w:rStyle w:val="IndexLink"/>
                <w:rtl w:val="true"/>
              </w:rPr>
              <w:t>لو نام المريض مضطجعا،نقض وضوؤه</w:t>
            </w:r>
            <w:r>
              <w:rPr>
                <w:rStyle w:val="IndexLink"/>
                <w:rtl w:val="true"/>
              </w:rPr>
              <w:tab/>
            </w:r>
            <w:r>
              <w:rPr>
                <w:rStyle w:val="IndexLink"/>
              </w:rPr>
              <w:t>302</w:t>
            </w:r>
          </w:hyperlink>
        </w:p>
        <w:p>
          <w:pPr>
            <w:pStyle w:val="Contents6"/>
            <w:tabs>
              <w:tab w:val="clear" w:pos="7609"/>
              <w:tab w:val="right" w:pos="9026" w:leader="dot"/>
            </w:tabs>
            <w:rPr/>
          </w:pPr>
          <w:hyperlink w:anchor="__RefHeading___Toc747187_222507752">
            <w:r>
              <w:rPr>
                <w:webHidden/>
                <w:rStyle w:val="IndexLink"/>
                <w:rtl w:val="true"/>
              </w:rPr>
              <w:t>مسألة</w:t>
            </w:r>
            <w:r>
              <w:rPr>
                <w:rStyle w:val="IndexLink"/>
                <w:rtl w:val="true"/>
              </w:rPr>
              <w:t>:</w:t>
            </w:r>
            <w:r>
              <w:rPr>
                <w:rStyle w:val="IndexLink"/>
                <w:rtl w:val="true"/>
              </w:rPr>
              <w:t>المشهور عند الأصحاب انّ الاستحاضة القليلة حدث موجب للوضوء</w:t>
            </w:r>
            <w:r>
              <w:rPr>
                <w:rStyle w:val="IndexLink"/>
                <w:rtl w:val="true"/>
              </w:rPr>
              <w:tab/>
            </w:r>
            <w:r>
              <w:rPr>
                <w:rStyle w:val="IndexLink"/>
              </w:rPr>
              <w:t>302</w:t>
            </w:r>
          </w:hyperlink>
        </w:p>
        <w:p>
          <w:pPr>
            <w:pStyle w:val="Contents6"/>
            <w:tabs>
              <w:tab w:val="clear" w:pos="7609"/>
              <w:tab w:val="right" w:pos="9026" w:leader="dot"/>
            </w:tabs>
            <w:rPr/>
          </w:pPr>
          <w:hyperlink w:anchor="__RefHeading___Toc747189_222507752">
            <w:r>
              <w:rPr>
                <w:webHidden/>
                <w:rStyle w:val="IndexLink"/>
                <w:rtl w:val="true"/>
              </w:rPr>
              <w:t>فروع</w:t>
            </w:r>
            <w:r>
              <w:rPr>
                <w:rStyle w:val="IndexLink"/>
                <w:rtl w:val="true"/>
              </w:rPr>
              <w:t>:</w:t>
              <w:tab/>
            </w:r>
            <w:r>
              <w:rPr>
                <w:rStyle w:val="IndexLink"/>
              </w:rPr>
              <w:t>303</w:t>
            </w:r>
          </w:hyperlink>
        </w:p>
        <w:p>
          <w:pPr>
            <w:pStyle w:val="Contents6"/>
            <w:tabs>
              <w:tab w:val="clear" w:pos="7609"/>
              <w:tab w:val="right" w:pos="9026" w:leader="dot"/>
            </w:tabs>
            <w:rPr/>
          </w:pPr>
          <w:hyperlink w:anchor="__RefHeading___Toc747191_222507752">
            <w:r>
              <w:rPr>
                <w:webHidden/>
                <w:rStyle w:val="IndexLink"/>
                <w:rtl w:val="true"/>
              </w:rPr>
              <w:t>الأوّل</w:t>
            </w:r>
            <w:r>
              <w:rPr>
                <w:rStyle w:val="IndexLink"/>
                <w:rtl w:val="true"/>
              </w:rPr>
              <w:t>:</w:t>
            </w:r>
            <w:r>
              <w:rPr>
                <w:rStyle w:val="IndexLink"/>
                <w:rtl w:val="true"/>
              </w:rPr>
              <w:t>لا تجمع المستحاضة بين صلاتين بوضوء واحد</w:t>
            </w:r>
            <w:r>
              <w:rPr>
                <w:rStyle w:val="IndexLink"/>
                <w:rtl w:val="true"/>
              </w:rPr>
              <w:tab/>
            </w:r>
            <w:r>
              <w:rPr>
                <w:rStyle w:val="IndexLink"/>
              </w:rPr>
              <w:t>303</w:t>
            </w:r>
          </w:hyperlink>
        </w:p>
        <w:p>
          <w:pPr>
            <w:pStyle w:val="Contents6"/>
            <w:tabs>
              <w:tab w:val="clear" w:pos="7609"/>
              <w:tab w:val="right" w:pos="9026" w:leader="dot"/>
            </w:tabs>
            <w:rPr/>
          </w:pPr>
          <w:hyperlink w:anchor="__RefHeading___Toc747193_222507752">
            <w:r>
              <w:rPr>
                <w:webHidden/>
                <w:rStyle w:val="IndexLink"/>
                <w:rtl w:val="true"/>
              </w:rPr>
              <w:t>الثّاني</w:t>
            </w:r>
            <w:r>
              <w:rPr>
                <w:rStyle w:val="IndexLink"/>
                <w:rtl w:val="true"/>
              </w:rPr>
              <w:t>:</w:t>
            </w:r>
            <w:r>
              <w:rPr>
                <w:rStyle w:val="IndexLink"/>
                <w:rtl w:val="true"/>
              </w:rPr>
              <w:t>لو توضّأت قبل دخول الوقت،لم يصحّ لعدم الضّرورة</w:t>
            </w:r>
            <w:r>
              <w:rPr>
                <w:rStyle w:val="IndexLink"/>
                <w:rtl w:val="true"/>
              </w:rPr>
              <w:tab/>
            </w:r>
            <w:r>
              <w:rPr>
                <w:rStyle w:val="IndexLink"/>
              </w:rPr>
              <w:t>304</w:t>
            </w:r>
          </w:hyperlink>
        </w:p>
        <w:p>
          <w:pPr>
            <w:pStyle w:val="Contents6"/>
            <w:tabs>
              <w:tab w:val="clear" w:pos="7609"/>
              <w:tab w:val="right" w:pos="9026" w:leader="dot"/>
            </w:tabs>
            <w:rPr/>
          </w:pPr>
          <w:hyperlink w:anchor="__RefHeading___Toc747195_222507752">
            <w:r>
              <w:rPr>
                <w:webHidden/>
                <w:rStyle w:val="IndexLink"/>
                <w:rtl w:val="true"/>
              </w:rPr>
              <w:t>الثّالث</w:t>
            </w:r>
            <w:r>
              <w:rPr>
                <w:rStyle w:val="IndexLink"/>
                <w:rtl w:val="true"/>
              </w:rPr>
              <w:t>:</w:t>
            </w:r>
            <w:r>
              <w:rPr>
                <w:rStyle w:val="IndexLink"/>
                <w:rtl w:val="true"/>
              </w:rPr>
              <w:t>لو انقطع دمها بعد الطّهارة للبرء و قبل الدّخول،استأنف الوضوء</w:t>
            </w:r>
            <w:r>
              <w:rPr>
                <w:rStyle w:val="IndexLink"/>
                <w:rtl w:val="true"/>
              </w:rPr>
              <w:tab/>
            </w:r>
            <w:r>
              <w:rPr>
                <w:rStyle w:val="IndexLink"/>
              </w:rPr>
              <w:t>304</w:t>
            </w:r>
          </w:hyperlink>
        </w:p>
        <w:p>
          <w:pPr>
            <w:pStyle w:val="Contents6"/>
            <w:tabs>
              <w:tab w:val="clear" w:pos="7609"/>
              <w:tab w:val="right" w:pos="9026" w:leader="dot"/>
            </w:tabs>
            <w:rPr/>
          </w:pPr>
          <w:hyperlink w:anchor="__RefHeading___Toc747197_222507752">
            <w:r>
              <w:rPr>
                <w:webHidden/>
                <w:rStyle w:val="IndexLink"/>
                <w:rtl w:val="true"/>
              </w:rPr>
              <w:t>الرّابع</w:t>
            </w:r>
            <w:r>
              <w:rPr>
                <w:rStyle w:val="IndexLink"/>
                <w:rtl w:val="true"/>
              </w:rPr>
              <w:t>:</w:t>
            </w:r>
            <w:r>
              <w:rPr>
                <w:rStyle w:val="IndexLink"/>
                <w:rtl w:val="true"/>
              </w:rPr>
              <w:t>هل يجب عليها الوضوء عند الصّلاة حتّى لو أخّرت الصّلاة</w:t>
            </w:r>
            <w:r>
              <w:rPr>
                <w:rStyle w:val="IndexLink"/>
                <w:rtl w:val="true"/>
              </w:rPr>
              <w:tab/>
            </w:r>
            <w:r>
              <w:rPr>
                <w:rStyle w:val="IndexLink"/>
              </w:rPr>
              <w:t>305</w:t>
            </w:r>
          </w:hyperlink>
        </w:p>
        <w:p>
          <w:pPr>
            <w:pStyle w:val="Contents6"/>
            <w:tabs>
              <w:tab w:val="clear" w:pos="7609"/>
              <w:tab w:val="right" w:pos="9026" w:leader="dot"/>
            </w:tabs>
            <w:rPr/>
          </w:pPr>
          <w:hyperlink w:anchor="__RefHeading___Toc747199_222507752">
            <w:r>
              <w:rPr>
                <w:webHidden/>
                <w:rStyle w:val="IndexLink"/>
                <w:rtl w:val="true"/>
              </w:rPr>
              <w:t>الخامس</w:t>
            </w:r>
            <w:r>
              <w:rPr>
                <w:rStyle w:val="IndexLink"/>
                <w:rtl w:val="true"/>
              </w:rPr>
              <w:t>:</w:t>
            </w:r>
            <w:r>
              <w:rPr>
                <w:rStyle w:val="IndexLink"/>
                <w:rtl w:val="true"/>
              </w:rPr>
              <w:t>ظهر ممّا قلنا انّ طهارتها تنتقض بدخول الوقت كما تنتقض بخروجه</w:t>
            </w:r>
            <w:r>
              <w:rPr>
                <w:rStyle w:val="IndexLink"/>
                <w:rtl w:val="true"/>
              </w:rPr>
              <w:tab/>
            </w:r>
            <w:r>
              <w:rPr>
                <w:rStyle w:val="IndexLink"/>
              </w:rPr>
              <w:t>306</w:t>
            </w:r>
          </w:hyperlink>
        </w:p>
        <w:p>
          <w:pPr>
            <w:pStyle w:val="Contents6"/>
            <w:tabs>
              <w:tab w:val="clear" w:pos="7609"/>
              <w:tab w:val="right" w:pos="9026" w:leader="dot"/>
            </w:tabs>
            <w:rPr/>
          </w:pPr>
          <w:hyperlink w:anchor="__RefHeading___Toc747201_222507752">
            <w:r>
              <w:rPr>
                <w:webHidden/>
                <w:rStyle w:val="IndexLink"/>
                <w:rtl w:val="true"/>
              </w:rPr>
              <w:t>مسألة</w:t>
            </w:r>
            <w:r>
              <w:rPr>
                <w:rStyle w:val="IndexLink"/>
                <w:rtl w:val="true"/>
              </w:rPr>
              <w:t>:</w:t>
            </w:r>
            <w:r>
              <w:rPr>
                <w:rStyle w:val="IndexLink"/>
                <w:rtl w:val="true"/>
              </w:rPr>
              <w:t>لا يوجب الوضوء وحده شيء سوى ما ذكرناه</w:t>
            </w:r>
            <w:r>
              <w:rPr>
                <w:rStyle w:val="IndexLink"/>
                <w:rtl w:val="true"/>
              </w:rPr>
              <w:tab/>
            </w:r>
            <w:r>
              <w:rPr>
                <w:rStyle w:val="IndexLink"/>
              </w:rPr>
              <w:t>307</w:t>
            </w:r>
          </w:hyperlink>
        </w:p>
        <w:p>
          <w:pPr>
            <w:pStyle w:val="Contents6"/>
            <w:tabs>
              <w:tab w:val="clear" w:pos="7609"/>
              <w:tab w:val="right" w:pos="9026" w:leader="dot"/>
            </w:tabs>
            <w:rPr/>
          </w:pPr>
          <w:hyperlink w:anchor="__RefHeading___Toc747203_222507752">
            <w:r>
              <w:rPr>
                <w:webHidden/>
                <w:rStyle w:val="IndexLink"/>
                <w:rtl w:val="true"/>
              </w:rPr>
              <w:t>و قد ذكر المخالفون أشياء توجب الوضوء</w:t>
            </w:r>
            <w:r>
              <w:rPr>
                <w:rStyle w:val="IndexLink"/>
                <w:rtl w:val="true"/>
              </w:rPr>
              <w:tab/>
            </w:r>
            <w:r>
              <w:rPr>
                <w:rStyle w:val="IndexLink"/>
              </w:rPr>
              <w:t>307</w:t>
            </w:r>
          </w:hyperlink>
        </w:p>
        <w:p>
          <w:pPr>
            <w:pStyle w:val="Contents6"/>
            <w:tabs>
              <w:tab w:val="clear" w:pos="7609"/>
              <w:tab w:val="right" w:pos="9026" w:leader="dot"/>
            </w:tabs>
            <w:rPr/>
          </w:pPr>
          <w:hyperlink w:anchor="__RefHeading___Toc747205_222507752">
            <w:r>
              <w:rPr>
                <w:webHidden/>
                <w:rStyle w:val="IndexLink"/>
                <w:rtl w:val="true"/>
              </w:rPr>
              <w:t>الأوّل</w:t>
            </w:r>
            <w:r>
              <w:rPr>
                <w:rStyle w:val="IndexLink"/>
                <w:rtl w:val="true"/>
              </w:rPr>
              <w:t>:</w:t>
            </w:r>
            <w:r>
              <w:rPr>
                <w:rStyle w:val="IndexLink"/>
                <w:rtl w:val="true"/>
              </w:rPr>
              <w:t>مسّ القبل و الدّبر سواء كان له أو لغيره</w:t>
            </w:r>
            <w:r>
              <w:rPr>
                <w:rStyle w:val="IndexLink"/>
                <w:rtl w:val="true"/>
              </w:rPr>
              <w:tab/>
            </w:r>
            <w:r>
              <w:rPr>
                <w:rStyle w:val="IndexLink"/>
              </w:rPr>
              <w:t>307</w:t>
            </w:r>
          </w:hyperlink>
        </w:p>
        <w:p>
          <w:pPr>
            <w:pStyle w:val="Contents6"/>
            <w:tabs>
              <w:tab w:val="clear" w:pos="7609"/>
              <w:tab w:val="right" w:pos="9026" w:leader="dot"/>
            </w:tabs>
            <w:rPr/>
          </w:pPr>
          <w:hyperlink w:anchor="__RefHeading___Toc747207_222507752">
            <w:r>
              <w:rPr>
                <w:webHidden/>
                <w:rStyle w:val="IndexLink"/>
                <w:rtl w:val="true"/>
              </w:rPr>
              <w:t>فروع</w:t>
            </w:r>
            <w:r>
              <w:rPr>
                <w:rStyle w:val="IndexLink"/>
                <w:rtl w:val="true"/>
              </w:rPr>
              <w:t>:</w:t>
              <w:tab/>
            </w:r>
            <w:r>
              <w:rPr>
                <w:rStyle w:val="IndexLink"/>
              </w:rPr>
              <w:t>315</w:t>
            </w:r>
          </w:hyperlink>
        </w:p>
        <w:p>
          <w:pPr>
            <w:pStyle w:val="Contents6"/>
            <w:tabs>
              <w:tab w:val="clear" w:pos="7609"/>
              <w:tab w:val="right" w:pos="9026" w:leader="dot"/>
            </w:tabs>
            <w:rPr/>
          </w:pPr>
          <w:hyperlink w:anchor="__RefHeading___Toc747209_222507752">
            <w:r>
              <w:rPr>
                <w:webHidden/>
                <w:rStyle w:val="IndexLink"/>
                <w:rtl w:val="true"/>
              </w:rPr>
              <w:t>الأوّل</w:t>
            </w:r>
            <w:r>
              <w:rPr>
                <w:rStyle w:val="IndexLink"/>
                <w:rtl w:val="true"/>
              </w:rPr>
              <w:t>:</w:t>
            </w:r>
            <w:r>
              <w:rPr>
                <w:rStyle w:val="IndexLink"/>
                <w:rtl w:val="true"/>
              </w:rPr>
              <w:t>لمس الشّعر عندنا لا يوجب الوضوء</w:t>
            </w:r>
            <w:r>
              <w:rPr>
                <w:rStyle w:val="IndexLink"/>
                <w:rtl w:val="true"/>
              </w:rPr>
              <w:t>.</w:t>
              <w:tab/>
            </w:r>
            <w:r>
              <w:rPr>
                <w:rStyle w:val="IndexLink"/>
              </w:rPr>
              <w:t>315</w:t>
            </w:r>
          </w:hyperlink>
        </w:p>
        <w:p>
          <w:pPr>
            <w:pStyle w:val="Contents6"/>
            <w:tabs>
              <w:tab w:val="clear" w:pos="7609"/>
              <w:tab w:val="right" w:pos="9026" w:leader="dot"/>
            </w:tabs>
            <w:rPr/>
          </w:pPr>
          <w:hyperlink w:anchor="__RefHeading___Toc747211_222507752">
            <w:r>
              <w:rPr>
                <w:webHidden/>
                <w:rStyle w:val="IndexLink"/>
                <w:rtl w:val="true"/>
              </w:rPr>
              <w:t>الثّاني</w:t>
            </w:r>
            <w:r>
              <w:rPr>
                <w:rStyle w:val="IndexLink"/>
                <w:rtl w:val="true"/>
              </w:rPr>
              <w:t>:</w:t>
            </w:r>
            <w:r>
              <w:rPr>
                <w:rStyle w:val="IndexLink"/>
                <w:rtl w:val="true"/>
              </w:rPr>
              <w:t>اللّمس من وراء حائل،لا يوجب الوضوء</w:t>
            </w:r>
            <w:r>
              <w:rPr>
                <w:rStyle w:val="IndexLink"/>
                <w:rtl w:val="true"/>
              </w:rPr>
              <w:t>.</w:t>
              <w:tab/>
            </w:r>
            <w:r>
              <w:rPr>
                <w:rStyle w:val="IndexLink"/>
              </w:rPr>
              <w:t>315</w:t>
            </w:r>
          </w:hyperlink>
        </w:p>
        <w:p>
          <w:pPr>
            <w:pStyle w:val="Contents6"/>
            <w:tabs>
              <w:tab w:val="clear" w:pos="7609"/>
              <w:tab w:val="right" w:pos="9026" w:leader="dot"/>
            </w:tabs>
            <w:rPr/>
          </w:pPr>
          <w:hyperlink w:anchor="__RefHeading___Toc747213_222507752">
            <w:r>
              <w:rPr>
                <w:webHidden/>
                <w:rStyle w:val="IndexLink"/>
                <w:rtl w:val="true"/>
              </w:rPr>
              <w:t>الثّالث</w:t>
            </w:r>
            <w:r>
              <w:rPr>
                <w:rStyle w:val="IndexLink"/>
                <w:rtl w:val="true"/>
              </w:rPr>
              <w:t>:</w:t>
            </w:r>
            <w:r>
              <w:rPr>
                <w:rStyle w:val="IndexLink"/>
                <w:rtl w:val="true"/>
              </w:rPr>
              <w:t>لو كان له إصبع زائدة فمسّ بباطنها ذكره لم تنتقض طهارته</w:t>
            </w:r>
            <w:r>
              <w:rPr>
                <w:rStyle w:val="IndexLink"/>
                <w:rtl w:val="true"/>
              </w:rPr>
              <w:t>.</w:t>
              <w:tab/>
            </w:r>
            <w:r>
              <w:rPr>
                <w:rStyle w:val="IndexLink"/>
              </w:rPr>
              <w:t>316</w:t>
            </w:r>
          </w:hyperlink>
        </w:p>
        <w:p>
          <w:pPr>
            <w:pStyle w:val="Contents6"/>
            <w:tabs>
              <w:tab w:val="clear" w:pos="7609"/>
              <w:tab w:val="right" w:pos="9026" w:leader="dot"/>
            </w:tabs>
            <w:rPr/>
          </w:pPr>
          <w:hyperlink w:anchor="__RefHeading___Toc747215_222507752">
            <w:r>
              <w:rPr>
                <w:webHidden/>
                <w:rStyle w:val="IndexLink"/>
                <w:rtl w:val="true"/>
              </w:rPr>
              <w:t>الرّابع</w:t>
            </w:r>
            <w:r>
              <w:rPr>
                <w:rStyle w:val="IndexLink"/>
                <w:rtl w:val="true"/>
              </w:rPr>
              <w:t>:</w:t>
            </w:r>
            <w:r>
              <w:rPr>
                <w:rStyle w:val="IndexLink"/>
                <w:rtl w:val="true"/>
              </w:rPr>
              <w:t>لا فرق بين مسّ ذكر صغير أو كبير عندنا في عدم النّقض،</w:t>
            </w:r>
            <w:r>
              <w:rPr>
                <w:rStyle w:val="IndexLink"/>
                <w:rtl w:val="true"/>
              </w:rPr>
              <w:tab/>
            </w:r>
            <w:r>
              <w:rPr>
                <w:rStyle w:val="IndexLink"/>
              </w:rPr>
              <w:t>316</w:t>
            </w:r>
          </w:hyperlink>
        </w:p>
        <w:p>
          <w:pPr>
            <w:pStyle w:val="Contents6"/>
            <w:tabs>
              <w:tab w:val="clear" w:pos="7609"/>
              <w:tab w:val="right" w:pos="9026" w:leader="dot"/>
            </w:tabs>
            <w:rPr/>
          </w:pPr>
          <w:hyperlink w:anchor="__RefHeading___Toc747217_222507752">
            <w:r>
              <w:rPr>
                <w:webHidden/>
                <w:rStyle w:val="IndexLink"/>
                <w:rtl w:val="true"/>
              </w:rPr>
              <w:t>الخامس</w:t>
            </w:r>
            <w:r>
              <w:rPr>
                <w:rStyle w:val="IndexLink"/>
                <w:rtl w:val="true"/>
              </w:rPr>
              <w:t>:</w:t>
            </w:r>
            <w:r>
              <w:rPr>
                <w:rStyle w:val="IndexLink"/>
                <w:rtl w:val="true"/>
              </w:rPr>
              <w:t>لو مسّ الأنثيين أو الألية أو العانة لم ينتقض وضوؤه</w:t>
            </w:r>
            <w:r>
              <w:rPr>
                <w:rStyle w:val="IndexLink"/>
                <w:rtl w:val="true"/>
              </w:rPr>
              <w:t>.</w:t>
              <w:tab/>
            </w:r>
            <w:r>
              <w:rPr>
                <w:rStyle w:val="IndexLink"/>
              </w:rPr>
              <w:t>316</w:t>
            </w:r>
          </w:hyperlink>
        </w:p>
        <w:p>
          <w:pPr>
            <w:pStyle w:val="Contents6"/>
            <w:tabs>
              <w:tab w:val="clear" w:pos="7609"/>
              <w:tab w:val="right" w:pos="9026" w:leader="dot"/>
            </w:tabs>
            <w:rPr/>
          </w:pPr>
          <w:hyperlink w:anchor="__RefHeading___Toc747219_222507752">
            <w:r>
              <w:rPr>
                <w:webHidden/>
                <w:rStyle w:val="IndexLink"/>
                <w:rtl w:val="true"/>
              </w:rPr>
              <w:t>السّادس</w:t>
            </w:r>
            <w:r>
              <w:rPr>
                <w:rStyle w:val="IndexLink"/>
                <w:rtl w:val="true"/>
              </w:rPr>
              <w:t>:</w:t>
            </w:r>
            <w:r>
              <w:rPr>
                <w:rStyle w:val="IndexLink"/>
                <w:rtl w:val="true"/>
              </w:rPr>
              <w:t>لو مسّت المرأة فرجها لم ينتقض وضوؤها</w:t>
            </w:r>
            <w:r>
              <w:rPr>
                <w:rStyle w:val="IndexLink"/>
                <w:rtl w:val="true"/>
              </w:rPr>
              <w:t>.</w:t>
              <w:tab/>
            </w:r>
            <w:r>
              <w:rPr>
                <w:rStyle w:val="IndexLink"/>
              </w:rPr>
              <w:t>316</w:t>
            </w:r>
          </w:hyperlink>
        </w:p>
        <w:p>
          <w:pPr>
            <w:pStyle w:val="Contents6"/>
            <w:tabs>
              <w:tab w:val="clear" w:pos="7609"/>
              <w:tab w:val="right" w:pos="9026" w:leader="dot"/>
            </w:tabs>
            <w:rPr/>
          </w:pPr>
          <w:hyperlink w:anchor="__RefHeading___Toc747221_222507752">
            <w:r>
              <w:rPr>
                <w:webHidden/>
                <w:rStyle w:val="IndexLink"/>
                <w:rtl w:val="true"/>
              </w:rPr>
              <w:t>الثّاني</w:t>
            </w:r>
            <w:r>
              <w:rPr>
                <w:rStyle w:val="IndexLink"/>
                <w:rtl w:val="true"/>
              </w:rPr>
              <w:t>:</w:t>
            </w:r>
            <w:r>
              <w:rPr>
                <w:rStyle w:val="IndexLink"/>
                <w:rtl w:val="true"/>
              </w:rPr>
              <w:t>القيء لا ينقض الوضوء،ملأ الفم أو لا</w:t>
            </w:r>
            <w:r>
              <w:rPr>
                <w:rStyle w:val="IndexLink"/>
                <w:rtl w:val="true"/>
              </w:rPr>
              <w:tab/>
            </w:r>
            <w:r>
              <w:rPr>
                <w:rStyle w:val="IndexLink"/>
              </w:rPr>
              <w:t>316</w:t>
            </w:r>
          </w:hyperlink>
        </w:p>
        <w:p>
          <w:pPr>
            <w:pStyle w:val="Contents6"/>
            <w:tabs>
              <w:tab w:val="clear" w:pos="7609"/>
              <w:tab w:val="right" w:pos="9026" w:leader="dot"/>
            </w:tabs>
            <w:rPr/>
          </w:pPr>
          <w:hyperlink w:anchor="__RefHeading___Toc747223_222507752">
            <w:r>
              <w:rPr>
                <w:webHidden/>
                <w:rStyle w:val="IndexLink"/>
                <w:rtl w:val="true"/>
              </w:rPr>
              <w:t>الثّالث</w:t>
            </w:r>
            <w:r>
              <w:rPr>
                <w:rStyle w:val="IndexLink"/>
                <w:rtl w:val="true"/>
              </w:rPr>
              <w:t>:</w:t>
            </w:r>
            <w:r>
              <w:rPr>
                <w:rStyle w:val="IndexLink"/>
                <w:rtl w:val="true"/>
              </w:rPr>
              <w:t>القهقهة غير ناقضة للوضوء و إن أبطلت الصّلاة</w:t>
            </w:r>
            <w:r>
              <w:rPr>
                <w:rStyle w:val="IndexLink"/>
                <w:rtl w:val="true"/>
              </w:rPr>
              <w:tab/>
            </w:r>
            <w:r>
              <w:rPr>
                <w:rStyle w:val="IndexLink"/>
              </w:rPr>
              <w:t>320</w:t>
            </w:r>
          </w:hyperlink>
        </w:p>
        <w:p>
          <w:pPr>
            <w:pStyle w:val="Contents6"/>
            <w:tabs>
              <w:tab w:val="clear" w:pos="7609"/>
              <w:tab w:val="right" w:pos="9026" w:leader="dot"/>
            </w:tabs>
            <w:rPr/>
          </w:pPr>
          <w:hyperlink w:anchor="__RefHeading___Toc747225_222507752">
            <w:r>
              <w:rPr>
                <w:webHidden/>
                <w:rStyle w:val="IndexLink"/>
                <w:rtl w:val="true"/>
              </w:rPr>
              <w:t>الرّابع</w:t>
            </w:r>
            <w:r>
              <w:rPr>
                <w:rStyle w:val="IndexLink"/>
                <w:rtl w:val="true"/>
              </w:rPr>
              <w:t>:</w:t>
            </w:r>
            <w:r>
              <w:rPr>
                <w:rStyle w:val="IndexLink"/>
                <w:rtl w:val="true"/>
              </w:rPr>
              <w:t>أكل ما مسّته النّار لا يوجب الوضوء،و كذا لحم الإبل</w:t>
            </w:r>
            <w:r>
              <w:rPr>
                <w:rStyle w:val="IndexLink"/>
                <w:rtl w:val="true"/>
              </w:rPr>
              <w:tab/>
            </w:r>
            <w:r>
              <w:rPr>
                <w:rStyle w:val="IndexLink"/>
              </w:rPr>
              <w:t>323</w:t>
            </w:r>
          </w:hyperlink>
        </w:p>
        <w:p>
          <w:pPr>
            <w:pStyle w:val="Contents6"/>
            <w:tabs>
              <w:tab w:val="clear" w:pos="7609"/>
              <w:tab w:val="right" w:pos="9026" w:leader="dot"/>
            </w:tabs>
            <w:rPr/>
          </w:pPr>
          <w:hyperlink w:anchor="__RefHeading___Toc747227_222507752">
            <w:r>
              <w:rPr>
                <w:webHidden/>
                <w:rStyle w:val="IndexLink"/>
                <w:rtl w:val="true"/>
              </w:rPr>
              <w:t>الخامس</w:t>
            </w:r>
            <w:r>
              <w:rPr>
                <w:rStyle w:val="IndexLink"/>
                <w:rtl w:val="true"/>
              </w:rPr>
              <w:t>:</w:t>
            </w:r>
            <w:r>
              <w:rPr>
                <w:rStyle w:val="IndexLink"/>
                <w:rtl w:val="true"/>
              </w:rPr>
              <w:t>شرب اللّبن مطلقا و غيره غير ناقض</w:t>
            </w:r>
            <w:r>
              <w:rPr>
                <w:rStyle w:val="IndexLink"/>
                <w:rtl w:val="true"/>
              </w:rPr>
              <w:tab/>
            </w:r>
            <w:r>
              <w:rPr>
                <w:rStyle w:val="IndexLink"/>
              </w:rPr>
              <w:t>327</w:t>
            </w:r>
          </w:hyperlink>
        </w:p>
        <w:p>
          <w:pPr>
            <w:pStyle w:val="Contents6"/>
            <w:tabs>
              <w:tab w:val="clear" w:pos="7609"/>
              <w:tab w:val="right" w:pos="9026" w:leader="dot"/>
            </w:tabs>
            <w:rPr/>
          </w:pPr>
          <w:hyperlink w:anchor="__RefHeading___Toc747229_222507752">
            <w:r>
              <w:rPr>
                <w:webHidden/>
                <w:rStyle w:val="IndexLink"/>
                <w:rtl w:val="true"/>
              </w:rPr>
              <w:t>فرع</w:t>
            </w:r>
            <w:r>
              <w:rPr>
                <w:rStyle w:val="IndexLink"/>
                <w:rtl w:val="true"/>
              </w:rPr>
              <w:t>:</w:t>
            </w:r>
            <w:r>
              <w:rPr>
                <w:rStyle w:val="IndexLink"/>
                <w:rtl w:val="true"/>
              </w:rPr>
              <w:t>لا فرق في عدم النّقض بين لحم البعير و سائر أجزائه</w:t>
            </w:r>
            <w:r>
              <w:rPr>
                <w:rStyle w:val="IndexLink"/>
                <w:rtl w:val="true"/>
              </w:rPr>
              <w:tab/>
            </w:r>
            <w:r>
              <w:rPr>
                <w:rStyle w:val="IndexLink"/>
              </w:rPr>
              <w:t>327</w:t>
            </w:r>
          </w:hyperlink>
        </w:p>
        <w:p>
          <w:pPr>
            <w:pStyle w:val="Contents6"/>
            <w:tabs>
              <w:tab w:val="clear" w:pos="7609"/>
              <w:tab w:val="right" w:pos="9026" w:leader="dot"/>
            </w:tabs>
            <w:rPr/>
          </w:pPr>
          <w:hyperlink w:anchor="__RefHeading___Toc747231_222507752">
            <w:r>
              <w:rPr>
                <w:webHidden/>
                <w:rStyle w:val="IndexLink"/>
                <w:rtl w:val="true"/>
              </w:rPr>
              <w:t>السّادس</w:t>
            </w:r>
            <w:r>
              <w:rPr>
                <w:rStyle w:val="IndexLink"/>
                <w:rtl w:val="true"/>
              </w:rPr>
              <w:t>:</w:t>
            </w:r>
            <w:r>
              <w:rPr>
                <w:rStyle w:val="IndexLink"/>
                <w:rtl w:val="true"/>
              </w:rPr>
              <w:t>الرّدّة</w:t>
            </w:r>
            <w:r>
              <w:rPr>
                <w:rStyle w:val="IndexLink"/>
                <w:rtl w:val="true"/>
              </w:rPr>
              <w:tab/>
            </w:r>
            <w:r>
              <w:rPr>
                <w:rStyle w:val="IndexLink"/>
              </w:rPr>
              <w:t>327</w:t>
            </w:r>
          </w:hyperlink>
        </w:p>
        <w:p>
          <w:pPr>
            <w:pStyle w:val="Contents6"/>
            <w:tabs>
              <w:tab w:val="clear" w:pos="7609"/>
              <w:tab w:val="right" w:pos="9026" w:leader="dot"/>
            </w:tabs>
            <w:rPr/>
          </w:pPr>
          <w:hyperlink w:anchor="__RefHeading___Toc747233_222507752">
            <w:r>
              <w:rPr>
                <w:webHidden/>
                <w:rStyle w:val="IndexLink"/>
                <w:rtl w:val="true"/>
              </w:rPr>
              <w:t>السّابع</w:t>
            </w:r>
            <w:r>
              <w:rPr>
                <w:rStyle w:val="IndexLink"/>
                <w:rtl w:val="true"/>
              </w:rPr>
              <w:t>:</w:t>
            </w:r>
            <w:r>
              <w:rPr>
                <w:rStyle w:val="IndexLink"/>
                <w:rtl w:val="true"/>
              </w:rPr>
              <w:t>إنشاد الشّعر و كلام الفحش و الكذب و الغيبة و القذف،غير ناقض</w:t>
            </w:r>
            <w:r>
              <w:rPr>
                <w:rStyle w:val="IndexLink"/>
                <w:rtl w:val="true"/>
              </w:rPr>
              <w:tab/>
            </w:r>
            <w:r>
              <w:rPr>
                <w:rStyle w:val="IndexLink"/>
              </w:rPr>
              <w:t>329</w:t>
            </w:r>
          </w:hyperlink>
        </w:p>
        <w:p>
          <w:pPr>
            <w:pStyle w:val="Contents6"/>
            <w:tabs>
              <w:tab w:val="clear" w:pos="7609"/>
              <w:tab w:val="right" w:pos="9026" w:leader="dot"/>
            </w:tabs>
            <w:rPr/>
          </w:pPr>
          <w:hyperlink w:anchor="__RefHeading___Toc747235_222507752">
            <w:r>
              <w:rPr>
                <w:webHidden/>
                <w:rStyle w:val="IndexLink"/>
                <w:rtl w:val="true"/>
              </w:rPr>
              <w:t>الثّامن</w:t>
            </w:r>
            <w:r>
              <w:rPr>
                <w:rStyle w:val="IndexLink"/>
                <w:rtl w:val="true"/>
              </w:rPr>
              <w:t>:</w:t>
            </w:r>
            <w:r>
              <w:rPr>
                <w:rStyle w:val="IndexLink"/>
                <w:rtl w:val="true"/>
              </w:rPr>
              <w:t>حلق الشّعر و نتفه و قصّ الأظفار لا ينقض الوضوء و لا يوجب غسل موضعه</w:t>
            </w:r>
            <w:r>
              <w:rPr>
                <w:rStyle w:val="IndexLink"/>
                <w:rtl w:val="true"/>
              </w:rPr>
              <w:tab/>
            </w:r>
            <w:r>
              <w:rPr>
                <w:rStyle w:val="IndexLink"/>
              </w:rPr>
              <w:t>330</w:t>
            </w:r>
          </w:hyperlink>
        </w:p>
        <w:p>
          <w:pPr>
            <w:pStyle w:val="Contents6"/>
            <w:tabs>
              <w:tab w:val="clear" w:pos="7609"/>
              <w:tab w:val="right" w:pos="9026" w:leader="dot"/>
            </w:tabs>
            <w:rPr/>
          </w:pPr>
          <w:hyperlink w:anchor="__RefHeading___Toc747237_222507752">
            <w:r>
              <w:rPr>
                <w:webHidden/>
                <w:rStyle w:val="IndexLink"/>
                <w:rtl w:val="true"/>
              </w:rPr>
              <w:t>التّاسع</w:t>
            </w:r>
            <w:r>
              <w:rPr>
                <w:rStyle w:val="IndexLink"/>
                <w:rtl w:val="true"/>
              </w:rPr>
              <w:t>:</w:t>
            </w:r>
            <w:r>
              <w:rPr>
                <w:rStyle w:val="IndexLink"/>
                <w:rtl w:val="true"/>
              </w:rPr>
              <w:t>ما يخرج من البدن من دم،أو قيح،أو نخامة،أو رطوبة،أو صديد،لا ينقض</w:t>
            </w:r>
            <w:r>
              <w:rPr>
                <w:rStyle w:val="IndexLink"/>
                <w:rtl w:val="true"/>
              </w:rPr>
              <w:tab/>
            </w:r>
            <w:r>
              <w:rPr>
                <w:rStyle w:val="IndexLink"/>
              </w:rPr>
              <w:t>331</w:t>
            </w:r>
          </w:hyperlink>
        </w:p>
        <w:p>
          <w:pPr>
            <w:pStyle w:val="Contents6"/>
            <w:tabs>
              <w:tab w:val="clear" w:pos="7609"/>
              <w:tab w:val="right" w:pos="9026" w:leader="dot"/>
            </w:tabs>
            <w:rPr/>
          </w:pPr>
          <w:hyperlink w:anchor="__RefHeading___Toc747239_222507752">
            <w:r>
              <w:rPr>
                <w:webHidden/>
                <w:rStyle w:val="IndexLink"/>
                <w:rtl w:val="true"/>
              </w:rPr>
              <w:t>العاشر</w:t>
            </w:r>
            <w:r>
              <w:rPr>
                <w:rStyle w:val="IndexLink"/>
                <w:rtl w:val="true"/>
              </w:rPr>
              <w:t>:</w:t>
            </w:r>
            <w:r>
              <w:rPr>
                <w:rStyle w:val="IndexLink"/>
                <w:rtl w:val="true"/>
              </w:rPr>
              <w:t>لا تنقض الطّهارة بظنّ الحدث،لأنّه متيقّن</w:t>
            </w:r>
            <w:r>
              <w:rPr>
                <w:rStyle w:val="IndexLink"/>
                <w:rtl w:val="true"/>
              </w:rPr>
              <w:tab/>
            </w:r>
            <w:r>
              <w:rPr>
                <w:rStyle w:val="IndexLink"/>
              </w:rPr>
              <w:t>333</w:t>
            </w:r>
          </w:hyperlink>
        </w:p>
        <w:p>
          <w:pPr>
            <w:pStyle w:val="Contents6"/>
            <w:tabs>
              <w:tab w:val="clear" w:pos="7609"/>
              <w:tab w:val="right" w:pos="9026" w:leader="dot"/>
            </w:tabs>
            <w:rPr/>
          </w:pPr>
          <w:hyperlink w:anchor="__RefHeading___Toc747241_222507752">
            <w:r>
              <w:rPr>
                <w:webHidden/>
                <w:rStyle w:val="IndexLink"/>
                <w:rtl w:val="true"/>
              </w:rPr>
              <w:t>الحادي عشر</w:t>
            </w:r>
            <w:r>
              <w:rPr>
                <w:rStyle w:val="IndexLink"/>
                <w:rtl w:val="true"/>
              </w:rPr>
              <w:t>:</w:t>
            </w:r>
            <w:r>
              <w:rPr>
                <w:rStyle w:val="IndexLink"/>
                <w:rtl w:val="true"/>
              </w:rPr>
              <w:t>القرقرة في البطن لا تنقض الوضوء</w:t>
            </w:r>
            <w:r>
              <w:rPr>
                <w:rStyle w:val="IndexLink"/>
                <w:rtl w:val="true"/>
              </w:rPr>
              <w:tab/>
            </w:r>
            <w:r>
              <w:rPr>
                <w:rStyle w:val="IndexLink"/>
              </w:rPr>
              <w:t>333</w:t>
            </w:r>
          </w:hyperlink>
        </w:p>
        <w:p>
          <w:pPr>
            <w:pStyle w:val="Contents6"/>
            <w:tabs>
              <w:tab w:val="clear" w:pos="7609"/>
              <w:tab w:val="right" w:pos="9026" w:leader="dot"/>
            </w:tabs>
            <w:rPr/>
          </w:pPr>
          <w:hyperlink w:anchor="__RefHeading___Toc747243_222507752">
            <w:r>
              <w:rPr>
                <w:webHidden/>
                <w:rStyle w:val="IndexLink"/>
                <w:rtl w:val="true"/>
              </w:rPr>
              <w:t>الثّاني عشر</w:t>
            </w:r>
            <w:r>
              <w:rPr>
                <w:rStyle w:val="IndexLink"/>
                <w:rtl w:val="true"/>
              </w:rPr>
              <w:t>:</w:t>
            </w:r>
            <w:r>
              <w:rPr>
                <w:rStyle w:val="IndexLink"/>
                <w:rtl w:val="true"/>
              </w:rPr>
              <w:t>لو ظهرت مقعدته لعلّة،لم ينتقض الوضوء</w:t>
            </w:r>
            <w:r>
              <w:rPr>
                <w:rStyle w:val="IndexLink"/>
                <w:rtl w:val="true"/>
              </w:rPr>
              <w:tab/>
            </w:r>
            <w:r>
              <w:rPr>
                <w:rStyle w:val="IndexLink"/>
              </w:rPr>
              <w:t>334</w:t>
            </w:r>
          </w:hyperlink>
        </w:p>
        <w:p>
          <w:pPr>
            <w:pStyle w:val="Contents6"/>
            <w:tabs>
              <w:tab w:val="clear" w:pos="7609"/>
              <w:tab w:val="right" w:pos="9026" w:leader="dot"/>
            </w:tabs>
            <w:rPr/>
          </w:pPr>
          <w:hyperlink w:anchor="__RefHeading___Toc747245_222507752">
            <w:r>
              <w:rPr>
                <w:webHidden/>
                <w:rStyle w:val="IndexLink"/>
                <w:rtl w:val="true"/>
              </w:rPr>
              <w:t>البحث الثّاني</w:t>
            </w:r>
            <w:r>
              <w:rPr>
                <w:rStyle w:val="IndexLink"/>
                <w:rtl w:val="true"/>
              </w:rPr>
              <w:t>:</w:t>
            </w:r>
            <w:r>
              <w:rPr>
                <w:rStyle w:val="IndexLink"/>
                <w:rtl w:val="true"/>
              </w:rPr>
              <w:t>في الاستطابة و آداب التّخلّي</w:t>
            </w:r>
            <w:r>
              <w:rPr>
                <w:rStyle w:val="IndexLink"/>
                <w:rtl w:val="true"/>
              </w:rPr>
              <w:tab/>
            </w:r>
            <w:r>
              <w:rPr>
                <w:rStyle w:val="IndexLink"/>
              </w:rPr>
              <w:t>334</w:t>
            </w:r>
          </w:hyperlink>
        </w:p>
        <w:p>
          <w:pPr>
            <w:pStyle w:val="Contents6"/>
            <w:tabs>
              <w:tab w:val="clear" w:pos="7609"/>
              <w:tab w:val="right" w:pos="9026" w:leader="dot"/>
            </w:tabs>
            <w:rPr/>
          </w:pPr>
          <w:hyperlink w:anchor="__RefHeading___Toc747247_222507752">
            <w:r>
              <w:rPr>
                <w:webHidden/>
                <w:rStyle w:val="IndexLink"/>
                <w:rtl w:val="true"/>
              </w:rPr>
              <w:t>مسألة</w:t>
            </w:r>
            <w:r>
              <w:rPr>
                <w:rStyle w:val="IndexLink"/>
                <w:rtl w:val="true"/>
              </w:rPr>
              <w:t>:</w:t>
            </w:r>
            <w:r>
              <w:rPr>
                <w:rStyle w:val="IndexLink"/>
                <w:rtl w:val="true"/>
              </w:rPr>
              <w:t>يجب ستر العورة مطلقا</w:t>
            </w:r>
            <w:r>
              <w:rPr>
                <w:rStyle w:val="IndexLink"/>
                <w:rtl w:val="true"/>
              </w:rPr>
              <w:tab/>
            </w:r>
            <w:r>
              <w:rPr>
                <w:rStyle w:val="IndexLink"/>
              </w:rPr>
              <w:t>335</w:t>
            </w:r>
          </w:hyperlink>
        </w:p>
        <w:p>
          <w:pPr>
            <w:pStyle w:val="Contents6"/>
            <w:tabs>
              <w:tab w:val="clear" w:pos="7609"/>
              <w:tab w:val="right" w:pos="9026" w:leader="dot"/>
            </w:tabs>
            <w:rPr/>
          </w:pPr>
          <w:hyperlink w:anchor="__RefHeading___Toc747249_222507752">
            <w:r>
              <w:rPr>
                <w:webHidden/>
                <w:rStyle w:val="IndexLink"/>
                <w:rtl w:val="true"/>
              </w:rPr>
              <w:t>فرع</w:t>
            </w:r>
            <w:r>
              <w:rPr>
                <w:rStyle w:val="IndexLink"/>
                <w:rtl w:val="true"/>
              </w:rPr>
              <w:t>:</w:t>
            </w:r>
            <w:r>
              <w:rPr>
                <w:rStyle w:val="IndexLink"/>
                <w:rtl w:val="true"/>
              </w:rPr>
              <w:t xml:space="preserve">المراد بالعورة هنا </w:t>
            </w:r>
            <w:r>
              <w:rPr>
                <w:rStyle w:val="IndexLink"/>
                <w:rtl w:val="true"/>
              </w:rPr>
              <w:t>:</w:t>
            </w:r>
            <w:r>
              <w:rPr>
                <w:rStyle w:val="IndexLink"/>
                <w:rtl w:val="true"/>
              </w:rPr>
              <w:t>القبل و الدّبر</w:t>
            </w:r>
            <w:r>
              <w:rPr>
                <w:rStyle w:val="IndexLink"/>
                <w:rtl w:val="true"/>
              </w:rPr>
              <w:tab/>
            </w:r>
            <w:r>
              <w:rPr>
                <w:rStyle w:val="IndexLink"/>
              </w:rPr>
              <w:t>336</w:t>
            </w:r>
          </w:hyperlink>
        </w:p>
        <w:p>
          <w:pPr>
            <w:pStyle w:val="Contents6"/>
            <w:tabs>
              <w:tab w:val="clear" w:pos="7609"/>
              <w:tab w:val="right" w:pos="9026" w:leader="dot"/>
            </w:tabs>
            <w:rPr/>
          </w:pPr>
          <w:hyperlink w:anchor="__RefHeading___Toc747251_222507752">
            <w:r>
              <w:rPr>
                <w:webHidden/>
                <w:rStyle w:val="IndexLink"/>
                <w:rtl w:val="true"/>
              </w:rPr>
              <w:t>مسألة</w:t>
            </w:r>
            <w:r>
              <w:rPr>
                <w:rStyle w:val="IndexLink"/>
                <w:rtl w:val="true"/>
              </w:rPr>
              <w:t>:</w:t>
            </w:r>
            <w:r>
              <w:rPr>
                <w:rStyle w:val="IndexLink"/>
                <w:rtl w:val="true"/>
              </w:rPr>
              <w:t>يحرم استقبال القبلة و استدبارها في الصّحاري و البنيان في البول و الغائط</w:t>
            </w:r>
            <w:r>
              <w:rPr>
                <w:rStyle w:val="IndexLink"/>
                <w:rtl w:val="true"/>
              </w:rPr>
              <w:tab/>
            </w:r>
            <w:r>
              <w:rPr>
                <w:rStyle w:val="IndexLink"/>
              </w:rPr>
              <w:t>337</w:t>
            </w:r>
          </w:hyperlink>
        </w:p>
        <w:p>
          <w:pPr>
            <w:pStyle w:val="Contents6"/>
            <w:tabs>
              <w:tab w:val="clear" w:pos="7609"/>
              <w:tab w:val="right" w:pos="9026" w:leader="dot"/>
            </w:tabs>
            <w:rPr/>
          </w:pPr>
          <w:hyperlink w:anchor="__RefHeading___Toc747253_222507752">
            <w:r>
              <w:rPr>
                <w:webHidden/>
                <w:rStyle w:val="IndexLink"/>
                <w:rtl w:val="true"/>
              </w:rPr>
              <w:t>فروع</w:t>
            </w:r>
            <w:r>
              <w:rPr>
                <w:rStyle w:val="IndexLink"/>
                <w:rtl w:val="true"/>
              </w:rPr>
              <w:t>:</w:t>
              <w:tab/>
            </w:r>
            <w:r>
              <w:rPr>
                <w:rStyle w:val="IndexLink"/>
              </w:rPr>
              <w:t>340</w:t>
            </w:r>
          </w:hyperlink>
        </w:p>
        <w:p>
          <w:pPr>
            <w:pStyle w:val="Contents6"/>
            <w:tabs>
              <w:tab w:val="clear" w:pos="7609"/>
              <w:tab w:val="right" w:pos="9026" w:leader="dot"/>
            </w:tabs>
            <w:rPr/>
          </w:pPr>
          <w:hyperlink w:anchor="__RefHeading___Toc747255_222507752">
            <w:r>
              <w:rPr>
                <w:webHidden/>
                <w:rStyle w:val="IndexLink"/>
                <w:rtl w:val="true"/>
              </w:rPr>
              <w:t>الأول</w:t>
            </w:r>
            <w:r>
              <w:rPr>
                <w:rStyle w:val="IndexLink"/>
                <w:rtl w:val="true"/>
              </w:rPr>
              <w:t>:</w:t>
            </w:r>
            <w:r>
              <w:rPr>
                <w:rStyle w:val="IndexLink"/>
                <w:rtl w:val="true"/>
              </w:rPr>
              <w:t>لو كان الموضع مبنيّا على الاستقبال و الاستدبار و أمكنه الانحراف</w:t>
            </w:r>
            <w:r>
              <w:rPr>
                <w:rStyle w:val="IndexLink"/>
                <w:rtl w:val="true"/>
              </w:rPr>
              <w:tab/>
            </w:r>
            <w:r>
              <w:rPr>
                <w:rStyle w:val="IndexLink"/>
              </w:rPr>
              <w:t>340</w:t>
            </w:r>
          </w:hyperlink>
        </w:p>
        <w:p>
          <w:pPr>
            <w:pStyle w:val="Contents6"/>
            <w:tabs>
              <w:tab w:val="clear" w:pos="7609"/>
              <w:tab w:val="right" w:pos="9026" w:leader="dot"/>
            </w:tabs>
            <w:rPr/>
          </w:pPr>
          <w:hyperlink w:anchor="__RefHeading___Toc747257_222507752">
            <w:r>
              <w:rPr>
                <w:webHidden/>
                <w:rStyle w:val="IndexLink"/>
                <w:rtl w:val="true"/>
              </w:rPr>
              <w:t>الثّاني</w:t>
            </w:r>
            <w:r>
              <w:rPr>
                <w:rStyle w:val="IndexLink"/>
                <w:rtl w:val="true"/>
              </w:rPr>
              <w:t>:</w:t>
            </w:r>
            <w:r>
              <w:rPr>
                <w:rStyle w:val="IndexLink"/>
                <w:rtl w:val="true"/>
              </w:rPr>
              <w:t>لو كان في الصّحراء و هدة ،أو نهر،أو شيء يستره جرى عند الشّافعيّة مجرى</w:t>
            </w:r>
            <w:r>
              <w:rPr>
                <w:rStyle w:val="IndexLink"/>
                <w:rtl w:val="true"/>
              </w:rPr>
              <w:tab/>
            </w:r>
            <w:r>
              <w:rPr>
                <w:rStyle w:val="IndexLink"/>
              </w:rPr>
              <w:t>340</w:t>
            </w:r>
          </w:hyperlink>
        </w:p>
        <w:p>
          <w:pPr>
            <w:pStyle w:val="Contents6"/>
            <w:tabs>
              <w:tab w:val="clear" w:pos="7609"/>
              <w:tab w:val="right" w:pos="9026" w:leader="dot"/>
            </w:tabs>
            <w:rPr/>
          </w:pPr>
          <w:hyperlink w:anchor="__RefHeading___Toc747259_222507752">
            <w:r>
              <w:rPr>
                <w:webHidden/>
                <w:rStyle w:val="IndexLink"/>
                <w:rtl w:val="true"/>
              </w:rPr>
              <w:t>الثّالث</w:t>
            </w:r>
            <w:r>
              <w:rPr>
                <w:rStyle w:val="IndexLink"/>
                <w:rtl w:val="true"/>
              </w:rPr>
              <w:t>:</w:t>
            </w:r>
            <w:r>
              <w:rPr>
                <w:rStyle w:val="IndexLink"/>
                <w:rtl w:val="true"/>
              </w:rPr>
              <w:t>روي انّه عليه السّلام نهى عن استقبال القبلتين</w:t>
            </w:r>
            <w:r>
              <w:rPr>
                <w:rStyle w:val="IndexLink"/>
                <w:rtl w:val="true"/>
              </w:rPr>
              <w:tab/>
            </w:r>
            <w:r>
              <w:rPr>
                <w:rStyle w:val="IndexLink"/>
              </w:rPr>
              <w:t>340</w:t>
            </w:r>
          </w:hyperlink>
        </w:p>
        <w:p>
          <w:pPr>
            <w:pStyle w:val="Contents6"/>
            <w:tabs>
              <w:tab w:val="clear" w:pos="7609"/>
              <w:tab w:val="right" w:pos="9026" w:leader="dot"/>
            </w:tabs>
            <w:rPr/>
          </w:pPr>
          <w:hyperlink w:anchor="__RefHeading___Toc747261_222507752">
            <w:r>
              <w:rPr>
                <w:webHidden/>
                <w:rStyle w:val="IndexLink"/>
                <w:rtl w:val="true"/>
              </w:rPr>
              <w:t>الرّابع</w:t>
            </w:r>
            <w:r>
              <w:rPr>
                <w:rStyle w:val="IndexLink"/>
                <w:rtl w:val="true"/>
              </w:rPr>
              <w:t>:</w:t>
            </w:r>
            <w:r>
              <w:rPr>
                <w:rStyle w:val="IndexLink"/>
                <w:rtl w:val="true"/>
              </w:rPr>
              <w:t>ليس التّسقيف شرطا في البنيان،</w:t>
            </w:r>
            <w:r>
              <w:rPr>
                <w:rStyle w:val="IndexLink"/>
                <w:rtl w:val="true"/>
              </w:rPr>
              <w:tab/>
            </w:r>
            <w:r>
              <w:rPr>
                <w:rStyle w:val="IndexLink"/>
              </w:rPr>
              <w:t>341</w:t>
            </w:r>
          </w:hyperlink>
        </w:p>
        <w:p>
          <w:pPr>
            <w:pStyle w:val="Contents6"/>
            <w:tabs>
              <w:tab w:val="clear" w:pos="7609"/>
              <w:tab w:val="right" w:pos="9026" w:leader="dot"/>
            </w:tabs>
            <w:rPr/>
          </w:pPr>
          <w:hyperlink w:anchor="__RefHeading___Toc747263_222507752">
            <w:r>
              <w:rPr>
                <w:webHidden/>
                <w:rStyle w:val="IndexLink"/>
                <w:rtl w:val="true"/>
              </w:rPr>
              <w:t>الخامس</w:t>
            </w:r>
            <w:r>
              <w:rPr>
                <w:rStyle w:val="IndexLink"/>
                <w:rtl w:val="true"/>
              </w:rPr>
              <w:t>:</w:t>
            </w:r>
            <w:r>
              <w:rPr>
                <w:rStyle w:val="IndexLink"/>
                <w:rtl w:val="true"/>
              </w:rPr>
              <w:t>قال بعض الشّافعيّة</w:t>
            </w:r>
            <w:r>
              <w:rPr>
                <w:rStyle w:val="IndexLink"/>
                <w:rtl w:val="true"/>
              </w:rPr>
              <w:t>:</w:t>
            </w:r>
            <w:r>
              <w:rPr>
                <w:rStyle w:val="IndexLink"/>
                <w:rtl w:val="true"/>
              </w:rPr>
              <w:t>إنّا لا نحرّم القعود في البنيان إذا قعد قريبا من البناء</w:t>
            </w:r>
            <w:r>
              <w:rPr>
                <w:rStyle w:val="IndexLink"/>
                <w:rtl w:val="true"/>
              </w:rPr>
              <w:tab/>
            </w:r>
            <w:r>
              <w:rPr>
                <w:rStyle w:val="IndexLink"/>
              </w:rPr>
              <w:t>341</w:t>
            </w:r>
          </w:hyperlink>
        </w:p>
        <w:p>
          <w:pPr>
            <w:pStyle w:val="Contents6"/>
            <w:tabs>
              <w:tab w:val="clear" w:pos="7609"/>
              <w:tab w:val="right" w:pos="9026" w:leader="dot"/>
            </w:tabs>
            <w:rPr/>
          </w:pPr>
          <w:hyperlink w:anchor="__RefHeading___Toc747265_222507752">
            <w:r>
              <w:rPr>
                <w:webHidden/>
                <w:rStyle w:val="IndexLink"/>
                <w:rtl w:val="true"/>
              </w:rPr>
              <w:t>السّادس</w:t>
            </w:r>
            <w:r>
              <w:rPr>
                <w:rStyle w:val="IndexLink"/>
                <w:rtl w:val="true"/>
              </w:rPr>
              <w:t>:</w:t>
            </w:r>
            <w:r>
              <w:rPr>
                <w:rStyle w:val="IndexLink"/>
                <w:rtl w:val="true"/>
              </w:rPr>
              <w:t>يكره استقبال بيت المقدس</w:t>
            </w:r>
            <w:r>
              <w:rPr>
                <w:rStyle w:val="IndexLink"/>
                <w:rtl w:val="true"/>
              </w:rPr>
              <w:tab/>
            </w:r>
            <w:r>
              <w:rPr>
                <w:rStyle w:val="IndexLink"/>
              </w:rPr>
              <w:t>341</w:t>
            </w:r>
          </w:hyperlink>
        </w:p>
        <w:p>
          <w:pPr>
            <w:pStyle w:val="Contents6"/>
            <w:tabs>
              <w:tab w:val="clear" w:pos="7609"/>
              <w:tab w:val="right" w:pos="9026" w:leader="dot"/>
            </w:tabs>
            <w:rPr/>
          </w:pPr>
          <w:hyperlink w:anchor="__RefHeading___Toc747267_222507752">
            <w:r>
              <w:rPr>
                <w:webHidden/>
                <w:rStyle w:val="IndexLink"/>
                <w:rtl w:val="true"/>
              </w:rPr>
              <w:t>مسألة</w:t>
            </w:r>
            <w:r>
              <w:rPr>
                <w:rStyle w:val="IndexLink"/>
                <w:rtl w:val="true"/>
              </w:rPr>
              <w:t>:</w:t>
            </w:r>
            <w:r>
              <w:rPr>
                <w:rStyle w:val="IndexLink"/>
                <w:rtl w:val="true"/>
              </w:rPr>
              <w:t>و يكره استقبال الشّمس و القمر بفرجه في البول و الغائط</w:t>
            </w:r>
            <w:r>
              <w:rPr>
                <w:rStyle w:val="IndexLink"/>
                <w:rtl w:val="true"/>
              </w:rPr>
              <w:tab/>
            </w:r>
            <w:r>
              <w:rPr>
                <w:rStyle w:val="IndexLink"/>
              </w:rPr>
              <w:t>341</w:t>
            </w:r>
          </w:hyperlink>
        </w:p>
        <w:p>
          <w:pPr>
            <w:pStyle w:val="Contents6"/>
            <w:tabs>
              <w:tab w:val="clear" w:pos="7609"/>
              <w:tab w:val="right" w:pos="9026" w:leader="dot"/>
            </w:tabs>
            <w:rPr/>
          </w:pPr>
          <w:hyperlink w:anchor="__RefHeading___Toc747269_222507752">
            <w:r>
              <w:rPr>
                <w:webHidden/>
                <w:rStyle w:val="IndexLink"/>
                <w:rtl w:val="true"/>
              </w:rPr>
              <w:t>فرع</w:t>
            </w:r>
            <w:r>
              <w:rPr>
                <w:rStyle w:val="IndexLink"/>
                <w:rtl w:val="true"/>
              </w:rPr>
              <w:t>:</w:t>
            </w:r>
            <w:r>
              <w:rPr>
                <w:rStyle w:val="IndexLink"/>
                <w:rtl w:val="true"/>
              </w:rPr>
              <w:t>لو استتر عنهما بشيء فلا بأس،</w:t>
            </w:r>
            <w:r>
              <w:rPr>
                <w:rStyle w:val="IndexLink"/>
                <w:rtl w:val="true"/>
              </w:rPr>
              <w:tab/>
            </w:r>
            <w:r>
              <w:rPr>
                <w:rStyle w:val="IndexLink"/>
              </w:rPr>
              <w:t>342</w:t>
            </w:r>
          </w:hyperlink>
        </w:p>
        <w:p>
          <w:pPr>
            <w:pStyle w:val="Contents6"/>
            <w:tabs>
              <w:tab w:val="clear" w:pos="7609"/>
              <w:tab w:val="right" w:pos="9026" w:leader="dot"/>
            </w:tabs>
            <w:rPr/>
          </w:pPr>
          <w:hyperlink w:anchor="__RefHeading___Toc747271_222507752">
            <w:r>
              <w:rPr>
                <w:webHidden/>
                <w:rStyle w:val="IndexLink"/>
                <w:rtl w:val="true"/>
              </w:rPr>
              <w:t>مسألة</w:t>
            </w:r>
            <w:r>
              <w:rPr>
                <w:rStyle w:val="IndexLink"/>
                <w:rtl w:val="true"/>
              </w:rPr>
              <w:t>:</w:t>
            </w:r>
            <w:r>
              <w:rPr>
                <w:rStyle w:val="IndexLink"/>
                <w:rtl w:val="true"/>
              </w:rPr>
              <w:t>و يكره في حال البول و الغائط أمور</w:t>
            </w:r>
            <w:r>
              <w:rPr>
                <w:rStyle w:val="IndexLink"/>
                <w:rtl w:val="true"/>
              </w:rPr>
              <w:t>:</w:t>
              <w:tab/>
            </w:r>
            <w:r>
              <w:rPr>
                <w:rStyle w:val="IndexLink"/>
              </w:rPr>
              <w:t>342</w:t>
            </w:r>
          </w:hyperlink>
        </w:p>
        <w:p>
          <w:pPr>
            <w:pStyle w:val="Contents6"/>
            <w:tabs>
              <w:tab w:val="clear" w:pos="7609"/>
              <w:tab w:val="right" w:pos="9026" w:leader="dot"/>
            </w:tabs>
            <w:rPr/>
          </w:pPr>
          <w:hyperlink w:anchor="__RefHeading___Toc747273_222507752">
            <w:r>
              <w:rPr>
                <w:webHidden/>
                <w:rStyle w:val="IndexLink"/>
                <w:rtl w:val="true"/>
              </w:rPr>
              <w:t>الأول</w:t>
            </w:r>
            <w:r>
              <w:rPr>
                <w:rStyle w:val="IndexLink"/>
                <w:rtl w:val="true"/>
              </w:rPr>
              <w:t>:</w:t>
            </w:r>
            <w:r>
              <w:rPr>
                <w:rStyle w:val="IndexLink"/>
                <w:rtl w:val="true"/>
              </w:rPr>
              <w:t>استقبال الرّيح بالبول</w:t>
            </w:r>
            <w:r>
              <w:rPr>
                <w:rStyle w:val="IndexLink"/>
                <w:rtl w:val="true"/>
              </w:rPr>
              <w:tab/>
            </w:r>
            <w:r>
              <w:rPr>
                <w:rStyle w:val="IndexLink"/>
              </w:rPr>
              <w:t>342</w:t>
            </w:r>
          </w:hyperlink>
        </w:p>
        <w:p>
          <w:pPr>
            <w:pStyle w:val="Contents6"/>
            <w:tabs>
              <w:tab w:val="clear" w:pos="7609"/>
              <w:tab w:val="right" w:pos="9026" w:leader="dot"/>
            </w:tabs>
            <w:rPr/>
          </w:pPr>
          <w:hyperlink w:anchor="__RefHeading___Toc747275_222507752">
            <w:r>
              <w:rPr>
                <w:webHidden/>
                <w:rStyle w:val="IndexLink"/>
                <w:rtl w:val="true"/>
              </w:rPr>
              <w:t>الثّاني</w:t>
            </w:r>
            <w:r>
              <w:rPr>
                <w:rStyle w:val="IndexLink"/>
                <w:rtl w:val="true"/>
              </w:rPr>
              <w:t>:</w:t>
            </w:r>
            <w:r>
              <w:rPr>
                <w:rStyle w:val="IndexLink"/>
                <w:rtl w:val="true"/>
              </w:rPr>
              <w:t>البول على الأرض الصّلبة لئلاّ يردّ عليه</w:t>
            </w:r>
            <w:r>
              <w:rPr>
                <w:rStyle w:val="IndexLink"/>
                <w:rtl w:val="true"/>
              </w:rPr>
              <w:tab/>
            </w:r>
            <w:r>
              <w:rPr>
                <w:rStyle w:val="IndexLink"/>
              </w:rPr>
              <w:t>342</w:t>
            </w:r>
          </w:hyperlink>
        </w:p>
        <w:p>
          <w:pPr>
            <w:pStyle w:val="Contents6"/>
            <w:tabs>
              <w:tab w:val="clear" w:pos="7609"/>
              <w:tab w:val="right" w:pos="9026" w:leader="dot"/>
            </w:tabs>
            <w:rPr/>
          </w:pPr>
          <w:hyperlink w:anchor="__RefHeading___Toc747277_222507752">
            <w:r>
              <w:rPr>
                <w:webHidden/>
                <w:rStyle w:val="IndexLink"/>
                <w:rtl w:val="true"/>
              </w:rPr>
              <w:t>الثّالث</w:t>
            </w:r>
            <w:r>
              <w:rPr>
                <w:rStyle w:val="IndexLink"/>
                <w:rtl w:val="true"/>
              </w:rPr>
              <w:t>:</w:t>
            </w:r>
            <w:r>
              <w:rPr>
                <w:rStyle w:val="IndexLink"/>
                <w:rtl w:val="true"/>
              </w:rPr>
              <w:t>البول قائما لئلاّ يترشّش عليه</w:t>
            </w:r>
            <w:r>
              <w:rPr>
                <w:rStyle w:val="IndexLink"/>
                <w:rtl w:val="true"/>
              </w:rPr>
              <w:tab/>
            </w:r>
            <w:r>
              <w:rPr>
                <w:rStyle w:val="IndexLink"/>
              </w:rPr>
              <w:t>342</w:t>
            </w:r>
          </w:hyperlink>
        </w:p>
        <w:p>
          <w:pPr>
            <w:pStyle w:val="Contents6"/>
            <w:tabs>
              <w:tab w:val="clear" w:pos="7609"/>
              <w:tab w:val="right" w:pos="9026" w:leader="dot"/>
            </w:tabs>
            <w:rPr/>
          </w:pPr>
          <w:hyperlink w:anchor="__RefHeading___Toc747279_222507752">
            <w:r>
              <w:rPr>
                <w:webHidden/>
                <w:rStyle w:val="IndexLink"/>
                <w:rtl w:val="true"/>
              </w:rPr>
              <w:t>الرّابع</w:t>
            </w:r>
            <w:r>
              <w:rPr>
                <w:rStyle w:val="IndexLink"/>
                <w:rtl w:val="true"/>
              </w:rPr>
              <w:t>:</w:t>
            </w:r>
            <w:r>
              <w:rPr>
                <w:rStyle w:val="IndexLink"/>
                <w:rtl w:val="true"/>
              </w:rPr>
              <w:t>أن يطمّح ببوله من السّطح في الهواء</w:t>
            </w:r>
            <w:r>
              <w:rPr>
                <w:rStyle w:val="IndexLink"/>
                <w:rtl w:val="true"/>
              </w:rPr>
              <w:tab/>
            </w:r>
            <w:r>
              <w:rPr>
                <w:rStyle w:val="IndexLink"/>
              </w:rPr>
              <w:t>343</w:t>
            </w:r>
          </w:hyperlink>
        </w:p>
        <w:p>
          <w:pPr>
            <w:pStyle w:val="Contents6"/>
            <w:tabs>
              <w:tab w:val="clear" w:pos="7609"/>
              <w:tab w:val="right" w:pos="9026" w:leader="dot"/>
            </w:tabs>
            <w:rPr/>
          </w:pPr>
          <w:hyperlink w:anchor="__RefHeading___Toc747281_222507752">
            <w:r>
              <w:rPr>
                <w:webHidden/>
                <w:rStyle w:val="IndexLink"/>
                <w:rtl w:val="true"/>
              </w:rPr>
              <w:t>الخامس</w:t>
            </w:r>
            <w:r>
              <w:rPr>
                <w:rStyle w:val="IndexLink"/>
                <w:rtl w:val="true"/>
              </w:rPr>
              <w:t>:</w:t>
            </w:r>
            <w:r>
              <w:rPr>
                <w:rStyle w:val="IndexLink"/>
                <w:rtl w:val="true"/>
              </w:rPr>
              <w:t>البول في الماء جاريا و راكدا</w:t>
            </w:r>
            <w:r>
              <w:rPr>
                <w:rStyle w:val="IndexLink"/>
                <w:rtl w:val="true"/>
              </w:rPr>
              <w:tab/>
            </w:r>
            <w:r>
              <w:rPr>
                <w:rStyle w:val="IndexLink"/>
              </w:rPr>
              <w:t>344</w:t>
            </w:r>
          </w:hyperlink>
        </w:p>
        <w:p>
          <w:pPr>
            <w:pStyle w:val="Contents6"/>
            <w:tabs>
              <w:tab w:val="clear" w:pos="7609"/>
              <w:tab w:val="right" w:pos="9026" w:leader="dot"/>
            </w:tabs>
            <w:rPr/>
          </w:pPr>
          <w:hyperlink w:anchor="__RefHeading___Toc747283_222507752">
            <w:r>
              <w:rPr>
                <w:webHidden/>
                <w:rStyle w:val="IndexLink"/>
                <w:rtl w:val="true"/>
              </w:rPr>
              <w:t>السّادس</w:t>
            </w:r>
            <w:r>
              <w:rPr>
                <w:rStyle w:val="IndexLink"/>
                <w:rtl w:val="true"/>
              </w:rPr>
              <w:t>:</w:t>
            </w:r>
            <w:r>
              <w:rPr>
                <w:rStyle w:val="IndexLink"/>
                <w:rtl w:val="true"/>
              </w:rPr>
              <w:t>الجلوس للحدث في المشارع،و الشّوارع،و مواضع اللّعن</w:t>
            </w:r>
            <w:r>
              <w:rPr>
                <w:rStyle w:val="IndexLink"/>
                <w:rtl w:val="true"/>
              </w:rPr>
              <w:tab/>
            </w:r>
            <w:r>
              <w:rPr>
                <w:rStyle w:val="IndexLink"/>
              </w:rPr>
              <w:t>344</w:t>
            </w:r>
          </w:hyperlink>
        </w:p>
        <w:p>
          <w:pPr>
            <w:pStyle w:val="Contents6"/>
            <w:tabs>
              <w:tab w:val="clear" w:pos="7609"/>
              <w:tab w:val="right" w:pos="9026" w:leader="dot"/>
            </w:tabs>
            <w:rPr/>
          </w:pPr>
          <w:hyperlink w:anchor="__RefHeading___Toc747285_222507752">
            <w:r>
              <w:rPr>
                <w:webHidden/>
                <w:rStyle w:val="IndexLink"/>
                <w:rtl w:val="true"/>
              </w:rPr>
              <w:t>السّابع</w:t>
            </w:r>
            <w:r>
              <w:rPr>
                <w:rStyle w:val="IndexLink"/>
                <w:rtl w:val="true"/>
              </w:rPr>
              <w:t>:</w:t>
            </w:r>
            <w:r>
              <w:rPr>
                <w:rStyle w:val="IndexLink"/>
                <w:rtl w:val="true"/>
              </w:rPr>
              <w:t>السّواك على الخلاء</w:t>
            </w:r>
            <w:r>
              <w:rPr>
                <w:rStyle w:val="IndexLink"/>
                <w:rtl w:val="true"/>
              </w:rPr>
              <w:tab/>
            </w:r>
            <w:r>
              <w:rPr>
                <w:rStyle w:val="IndexLink"/>
              </w:rPr>
              <w:t>346</w:t>
            </w:r>
          </w:hyperlink>
        </w:p>
        <w:p>
          <w:pPr>
            <w:pStyle w:val="Contents6"/>
            <w:tabs>
              <w:tab w:val="clear" w:pos="7609"/>
              <w:tab w:val="right" w:pos="9026" w:leader="dot"/>
            </w:tabs>
            <w:rPr/>
          </w:pPr>
          <w:hyperlink w:anchor="__RefHeading___Toc747287_222507752">
            <w:r>
              <w:rPr>
                <w:webHidden/>
                <w:rStyle w:val="IndexLink"/>
                <w:rtl w:val="true"/>
              </w:rPr>
              <w:t>الثّامن</w:t>
            </w:r>
            <w:r>
              <w:rPr>
                <w:rStyle w:val="IndexLink"/>
                <w:rtl w:val="true"/>
              </w:rPr>
              <w:t>:</w:t>
            </w:r>
            <w:r>
              <w:rPr>
                <w:rStyle w:val="IndexLink"/>
                <w:rtl w:val="true"/>
              </w:rPr>
              <w:t>الكلام على حال الخلاء</w:t>
            </w:r>
            <w:r>
              <w:rPr>
                <w:rStyle w:val="IndexLink"/>
                <w:rtl w:val="true"/>
              </w:rPr>
              <w:tab/>
            </w:r>
            <w:r>
              <w:rPr>
                <w:rStyle w:val="IndexLink"/>
              </w:rPr>
              <w:t>346</w:t>
            </w:r>
          </w:hyperlink>
        </w:p>
        <w:p>
          <w:pPr>
            <w:pStyle w:val="Contents6"/>
            <w:tabs>
              <w:tab w:val="clear" w:pos="7609"/>
              <w:tab w:val="right" w:pos="9026" w:leader="dot"/>
            </w:tabs>
            <w:rPr/>
          </w:pPr>
          <w:hyperlink w:anchor="__RefHeading___Toc747289_222507752">
            <w:r>
              <w:rPr>
                <w:webHidden/>
                <w:rStyle w:val="IndexLink"/>
                <w:rtl w:val="true"/>
              </w:rPr>
              <w:t>فروع</w:t>
            </w:r>
            <w:r>
              <w:rPr>
                <w:rStyle w:val="IndexLink"/>
                <w:rtl w:val="true"/>
              </w:rPr>
              <w:t>:</w:t>
              <w:tab/>
            </w:r>
            <w:r>
              <w:rPr>
                <w:rStyle w:val="IndexLink"/>
              </w:rPr>
              <w:t>348</w:t>
            </w:r>
          </w:hyperlink>
        </w:p>
        <w:p>
          <w:pPr>
            <w:pStyle w:val="Contents6"/>
            <w:tabs>
              <w:tab w:val="clear" w:pos="7609"/>
              <w:tab w:val="right" w:pos="9026" w:leader="dot"/>
            </w:tabs>
            <w:rPr/>
          </w:pPr>
          <w:hyperlink w:anchor="__RefHeading___Toc747291_222507752">
            <w:r>
              <w:rPr>
                <w:webHidden/>
                <w:rStyle w:val="IndexLink"/>
                <w:rtl w:val="true"/>
              </w:rPr>
              <w:t>الأوّل</w:t>
            </w:r>
            <w:r>
              <w:rPr>
                <w:rStyle w:val="IndexLink"/>
                <w:rtl w:val="true"/>
              </w:rPr>
              <w:t>:</w:t>
            </w:r>
            <w:r>
              <w:rPr>
                <w:rStyle w:val="IndexLink"/>
                <w:rtl w:val="true"/>
              </w:rPr>
              <w:t>يجب ردّ السّلام</w:t>
            </w:r>
            <w:r>
              <w:rPr>
                <w:rStyle w:val="IndexLink"/>
                <w:rtl w:val="true"/>
              </w:rPr>
              <w:tab/>
            </w:r>
            <w:r>
              <w:rPr>
                <w:rStyle w:val="IndexLink"/>
              </w:rPr>
              <w:t>348</w:t>
            </w:r>
          </w:hyperlink>
        </w:p>
        <w:p>
          <w:pPr>
            <w:pStyle w:val="Contents6"/>
            <w:tabs>
              <w:tab w:val="clear" w:pos="7609"/>
              <w:tab w:val="right" w:pos="9026" w:leader="dot"/>
            </w:tabs>
            <w:rPr/>
          </w:pPr>
          <w:hyperlink w:anchor="__RefHeading___Toc747293_222507752">
            <w:r>
              <w:rPr>
                <w:webHidden/>
                <w:rStyle w:val="IndexLink"/>
                <w:rtl w:val="true"/>
              </w:rPr>
              <w:t>الثّاني</w:t>
            </w:r>
            <w:r>
              <w:rPr>
                <w:rStyle w:val="IndexLink"/>
                <w:rtl w:val="true"/>
              </w:rPr>
              <w:t>:</w:t>
            </w:r>
            <w:r>
              <w:rPr>
                <w:rStyle w:val="IndexLink"/>
                <w:rtl w:val="true"/>
              </w:rPr>
              <w:t>يستحب أن يحمد اللّه تعالى إذا عطس،و أن يسمّت العاطس</w:t>
            </w:r>
            <w:r>
              <w:rPr>
                <w:rStyle w:val="IndexLink"/>
                <w:rtl w:val="true"/>
              </w:rPr>
              <w:tab/>
            </w:r>
            <w:r>
              <w:rPr>
                <w:rStyle w:val="IndexLink"/>
              </w:rPr>
              <w:t>348</w:t>
            </w:r>
          </w:hyperlink>
        </w:p>
        <w:p>
          <w:pPr>
            <w:pStyle w:val="Contents6"/>
            <w:tabs>
              <w:tab w:val="clear" w:pos="7609"/>
              <w:tab w:val="right" w:pos="9026" w:leader="dot"/>
            </w:tabs>
            <w:rPr/>
          </w:pPr>
          <w:hyperlink w:anchor="__RefHeading___Toc747295_222507752">
            <w:r>
              <w:rPr>
                <w:webHidden/>
                <w:rStyle w:val="IndexLink"/>
                <w:rtl w:val="true"/>
              </w:rPr>
              <w:t>الثّالث</w:t>
            </w:r>
            <w:r>
              <w:rPr>
                <w:rStyle w:val="IndexLink"/>
                <w:rtl w:val="true"/>
              </w:rPr>
              <w:t>:</w:t>
            </w:r>
            <w:r>
              <w:rPr>
                <w:rStyle w:val="IndexLink"/>
                <w:rtl w:val="true"/>
              </w:rPr>
              <w:t>لو احتاج إلى أمر</w:t>
            </w:r>
            <w:r>
              <w:rPr>
                <w:rStyle w:val="IndexLink"/>
                <w:rtl w:val="true"/>
              </w:rPr>
              <w:tab/>
            </w:r>
            <w:r>
              <w:rPr>
                <w:rStyle w:val="IndexLink"/>
              </w:rPr>
              <w:t>348</w:t>
            </w:r>
          </w:hyperlink>
        </w:p>
        <w:p>
          <w:pPr>
            <w:pStyle w:val="Contents6"/>
            <w:tabs>
              <w:tab w:val="clear" w:pos="7609"/>
              <w:tab w:val="right" w:pos="9026" w:leader="dot"/>
            </w:tabs>
            <w:rPr/>
          </w:pPr>
          <w:hyperlink w:anchor="__RefHeading___Toc747297_222507752">
            <w:r>
              <w:rPr>
                <w:webHidden/>
                <w:rStyle w:val="IndexLink"/>
                <w:rtl w:val="true"/>
              </w:rPr>
              <w:t>التّاسع</w:t>
            </w:r>
            <w:r>
              <w:rPr>
                <w:rStyle w:val="IndexLink"/>
                <w:rtl w:val="true"/>
              </w:rPr>
              <w:t>:</w:t>
            </w:r>
            <w:r>
              <w:rPr>
                <w:rStyle w:val="IndexLink"/>
                <w:rtl w:val="true"/>
              </w:rPr>
              <w:t>الاستنجاء باليمين</w:t>
            </w:r>
            <w:r>
              <w:rPr>
                <w:rStyle w:val="IndexLink"/>
                <w:rtl w:val="true"/>
              </w:rPr>
              <w:tab/>
            </w:r>
            <w:r>
              <w:rPr>
                <w:rStyle w:val="IndexLink"/>
              </w:rPr>
              <w:t>348</w:t>
            </w:r>
          </w:hyperlink>
        </w:p>
        <w:p>
          <w:pPr>
            <w:pStyle w:val="Contents6"/>
            <w:tabs>
              <w:tab w:val="clear" w:pos="7609"/>
              <w:tab w:val="right" w:pos="9026" w:leader="dot"/>
            </w:tabs>
            <w:rPr/>
          </w:pPr>
          <w:hyperlink w:anchor="__RefHeading___Toc747299_222507752">
            <w:r>
              <w:rPr>
                <w:webHidden/>
                <w:rStyle w:val="IndexLink"/>
                <w:rtl w:val="true"/>
              </w:rPr>
              <w:t>فروع</w:t>
            </w:r>
            <w:r>
              <w:rPr>
                <w:rStyle w:val="IndexLink"/>
                <w:rtl w:val="true"/>
              </w:rPr>
              <w:t>:</w:t>
              <w:tab/>
            </w:r>
            <w:r>
              <w:rPr>
                <w:rStyle w:val="IndexLink"/>
              </w:rPr>
              <w:t>349</w:t>
            </w:r>
          </w:hyperlink>
        </w:p>
        <w:p>
          <w:pPr>
            <w:pStyle w:val="Contents6"/>
            <w:tabs>
              <w:tab w:val="clear" w:pos="7609"/>
              <w:tab w:val="right" w:pos="9026" w:leader="dot"/>
            </w:tabs>
            <w:rPr/>
          </w:pPr>
          <w:hyperlink w:anchor="__RefHeading___Toc747301_222507752">
            <w:r>
              <w:rPr>
                <w:webHidden/>
                <w:rStyle w:val="IndexLink"/>
                <w:rtl w:val="true"/>
              </w:rPr>
              <w:t>الأوّل</w:t>
            </w:r>
            <w:r>
              <w:rPr>
                <w:rStyle w:val="IndexLink"/>
                <w:rtl w:val="true"/>
              </w:rPr>
              <w:t>:</w:t>
            </w:r>
            <w:r>
              <w:rPr>
                <w:rStyle w:val="IndexLink"/>
                <w:rtl w:val="true"/>
              </w:rPr>
              <w:t>لو استنجى بيمينه أجزأ،</w:t>
            </w:r>
            <w:r>
              <w:rPr>
                <w:rStyle w:val="IndexLink"/>
                <w:rtl w:val="true"/>
              </w:rPr>
              <w:tab/>
            </w:r>
            <w:r>
              <w:rPr>
                <w:rStyle w:val="IndexLink"/>
              </w:rPr>
              <w:t>349</w:t>
            </w:r>
          </w:hyperlink>
        </w:p>
        <w:p>
          <w:pPr>
            <w:pStyle w:val="Contents6"/>
            <w:tabs>
              <w:tab w:val="clear" w:pos="7609"/>
              <w:tab w:val="right" w:pos="9026" w:leader="dot"/>
            </w:tabs>
            <w:rPr/>
          </w:pPr>
          <w:hyperlink w:anchor="__RefHeading___Toc747303_222507752">
            <w:r>
              <w:rPr>
                <w:webHidden/>
                <w:rStyle w:val="IndexLink"/>
                <w:rtl w:val="true"/>
              </w:rPr>
              <w:t>الثّاني</w:t>
            </w:r>
            <w:r>
              <w:rPr>
                <w:rStyle w:val="IndexLink"/>
                <w:rtl w:val="true"/>
              </w:rPr>
              <w:t>:</w:t>
            </w:r>
            <w:r>
              <w:rPr>
                <w:rStyle w:val="IndexLink"/>
                <w:rtl w:val="true"/>
              </w:rPr>
              <w:t>لا يكره الاستعانة باليمنى،</w:t>
            </w:r>
            <w:r>
              <w:rPr>
                <w:rStyle w:val="IndexLink"/>
                <w:rtl w:val="true"/>
              </w:rPr>
              <w:tab/>
            </w:r>
            <w:r>
              <w:rPr>
                <w:rStyle w:val="IndexLink"/>
              </w:rPr>
              <w:t>349</w:t>
            </w:r>
          </w:hyperlink>
        </w:p>
        <w:p>
          <w:pPr>
            <w:pStyle w:val="Contents6"/>
            <w:tabs>
              <w:tab w:val="clear" w:pos="7609"/>
              <w:tab w:val="right" w:pos="9026" w:leader="dot"/>
            </w:tabs>
            <w:rPr/>
          </w:pPr>
          <w:hyperlink w:anchor="__RefHeading___Toc747305_222507752">
            <w:r>
              <w:rPr>
                <w:webHidden/>
                <w:rStyle w:val="IndexLink"/>
                <w:rtl w:val="true"/>
              </w:rPr>
              <w:t>الثّالث</w:t>
            </w:r>
            <w:r>
              <w:rPr>
                <w:rStyle w:val="IndexLink"/>
                <w:rtl w:val="true"/>
              </w:rPr>
              <w:t>:</w:t>
            </w:r>
            <w:r>
              <w:rPr>
                <w:rStyle w:val="IndexLink"/>
                <w:rtl w:val="true"/>
              </w:rPr>
              <w:t>لا يكره الاستنجاء باليمين مع الحاجة</w:t>
            </w:r>
            <w:r>
              <w:rPr>
                <w:rStyle w:val="IndexLink"/>
                <w:rtl w:val="true"/>
              </w:rPr>
              <w:tab/>
            </w:r>
            <w:r>
              <w:rPr>
                <w:rStyle w:val="IndexLink"/>
              </w:rPr>
              <w:t>349</w:t>
            </w:r>
          </w:hyperlink>
        </w:p>
        <w:p>
          <w:pPr>
            <w:pStyle w:val="Contents6"/>
            <w:tabs>
              <w:tab w:val="clear" w:pos="7609"/>
              <w:tab w:val="right" w:pos="9026" w:leader="dot"/>
            </w:tabs>
            <w:rPr/>
          </w:pPr>
          <w:hyperlink w:anchor="__RefHeading___Toc747307_222507752">
            <w:r>
              <w:rPr>
                <w:webHidden/>
                <w:rStyle w:val="IndexLink"/>
                <w:rtl w:val="true"/>
              </w:rPr>
              <w:t>العاشر</w:t>
            </w:r>
            <w:r>
              <w:rPr>
                <w:rStyle w:val="IndexLink"/>
                <w:rtl w:val="true"/>
              </w:rPr>
              <w:t>:</w:t>
            </w:r>
            <w:r>
              <w:rPr>
                <w:rStyle w:val="IndexLink"/>
                <w:rtl w:val="true"/>
              </w:rPr>
              <w:t>الاستنجاء باليسار،و فيها خاتم عليه اسم من أسماء اللّه تعالى</w:t>
            </w:r>
            <w:r>
              <w:rPr>
                <w:rStyle w:val="IndexLink"/>
                <w:rtl w:val="true"/>
              </w:rPr>
              <w:tab/>
            </w:r>
            <w:r>
              <w:rPr>
                <w:rStyle w:val="IndexLink"/>
              </w:rPr>
              <w:t>349</w:t>
            </w:r>
          </w:hyperlink>
        </w:p>
        <w:p>
          <w:pPr>
            <w:pStyle w:val="Contents6"/>
            <w:tabs>
              <w:tab w:val="clear" w:pos="7609"/>
              <w:tab w:val="right" w:pos="9026" w:leader="dot"/>
            </w:tabs>
            <w:rPr/>
          </w:pPr>
          <w:hyperlink w:anchor="__RefHeading___Toc747309_222507752">
            <w:r>
              <w:rPr>
                <w:webHidden/>
                <w:rStyle w:val="IndexLink"/>
                <w:rtl w:val="true"/>
              </w:rPr>
              <w:t>الحادي عشر</w:t>
            </w:r>
            <w:r>
              <w:rPr>
                <w:rStyle w:val="IndexLink"/>
                <w:rtl w:val="true"/>
              </w:rPr>
              <w:t>:</w:t>
            </w:r>
            <w:r>
              <w:rPr>
                <w:rStyle w:val="IndexLink"/>
                <w:rtl w:val="true"/>
              </w:rPr>
              <w:t>الأكل و الشّرب على حال الخلاء</w:t>
            </w:r>
            <w:r>
              <w:rPr>
                <w:rStyle w:val="IndexLink"/>
                <w:rtl w:val="true"/>
              </w:rPr>
              <w:tab/>
            </w:r>
            <w:r>
              <w:rPr>
                <w:rStyle w:val="IndexLink"/>
              </w:rPr>
              <w:t>350</w:t>
            </w:r>
          </w:hyperlink>
        </w:p>
        <w:p>
          <w:pPr>
            <w:pStyle w:val="Contents6"/>
            <w:tabs>
              <w:tab w:val="clear" w:pos="7609"/>
              <w:tab w:val="right" w:pos="9026" w:leader="dot"/>
            </w:tabs>
            <w:rPr/>
          </w:pPr>
          <w:hyperlink w:anchor="__RefHeading___Toc747311_222507752">
            <w:r>
              <w:rPr>
                <w:webHidden/>
                <w:rStyle w:val="IndexLink"/>
                <w:rtl w:val="true"/>
              </w:rPr>
              <w:t>الثّاني عشر</w:t>
            </w:r>
            <w:r>
              <w:rPr>
                <w:rStyle w:val="IndexLink"/>
                <w:rtl w:val="true"/>
              </w:rPr>
              <w:t>:</w:t>
            </w:r>
            <w:r>
              <w:rPr>
                <w:rStyle w:val="IndexLink"/>
                <w:rtl w:val="true"/>
              </w:rPr>
              <w:t>الحدث على شطوط الأنهار و رءوس الآبار</w:t>
            </w:r>
            <w:r>
              <w:rPr>
                <w:rStyle w:val="IndexLink"/>
                <w:rtl w:val="true"/>
              </w:rPr>
              <w:tab/>
            </w:r>
            <w:r>
              <w:rPr>
                <w:rStyle w:val="IndexLink"/>
              </w:rPr>
              <w:t>350</w:t>
            </w:r>
          </w:hyperlink>
        </w:p>
        <w:p>
          <w:pPr>
            <w:pStyle w:val="Contents6"/>
            <w:tabs>
              <w:tab w:val="clear" w:pos="7609"/>
              <w:tab w:val="right" w:pos="9026" w:leader="dot"/>
            </w:tabs>
            <w:rPr/>
          </w:pPr>
          <w:hyperlink w:anchor="__RefHeading___Toc747313_222507752">
            <w:r>
              <w:rPr>
                <w:webHidden/>
                <w:rStyle w:val="IndexLink"/>
                <w:rtl w:val="true"/>
              </w:rPr>
              <w:t>الثّالث عشر</w:t>
            </w:r>
            <w:r>
              <w:rPr>
                <w:rStyle w:val="IndexLink"/>
                <w:rtl w:val="true"/>
              </w:rPr>
              <w:t>:</w:t>
            </w:r>
            <w:r>
              <w:rPr>
                <w:rStyle w:val="IndexLink"/>
                <w:rtl w:val="true"/>
              </w:rPr>
              <w:t>طول الجلوس على الخلاء</w:t>
            </w:r>
            <w:r>
              <w:rPr>
                <w:rStyle w:val="IndexLink"/>
                <w:rtl w:val="true"/>
              </w:rPr>
              <w:tab/>
            </w:r>
            <w:r>
              <w:rPr>
                <w:rStyle w:val="IndexLink"/>
              </w:rPr>
              <w:t>351</w:t>
            </w:r>
          </w:hyperlink>
        </w:p>
        <w:p>
          <w:pPr>
            <w:pStyle w:val="Contents6"/>
            <w:tabs>
              <w:tab w:val="clear" w:pos="7609"/>
              <w:tab w:val="right" w:pos="9026" w:leader="dot"/>
            </w:tabs>
            <w:rPr/>
          </w:pPr>
          <w:hyperlink w:anchor="__RefHeading___Toc747315_222507752">
            <w:r>
              <w:rPr>
                <w:webHidden/>
                <w:rStyle w:val="IndexLink"/>
                <w:rtl w:val="true"/>
              </w:rPr>
              <w:t>الرّابع عشر</w:t>
            </w:r>
            <w:r>
              <w:rPr>
                <w:rStyle w:val="IndexLink"/>
                <w:rtl w:val="true"/>
              </w:rPr>
              <w:t>:</w:t>
            </w:r>
            <w:r>
              <w:rPr>
                <w:rStyle w:val="IndexLink"/>
                <w:rtl w:val="true"/>
              </w:rPr>
              <w:t>أن يمسّ الرّجل ذكره بيمينه عند البول</w:t>
            </w:r>
            <w:r>
              <w:rPr>
                <w:rStyle w:val="IndexLink"/>
                <w:rtl w:val="true"/>
              </w:rPr>
              <w:tab/>
            </w:r>
            <w:r>
              <w:rPr>
                <w:rStyle w:val="IndexLink"/>
              </w:rPr>
              <w:t>351</w:t>
            </w:r>
          </w:hyperlink>
        </w:p>
        <w:p>
          <w:pPr>
            <w:pStyle w:val="Contents6"/>
            <w:tabs>
              <w:tab w:val="clear" w:pos="7609"/>
              <w:tab w:val="right" w:pos="9026" w:leader="dot"/>
            </w:tabs>
            <w:rPr/>
          </w:pPr>
          <w:hyperlink w:anchor="__RefHeading___Toc747317_222507752">
            <w:r>
              <w:rPr>
                <w:webHidden/>
                <w:rStyle w:val="IndexLink"/>
                <w:rtl w:val="true"/>
              </w:rPr>
              <w:t>الخامس عشر</w:t>
            </w:r>
            <w:r>
              <w:rPr>
                <w:rStyle w:val="IndexLink"/>
                <w:rtl w:val="true"/>
              </w:rPr>
              <w:t>:</w:t>
            </w:r>
            <w:r>
              <w:rPr>
                <w:rStyle w:val="IndexLink"/>
                <w:rtl w:val="true"/>
              </w:rPr>
              <w:t>يكره استصحاب دراهم بيض</w:t>
            </w:r>
            <w:r>
              <w:rPr>
                <w:rStyle w:val="IndexLink"/>
                <w:rtl w:val="true"/>
              </w:rPr>
              <w:tab/>
            </w:r>
            <w:r>
              <w:rPr>
                <w:rStyle w:val="IndexLink"/>
              </w:rPr>
              <w:t>351</w:t>
            </w:r>
          </w:hyperlink>
        </w:p>
        <w:p>
          <w:pPr>
            <w:pStyle w:val="Contents6"/>
            <w:tabs>
              <w:tab w:val="clear" w:pos="7609"/>
              <w:tab w:val="right" w:pos="9026" w:leader="dot"/>
            </w:tabs>
            <w:rPr/>
          </w:pPr>
          <w:hyperlink w:anchor="__RefHeading___Toc747319_222507752">
            <w:r>
              <w:rPr>
                <w:webHidden/>
                <w:rStyle w:val="IndexLink"/>
                <w:rtl w:val="true"/>
              </w:rPr>
              <w:t>مسألة</w:t>
            </w:r>
            <w:r>
              <w:rPr>
                <w:rStyle w:val="IndexLink"/>
                <w:rtl w:val="true"/>
              </w:rPr>
              <w:t>:</w:t>
            </w:r>
            <w:r>
              <w:rPr>
                <w:rStyle w:val="IndexLink"/>
                <w:rtl w:val="true"/>
              </w:rPr>
              <w:t>يستحبّ لطالب الحدث أشياء</w:t>
            </w:r>
            <w:r>
              <w:rPr>
                <w:rStyle w:val="IndexLink"/>
                <w:rtl w:val="true"/>
              </w:rPr>
              <w:t>:</w:t>
              <w:tab/>
            </w:r>
            <w:r>
              <w:rPr>
                <w:rStyle w:val="IndexLink"/>
              </w:rPr>
              <w:t>351</w:t>
            </w:r>
          </w:hyperlink>
        </w:p>
        <w:p>
          <w:pPr>
            <w:pStyle w:val="Contents6"/>
            <w:tabs>
              <w:tab w:val="clear" w:pos="7609"/>
              <w:tab w:val="right" w:pos="9026" w:leader="dot"/>
            </w:tabs>
            <w:rPr/>
          </w:pPr>
          <w:hyperlink w:anchor="__RefHeading___Toc747321_222507752">
            <w:r>
              <w:rPr>
                <w:webHidden/>
                <w:rStyle w:val="IndexLink"/>
                <w:rtl w:val="true"/>
              </w:rPr>
              <w:t>الأوّل</w:t>
            </w:r>
            <w:r>
              <w:rPr>
                <w:rStyle w:val="IndexLink"/>
                <w:rtl w:val="true"/>
              </w:rPr>
              <w:t>:</w:t>
            </w:r>
            <w:r>
              <w:rPr>
                <w:rStyle w:val="IndexLink"/>
                <w:rtl w:val="true"/>
              </w:rPr>
              <w:t>تغطية الرّأس عند دخول الخلاء</w:t>
            </w:r>
            <w:r>
              <w:rPr>
                <w:rStyle w:val="IndexLink"/>
                <w:rtl w:val="true"/>
              </w:rPr>
              <w:tab/>
            </w:r>
            <w:r>
              <w:rPr>
                <w:rStyle w:val="IndexLink"/>
              </w:rPr>
              <w:t>351</w:t>
            </w:r>
          </w:hyperlink>
        </w:p>
        <w:p>
          <w:pPr>
            <w:pStyle w:val="Contents6"/>
            <w:tabs>
              <w:tab w:val="clear" w:pos="7609"/>
              <w:tab w:val="right" w:pos="9026" w:leader="dot"/>
            </w:tabs>
            <w:rPr/>
          </w:pPr>
          <w:hyperlink w:anchor="__RefHeading___Toc747323_222507752">
            <w:r>
              <w:rPr>
                <w:webHidden/>
                <w:rStyle w:val="IndexLink"/>
                <w:rtl w:val="true"/>
              </w:rPr>
              <w:t>الثّاني</w:t>
            </w:r>
            <w:r>
              <w:rPr>
                <w:rStyle w:val="IndexLink"/>
                <w:rtl w:val="true"/>
              </w:rPr>
              <w:t>:</w:t>
            </w:r>
            <w:r>
              <w:rPr>
                <w:rStyle w:val="IndexLink"/>
                <w:rtl w:val="true"/>
              </w:rPr>
              <w:t>يستحبّ التّسمية عند الدّخول</w:t>
            </w:r>
            <w:r>
              <w:rPr>
                <w:rStyle w:val="IndexLink"/>
                <w:rtl w:val="true"/>
              </w:rPr>
              <w:tab/>
            </w:r>
            <w:r>
              <w:rPr>
                <w:rStyle w:val="IndexLink"/>
              </w:rPr>
              <w:t>352</w:t>
            </w:r>
          </w:hyperlink>
        </w:p>
        <w:p>
          <w:pPr>
            <w:pStyle w:val="Contents6"/>
            <w:tabs>
              <w:tab w:val="clear" w:pos="7609"/>
              <w:tab w:val="right" w:pos="9026" w:leader="dot"/>
            </w:tabs>
            <w:rPr/>
          </w:pPr>
          <w:hyperlink w:anchor="__RefHeading___Toc747325_222507752">
            <w:r>
              <w:rPr>
                <w:webHidden/>
                <w:rStyle w:val="IndexLink"/>
                <w:rtl w:val="true"/>
              </w:rPr>
              <w:t>الثّالث</w:t>
            </w:r>
            <w:r>
              <w:rPr>
                <w:rStyle w:val="IndexLink"/>
                <w:rtl w:val="true"/>
              </w:rPr>
              <w:t>:</w:t>
            </w:r>
            <w:r>
              <w:rPr>
                <w:rStyle w:val="IndexLink"/>
                <w:rtl w:val="true"/>
              </w:rPr>
              <w:t>الدّعاء عند دخول الخلاء و الخروج منه و عند الاستنجاء و الفراغ منه</w:t>
            </w:r>
            <w:r>
              <w:rPr>
                <w:rStyle w:val="IndexLink"/>
                <w:rtl w:val="true"/>
              </w:rPr>
              <w:tab/>
            </w:r>
            <w:r>
              <w:rPr>
                <w:rStyle w:val="IndexLink"/>
              </w:rPr>
              <w:t>352</w:t>
            </w:r>
          </w:hyperlink>
        </w:p>
        <w:p>
          <w:pPr>
            <w:pStyle w:val="Contents6"/>
            <w:tabs>
              <w:tab w:val="clear" w:pos="7609"/>
              <w:tab w:val="right" w:pos="9026" w:leader="dot"/>
            </w:tabs>
            <w:rPr/>
          </w:pPr>
          <w:hyperlink w:anchor="__RefHeading___Toc747327_222507752">
            <w:r>
              <w:rPr>
                <w:webHidden/>
                <w:rStyle w:val="IndexLink"/>
                <w:rtl w:val="true"/>
              </w:rPr>
              <w:t>الرّابع</w:t>
            </w:r>
            <w:r>
              <w:rPr>
                <w:rStyle w:val="IndexLink"/>
                <w:rtl w:val="true"/>
              </w:rPr>
              <w:t>:</w:t>
            </w:r>
            <w:r>
              <w:rPr>
                <w:rStyle w:val="IndexLink"/>
                <w:rtl w:val="true"/>
              </w:rPr>
              <w:t>تقديم الرّجل اليسرى عند الدّخول،و اليمنى عند الخروج،بخلاف المسجد فيهما</w:t>
            </w:r>
            <w:r>
              <w:rPr>
                <w:rStyle w:val="IndexLink"/>
                <w:rtl w:val="true"/>
              </w:rPr>
              <w:tab/>
            </w:r>
            <w:r>
              <w:rPr>
                <w:rStyle w:val="IndexLink"/>
              </w:rPr>
              <w:t>353</w:t>
            </w:r>
          </w:hyperlink>
        </w:p>
        <w:p>
          <w:pPr>
            <w:pStyle w:val="Contents6"/>
            <w:tabs>
              <w:tab w:val="clear" w:pos="7609"/>
              <w:tab w:val="right" w:pos="9026" w:leader="dot"/>
            </w:tabs>
            <w:rPr/>
          </w:pPr>
          <w:hyperlink w:anchor="__RefHeading___Toc747329_222507752">
            <w:r>
              <w:rPr>
                <w:webHidden/>
                <w:rStyle w:val="IndexLink"/>
                <w:rtl w:val="true"/>
              </w:rPr>
              <w:t>الخامس</w:t>
            </w:r>
            <w:r>
              <w:rPr>
                <w:rStyle w:val="IndexLink"/>
                <w:rtl w:val="true"/>
              </w:rPr>
              <w:t>:</w:t>
            </w:r>
            <w:r>
              <w:rPr>
                <w:rStyle w:val="IndexLink"/>
                <w:rtl w:val="true"/>
              </w:rPr>
              <w:t>الاستبراء في البول</w:t>
            </w:r>
            <w:r>
              <w:rPr>
                <w:rStyle w:val="IndexLink"/>
                <w:rtl w:val="true"/>
              </w:rPr>
              <w:tab/>
            </w:r>
            <w:r>
              <w:rPr>
                <w:rStyle w:val="IndexLink"/>
              </w:rPr>
              <w:t>353</w:t>
            </w:r>
          </w:hyperlink>
        </w:p>
        <w:p>
          <w:pPr>
            <w:pStyle w:val="Contents6"/>
            <w:tabs>
              <w:tab w:val="clear" w:pos="7609"/>
              <w:tab w:val="right" w:pos="9026" w:leader="dot"/>
            </w:tabs>
            <w:rPr/>
          </w:pPr>
          <w:hyperlink w:anchor="__RefHeading___Toc747331_222507752">
            <w:r>
              <w:rPr>
                <w:webHidden/>
                <w:rStyle w:val="IndexLink"/>
                <w:rtl w:val="true"/>
              </w:rPr>
              <w:t>فروع</w:t>
            </w:r>
            <w:r>
              <w:rPr>
                <w:rStyle w:val="IndexLink"/>
                <w:rtl w:val="true"/>
              </w:rPr>
              <w:t>:</w:t>
              <w:tab/>
            </w:r>
            <w:r>
              <w:rPr>
                <w:rStyle w:val="IndexLink"/>
              </w:rPr>
              <w:t>354</w:t>
            </w:r>
          </w:hyperlink>
        </w:p>
        <w:p>
          <w:pPr>
            <w:pStyle w:val="Contents6"/>
            <w:tabs>
              <w:tab w:val="clear" w:pos="7609"/>
              <w:tab w:val="right" w:pos="9026" w:leader="dot"/>
            </w:tabs>
            <w:rPr/>
          </w:pPr>
          <w:hyperlink w:anchor="__RefHeading___Toc747333_222507752">
            <w:r>
              <w:rPr>
                <w:webHidden/>
                <w:rStyle w:val="IndexLink"/>
                <w:rtl w:val="true"/>
              </w:rPr>
              <w:t>الأوّل</w:t>
            </w:r>
            <w:r>
              <w:rPr>
                <w:rStyle w:val="IndexLink"/>
                <w:rtl w:val="true"/>
              </w:rPr>
              <w:t>:</w:t>
            </w:r>
            <w:r>
              <w:rPr>
                <w:rStyle w:val="IndexLink"/>
                <w:rtl w:val="true"/>
              </w:rPr>
              <w:t>لو استبرأ ثمَّ وجد بللا كان طاهرا</w:t>
            </w:r>
            <w:r>
              <w:rPr>
                <w:rStyle w:val="IndexLink"/>
                <w:rtl w:val="true"/>
              </w:rPr>
              <w:tab/>
            </w:r>
            <w:r>
              <w:rPr>
                <w:rStyle w:val="IndexLink"/>
              </w:rPr>
              <w:t>354</w:t>
            </w:r>
          </w:hyperlink>
        </w:p>
        <w:p>
          <w:pPr>
            <w:pStyle w:val="Contents6"/>
            <w:tabs>
              <w:tab w:val="clear" w:pos="7609"/>
              <w:tab w:val="right" w:pos="9026" w:leader="dot"/>
            </w:tabs>
            <w:rPr/>
          </w:pPr>
          <w:hyperlink w:anchor="__RefHeading___Toc747335_222507752">
            <w:r>
              <w:rPr>
                <w:webHidden/>
                <w:rStyle w:val="IndexLink"/>
                <w:rtl w:val="true"/>
              </w:rPr>
              <w:t>الثّاني</w:t>
            </w:r>
            <w:r>
              <w:rPr>
                <w:rStyle w:val="IndexLink"/>
                <w:rtl w:val="true"/>
              </w:rPr>
              <w:t>:</w:t>
            </w:r>
            <w:r>
              <w:rPr>
                <w:rStyle w:val="IndexLink"/>
                <w:rtl w:val="true"/>
              </w:rPr>
              <w:t>لو لم يستبرئ و توضّأ و صلّى صحّت تلك الصّلاة</w:t>
            </w:r>
            <w:r>
              <w:rPr>
                <w:rStyle w:val="IndexLink"/>
                <w:rtl w:val="true"/>
              </w:rPr>
              <w:tab/>
            </w:r>
            <w:r>
              <w:rPr>
                <w:rStyle w:val="IndexLink"/>
              </w:rPr>
              <w:t>355</w:t>
            </w:r>
          </w:hyperlink>
        </w:p>
        <w:p>
          <w:pPr>
            <w:pStyle w:val="Contents6"/>
            <w:tabs>
              <w:tab w:val="clear" w:pos="7609"/>
              <w:tab w:val="right" w:pos="9026" w:leader="dot"/>
            </w:tabs>
            <w:rPr/>
          </w:pPr>
          <w:hyperlink w:anchor="__RefHeading___Toc747337_222507752">
            <w:r>
              <w:rPr>
                <w:webHidden/>
                <w:rStyle w:val="IndexLink"/>
                <w:rtl w:val="true"/>
              </w:rPr>
              <w:t>الثّالث</w:t>
            </w:r>
            <w:r>
              <w:rPr>
                <w:rStyle w:val="IndexLink"/>
                <w:rtl w:val="true"/>
              </w:rPr>
              <w:t>:</w:t>
            </w:r>
            <w:r>
              <w:rPr>
                <w:rStyle w:val="IndexLink"/>
                <w:rtl w:val="true"/>
              </w:rPr>
              <w:t>الرّجل و المرأة في ذلك سواء</w:t>
            </w:r>
            <w:r>
              <w:rPr>
                <w:rStyle w:val="IndexLink"/>
                <w:rtl w:val="true"/>
              </w:rPr>
              <w:t>.</w:t>
            </w:r>
            <w:r>
              <w:rPr>
                <w:rStyle w:val="IndexLink"/>
                <w:rtl w:val="true"/>
              </w:rPr>
              <w:t>و كذا البكر و الثّيّب</w:t>
            </w:r>
            <w:r>
              <w:rPr>
                <w:rStyle w:val="IndexLink"/>
                <w:rtl w:val="true"/>
              </w:rPr>
              <w:tab/>
            </w:r>
            <w:r>
              <w:rPr>
                <w:rStyle w:val="IndexLink"/>
              </w:rPr>
              <w:t>355</w:t>
            </w:r>
          </w:hyperlink>
        </w:p>
        <w:p>
          <w:pPr>
            <w:pStyle w:val="Contents6"/>
            <w:tabs>
              <w:tab w:val="clear" w:pos="7609"/>
              <w:tab w:val="right" w:pos="9026" w:leader="dot"/>
            </w:tabs>
            <w:rPr/>
          </w:pPr>
          <w:hyperlink w:anchor="__RefHeading___Toc747339_222507752">
            <w:r>
              <w:rPr>
                <w:webHidden/>
                <w:rStyle w:val="IndexLink"/>
                <w:rtl w:val="true"/>
              </w:rPr>
              <w:t>مسألة</w:t>
            </w:r>
            <w:r>
              <w:rPr>
                <w:rStyle w:val="IndexLink"/>
                <w:rtl w:val="true"/>
              </w:rPr>
              <w:t>:</w:t>
            </w:r>
            <w:r>
              <w:rPr>
                <w:rStyle w:val="IndexLink"/>
                <w:rtl w:val="true"/>
              </w:rPr>
              <w:t>مذهب علمائنا انّ البول لا يجزي فيه إلاّ الماء</w:t>
            </w:r>
            <w:r>
              <w:rPr>
                <w:rStyle w:val="IndexLink"/>
                <w:rtl w:val="true"/>
              </w:rPr>
              <w:tab/>
            </w:r>
            <w:r>
              <w:rPr>
                <w:rStyle w:val="IndexLink"/>
              </w:rPr>
              <w:t>355</w:t>
            </w:r>
          </w:hyperlink>
        </w:p>
        <w:p>
          <w:pPr>
            <w:pStyle w:val="Contents6"/>
            <w:tabs>
              <w:tab w:val="clear" w:pos="7609"/>
              <w:tab w:val="right" w:pos="9026" w:leader="dot"/>
            </w:tabs>
            <w:rPr/>
          </w:pPr>
          <w:hyperlink w:anchor="__RefHeading___Toc747341_222507752">
            <w:r>
              <w:rPr>
                <w:webHidden/>
                <w:rStyle w:val="IndexLink"/>
                <w:rtl w:val="true"/>
              </w:rPr>
              <w:t>فروع</w:t>
            </w:r>
            <w:r>
              <w:rPr>
                <w:rStyle w:val="IndexLink"/>
                <w:rtl w:val="true"/>
              </w:rPr>
              <w:t>:</w:t>
              <w:tab/>
            </w:r>
            <w:r>
              <w:rPr>
                <w:rStyle w:val="IndexLink"/>
              </w:rPr>
              <w:t>359</w:t>
            </w:r>
          </w:hyperlink>
        </w:p>
        <w:p>
          <w:pPr>
            <w:pStyle w:val="Contents6"/>
            <w:tabs>
              <w:tab w:val="clear" w:pos="7609"/>
              <w:tab w:val="right" w:pos="9026" w:leader="dot"/>
            </w:tabs>
            <w:rPr/>
          </w:pPr>
          <w:hyperlink w:anchor="__RefHeading___Toc747343_222507752">
            <w:r>
              <w:rPr>
                <w:webHidden/>
                <w:rStyle w:val="IndexLink"/>
                <w:rtl w:val="true"/>
              </w:rPr>
              <w:t>الأوّل</w:t>
            </w:r>
            <w:r>
              <w:rPr>
                <w:rStyle w:val="IndexLink"/>
                <w:rtl w:val="true"/>
              </w:rPr>
              <w:t>:</w:t>
            </w:r>
            <w:r>
              <w:rPr>
                <w:rStyle w:val="IndexLink"/>
                <w:rtl w:val="true"/>
              </w:rPr>
              <w:t>البكر كالثّيّب في وجوب الغسل بالماء</w:t>
            </w:r>
            <w:r>
              <w:rPr>
                <w:rStyle w:val="IndexLink"/>
                <w:rtl w:val="true"/>
              </w:rPr>
              <w:tab/>
            </w:r>
            <w:r>
              <w:rPr>
                <w:rStyle w:val="IndexLink"/>
              </w:rPr>
              <w:t>359</w:t>
            </w:r>
          </w:hyperlink>
        </w:p>
        <w:p>
          <w:pPr>
            <w:pStyle w:val="Contents6"/>
            <w:tabs>
              <w:tab w:val="clear" w:pos="7609"/>
              <w:tab w:val="right" w:pos="9026" w:leader="dot"/>
            </w:tabs>
            <w:rPr/>
          </w:pPr>
          <w:hyperlink w:anchor="__RefHeading___Toc747345_222507752">
            <w:r>
              <w:rPr>
                <w:webHidden/>
                <w:rStyle w:val="IndexLink"/>
                <w:rtl w:val="true"/>
              </w:rPr>
              <w:t>الثّاني</w:t>
            </w:r>
            <w:r>
              <w:rPr>
                <w:rStyle w:val="IndexLink"/>
                <w:rtl w:val="true"/>
              </w:rPr>
              <w:t>:</w:t>
            </w:r>
            <w:r>
              <w:rPr>
                <w:rStyle w:val="IndexLink"/>
                <w:rtl w:val="true"/>
              </w:rPr>
              <w:t>الأقلف إن كان مرتتقا لا يمكنه إخراج البشرة فهو كالمختتن</w:t>
            </w:r>
            <w:r>
              <w:rPr>
                <w:rStyle w:val="IndexLink"/>
                <w:rtl w:val="true"/>
              </w:rPr>
              <w:tab/>
            </w:r>
            <w:r>
              <w:rPr>
                <w:rStyle w:val="IndexLink"/>
              </w:rPr>
              <w:t>359</w:t>
            </w:r>
          </w:hyperlink>
        </w:p>
        <w:p>
          <w:pPr>
            <w:pStyle w:val="Contents6"/>
            <w:tabs>
              <w:tab w:val="clear" w:pos="7609"/>
              <w:tab w:val="right" w:pos="9026" w:leader="dot"/>
            </w:tabs>
            <w:rPr/>
          </w:pPr>
          <w:hyperlink w:anchor="__RefHeading___Toc747347_222507752">
            <w:r>
              <w:rPr>
                <w:webHidden/>
                <w:rStyle w:val="IndexLink"/>
                <w:rtl w:val="true"/>
              </w:rPr>
              <w:t>الثّالث</w:t>
            </w:r>
            <w:r>
              <w:rPr>
                <w:rStyle w:val="IndexLink"/>
                <w:rtl w:val="true"/>
              </w:rPr>
              <w:t>:</w:t>
            </w:r>
            <w:r>
              <w:rPr>
                <w:rStyle w:val="IndexLink"/>
                <w:rtl w:val="true"/>
              </w:rPr>
              <w:t>لو توضّأ قبل غسل المخرج جاز</w:t>
            </w:r>
            <w:r>
              <w:rPr>
                <w:rStyle w:val="IndexLink"/>
                <w:rtl w:val="true"/>
              </w:rPr>
              <w:tab/>
            </w:r>
            <w:r>
              <w:rPr>
                <w:rStyle w:val="IndexLink"/>
              </w:rPr>
              <w:t>359</w:t>
            </w:r>
          </w:hyperlink>
        </w:p>
        <w:p>
          <w:pPr>
            <w:pStyle w:val="Contents6"/>
            <w:tabs>
              <w:tab w:val="clear" w:pos="7609"/>
              <w:tab w:val="right" w:pos="9026" w:leader="dot"/>
            </w:tabs>
            <w:rPr/>
          </w:pPr>
          <w:hyperlink w:anchor="__RefHeading___Toc747349_222507752">
            <w:r>
              <w:rPr>
                <w:webHidden/>
                <w:rStyle w:val="IndexLink"/>
                <w:rtl w:val="true"/>
              </w:rPr>
              <w:t>الرّابع</w:t>
            </w:r>
            <w:r>
              <w:rPr>
                <w:rStyle w:val="IndexLink"/>
                <w:rtl w:val="true"/>
              </w:rPr>
              <w:t>:</w:t>
            </w:r>
            <w:r>
              <w:rPr>
                <w:rStyle w:val="IndexLink"/>
                <w:rtl w:val="true"/>
              </w:rPr>
              <w:t>لو لم يجد الماء لغسل البول أو تعذّر استعماله لجرح و شبهه</w:t>
            </w:r>
            <w:r>
              <w:rPr>
                <w:rStyle w:val="IndexLink"/>
                <w:rtl w:val="true"/>
              </w:rPr>
              <w:tab/>
            </w:r>
            <w:r>
              <w:rPr>
                <w:rStyle w:val="IndexLink"/>
              </w:rPr>
              <w:t>362</w:t>
            </w:r>
          </w:hyperlink>
        </w:p>
        <w:p>
          <w:pPr>
            <w:pStyle w:val="Contents6"/>
            <w:tabs>
              <w:tab w:val="clear" w:pos="7609"/>
              <w:tab w:val="right" w:pos="9026" w:leader="dot"/>
            </w:tabs>
            <w:rPr/>
          </w:pPr>
          <w:hyperlink w:anchor="__RefHeading___Toc747351_222507752">
            <w:r>
              <w:rPr>
                <w:webHidden/>
                <w:rStyle w:val="IndexLink"/>
                <w:rtl w:val="true"/>
              </w:rPr>
              <w:t>الخامس</w:t>
            </w:r>
            <w:r>
              <w:rPr>
                <w:rStyle w:val="IndexLink"/>
                <w:rtl w:val="true"/>
              </w:rPr>
              <w:t>:</w:t>
            </w:r>
            <w:r>
              <w:rPr>
                <w:rStyle w:val="IndexLink"/>
                <w:rtl w:val="true"/>
              </w:rPr>
              <w:t>لو خرج من الذّكر دود،أو حصى،أو غيره</w:t>
            </w:r>
            <w:r>
              <w:rPr>
                <w:rStyle w:val="IndexLink"/>
                <w:rtl w:val="true"/>
              </w:rPr>
              <w:tab/>
            </w:r>
            <w:r>
              <w:rPr>
                <w:rStyle w:val="IndexLink"/>
              </w:rPr>
              <w:t>362</w:t>
            </w:r>
          </w:hyperlink>
        </w:p>
        <w:p>
          <w:pPr>
            <w:pStyle w:val="Contents6"/>
            <w:tabs>
              <w:tab w:val="clear" w:pos="7609"/>
              <w:tab w:val="right" w:pos="9026" w:leader="dot"/>
            </w:tabs>
            <w:rPr/>
          </w:pPr>
          <w:hyperlink w:anchor="__RefHeading___Toc747353_222507752">
            <w:r>
              <w:rPr>
                <w:webHidden/>
                <w:rStyle w:val="IndexLink"/>
                <w:rtl w:val="true"/>
              </w:rPr>
              <w:t>السّادس</w:t>
            </w:r>
            <w:r>
              <w:rPr>
                <w:rStyle w:val="IndexLink"/>
                <w:rtl w:val="true"/>
              </w:rPr>
              <w:t>:</w:t>
            </w:r>
            <w:r>
              <w:rPr>
                <w:rStyle w:val="IndexLink"/>
                <w:rtl w:val="true"/>
              </w:rPr>
              <w:t>من بال لا يجب عليه إلاّ غسل مخرج البول لا غير</w:t>
            </w:r>
            <w:r>
              <w:rPr>
                <w:rStyle w:val="IndexLink"/>
                <w:rtl w:val="true"/>
              </w:rPr>
              <w:tab/>
            </w:r>
            <w:r>
              <w:rPr>
                <w:rStyle w:val="IndexLink"/>
              </w:rPr>
              <w:t>363</w:t>
            </w:r>
          </w:hyperlink>
        </w:p>
        <w:p>
          <w:pPr>
            <w:pStyle w:val="Contents6"/>
            <w:tabs>
              <w:tab w:val="clear" w:pos="7609"/>
              <w:tab w:val="right" w:pos="9026" w:leader="dot"/>
            </w:tabs>
            <w:rPr/>
          </w:pPr>
          <w:hyperlink w:anchor="__RefHeading___Toc747355_222507752">
            <w:r>
              <w:rPr>
                <w:webHidden/>
                <w:rStyle w:val="IndexLink"/>
                <w:rtl w:val="true"/>
              </w:rPr>
              <w:t>السّابع</w:t>
            </w:r>
            <w:r>
              <w:rPr>
                <w:rStyle w:val="IndexLink"/>
                <w:rtl w:val="true"/>
              </w:rPr>
              <w:t>:</w:t>
            </w:r>
            <w:r>
              <w:rPr>
                <w:rStyle w:val="IndexLink"/>
                <w:rtl w:val="true"/>
              </w:rPr>
              <w:t>أقلّ ما يجزي من الماء لغسله ما أزال العين عن رأس الفرج</w:t>
            </w:r>
            <w:r>
              <w:rPr>
                <w:rStyle w:val="IndexLink"/>
                <w:rtl w:val="true"/>
              </w:rPr>
              <w:tab/>
            </w:r>
            <w:r>
              <w:rPr>
                <w:rStyle w:val="IndexLink"/>
              </w:rPr>
              <w:t>363</w:t>
            </w:r>
          </w:hyperlink>
        </w:p>
        <w:p>
          <w:pPr>
            <w:pStyle w:val="Contents6"/>
            <w:tabs>
              <w:tab w:val="clear" w:pos="7609"/>
              <w:tab w:val="right" w:pos="9026" w:leader="dot"/>
            </w:tabs>
            <w:rPr/>
          </w:pPr>
          <w:hyperlink w:anchor="__RefHeading___Toc747357_222507752">
            <w:r>
              <w:rPr>
                <w:webHidden/>
                <w:rStyle w:val="IndexLink"/>
                <w:rtl w:val="true"/>
              </w:rPr>
              <w:t>الثّامن</w:t>
            </w:r>
            <w:r>
              <w:rPr>
                <w:rStyle w:val="IndexLink"/>
                <w:rtl w:val="true"/>
              </w:rPr>
              <w:t>:</w:t>
            </w:r>
            <w:r>
              <w:rPr>
                <w:rStyle w:val="IndexLink"/>
                <w:rtl w:val="true"/>
              </w:rPr>
              <w:t>لا يجب على المرأة إدخال إصبعها في فرجها</w:t>
            </w:r>
            <w:r>
              <w:rPr>
                <w:rStyle w:val="IndexLink"/>
                <w:rtl w:val="true"/>
              </w:rPr>
              <w:tab/>
            </w:r>
            <w:r>
              <w:rPr>
                <w:rStyle w:val="IndexLink"/>
              </w:rPr>
              <w:t>364</w:t>
            </w:r>
          </w:hyperlink>
        </w:p>
        <w:p>
          <w:pPr>
            <w:pStyle w:val="Contents6"/>
            <w:tabs>
              <w:tab w:val="clear" w:pos="7609"/>
              <w:tab w:val="right" w:pos="9026" w:leader="dot"/>
            </w:tabs>
            <w:rPr/>
          </w:pPr>
          <w:hyperlink w:anchor="__RefHeading___Toc747359_222507752">
            <w:r>
              <w:rPr>
                <w:webHidden/>
                <w:rStyle w:val="IndexLink"/>
                <w:rtl w:val="true"/>
              </w:rPr>
              <w:t>مسألة</w:t>
            </w:r>
            <w:r>
              <w:rPr>
                <w:rStyle w:val="IndexLink"/>
                <w:rtl w:val="true"/>
              </w:rPr>
              <w:t>:</w:t>
            </w:r>
            <w:r>
              <w:rPr>
                <w:rStyle w:val="IndexLink"/>
                <w:rtl w:val="true"/>
              </w:rPr>
              <w:t>قال علماؤنا</w:t>
            </w:r>
            <w:r>
              <w:rPr>
                <w:rStyle w:val="IndexLink"/>
                <w:rtl w:val="true"/>
              </w:rPr>
              <w:t>:</w:t>
            </w:r>
            <w:r>
              <w:rPr>
                <w:rStyle w:val="IndexLink"/>
                <w:rtl w:val="true"/>
              </w:rPr>
              <w:t>الاستنجاء من الغائط واجب</w:t>
            </w:r>
            <w:r>
              <w:rPr>
                <w:rStyle w:val="IndexLink"/>
                <w:rtl w:val="true"/>
              </w:rPr>
              <w:tab/>
            </w:r>
            <w:r>
              <w:rPr>
                <w:rStyle w:val="IndexLink"/>
              </w:rPr>
              <w:t>364</w:t>
            </w:r>
          </w:hyperlink>
        </w:p>
        <w:p>
          <w:pPr>
            <w:pStyle w:val="Contents6"/>
            <w:tabs>
              <w:tab w:val="clear" w:pos="7609"/>
              <w:tab w:val="right" w:pos="9026" w:leader="dot"/>
            </w:tabs>
            <w:rPr/>
          </w:pPr>
          <w:hyperlink w:anchor="__RefHeading___Toc747361_222507752">
            <w:r>
              <w:rPr>
                <w:webHidden/>
                <w:rStyle w:val="IndexLink"/>
                <w:rtl w:val="true"/>
              </w:rPr>
              <w:t>فروع</w:t>
            </w:r>
            <w:r>
              <w:rPr>
                <w:rStyle w:val="IndexLink"/>
                <w:rtl w:val="true"/>
              </w:rPr>
              <w:t>:</w:t>
              <w:tab/>
            </w:r>
            <w:r>
              <w:rPr>
                <w:rStyle w:val="IndexLink"/>
              </w:rPr>
              <w:t>367</w:t>
            </w:r>
          </w:hyperlink>
        </w:p>
        <w:p>
          <w:pPr>
            <w:pStyle w:val="Contents6"/>
            <w:tabs>
              <w:tab w:val="clear" w:pos="7609"/>
              <w:tab w:val="right" w:pos="9026" w:leader="dot"/>
            </w:tabs>
            <w:rPr/>
          </w:pPr>
          <w:hyperlink w:anchor="__RefHeading___Toc747363_222507752">
            <w:r>
              <w:rPr>
                <w:webHidden/>
                <w:rStyle w:val="IndexLink"/>
                <w:rtl w:val="true"/>
              </w:rPr>
              <w:t>الأوّل</w:t>
            </w:r>
            <w:r>
              <w:rPr>
                <w:rStyle w:val="IndexLink"/>
                <w:rtl w:val="true"/>
              </w:rPr>
              <w:t>:</w:t>
            </w:r>
            <w:r>
              <w:rPr>
                <w:rStyle w:val="IndexLink"/>
                <w:rtl w:val="true"/>
              </w:rPr>
              <w:t>إذا تعدّى المخرج تعيّن الماء</w:t>
            </w:r>
            <w:r>
              <w:rPr>
                <w:rStyle w:val="IndexLink"/>
                <w:rtl w:val="true"/>
              </w:rPr>
              <w:tab/>
            </w:r>
            <w:r>
              <w:rPr>
                <w:rStyle w:val="IndexLink"/>
              </w:rPr>
              <w:t>367</w:t>
            </w:r>
          </w:hyperlink>
        </w:p>
        <w:p>
          <w:pPr>
            <w:pStyle w:val="Contents6"/>
            <w:tabs>
              <w:tab w:val="clear" w:pos="7609"/>
              <w:tab w:val="right" w:pos="9026" w:leader="dot"/>
            </w:tabs>
            <w:rPr/>
          </w:pPr>
          <w:hyperlink w:anchor="__RefHeading___Toc747365_222507752">
            <w:r>
              <w:rPr>
                <w:webHidden/>
                <w:rStyle w:val="IndexLink"/>
                <w:rtl w:val="true"/>
              </w:rPr>
              <w:t>الثّاني</w:t>
            </w:r>
            <w:r>
              <w:rPr>
                <w:rStyle w:val="IndexLink"/>
                <w:rtl w:val="true"/>
              </w:rPr>
              <w:t>:</w:t>
            </w:r>
            <w:r>
              <w:rPr>
                <w:rStyle w:val="IndexLink"/>
                <w:rtl w:val="true"/>
              </w:rPr>
              <w:t>إذا لم يتعدّ المخرج،تخيّر بين الماء و الأحجار،و الماء أفضل</w:t>
            </w:r>
            <w:r>
              <w:rPr>
                <w:rStyle w:val="IndexLink"/>
                <w:rtl w:val="true"/>
              </w:rPr>
              <w:tab/>
            </w:r>
            <w:r>
              <w:rPr>
                <w:rStyle w:val="IndexLink"/>
              </w:rPr>
              <w:t>368</w:t>
            </w:r>
          </w:hyperlink>
        </w:p>
        <w:p>
          <w:pPr>
            <w:pStyle w:val="Contents6"/>
            <w:tabs>
              <w:tab w:val="clear" w:pos="7609"/>
              <w:tab w:val="right" w:pos="9026" w:leader="dot"/>
            </w:tabs>
            <w:rPr/>
          </w:pPr>
          <w:hyperlink w:anchor="__RefHeading___Toc747367_222507752">
            <w:r>
              <w:rPr>
                <w:webHidden/>
                <w:rStyle w:val="IndexLink"/>
                <w:rtl w:val="true"/>
              </w:rPr>
              <w:t>الثّالث</w:t>
            </w:r>
            <w:r>
              <w:rPr>
                <w:rStyle w:val="IndexLink"/>
                <w:rtl w:val="true"/>
              </w:rPr>
              <w:t>:</w:t>
            </w:r>
            <w:r>
              <w:rPr>
                <w:rStyle w:val="IndexLink"/>
                <w:rtl w:val="true"/>
              </w:rPr>
              <w:t>حدّ الاستنجاء بالماء النّقاء</w:t>
            </w:r>
            <w:r>
              <w:rPr>
                <w:rStyle w:val="IndexLink"/>
                <w:rtl w:val="true"/>
              </w:rPr>
              <w:tab/>
            </w:r>
            <w:r>
              <w:rPr>
                <w:rStyle w:val="IndexLink"/>
              </w:rPr>
              <w:t>371</w:t>
            </w:r>
          </w:hyperlink>
        </w:p>
        <w:p>
          <w:pPr>
            <w:pStyle w:val="Contents6"/>
            <w:tabs>
              <w:tab w:val="clear" w:pos="7609"/>
              <w:tab w:val="right" w:pos="9026" w:leader="dot"/>
            </w:tabs>
            <w:rPr/>
          </w:pPr>
          <w:hyperlink w:anchor="__RefHeading___Toc747369_222507752">
            <w:r>
              <w:rPr>
                <w:webHidden/>
                <w:rStyle w:val="IndexLink"/>
                <w:rtl w:val="true"/>
              </w:rPr>
              <w:t>الرّابع</w:t>
            </w:r>
            <w:r>
              <w:rPr>
                <w:rStyle w:val="IndexLink"/>
                <w:rtl w:val="true"/>
              </w:rPr>
              <w:t>:</w:t>
            </w:r>
            <w:r>
              <w:rPr>
                <w:rStyle w:val="IndexLink"/>
                <w:rtl w:val="true"/>
              </w:rPr>
              <w:t>الأحجار المستعملة في الاستنجاء يشترط فيها أمور</w:t>
            </w:r>
            <w:r>
              <w:rPr>
                <w:rStyle w:val="IndexLink"/>
                <w:rtl w:val="true"/>
              </w:rPr>
              <w:t>:</w:t>
              <w:tab/>
            </w:r>
            <w:r>
              <w:rPr>
                <w:rStyle w:val="IndexLink"/>
              </w:rPr>
              <w:t>371</w:t>
            </w:r>
          </w:hyperlink>
        </w:p>
        <w:p>
          <w:pPr>
            <w:pStyle w:val="Contents6"/>
            <w:tabs>
              <w:tab w:val="clear" w:pos="7609"/>
              <w:tab w:val="right" w:pos="9026" w:leader="dot"/>
            </w:tabs>
            <w:rPr/>
          </w:pPr>
          <w:hyperlink w:anchor="__RefHeading___Toc747371_222507752">
            <w:r>
              <w:rPr>
                <w:webHidden/>
                <w:rStyle w:val="IndexLink"/>
                <w:rtl w:val="true"/>
              </w:rPr>
              <w:t>الأوّل</w:t>
            </w:r>
            <w:r>
              <w:rPr>
                <w:rStyle w:val="IndexLink"/>
                <w:rtl w:val="true"/>
              </w:rPr>
              <w:t>:</w:t>
            </w:r>
            <w:r>
              <w:rPr>
                <w:rStyle w:val="IndexLink"/>
                <w:rtl w:val="true"/>
              </w:rPr>
              <w:t>العدد،فلا يجزي أقلّ من الثّلاث و إن حصل النّقاء بالأقل</w:t>
            </w:r>
            <w:r>
              <w:rPr>
                <w:rStyle w:val="IndexLink"/>
                <w:rtl w:val="true"/>
              </w:rPr>
              <w:tab/>
            </w:r>
            <w:r>
              <w:rPr>
                <w:rStyle w:val="IndexLink"/>
              </w:rPr>
              <w:t>371</w:t>
            </w:r>
          </w:hyperlink>
        </w:p>
        <w:p>
          <w:pPr>
            <w:pStyle w:val="Contents6"/>
            <w:tabs>
              <w:tab w:val="clear" w:pos="7609"/>
              <w:tab w:val="right" w:pos="9026" w:leader="dot"/>
            </w:tabs>
            <w:rPr/>
          </w:pPr>
          <w:hyperlink w:anchor="__RefHeading___Toc747373_222507752">
            <w:r>
              <w:rPr>
                <w:webHidden/>
                <w:rStyle w:val="IndexLink"/>
                <w:rtl w:val="true"/>
              </w:rPr>
              <w:t>فرعان</w:t>
            </w:r>
            <w:r>
              <w:rPr>
                <w:rStyle w:val="IndexLink"/>
                <w:rtl w:val="true"/>
              </w:rPr>
              <w:t>:</w:t>
              <w:tab/>
            </w:r>
            <w:r>
              <w:rPr>
                <w:rStyle w:val="IndexLink"/>
              </w:rPr>
              <w:t>372</w:t>
            </w:r>
          </w:hyperlink>
        </w:p>
        <w:p>
          <w:pPr>
            <w:pStyle w:val="Contents6"/>
            <w:tabs>
              <w:tab w:val="clear" w:pos="7609"/>
              <w:tab w:val="right" w:pos="9026" w:leader="dot"/>
            </w:tabs>
            <w:rPr/>
          </w:pPr>
          <w:hyperlink w:anchor="__RefHeading___Toc747375_222507752">
            <w:r>
              <w:rPr>
                <w:webHidden/>
                <w:rStyle w:val="IndexLink"/>
                <w:rtl w:val="true"/>
              </w:rPr>
              <w:t>الأوّل</w:t>
            </w:r>
            <w:r>
              <w:rPr>
                <w:rStyle w:val="IndexLink"/>
                <w:rtl w:val="true"/>
              </w:rPr>
              <w:t>:</w:t>
            </w:r>
            <w:r>
              <w:rPr>
                <w:rStyle w:val="IndexLink"/>
                <w:rtl w:val="true"/>
              </w:rPr>
              <w:t>لو لم يحصل النّقاء بالثّلاثة وجبت الزّيادة إلى أن يحصل النّقاء</w:t>
            </w:r>
            <w:r>
              <w:rPr>
                <w:rStyle w:val="IndexLink"/>
                <w:rtl w:val="true"/>
              </w:rPr>
              <w:tab/>
            </w:r>
            <w:r>
              <w:rPr>
                <w:rStyle w:val="IndexLink"/>
              </w:rPr>
              <w:t>372</w:t>
            </w:r>
          </w:hyperlink>
        </w:p>
        <w:p>
          <w:pPr>
            <w:pStyle w:val="Contents6"/>
            <w:tabs>
              <w:tab w:val="clear" w:pos="7609"/>
              <w:tab w:val="right" w:pos="9026" w:leader="dot"/>
            </w:tabs>
            <w:rPr/>
          </w:pPr>
          <w:hyperlink w:anchor="__RefHeading___Toc747377_222507752">
            <w:r>
              <w:rPr>
                <w:webHidden/>
                <w:rStyle w:val="IndexLink"/>
                <w:rtl w:val="true"/>
              </w:rPr>
              <w:t>الثّاني</w:t>
            </w:r>
            <w:r>
              <w:rPr>
                <w:rStyle w:val="IndexLink"/>
                <w:rtl w:val="true"/>
              </w:rPr>
              <w:t>:</w:t>
            </w:r>
            <w:r>
              <w:rPr>
                <w:rStyle w:val="IndexLink"/>
                <w:rtl w:val="true"/>
              </w:rPr>
              <w:t>في إجزاء الحجر ذي الشّعب الثّلاث خلاف</w:t>
            </w:r>
            <w:r>
              <w:rPr>
                <w:rStyle w:val="IndexLink"/>
                <w:rtl w:val="true"/>
              </w:rPr>
              <w:tab/>
            </w:r>
            <w:r>
              <w:rPr>
                <w:rStyle w:val="IndexLink"/>
              </w:rPr>
              <w:t>373</w:t>
            </w:r>
          </w:hyperlink>
        </w:p>
        <w:p>
          <w:pPr>
            <w:pStyle w:val="Contents6"/>
            <w:tabs>
              <w:tab w:val="clear" w:pos="7609"/>
              <w:tab w:val="right" w:pos="9026" w:leader="dot"/>
            </w:tabs>
            <w:rPr/>
          </w:pPr>
          <w:hyperlink w:anchor="__RefHeading___Toc747379_222507752">
            <w:r>
              <w:rPr>
                <w:webHidden/>
                <w:rStyle w:val="IndexLink"/>
                <w:rtl w:val="true"/>
              </w:rPr>
              <w:t>الوصف الثّاني</w:t>
            </w:r>
            <w:r>
              <w:rPr>
                <w:rStyle w:val="IndexLink"/>
                <w:rtl w:val="true"/>
              </w:rPr>
              <w:t>:</w:t>
            </w:r>
            <w:r>
              <w:rPr>
                <w:rStyle w:val="IndexLink"/>
                <w:rtl w:val="true"/>
              </w:rPr>
              <w:t>أن يكون ممّا له تأثير في إزالة العين</w:t>
            </w:r>
            <w:r>
              <w:rPr>
                <w:rStyle w:val="IndexLink"/>
                <w:rtl w:val="true"/>
              </w:rPr>
              <w:tab/>
            </w:r>
            <w:r>
              <w:rPr>
                <w:rStyle w:val="IndexLink"/>
              </w:rPr>
              <w:t>374</w:t>
            </w:r>
          </w:hyperlink>
        </w:p>
        <w:p>
          <w:pPr>
            <w:pStyle w:val="Contents6"/>
            <w:tabs>
              <w:tab w:val="clear" w:pos="7609"/>
              <w:tab w:val="right" w:pos="9026" w:leader="dot"/>
            </w:tabs>
            <w:rPr/>
          </w:pPr>
          <w:hyperlink w:anchor="__RefHeading___Toc747381_222507752">
            <w:r>
              <w:rPr>
                <w:webHidden/>
                <w:rStyle w:val="IndexLink"/>
                <w:rtl w:val="true"/>
              </w:rPr>
              <w:t>الوصف الثّالث</w:t>
            </w:r>
            <w:r>
              <w:rPr>
                <w:rStyle w:val="IndexLink"/>
                <w:rtl w:val="true"/>
              </w:rPr>
              <w:t>:</w:t>
            </w:r>
            <w:r>
              <w:rPr>
                <w:rStyle w:val="IndexLink"/>
                <w:rtl w:val="true"/>
              </w:rPr>
              <w:t>أن يكون طاهرا،فلا يجوز الاستجمار بالحجر النّجس</w:t>
            </w:r>
            <w:r>
              <w:rPr>
                <w:rStyle w:val="IndexLink"/>
                <w:rtl w:val="true"/>
              </w:rPr>
              <w:tab/>
            </w:r>
            <w:r>
              <w:rPr>
                <w:rStyle w:val="IndexLink"/>
              </w:rPr>
              <w:t>375</w:t>
            </w:r>
          </w:hyperlink>
        </w:p>
        <w:p>
          <w:pPr>
            <w:pStyle w:val="Contents6"/>
            <w:tabs>
              <w:tab w:val="clear" w:pos="7609"/>
              <w:tab w:val="right" w:pos="9026" w:leader="dot"/>
            </w:tabs>
            <w:rPr/>
          </w:pPr>
          <w:hyperlink w:anchor="__RefHeading___Toc747383_222507752">
            <w:r>
              <w:rPr>
                <w:webHidden/>
                <w:rStyle w:val="IndexLink"/>
                <w:rtl w:val="true"/>
              </w:rPr>
              <w:t>فروع</w:t>
            </w:r>
            <w:r>
              <w:rPr>
                <w:rStyle w:val="IndexLink"/>
                <w:rtl w:val="true"/>
              </w:rPr>
              <w:t>:</w:t>
              <w:tab/>
            </w:r>
            <w:r>
              <w:rPr>
                <w:rStyle w:val="IndexLink"/>
              </w:rPr>
              <w:t>376</w:t>
            </w:r>
          </w:hyperlink>
        </w:p>
        <w:p>
          <w:pPr>
            <w:pStyle w:val="Contents6"/>
            <w:tabs>
              <w:tab w:val="clear" w:pos="7609"/>
              <w:tab w:val="right" w:pos="9026" w:leader="dot"/>
            </w:tabs>
            <w:rPr/>
          </w:pPr>
          <w:hyperlink w:anchor="__RefHeading___Toc747385_222507752">
            <w:r>
              <w:rPr>
                <w:webHidden/>
                <w:rStyle w:val="IndexLink"/>
                <w:rtl w:val="true"/>
              </w:rPr>
              <w:t>الأوّل</w:t>
            </w:r>
            <w:r>
              <w:rPr>
                <w:rStyle w:val="IndexLink"/>
                <w:rtl w:val="true"/>
              </w:rPr>
              <w:t>:</w:t>
            </w:r>
            <w:r>
              <w:rPr>
                <w:rStyle w:val="IndexLink"/>
                <w:rtl w:val="true"/>
              </w:rPr>
              <w:t>لو استجمر بالنّجس لم يجزه</w:t>
            </w:r>
            <w:r>
              <w:rPr>
                <w:rStyle w:val="IndexLink"/>
                <w:rtl w:val="true"/>
              </w:rPr>
              <w:tab/>
            </w:r>
            <w:r>
              <w:rPr>
                <w:rStyle w:val="IndexLink"/>
              </w:rPr>
              <w:t>376</w:t>
            </w:r>
          </w:hyperlink>
        </w:p>
        <w:p>
          <w:pPr>
            <w:pStyle w:val="Contents6"/>
            <w:tabs>
              <w:tab w:val="clear" w:pos="7609"/>
              <w:tab w:val="right" w:pos="9026" w:leader="dot"/>
            </w:tabs>
            <w:rPr/>
          </w:pPr>
          <w:hyperlink w:anchor="__RefHeading___Toc747387_222507752">
            <w:r>
              <w:rPr>
                <w:webHidden/>
                <w:rStyle w:val="IndexLink"/>
                <w:rtl w:val="true"/>
              </w:rPr>
              <w:t>الثّاني</w:t>
            </w:r>
            <w:r>
              <w:rPr>
                <w:rStyle w:val="IndexLink"/>
                <w:rtl w:val="true"/>
              </w:rPr>
              <w:t>:</w:t>
            </w:r>
            <w:r>
              <w:rPr>
                <w:rStyle w:val="IndexLink"/>
                <w:rtl w:val="true"/>
              </w:rPr>
              <w:t>الحجر النّجس إذا تقادم عهده و زالت عين النّجاسة عنه،لا يجوز استعماله</w:t>
            </w:r>
            <w:r>
              <w:rPr>
                <w:rStyle w:val="IndexLink"/>
                <w:rtl w:val="true"/>
              </w:rPr>
              <w:tab/>
            </w:r>
            <w:r>
              <w:rPr>
                <w:rStyle w:val="IndexLink"/>
              </w:rPr>
              <w:t>376</w:t>
            </w:r>
          </w:hyperlink>
        </w:p>
        <w:p>
          <w:pPr>
            <w:pStyle w:val="Contents6"/>
            <w:tabs>
              <w:tab w:val="clear" w:pos="7609"/>
              <w:tab w:val="right" w:pos="9026" w:leader="dot"/>
            </w:tabs>
            <w:rPr/>
          </w:pPr>
          <w:hyperlink w:anchor="__RefHeading___Toc747389_222507752">
            <w:r>
              <w:rPr>
                <w:webHidden/>
                <w:rStyle w:val="IndexLink"/>
                <w:rtl w:val="true"/>
              </w:rPr>
              <w:t>الثّالث</w:t>
            </w:r>
            <w:r>
              <w:rPr>
                <w:rStyle w:val="IndexLink"/>
                <w:rtl w:val="true"/>
              </w:rPr>
              <w:t>:</w:t>
            </w:r>
            <w:r>
              <w:rPr>
                <w:rStyle w:val="IndexLink"/>
                <w:rtl w:val="true"/>
              </w:rPr>
              <w:t>لو استجمر بحجر ثمَّ غسله أو كسر ما تنجّس منه</w:t>
            </w:r>
            <w:r>
              <w:rPr>
                <w:rStyle w:val="IndexLink"/>
                <w:rtl w:val="true"/>
              </w:rPr>
              <w:tab/>
            </w:r>
            <w:r>
              <w:rPr>
                <w:rStyle w:val="IndexLink"/>
              </w:rPr>
              <w:t>376</w:t>
            </w:r>
          </w:hyperlink>
        </w:p>
        <w:p>
          <w:pPr>
            <w:pStyle w:val="Contents6"/>
            <w:tabs>
              <w:tab w:val="clear" w:pos="7609"/>
              <w:tab w:val="right" w:pos="9026" w:leader="dot"/>
            </w:tabs>
            <w:rPr/>
          </w:pPr>
          <w:hyperlink w:anchor="__RefHeading___Toc747391_222507752">
            <w:r>
              <w:rPr>
                <w:webHidden/>
                <w:rStyle w:val="IndexLink"/>
                <w:rtl w:val="true"/>
              </w:rPr>
              <w:t>الرّابع</w:t>
            </w:r>
            <w:r>
              <w:rPr>
                <w:rStyle w:val="IndexLink"/>
                <w:rtl w:val="true"/>
              </w:rPr>
              <w:t>:</w:t>
            </w:r>
            <w:r>
              <w:rPr>
                <w:rStyle w:val="IndexLink"/>
                <w:rtl w:val="true"/>
              </w:rPr>
              <w:t>لو استجمر بالآجر صحّ سواء كان الطّين نجسا أو لا</w:t>
            </w:r>
            <w:r>
              <w:rPr>
                <w:rStyle w:val="IndexLink"/>
                <w:rtl w:val="true"/>
              </w:rPr>
              <w:tab/>
            </w:r>
            <w:r>
              <w:rPr>
                <w:rStyle w:val="IndexLink"/>
              </w:rPr>
              <w:t>376</w:t>
            </w:r>
          </w:hyperlink>
        </w:p>
        <w:p>
          <w:pPr>
            <w:pStyle w:val="Contents6"/>
            <w:tabs>
              <w:tab w:val="clear" w:pos="7609"/>
              <w:tab w:val="right" w:pos="9026" w:leader="dot"/>
            </w:tabs>
            <w:rPr/>
          </w:pPr>
          <w:hyperlink w:anchor="__RefHeading___Toc747393_222507752">
            <w:r>
              <w:rPr>
                <w:webHidden/>
                <w:rStyle w:val="IndexLink"/>
                <w:rtl w:val="true"/>
              </w:rPr>
              <w:t>الوصف الرّابع</w:t>
            </w:r>
            <w:r>
              <w:rPr>
                <w:rStyle w:val="IndexLink"/>
                <w:rtl w:val="true"/>
              </w:rPr>
              <w:t>:</w:t>
            </w:r>
            <w:r>
              <w:rPr>
                <w:rStyle w:val="IndexLink"/>
                <w:rtl w:val="true"/>
              </w:rPr>
              <w:t>أن لا يكون عظما،و لا روثا،و لا مطعوما</w:t>
            </w:r>
            <w:r>
              <w:rPr>
                <w:rStyle w:val="IndexLink"/>
                <w:rtl w:val="true"/>
              </w:rPr>
              <w:tab/>
            </w:r>
            <w:r>
              <w:rPr>
                <w:rStyle w:val="IndexLink"/>
              </w:rPr>
              <w:t>377</w:t>
            </w:r>
          </w:hyperlink>
        </w:p>
        <w:p>
          <w:pPr>
            <w:pStyle w:val="Contents6"/>
            <w:tabs>
              <w:tab w:val="clear" w:pos="7609"/>
              <w:tab w:val="right" w:pos="9026" w:leader="dot"/>
            </w:tabs>
            <w:rPr/>
          </w:pPr>
          <w:hyperlink w:anchor="__RefHeading___Toc747395_222507752">
            <w:r>
              <w:rPr>
                <w:webHidden/>
                <w:rStyle w:val="IndexLink"/>
                <w:rtl w:val="true"/>
              </w:rPr>
              <w:t>فرع</w:t>
            </w:r>
            <w:r>
              <w:rPr>
                <w:rStyle w:val="IndexLink"/>
                <w:rtl w:val="true"/>
              </w:rPr>
              <w:t>:</w:t>
            </w:r>
            <w:r>
              <w:rPr>
                <w:rStyle w:val="IndexLink"/>
                <w:rtl w:val="true"/>
              </w:rPr>
              <w:t>لو استنجى بالعظم،أو بالرّوث،أو بالطّعام</w:t>
            </w:r>
            <w:r>
              <w:rPr>
                <w:rStyle w:val="IndexLink"/>
                <w:rtl w:val="true"/>
              </w:rPr>
              <w:tab/>
            </w:r>
            <w:r>
              <w:rPr>
                <w:rStyle w:val="IndexLink"/>
              </w:rPr>
              <w:t>378</w:t>
            </w:r>
          </w:hyperlink>
        </w:p>
        <w:p>
          <w:pPr>
            <w:pStyle w:val="Contents6"/>
            <w:tabs>
              <w:tab w:val="clear" w:pos="7609"/>
              <w:tab w:val="right" w:pos="9026" w:leader="dot"/>
            </w:tabs>
            <w:rPr/>
          </w:pPr>
          <w:hyperlink w:anchor="__RefHeading___Toc747397_222507752">
            <w:r>
              <w:rPr>
                <w:webHidden/>
                <w:rStyle w:val="IndexLink"/>
                <w:rtl w:val="true"/>
              </w:rPr>
              <w:t>الوصف الخامس</w:t>
            </w:r>
            <w:r>
              <w:rPr>
                <w:rStyle w:val="IndexLink"/>
                <w:rtl w:val="true"/>
              </w:rPr>
              <w:t>:</w:t>
            </w:r>
            <w:r>
              <w:rPr>
                <w:rStyle w:val="IndexLink"/>
                <w:rtl w:val="true"/>
              </w:rPr>
              <w:t>أن لا يكون ممّا له حرمة كتربة الحسين عليه السّلام،و حجر</w:t>
            </w:r>
            <w:r>
              <w:rPr>
                <w:rStyle w:val="IndexLink"/>
                <w:rtl w:val="true"/>
              </w:rPr>
              <w:tab/>
            </w:r>
            <w:r>
              <w:rPr>
                <w:rStyle w:val="IndexLink"/>
              </w:rPr>
              <w:t>379</w:t>
            </w:r>
          </w:hyperlink>
        </w:p>
        <w:p>
          <w:pPr>
            <w:pStyle w:val="Contents6"/>
            <w:tabs>
              <w:tab w:val="clear" w:pos="7609"/>
              <w:tab w:val="right" w:pos="9026" w:leader="dot"/>
            </w:tabs>
            <w:rPr/>
          </w:pPr>
          <w:hyperlink w:anchor="__RefHeading___Toc747399_222507752">
            <w:r>
              <w:rPr>
                <w:webHidden/>
                <w:rStyle w:val="IndexLink"/>
                <w:rtl w:val="true"/>
              </w:rPr>
              <w:t>الوصف السّادس</w:t>
            </w:r>
            <w:r>
              <w:rPr>
                <w:rStyle w:val="IndexLink"/>
                <w:rtl w:val="true"/>
              </w:rPr>
              <w:t>:</w:t>
            </w:r>
            <w:r>
              <w:rPr>
                <w:rStyle w:val="IndexLink"/>
                <w:rtl w:val="true"/>
              </w:rPr>
              <w:t>أن يكون جافّا</w:t>
            </w:r>
            <w:r>
              <w:rPr>
                <w:rStyle w:val="IndexLink"/>
                <w:rtl w:val="true"/>
              </w:rPr>
              <w:tab/>
            </w:r>
            <w:r>
              <w:rPr>
                <w:rStyle w:val="IndexLink"/>
              </w:rPr>
              <w:t>379</w:t>
            </w:r>
          </w:hyperlink>
        </w:p>
        <w:p>
          <w:pPr>
            <w:pStyle w:val="Contents6"/>
            <w:tabs>
              <w:tab w:val="clear" w:pos="7609"/>
              <w:tab w:val="right" w:pos="9026" w:leader="dot"/>
            </w:tabs>
            <w:rPr/>
          </w:pPr>
          <w:hyperlink w:anchor="__RefHeading___Toc747401_222507752">
            <w:r>
              <w:rPr>
                <w:webHidden/>
                <w:rStyle w:val="IndexLink"/>
                <w:rtl w:val="true"/>
              </w:rPr>
              <w:t>الفرع الخامس</w:t>
            </w:r>
            <w:r>
              <w:rPr>
                <w:rStyle w:val="IndexLink"/>
                <w:rtl w:val="true"/>
              </w:rPr>
              <w:t>:</w:t>
            </w:r>
            <w:r>
              <w:rPr>
                <w:rStyle w:val="IndexLink"/>
                <w:rtl w:val="true"/>
              </w:rPr>
              <w:t>لو استنجى بالخرقة،لم يجز قلبها و الاستنجاء بالوجه الآخر</w:t>
            </w:r>
            <w:r>
              <w:rPr>
                <w:rStyle w:val="IndexLink"/>
                <w:rtl w:val="true"/>
              </w:rPr>
              <w:tab/>
            </w:r>
            <w:r>
              <w:rPr>
                <w:rStyle w:val="IndexLink"/>
              </w:rPr>
              <w:t>379</w:t>
            </w:r>
          </w:hyperlink>
        </w:p>
        <w:p>
          <w:pPr>
            <w:pStyle w:val="Contents6"/>
            <w:tabs>
              <w:tab w:val="clear" w:pos="7609"/>
              <w:tab w:val="right" w:pos="9026" w:leader="dot"/>
            </w:tabs>
            <w:rPr/>
          </w:pPr>
          <w:hyperlink w:anchor="__RefHeading___Toc747403_222507752">
            <w:r>
              <w:rPr>
                <w:webHidden/>
                <w:rStyle w:val="IndexLink"/>
                <w:rtl w:val="true"/>
              </w:rPr>
              <w:t>السّادس</w:t>
            </w:r>
            <w:r>
              <w:rPr>
                <w:rStyle w:val="IndexLink"/>
                <w:rtl w:val="true"/>
              </w:rPr>
              <w:t>:</w:t>
            </w:r>
            <w:r>
              <w:rPr>
                <w:rStyle w:val="IndexLink"/>
                <w:rtl w:val="true"/>
              </w:rPr>
              <w:t>يجوز الاستجمار بالصّوف و الشّعر</w:t>
            </w:r>
            <w:r>
              <w:rPr>
                <w:rStyle w:val="IndexLink"/>
                <w:rtl w:val="true"/>
              </w:rPr>
              <w:tab/>
            </w:r>
            <w:r>
              <w:rPr>
                <w:rStyle w:val="IndexLink"/>
              </w:rPr>
              <w:t>379</w:t>
            </w:r>
          </w:hyperlink>
        </w:p>
        <w:p>
          <w:pPr>
            <w:pStyle w:val="Contents6"/>
            <w:tabs>
              <w:tab w:val="clear" w:pos="7609"/>
              <w:tab w:val="right" w:pos="9026" w:leader="dot"/>
            </w:tabs>
            <w:rPr/>
          </w:pPr>
          <w:hyperlink w:anchor="__RefHeading___Toc747405_222507752">
            <w:r>
              <w:rPr>
                <w:webHidden/>
                <w:rStyle w:val="IndexLink"/>
                <w:rtl w:val="true"/>
              </w:rPr>
              <w:t>السّابع</w:t>
            </w:r>
            <w:r>
              <w:rPr>
                <w:rStyle w:val="IndexLink"/>
                <w:rtl w:val="true"/>
              </w:rPr>
              <w:t>:</w:t>
            </w:r>
            <w:r>
              <w:rPr>
                <w:rStyle w:val="IndexLink"/>
                <w:rtl w:val="true"/>
              </w:rPr>
              <w:t>محلّ الاستجمار بعد استعمال الأحجار المزيلة للعين طاهر</w:t>
            </w:r>
            <w:r>
              <w:rPr>
                <w:rStyle w:val="IndexLink"/>
                <w:rtl w:val="true"/>
              </w:rPr>
              <w:tab/>
            </w:r>
            <w:r>
              <w:rPr>
                <w:rStyle w:val="IndexLink"/>
              </w:rPr>
              <w:t>380</w:t>
            </w:r>
          </w:hyperlink>
        </w:p>
        <w:p>
          <w:pPr>
            <w:pStyle w:val="Contents6"/>
            <w:tabs>
              <w:tab w:val="clear" w:pos="7609"/>
              <w:tab w:val="right" w:pos="9026" w:leader="dot"/>
            </w:tabs>
            <w:rPr/>
          </w:pPr>
          <w:hyperlink w:anchor="__RefHeading___Toc747407_222507752">
            <w:r>
              <w:rPr>
                <w:webHidden/>
                <w:rStyle w:val="IndexLink"/>
                <w:rtl w:val="true"/>
              </w:rPr>
              <w:t>الثّامن</w:t>
            </w:r>
            <w:r>
              <w:rPr>
                <w:rStyle w:val="IndexLink"/>
                <w:rtl w:val="true"/>
              </w:rPr>
              <w:t>:</w:t>
            </w:r>
            <w:r>
              <w:rPr>
                <w:rStyle w:val="IndexLink"/>
                <w:rtl w:val="true"/>
              </w:rPr>
              <w:t>كيف حصل الإنقاء بالاستنجاء أجزأ</w:t>
            </w:r>
            <w:r>
              <w:rPr>
                <w:rStyle w:val="IndexLink"/>
                <w:rtl w:val="true"/>
              </w:rPr>
              <w:tab/>
            </w:r>
            <w:r>
              <w:rPr>
                <w:rStyle w:val="IndexLink"/>
              </w:rPr>
              <w:t>381</w:t>
            </w:r>
          </w:hyperlink>
        </w:p>
        <w:p>
          <w:pPr>
            <w:pStyle w:val="Contents6"/>
            <w:tabs>
              <w:tab w:val="clear" w:pos="7609"/>
              <w:tab w:val="right" w:pos="9026" w:leader="dot"/>
            </w:tabs>
            <w:rPr/>
          </w:pPr>
          <w:hyperlink w:anchor="__RefHeading___Toc747409_222507752">
            <w:r>
              <w:rPr>
                <w:webHidden/>
                <w:rStyle w:val="IndexLink"/>
                <w:rtl w:val="true"/>
              </w:rPr>
              <w:t>التّاسع</w:t>
            </w:r>
            <w:r>
              <w:rPr>
                <w:rStyle w:val="IndexLink"/>
                <w:rtl w:val="true"/>
              </w:rPr>
              <w:t>:</w:t>
            </w:r>
            <w:r>
              <w:rPr>
                <w:rStyle w:val="IndexLink"/>
                <w:rtl w:val="true"/>
              </w:rPr>
              <w:t>لا يجب الاستنجاء في مخرج الغائط إلاّ مع خروج نجاسة منه</w:t>
            </w:r>
            <w:r>
              <w:rPr>
                <w:rStyle w:val="IndexLink"/>
                <w:rtl w:val="true"/>
              </w:rPr>
              <w:tab/>
            </w:r>
            <w:r>
              <w:rPr>
                <w:rStyle w:val="IndexLink"/>
              </w:rPr>
              <w:t>381</w:t>
            </w:r>
          </w:hyperlink>
        </w:p>
        <w:p>
          <w:pPr>
            <w:pStyle w:val="Contents6"/>
            <w:tabs>
              <w:tab w:val="clear" w:pos="7609"/>
              <w:tab w:val="right" w:pos="9026" w:leader="dot"/>
            </w:tabs>
            <w:rPr/>
          </w:pPr>
          <w:hyperlink w:anchor="__RefHeading___Toc747411_222507752">
            <w:r>
              <w:rPr>
                <w:webHidden/>
                <w:rStyle w:val="IndexLink"/>
                <w:rtl w:val="true"/>
              </w:rPr>
              <w:t>العاشر</w:t>
            </w:r>
            <w:r>
              <w:rPr>
                <w:rStyle w:val="IndexLink"/>
                <w:rtl w:val="true"/>
              </w:rPr>
              <w:t>:</w:t>
            </w:r>
            <w:r>
              <w:rPr>
                <w:rStyle w:val="IndexLink"/>
                <w:rtl w:val="true"/>
              </w:rPr>
              <w:t>ليس على النّائم و لا على من خرج منه ريح استنجاء</w:t>
            </w:r>
            <w:r>
              <w:rPr>
                <w:rStyle w:val="IndexLink"/>
                <w:rtl w:val="true"/>
              </w:rPr>
              <w:tab/>
            </w:r>
            <w:r>
              <w:rPr>
                <w:rStyle w:val="IndexLink"/>
              </w:rPr>
              <w:t>381</w:t>
            </w:r>
          </w:hyperlink>
        </w:p>
        <w:p>
          <w:pPr>
            <w:pStyle w:val="Contents6"/>
            <w:tabs>
              <w:tab w:val="clear" w:pos="7609"/>
              <w:tab w:val="right" w:pos="9026" w:leader="dot"/>
            </w:tabs>
            <w:rPr/>
          </w:pPr>
          <w:hyperlink w:anchor="__RefHeading___Toc747413_222507752">
            <w:r>
              <w:rPr>
                <w:webHidden/>
                <w:rStyle w:val="IndexLink"/>
                <w:rtl w:val="true"/>
              </w:rPr>
              <w:t>الحادي عشر</w:t>
            </w:r>
            <w:r>
              <w:rPr>
                <w:rStyle w:val="IndexLink"/>
                <w:rtl w:val="true"/>
              </w:rPr>
              <w:t>:</w:t>
            </w:r>
            <w:r>
              <w:rPr>
                <w:rStyle w:val="IndexLink"/>
                <w:rtl w:val="true"/>
              </w:rPr>
              <w:t>الواجب في الاستنجاء إزالة النّجاسة عن الظّاهر</w:t>
            </w:r>
            <w:r>
              <w:rPr>
                <w:rStyle w:val="IndexLink"/>
                <w:rtl w:val="true"/>
              </w:rPr>
              <w:tab/>
            </w:r>
            <w:r>
              <w:rPr>
                <w:rStyle w:val="IndexLink"/>
              </w:rPr>
              <w:t>382</w:t>
            </w:r>
          </w:hyperlink>
        </w:p>
        <w:p>
          <w:pPr>
            <w:pStyle w:val="Contents6"/>
            <w:tabs>
              <w:tab w:val="clear" w:pos="7609"/>
              <w:tab w:val="right" w:pos="9026" w:leader="dot"/>
            </w:tabs>
            <w:rPr/>
          </w:pPr>
          <w:hyperlink w:anchor="__RefHeading___Toc747415_222507752">
            <w:r>
              <w:rPr>
                <w:webHidden/>
                <w:rStyle w:val="IndexLink"/>
                <w:rtl w:val="true"/>
              </w:rPr>
              <w:t>الثّاني عشر</w:t>
            </w:r>
            <w:r>
              <w:rPr>
                <w:rStyle w:val="IndexLink"/>
                <w:rtl w:val="true"/>
              </w:rPr>
              <w:t>:</w:t>
            </w:r>
            <w:r>
              <w:rPr>
                <w:rStyle w:val="IndexLink"/>
                <w:rtl w:val="true"/>
              </w:rPr>
              <w:t>لو انسدّ المخرج المعتاد و انفتح آخر،هل يجزي فيه الاستجمار أم لا؟</w:t>
            </w:r>
            <w:r>
              <w:rPr>
                <w:rStyle w:val="IndexLink"/>
                <w:rtl w:val="true"/>
              </w:rPr>
              <w:tab/>
            </w:r>
            <w:r>
              <w:rPr>
                <w:rStyle w:val="IndexLink"/>
              </w:rPr>
              <w:t>382</w:t>
            </w:r>
          </w:hyperlink>
        </w:p>
        <w:p>
          <w:pPr>
            <w:pStyle w:val="Contents6"/>
            <w:tabs>
              <w:tab w:val="clear" w:pos="7609"/>
              <w:tab w:val="right" w:pos="9026" w:leader="dot"/>
            </w:tabs>
            <w:rPr/>
          </w:pPr>
          <w:hyperlink w:anchor="__RefHeading___Toc747417_222507752">
            <w:r>
              <w:rPr>
                <w:webHidden/>
                <w:rStyle w:val="IndexLink"/>
                <w:rtl w:val="true"/>
              </w:rPr>
              <w:t>الثّالث عشر</w:t>
            </w:r>
            <w:r>
              <w:rPr>
                <w:rStyle w:val="IndexLink"/>
                <w:rtl w:val="true"/>
              </w:rPr>
              <w:t>:</w:t>
            </w:r>
            <w:r>
              <w:rPr>
                <w:rStyle w:val="IndexLink"/>
                <w:rtl w:val="true"/>
              </w:rPr>
              <w:t>لا يفتقر مع استعمال الماء إلى تراب</w:t>
            </w:r>
            <w:r>
              <w:rPr>
                <w:rStyle w:val="IndexLink"/>
                <w:rtl w:val="true"/>
              </w:rPr>
              <w:tab/>
            </w:r>
            <w:r>
              <w:rPr>
                <w:rStyle w:val="IndexLink"/>
              </w:rPr>
              <w:t>383</w:t>
            </w:r>
          </w:hyperlink>
        </w:p>
        <w:p>
          <w:pPr>
            <w:pStyle w:val="Contents6"/>
            <w:tabs>
              <w:tab w:val="clear" w:pos="7609"/>
              <w:tab w:val="right" w:pos="9026" w:leader="dot"/>
            </w:tabs>
            <w:rPr/>
          </w:pPr>
          <w:hyperlink w:anchor="__RefHeading___Toc747419_222507752">
            <w:r>
              <w:rPr>
                <w:webHidden/>
                <w:rStyle w:val="IndexLink"/>
                <w:rtl w:val="true"/>
              </w:rPr>
              <w:t>الرّابع عشر البدء بالمقعدة ثمَّ بالإحليل في الاستنجاء</w:t>
            </w:r>
            <w:r>
              <w:rPr>
                <w:rStyle w:val="IndexLink"/>
                <w:rtl w:val="true"/>
              </w:rPr>
              <w:tab/>
            </w:r>
            <w:r>
              <w:rPr>
                <w:rStyle w:val="IndexLink"/>
              </w:rPr>
              <w:t>383</w:t>
            </w:r>
          </w:hyperlink>
        </w:p>
        <w:p>
          <w:pPr>
            <w:pStyle w:val="Contents6"/>
            <w:tabs>
              <w:tab w:val="clear" w:pos="7609"/>
              <w:tab w:val="right" w:pos="9026" w:leader="dot"/>
            </w:tabs>
            <w:rPr/>
          </w:pPr>
          <w:hyperlink w:anchor="__RefHeading___Toc747421_222507752">
            <w:r>
              <w:rPr>
                <w:webHidden/>
                <w:rStyle w:val="IndexLink"/>
                <w:rtl w:val="true"/>
              </w:rPr>
              <w:t>الخامس عشر</w:t>
            </w:r>
            <w:r>
              <w:rPr>
                <w:rStyle w:val="IndexLink"/>
                <w:rtl w:val="true"/>
              </w:rPr>
              <w:t>:</w:t>
            </w:r>
            <w:r>
              <w:rPr>
                <w:rStyle w:val="IndexLink"/>
                <w:rtl w:val="true"/>
              </w:rPr>
              <w:t>الاستجمار إنّما يكون في المعتاد كالغائط</w:t>
            </w:r>
            <w:r>
              <w:rPr>
                <w:rStyle w:val="IndexLink"/>
                <w:rtl w:val="true"/>
              </w:rPr>
              <w:tab/>
            </w:r>
            <w:r>
              <w:rPr>
                <w:rStyle w:val="IndexLink"/>
              </w:rPr>
              <w:t>383</w:t>
            </w:r>
          </w:hyperlink>
        </w:p>
        <w:p>
          <w:pPr>
            <w:pStyle w:val="Contents6"/>
            <w:tabs>
              <w:tab w:val="clear" w:pos="7609"/>
              <w:tab w:val="right" w:pos="9026" w:leader="dot"/>
            </w:tabs>
            <w:rPr/>
          </w:pPr>
          <w:hyperlink w:anchor="__RefHeading___Toc747423_222507752">
            <w:r>
              <w:rPr>
                <w:webHidden/>
                <w:rStyle w:val="IndexLink"/>
                <w:rtl w:val="true"/>
              </w:rPr>
              <w:t>السّادس عشر اشتراط عدم قيام المتغوط عن المحل في الاستجمار</w:t>
            </w:r>
            <w:r>
              <w:rPr>
                <w:rStyle w:val="IndexLink"/>
                <w:rtl w:val="true"/>
              </w:rPr>
              <w:tab/>
            </w:r>
            <w:r>
              <w:rPr>
                <w:rStyle w:val="IndexLink"/>
              </w:rPr>
              <w:t>384</w:t>
            </w:r>
          </w:hyperlink>
        </w:p>
        <w:p>
          <w:pPr>
            <w:pStyle w:val="Contents6"/>
            <w:tabs>
              <w:tab w:val="clear" w:pos="7609"/>
              <w:tab w:val="right" w:pos="9026" w:leader="dot"/>
            </w:tabs>
            <w:rPr/>
          </w:pPr>
          <w:hyperlink w:anchor="__RefHeading___Toc747425_222507752">
            <w:r>
              <w:rPr>
                <w:webHidden/>
                <w:rStyle w:val="IndexLink"/>
                <w:rtl w:val="true"/>
              </w:rPr>
              <w:t>البحث الثّالث</w:t>
            </w:r>
            <w:r>
              <w:rPr>
                <w:rStyle w:val="IndexLink"/>
                <w:rtl w:val="true"/>
              </w:rPr>
              <w:t>:</w:t>
            </w:r>
            <w:r>
              <w:rPr>
                <w:rStyle w:val="IndexLink"/>
                <w:rtl w:val="true"/>
              </w:rPr>
              <w:t>في السّواك و آداب الوضوء و الحمّام و ما يتبع ذلك</w:t>
            </w:r>
            <w:r>
              <w:rPr>
                <w:rStyle w:val="IndexLink"/>
                <w:rtl w:val="true"/>
              </w:rPr>
              <w:tab/>
            </w:r>
            <w:r>
              <w:rPr>
                <w:rStyle w:val="IndexLink"/>
              </w:rPr>
              <w:t>384</w:t>
            </w:r>
          </w:hyperlink>
        </w:p>
        <w:p>
          <w:pPr>
            <w:pStyle w:val="Contents6"/>
            <w:tabs>
              <w:tab w:val="clear" w:pos="7609"/>
              <w:tab w:val="right" w:pos="9026" w:leader="dot"/>
            </w:tabs>
            <w:rPr/>
          </w:pPr>
          <w:hyperlink w:anchor="__RefHeading___Toc747427_222507752">
            <w:r>
              <w:rPr>
                <w:webHidden/>
                <w:rStyle w:val="IndexLink"/>
                <w:rtl w:val="true"/>
              </w:rPr>
              <w:t>مسألة</w:t>
            </w:r>
            <w:r>
              <w:rPr>
                <w:rStyle w:val="IndexLink"/>
                <w:rtl w:val="true"/>
              </w:rPr>
              <w:t>:</w:t>
            </w:r>
            <w:r>
              <w:rPr>
                <w:rStyle w:val="IndexLink"/>
                <w:rtl w:val="true"/>
              </w:rPr>
              <w:t>مذهب علمائنا انّ السّواك مندوب إليه غير واجب</w:t>
            </w:r>
            <w:r>
              <w:rPr>
                <w:rStyle w:val="IndexLink"/>
                <w:rtl w:val="true"/>
              </w:rPr>
              <w:tab/>
            </w:r>
            <w:r>
              <w:rPr>
                <w:rStyle w:val="IndexLink"/>
              </w:rPr>
              <w:t>384</w:t>
            </w:r>
          </w:hyperlink>
        </w:p>
        <w:p>
          <w:pPr>
            <w:pStyle w:val="Contents6"/>
            <w:tabs>
              <w:tab w:val="clear" w:pos="7609"/>
              <w:tab w:val="right" w:pos="9026" w:leader="dot"/>
            </w:tabs>
            <w:rPr/>
          </w:pPr>
          <w:hyperlink w:anchor="__RefHeading___Toc747429_222507752">
            <w:r>
              <w:rPr>
                <w:webHidden/>
                <w:rStyle w:val="IndexLink"/>
                <w:rtl w:val="true"/>
              </w:rPr>
              <w:t>فروع</w:t>
            </w:r>
            <w:r>
              <w:rPr>
                <w:rStyle w:val="IndexLink"/>
                <w:rtl w:val="true"/>
              </w:rPr>
              <w:t>:</w:t>
              <w:tab/>
            </w:r>
            <w:r>
              <w:rPr>
                <w:rStyle w:val="IndexLink"/>
              </w:rPr>
              <w:t>386</w:t>
            </w:r>
          </w:hyperlink>
        </w:p>
        <w:p>
          <w:pPr>
            <w:pStyle w:val="Contents6"/>
            <w:tabs>
              <w:tab w:val="clear" w:pos="7609"/>
              <w:tab w:val="right" w:pos="9026" w:leader="dot"/>
            </w:tabs>
            <w:rPr/>
          </w:pPr>
          <w:hyperlink w:anchor="__RefHeading___Toc747431_222507752">
            <w:r>
              <w:rPr>
                <w:webHidden/>
                <w:rStyle w:val="IndexLink"/>
                <w:rtl w:val="true"/>
              </w:rPr>
              <w:t>الأوّل</w:t>
            </w:r>
            <w:r>
              <w:rPr>
                <w:rStyle w:val="IndexLink"/>
                <w:rtl w:val="true"/>
              </w:rPr>
              <w:t>:</w:t>
            </w:r>
            <w:r>
              <w:rPr>
                <w:rStyle w:val="IndexLink"/>
                <w:rtl w:val="true"/>
              </w:rPr>
              <w:t>أشدّ أوقات الاستحباب،في ثلاثة مواضع</w:t>
            </w:r>
            <w:r>
              <w:rPr>
                <w:rStyle w:val="IndexLink"/>
                <w:rtl w:val="true"/>
              </w:rPr>
              <w:t>:</w:t>
              <w:tab/>
            </w:r>
            <w:r>
              <w:rPr>
                <w:rStyle w:val="IndexLink"/>
              </w:rPr>
              <w:t>386</w:t>
            </w:r>
          </w:hyperlink>
        </w:p>
        <w:p>
          <w:pPr>
            <w:pStyle w:val="Contents6"/>
            <w:tabs>
              <w:tab w:val="clear" w:pos="7609"/>
              <w:tab w:val="right" w:pos="9026" w:leader="dot"/>
            </w:tabs>
            <w:rPr/>
          </w:pPr>
          <w:hyperlink w:anchor="__RefHeading___Toc747433_222507752">
            <w:r>
              <w:rPr>
                <w:webHidden/>
                <w:rStyle w:val="IndexLink"/>
                <w:rtl w:val="true"/>
              </w:rPr>
              <w:t>الثّاني</w:t>
            </w:r>
            <w:r>
              <w:rPr>
                <w:rStyle w:val="IndexLink"/>
                <w:rtl w:val="true"/>
              </w:rPr>
              <w:t>:</w:t>
            </w:r>
            <w:r>
              <w:rPr>
                <w:rStyle w:val="IndexLink"/>
                <w:rtl w:val="true"/>
              </w:rPr>
              <w:t>يكره السّواك في الخلاء</w:t>
            </w:r>
            <w:r>
              <w:rPr>
                <w:rStyle w:val="IndexLink"/>
                <w:rtl w:val="true"/>
              </w:rPr>
              <w:tab/>
            </w:r>
            <w:r>
              <w:rPr>
                <w:rStyle w:val="IndexLink"/>
              </w:rPr>
              <w:t>387</w:t>
            </w:r>
          </w:hyperlink>
        </w:p>
        <w:p>
          <w:pPr>
            <w:pStyle w:val="Contents6"/>
            <w:tabs>
              <w:tab w:val="clear" w:pos="7609"/>
              <w:tab w:val="right" w:pos="9026" w:leader="dot"/>
            </w:tabs>
            <w:rPr/>
          </w:pPr>
          <w:hyperlink w:anchor="__RefHeading___Toc747435_222507752">
            <w:r>
              <w:rPr>
                <w:webHidden/>
                <w:rStyle w:val="IndexLink"/>
                <w:rtl w:val="true"/>
              </w:rPr>
              <w:t>الثّالث</w:t>
            </w:r>
            <w:r>
              <w:rPr>
                <w:rStyle w:val="IndexLink"/>
                <w:rtl w:val="true"/>
              </w:rPr>
              <w:t>:</w:t>
            </w:r>
            <w:r>
              <w:rPr>
                <w:rStyle w:val="IndexLink"/>
                <w:rtl w:val="true"/>
              </w:rPr>
              <w:t>يجوز السّواك للصّائم نهارا بالرّطب و اليابس</w:t>
            </w:r>
            <w:r>
              <w:rPr>
                <w:rStyle w:val="IndexLink"/>
                <w:rtl w:val="true"/>
              </w:rPr>
              <w:tab/>
            </w:r>
            <w:r>
              <w:rPr>
                <w:rStyle w:val="IndexLink"/>
              </w:rPr>
              <w:t>387</w:t>
            </w:r>
          </w:hyperlink>
        </w:p>
        <w:p>
          <w:pPr>
            <w:pStyle w:val="Contents6"/>
            <w:tabs>
              <w:tab w:val="clear" w:pos="7609"/>
              <w:tab w:val="right" w:pos="9026" w:leader="dot"/>
            </w:tabs>
            <w:rPr/>
          </w:pPr>
          <w:hyperlink w:anchor="__RefHeading___Toc747437_222507752">
            <w:r>
              <w:rPr>
                <w:webHidden/>
                <w:rStyle w:val="IndexLink"/>
                <w:rtl w:val="true"/>
              </w:rPr>
              <w:t>الرّابع</w:t>
            </w:r>
            <w:r>
              <w:rPr>
                <w:rStyle w:val="IndexLink"/>
                <w:rtl w:val="true"/>
              </w:rPr>
              <w:t>:</w:t>
            </w:r>
            <w:r>
              <w:rPr>
                <w:rStyle w:val="IndexLink"/>
                <w:rtl w:val="true"/>
              </w:rPr>
              <w:t>يستحبّ أن يكون آلة السّواك عودا ليّنا ينقي الفم و لا يجرحه</w:t>
            </w:r>
            <w:r>
              <w:rPr>
                <w:rStyle w:val="IndexLink"/>
                <w:rtl w:val="true"/>
              </w:rPr>
              <w:tab/>
            </w:r>
            <w:r>
              <w:rPr>
                <w:rStyle w:val="IndexLink"/>
              </w:rPr>
              <w:t>388</w:t>
            </w:r>
          </w:hyperlink>
        </w:p>
        <w:p>
          <w:pPr>
            <w:pStyle w:val="Contents6"/>
            <w:tabs>
              <w:tab w:val="clear" w:pos="7609"/>
              <w:tab w:val="right" w:pos="9026" w:leader="dot"/>
            </w:tabs>
            <w:rPr/>
          </w:pPr>
          <w:hyperlink w:anchor="__RefHeading___Toc747439_222507752">
            <w:r>
              <w:rPr>
                <w:webHidden/>
                <w:rStyle w:val="IndexLink"/>
                <w:rtl w:val="true"/>
              </w:rPr>
              <w:t>الخامس</w:t>
            </w:r>
            <w:r>
              <w:rPr>
                <w:rStyle w:val="IndexLink"/>
                <w:rtl w:val="true"/>
              </w:rPr>
              <w:t>:</w:t>
            </w:r>
            <w:r>
              <w:rPr>
                <w:rStyle w:val="IndexLink"/>
                <w:rtl w:val="true"/>
              </w:rPr>
              <w:t>يستحب أن لا يترك السّواك أكثر من ثلاثة أيّام</w:t>
            </w:r>
            <w:r>
              <w:rPr>
                <w:rStyle w:val="IndexLink"/>
                <w:rtl w:val="true"/>
              </w:rPr>
              <w:tab/>
            </w:r>
            <w:r>
              <w:rPr>
                <w:rStyle w:val="IndexLink"/>
              </w:rPr>
              <w:t>388</w:t>
            </w:r>
          </w:hyperlink>
        </w:p>
        <w:p>
          <w:pPr>
            <w:pStyle w:val="Contents6"/>
            <w:tabs>
              <w:tab w:val="clear" w:pos="7609"/>
              <w:tab w:val="right" w:pos="9026" w:leader="dot"/>
            </w:tabs>
            <w:rPr/>
          </w:pPr>
          <w:hyperlink w:anchor="__RefHeading___Toc747441_222507752">
            <w:r>
              <w:rPr>
                <w:webHidden/>
                <w:rStyle w:val="IndexLink"/>
                <w:rtl w:val="true"/>
              </w:rPr>
              <w:t>السّادس</w:t>
            </w:r>
            <w:r>
              <w:rPr>
                <w:rStyle w:val="IndexLink"/>
                <w:rtl w:val="true"/>
              </w:rPr>
              <w:t>:</w:t>
            </w:r>
            <w:r>
              <w:rPr>
                <w:rStyle w:val="IndexLink"/>
                <w:rtl w:val="true"/>
              </w:rPr>
              <w:t>في السّواك اثنتا عشرة فائدة</w:t>
            </w:r>
            <w:r>
              <w:rPr>
                <w:rStyle w:val="IndexLink"/>
                <w:rtl w:val="true"/>
              </w:rPr>
              <w:tab/>
            </w:r>
            <w:r>
              <w:rPr>
                <w:rStyle w:val="IndexLink"/>
              </w:rPr>
              <w:t>388</w:t>
            </w:r>
          </w:hyperlink>
        </w:p>
        <w:p>
          <w:pPr>
            <w:pStyle w:val="Contents6"/>
            <w:tabs>
              <w:tab w:val="clear" w:pos="7609"/>
              <w:tab w:val="right" w:pos="9026" w:leader="dot"/>
            </w:tabs>
            <w:rPr/>
          </w:pPr>
          <w:hyperlink w:anchor="__RefHeading___Toc747443_222507752">
            <w:r>
              <w:rPr>
                <w:webHidden/>
                <w:rStyle w:val="IndexLink"/>
                <w:rtl w:val="true"/>
              </w:rPr>
              <w:t>السّابع</w:t>
            </w:r>
            <w:r>
              <w:rPr>
                <w:rStyle w:val="IndexLink"/>
                <w:rtl w:val="true"/>
              </w:rPr>
              <w:t>:</w:t>
            </w:r>
            <w:r>
              <w:rPr>
                <w:rStyle w:val="IndexLink"/>
                <w:rtl w:val="true"/>
              </w:rPr>
              <w:t>يستحبّ أن يستاك عرضا</w:t>
            </w:r>
            <w:r>
              <w:rPr>
                <w:rStyle w:val="IndexLink"/>
                <w:rtl w:val="true"/>
              </w:rPr>
              <w:tab/>
            </w:r>
            <w:r>
              <w:rPr>
                <w:rStyle w:val="IndexLink"/>
              </w:rPr>
              <w:t>389</w:t>
            </w:r>
          </w:hyperlink>
        </w:p>
        <w:p>
          <w:pPr>
            <w:pStyle w:val="Contents6"/>
            <w:tabs>
              <w:tab w:val="clear" w:pos="7609"/>
              <w:tab w:val="right" w:pos="9026" w:leader="dot"/>
            </w:tabs>
            <w:rPr/>
          </w:pPr>
          <w:hyperlink w:anchor="__RefHeading___Toc747445_222507752">
            <w:r>
              <w:rPr>
                <w:webHidden/>
                <w:rStyle w:val="IndexLink"/>
                <w:rtl w:val="true"/>
              </w:rPr>
              <w:t>الثّامن</w:t>
            </w:r>
            <w:r>
              <w:rPr>
                <w:rStyle w:val="IndexLink"/>
                <w:rtl w:val="true"/>
              </w:rPr>
              <w:t>:</w:t>
            </w:r>
            <w:r>
              <w:rPr>
                <w:rStyle w:val="IndexLink"/>
                <w:rtl w:val="true"/>
              </w:rPr>
              <w:t>اختلف في السّواك هل هو من سنن الوضوء أم لا؟</w:t>
            </w:r>
            <w:r>
              <w:rPr>
                <w:rStyle w:val="IndexLink"/>
                <w:rtl w:val="true"/>
              </w:rPr>
              <w:tab/>
            </w:r>
            <w:r>
              <w:rPr>
                <w:rStyle w:val="IndexLink"/>
              </w:rPr>
              <w:t>389</w:t>
            </w:r>
          </w:hyperlink>
        </w:p>
        <w:p>
          <w:pPr>
            <w:pStyle w:val="Contents6"/>
            <w:tabs>
              <w:tab w:val="clear" w:pos="7609"/>
              <w:tab w:val="right" w:pos="9026" w:leader="dot"/>
            </w:tabs>
            <w:rPr/>
          </w:pPr>
          <w:hyperlink w:anchor="__RefHeading___Toc747447_222507752">
            <w:r>
              <w:rPr>
                <w:webHidden/>
                <w:rStyle w:val="IndexLink"/>
                <w:rtl w:val="true"/>
              </w:rPr>
              <w:t xml:space="preserve">مسألة </w:t>
            </w:r>
            <w:r>
              <w:rPr>
                <w:rStyle w:val="IndexLink"/>
                <w:rtl w:val="true"/>
              </w:rPr>
              <w:t>:</w:t>
            </w:r>
            <w:r>
              <w:rPr>
                <w:rStyle w:val="IndexLink"/>
                <w:rtl w:val="true"/>
              </w:rPr>
              <w:t>يستحبّ وضع الإناء على اليمين</w:t>
            </w:r>
            <w:r>
              <w:rPr>
                <w:rStyle w:val="IndexLink"/>
                <w:rtl w:val="true"/>
              </w:rPr>
              <w:tab/>
            </w:r>
            <w:r>
              <w:rPr>
                <w:rStyle w:val="IndexLink"/>
              </w:rPr>
              <w:t>389</w:t>
            </w:r>
          </w:hyperlink>
        </w:p>
        <w:p>
          <w:pPr>
            <w:pStyle w:val="Contents6"/>
            <w:tabs>
              <w:tab w:val="clear" w:pos="7609"/>
              <w:tab w:val="right" w:pos="9026" w:leader="dot"/>
            </w:tabs>
            <w:rPr/>
          </w:pPr>
          <w:hyperlink w:anchor="__RefHeading___Toc747449_222507752">
            <w:r>
              <w:rPr>
                <w:webHidden/>
                <w:rStyle w:val="IndexLink"/>
                <w:rtl w:val="true"/>
              </w:rPr>
              <w:t xml:space="preserve">مسألة </w:t>
            </w:r>
            <w:r>
              <w:rPr>
                <w:rStyle w:val="IndexLink"/>
                <w:rtl w:val="true"/>
              </w:rPr>
              <w:t>:</w:t>
            </w:r>
            <w:r>
              <w:rPr>
                <w:rStyle w:val="IndexLink"/>
                <w:rtl w:val="true"/>
              </w:rPr>
              <w:t>و يستحبّ غسل اليدين قبل إدخالهما الإناء من النّوم</w:t>
            </w:r>
            <w:r>
              <w:rPr>
                <w:rStyle w:val="IndexLink"/>
                <w:rtl w:val="true"/>
              </w:rPr>
              <w:tab/>
            </w:r>
            <w:r>
              <w:rPr>
                <w:rStyle w:val="IndexLink"/>
              </w:rPr>
              <w:t>390</w:t>
            </w:r>
          </w:hyperlink>
        </w:p>
        <w:p>
          <w:pPr>
            <w:pStyle w:val="Contents6"/>
            <w:tabs>
              <w:tab w:val="clear" w:pos="7609"/>
              <w:tab w:val="right" w:pos="9026" w:leader="dot"/>
            </w:tabs>
            <w:rPr/>
          </w:pPr>
          <w:hyperlink w:anchor="__RefHeading___Toc747451_222507752">
            <w:r>
              <w:rPr>
                <w:webHidden/>
                <w:rStyle w:val="IndexLink"/>
                <w:rtl w:val="true"/>
              </w:rPr>
              <w:t>فروع</w:t>
            </w:r>
            <w:r>
              <w:rPr>
                <w:rStyle w:val="IndexLink"/>
                <w:rtl w:val="true"/>
              </w:rPr>
              <w:t>:</w:t>
              <w:tab/>
            </w:r>
            <w:r>
              <w:rPr>
                <w:rStyle w:val="IndexLink"/>
              </w:rPr>
              <w:t>393</w:t>
            </w:r>
          </w:hyperlink>
        </w:p>
        <w:p>
          <w:pPr>
            <w:pStyle w:val="Contents6"/>
            <w:tabs>
              <w:tab w:val="clear" w:pos="7609"/>
              <w:tab w:val="right" w:pos="9026" w:leader="dot"/>
            </w:tabs>
            <w:rPr/>
          </w:pPr>
          <w:hyperlink w:anchor="__RefHeading___Toc747453_222507752">
            <w:r>
              <w:rPr>
                <w:webHidden/>
                <w:rStyle w:val="IndexLink"/>
                <w:rtl w:val="true"/>
              </w:rPr>
              <w:t>الأوّل</w:t>
            </w:r>
            <w:r>
              <w:rPr>
                <w:rStyle w:val="IndexLink"/>
                <w:rtl w:val="true"/>
              </w:rPr>
              <w:t>:</w:t>
            </w:r>
            <w:r>
              <w:rPr>
                <w:rStyle w:val="IndexLink"/>
                <w:rtl w:val="true"/>
              </w:rPr>
              <w:t>لو لم يغسل يده و غمسها في الماء،</w:t>
            </w:r>
            <w:r>
              <w:rPr>
                <w:rStyle w:val="IndexLink"/>
                <w:rtl w:val="true"/>
              </w:rPr>
              <w:tab/>
            </w:r>
            <w:r>
              <w:rPr>
                <w:rStyle w:val="IndexLink"/>
              </w:rPr>
              <w:t>393</w:t>
            </w:r>
          </w:hyperlink>
        </w:p>
        <w:p>
          <w:pPr>
            <w:pStyle w:val="Contents6"/>
            <w:tabs>
              <w:tab w:val="clear" w:pos="7609"/>
              <w:tab w:val="right" w:pos="9026" w:leader="dot"/>
            </w:tabs>
            <w:rPr/>
          </w:pPr>
          <w:hyperlink w:anchor="__RefHeading___Toc747455_222507752">
            <w:r>
              <w:rPr>
                <w:webHidden/>
                <w:rStyle w:val="IndexLink"/>
                <w:rtl w:val="true"/>
              </w:rPr>
              <w:t>الثّاني</w:t>
            </w:r>
            <w:r>
              <w:rPr>
                <w:rStyle w:val="IndexLink"/>
                <w:rtl w:val="true"/>
              </w:rPr>
              <w:t>:</w:t>
            </w:r>
            <w:r>
              <w:rPr>
                <w:rStyle w:val="IndexLink"/>
                <w:rtl w:val="true"/>
              </w:rPr>
              <w:t>لم يحدّ الأصحاب اليد هاهنا،</w:t>
            </w:r>
            <w:r>
              <w:rPr>
                <w:rStyle w:val="IndexLink"/>
                <w:rtl w:val="true"/>
              </w:rPr>
              <w:tab/>
            </w:r>
            <w:r>
              <w:rPr>
                <w:rStyle w:val="IndexLink"/>
              </w:rPr>
              <w:t>393</w:t>
            </w:r>
          </w:hyperlink>
        </w:p>
        <w:p>
          <w:pPr>
            <w:pStyle w:val="Contents6"/>
            <w:tabs>
              <w:tab w:val="clear" w:pos="7609"/>
              <w:tab w:val="right" w:pos="9026" w:leader="dot"/>
            </w:tabs>
            <w:rPr/>
          </w:pPr>
          <w:hyperlink w:anchor="__RefHeading___Toc747457_222507752">
            <w:r>
              <w:rPr>
                <w:webHidden/>
                <w:rStyle w:val="IndexLink"/>
                <w:rtl w:val="true"/>
              </w:rPr>
              <w:t>الثّالث</w:t>
            </w:r>
            <w:r>
              <w:rPr>
                <w:rStyle w:val="IndexLink"/>
                <w:rtl w:val="true"/>
              </w:rPr>
              <w:t>:</w:t>
            </w:r>
            <w:r>
              <w:rPr>
                <w:rStyle w:val="IndexLink"/>
                <w:rtl w:val="true"/>
              </w:rPr>
              <w:t>غمس بعضها في المنع الاستحبابي كغمس جميعها،</w:t>
            </w:r>
            <w:r>
              <w:rPr>
                <w:rStyle w:val="IndexLink"/>
                <w:rtl w:val="true"/>
              </w:rPr>
              <w:tab/>
            </w:r>
            <w:r>
              <w:rPr>
                <w:rStyle w:val="IndexLink"/>
              </w:rPr>
              <w:t>393</w:t>
            </w:r>
          </w:hyperlink>
        </w:p>
        <w:p>
          <w:pPr>
            <w:pStyle w:val="Contents6"/>
            <w:tabs>
              <w:tab w:val="clear" w:pos="7609"/>
              <w:tab w:val="right" w:pos="9026" w:leader="dot"/>
            </w:tabs>
            <w:rPr/>
          </w:pPr>
          <w:hyperlink w:anchor="__RefHeading___Toc747459_222507752">
            <w:r>
              <w:rPr>
                <w:webHidden/>
                <w:rStyle w:val="IndexLink"/>
                <w:rtl w:val="true"/>
              </w:rPr>
              <w:t>الرّابع</w:t>
            </w:r>
            <w:r>
              <w:rPr>
                <w:rStyle w:val="IndexLink"/>
                <w:rtl w:val="true"/>
              </w:rPr>
              <w:t>:</w:t>
            </w:r>
            <w:r>
              <w:rPr>
                <w:rStyle w:val="IndexLink"/>
                <w:rtl w:val="true"/>
              </w:rPr>
              <w:t>غمسها بعد غسلها دون الثّلاث في الجنابة و المرّتين في الغائط كغمسها قبل</w:t>
            </w:r>
            <w:r>
              <w:rPr>
                <w:rStyle w:val="IndexLink"/>
                <w:rtl w:val="true"/>
              </w:rPr>
              <w:tab/>
            </w:r>
            <w:r>
              <w:rPr>
                <w:rStyle w:val="IndexLink"/>
              </w:rPr>
              <w:t>393</w:t>
            </w:r>
          </w:hyperlink>
        </w:p>
        <w:p>
          <w:pPr>
            <w:pStyle w:val="Contents6"/>
            <w:tabs>
              <w:tab w:val="clear" w:pos="7609"/>
              <w:tab w:val="right" w:pos="9026" w:leader="dot"/>
            </w:tabs>
            <w:rPr/>
          </w:pPr>
          <w:hyperlink w:anchor="__RefHeading___Toc747461_222507752">
            <w:r>
              <w:rPr>
                <w:webHidden/>
                <w:rStyle w:val="IndexLink"/>
                <w:rtl w:val="true"/>
              </w:rPr>
              <w:t>الخامس</w:t>
            </w:r>
            <w:r>
              <w:rPr>
                <w:rStyle w:val="IndexLink"/>
                <w:rtl w:val="true"/>
              </w:rPr>
              <w:t>:</w:t>
            </w:r>
            <w:r>
              <w:rPr>
                <w:rStyle w:val="IndexLink"/>
                <w:rtl w:val="true"/>
              </w:rPr>
              <w:t>لا فرق بين كون يد النّائم مشدودة أو مطلقة</w:t>
            </w:r>
            <w:r>
              <w:rPr>
                <w:rStyle w:val="IndexLink"/>
                <w:rtl w:val="true"/>
              </w:rPr>
              <w:tab/>
            </w:r>
            <w:r>
              <w:rPr>
                <w:rStyle w:val="IndexLink"/>
              </w:rPr>
              <w:t>393</w:t>
            </w:r>
          </w:hyperlink>
        </w:p>
        <w:p>
          <w:pPr>
            <w:pStyle w:val="Contents6"/>
            <w:tabs>
              <w:tab w:val="clear" w:pos="7609"/>
              <w:tab w:val="right" w:pos="9026" w:leader="dot"/>
            </w:tabs>
            <w:rPr/>
          </w:pPr>
          <w:hyperlink w:anchor="__RefHeading___Toc747463_222507752">
            <w:r>
              <w:rPr>
                <w:webHidden/>
                <w:rStyle w:val="IndexLink"/>
                <w:rtl w:val="true"/>
              </w:rPr>
              <w:t>السّادس</w:t>
            </w:r>
            <w:r>
              <w:rPr>
                <w:rStyle w:val="IndexLink"/>
                <w:rtl w:val="true"/>
              </w:rPr>
              <w:t>:</w:t>
            </w:r>
            <w:r>
              <w:rPr>
                <w:rStyle w:val="IndexLink"/>
                <w:rtl w:val="true"/>
              </w:rPr>
              <w:t>هذا الحكم يتعلّق بالمسلم البالغ العاقل</w:t>
            </w:r>
            <w:r>
              <w:rPr>
                <w:rStyle w:val="IndexLink"/>
                <w:rtl w:val="true"/>
              </w:rPr>
              <w:tab/>
            </w:r>
            <w:r>
              <w:rPr>
                <w:rStyle w:val="IndexLink"/>
              </w:rPr>
              <w:t>394</w:t>
            </w:r>
          </w:hyperlink>
        </w:p>
        <w:p>
          <w:pPr>
            <w:pStyle w:val="Contents6"/>
            <w:tabs>
              <w:tab w:val="clear" w:pos="7609"/>
              <w:tab w:val="right" w:pos="9026" w:leader="dot"/>
            </w:tabs>
            <w:rPr/>
          </w:pPr>
          <w:hyperlink w:anchor="__RefHeading___Toc747465_222507752">
            <w:r>
              <w:rPr>
                <w:webHidden/>
                <w:rStyle w:val="IndexLink"/>
                <w:rtl w:val="true"/>
              </w:rPr>
              <w:t>السّابع</w:t>
            </w:r>
            <w:r>
              <w:rPr>
                <w:rStyle w:val="IndexLink"/>
                <w:rtl w:val="true"/>
              </w:rPr>
              <w:t>:</w:t>
            </w:r>
            <w:r>
              <w:rPr>
                <w:rStyle w:val="IndexLink"/>
                <w:rtl w:val="true"/>
              </w:rPr>
              <w:t>لم يقدّر أصحابنا النّوم هنا بقدر،</w:t>
            </w:r>
            <w:r>
              <w:rPr>
                <w:rStyle w:val="IndexLink"/>
                <w:rtl w:val="true"/>
              </w:rPr>
              <w:tab/>
            </w:r>
            <w:r>
              <w:rPr>
                <w:rStyle w:val="IndexLink"/>
              </w:rPr>
              <w:t>394</w:t>
            </w:r>
          </w:hyperlink>
        </w:p>
        <w:p>
          <w:pPr>
            <w:pStyle w:val="Contents6"/>
            <w:tabs>
              <w:tab w:val="clear" w:pos="7609"/>
              <w:tab w:val="right" w:pos="9026" w:leader="dot"/>
            </w:tabs>
            <w:rPr/>
          </w:pPr>
          <w:hyperlink w:anchor="__RefHeading___Toc747467_222507752">
            <w:r>
              <w:rPr>
                <w:webHidden/>
                <w:rStyle w:val="IndexLink"/>
                <w:rtl w:val="true"/>
              </w:rPr>
              <w:t>الثّامن</w:t>
            </w:r>
            <w:r>
              <w:rPr>
                <w:rStyle w:val="IndexLink"/>
                <w:rtl w:val="true"/>
              </w:rPr>
              <w:t>:</w:t>
            </w:r>
            <w:r>
              <w:rPr>
                <w:rStyle w:val="IndexLink"/>
                <w:rtl w:val="true"/>
              </w:rPr>
              <w:t>لا يفتقر إلى نيّة في غسل اليدين لأنّه معلّل بوهم النّجاسة</w:t>
            </w:r>
            <w:r>
              <w:rPr>
                <w:rStyle w:val="IndexLink"/>
                <w:rtl w:val="true"/>
              </w:rPr>
              <w:tab/>
            </w:r>
            <w:r>
              <w:rPr>
                <w:rStyle w:val="IndexLink"/>
              </w:rPr>
              <w:t>394</w:t>
            </w:r>
          </w:hyperlink>
        </w:p>
        <w:p>
          <w:pPr>
            <w:pStyle w:val="Contents6"/>
            <w:tabs>
              <w:tab w:val="clear" w:pos="7609"/>
              <w:tab w:val="right" w:pos="9026" w:leader="dot"/>
            </w:tabs>
            <w:rPr/>
          </w:pPr>
          <w:hyperlink w:anchor="__RefHeading___Toc747469_222507752">
            <w:r>
              <w:rPr>
                <w:webHidden/>
                <w:rStyle w:val="IndexLink"/>
                <w:rtl w:val="true"/>
              </w:rPr>
              <w:t>التّاسع</w:t>
            </w:r>
            <w:r>
              <w:rPr>
                <w:rStyle w:val="IndexLink"/>
                <w:rtl w:val="true"/>
              </w:rPr>
              <w:t>:</w:t>
            </w:r>
            <w:r>
              <w:rPr>
                <w:rStyle w:val="IndexLink"/>
                <w:rtl w:val="true"/>
              </w:rPr>
              <w:t>لا يفتقر إلى تسمية،</w:t>
            </w:r>
            <w:r>
              <w:rPr>
                <w:rStyle w:val="IndexLink"/>
                <w:rtl w:val="true"/>
              </w:rPr>
              <w:tab/>
            </w:r>
            <w:r>
              <w:rPr>
                <w:rStyle w:val="IndexLink"/>
              </w:rPr>
              <w:t>395</w:t>
            </w:r>
          </w:hyperlink>
        </w:p>
        <w:p>
          <w:pPr>
            <w:pStyle w:val="Contents6"/>
            <w:tabs>
              <w:tab w:val="clear" w:pos="7609"/>
              <w:tab w:val="right" w:pos="9026" w:leader="dot"/>
            </w:tabs>
            <w:rPr/>
          </w:pPr>
          <w:hyperlink w:anchor="__RefHeading___Toc747471_222507752">
            <w:r>
              <w:rPr>
                <w:webHidden/>
                <w:rStyle w:val="IndexLink"/>
                <w:rtl w:val="true"/>
              </w:rPr>
              <w:t>العاشر</w:t>
            </w:r>
            <w:r>
              <w:rPr>
                <w:rStyle w:val="IndexLink"/>
                <w:rtl w:val="true"/>
              </w:rPr>
              <w:t>:</w:t>
            </w:r>
            <w:r>
              <w:rPr>
                <w:rStyle w:val="IndexLink"/>
                <w:rtl w:val="true"/>
              </w:rPr>
              <w:t>المستحبّ عندنا غسل اليدين من حدث البول و النّوم مرّة واحدة</w:t>
            </w:r>
            <w:r>
              <w:rPr>
                <w:rStyle w:val="IndexLink"/>
                <w:rtl w:val="true"/>
              </w:rPr>
              <w:tab/>
            </w:r>
            <w:r>
              <w:rPr>
                <w:rStyle w:val="IndexLink"/>
              </w:rPr>
              <w:t>395</w:t>
            </w:r>
          </w:hyperlink>
        </w:p>
        <w:p>
          <w:pPr>
            <w:pStyle w:val="Contents6"/>
            <w:tabs>
              <w:tab w:val="clear" w:pos="7609"/>
              <w:tab w:val="right" w:pos="9026" w:leader="dot"/>
            </w:tabs>
            <w:rPr/>
          </w:pPr>
          <w:hyperlink w:anchor="__RefHeading___Toc747473_222507752">
            <w:r>
              <w:rPr>
                <w:webHidden/>
                <w:rStyle w:val="IndexLink"/>
                <w:rtl w:val="true"/>
              </w:rPr>
              <w:t>الحادي عشر</w:t>
            </w:r>
            <w:r>
              <w:rPr>
                <w:rStyle w:val="IndexLink"/>
                <w:rtl w:val="true"/>
              </w:rPr>
              <w:t>:</w:t>
            </w:r>
            <w:r>
              <w:rPr>
                <w:rStyle w:val="IndexLink"/>
                <w:rtl w:val="true"/>
              </w:rPr>
              <w:t>لو تعدّدت الأحداث فالأولى التّداخل</w:t>
            </w:r>
            <w:r>
              <w:rPr>
                <w:rStyle w:val="IndexLink"/>
                <w:rtl w:val="true"/>
              </w:rPr>
              <w:tab/>
            </w:r>
            <w:r>
              <w:rPr>
                <w:rStyle w:val="IndexLink"/>
              </w:rPr>
              <w:t>395</w:t>
            </w:r>
          </w:hyperlink>
        </w:p>
        <w:p>
          <w:pPr>
            <w:pStyle w:val="Contents6"/>
            <w:tabs>
              <w:tab w:val="clear" w:pos="7609"/>
              <w:tab w:val="right" w:pos="9026" w:leader="dot"/>
            </w:tabs>
            <w:rPr/>
          </w:pPr>
          <w:hyperlink w:anchor="__RefHeading___Toc747475_222507752">
            <w:r>
              <w:rPr>
                <w:webHidden/>
                <w:rStyle w:val="IndexLink"/>
                <w:rtl w:val="true"/>
              </w:rPr>
              <w:t>الثّاني عشر</w:t>
            </w:r>
            <w:r>
              <w:rPr>
                <w:rStyle w:val="IndexLink"/>
                <w:rtl w:val="true"/>
              </w:rPr>
              <w:t>:</w:t>
            </w:r>
            <w:r>
              <w:rPr>
                <w:rStyle w:val="IndexLink"/>
                <w:rtl w:val="true"/>
              </w:rPr>
              <w:t>الوجه اختصاص التّعبّد بذلك بالماء القليل،</w:t>
            </w:r>
            <w:r>
              <w:rPr>
                <w:rStyle w:val="IndexLink"/>
                <w:rtl w:val="true"/>
              </w:rPr>
              <w:tab/>
            </w:r>
            <w:r>
              <w:rPr>
                <w:rStyle w:val="IndexLink"/>
              </w:rPr>
              <w:t>395</w:t>
            </w:r>
          </w:hyperlink>
        </w:p>
        <w:p>
          <w:pPr>
            <w:pStyle w:val="Contents6"/>
            <w:tabs>
              <w:tab w:val="clear" w:pos="7609"/>
              <w:tab w:val="right" w:pos="9026" w:leader="dot"/>
            </w:tabs>
            <w:rPr/>
          </w:pPr>
          <w:hyperlink w:anchor="__RefHeading___Toc747477_222507752">
            <w:r>
              <w:rPr>
                <w:webHidden/>
                <w:rStyle w:val="IndexLink"/>
                <w:rtl w:val="true"/>
              </w:rPr>
              <w:t>مسألة</w:t>
            </w:r>
            <w:r>
              <w:rPr>
                <w:rStyle w:val="IndexLink"/>
                <w:rtl w:val="true"/>
              </w:rPr>
              <w:t>:</w:t>
            </w:r>
            <w:r>
              <w:rPr>
                <w:rStyle w:val="IndexLink"/>
                <w:rtl w:val="true"/>
              </w:rPr>
              <w:t>و يستحبّ التّسمية في ابتداء الطّهارة</w:t>
            </w:r>
            <w:r>
              <w:rPr>
                <w:rStyle w:val="IndexLink"/>
                <w:rtl w:val="true"/>
              </w:rPr>
              <w:tab/>
            </w:r>
            <w:r>
              <w:rPr>
                <w:rStyle w:val="IndexLink"/>
              </w:rPr>
              <w:t>396</w:t>
            </w:r>
          </w:hyperlink>
        </w:p>
        <w:p>
          <w:pPr>
            <w:pStyle w:val="Contents6"/>
            <w:tabs>
              <w:tab w:val="clear" w:pos="7609"/>
              <w:tab w:val="right" w:pos="9026" w:leader="dot"/>
            </w:tabs>
            <w:rPr/>
          </w:pPr>
          <w:hyperlink w:anchor="__RefHeading___Toc747479_222507752">
            <w:r>
              <w:rPr>
                <w:webHidden/>
                <w:rStyle w:val="IndexLink"/>
                <w:rtl w:val="true"/>
              </w:rPr>
              <w:t>فروع</w:t>
            </w:r>
            <w:r>
              <w:rPr>
                <w:rStyle w:val="IndexLink"/>
                <w:rtl w:val="true"/>
              </w:rPr>
              <w:t>:</w:t>
              <w:tab/>
            </w:r>
            <w:r>
              <w:rPr>
                <w:rStyle w:val="IndexLink"/>
              </w:rPr>
              <w:t>398</w:t>
            </w:r>
          </w:hyperlink>
        </w:p>
        <w:p>
          <w:pPr>
            <w:pStyle w:val="Contents6"/>
            <w:tabs>
              <w:tab w:val="clear" w:pos="7609"/>
              <w:tab w:val="right" w:pos="9026" w:leader="dot"/>
            </w:tabs>
            <w:rPr/>
          </w:pPr>
          <w:hyperlink w:anchor="__RefHeading___Toc747481_222507752">
            <w:r>
              <w:rPr>
                <w:webHidden/>
                <w:rStyle w:val="IndexLink"/>
                <w:rtl w:val="true"/>
              </w:rPr>
              <w:t>الأوّل</w:t>
            </w:r>
            <w:r>
              <w:rPr>
                <w:rStyle w:val="IndexLink"/>
                <w:rtl w:val="true"/>
              </w:rPr>
              <w:t>:</w:t>
            </w:r>
            <w:r>
              <w:rPr>
                <w:rStyle w:val="IndexLink"/>
                <w:rtl w:val="true"/>
              </w:rPr>
              <w:t>لو تركها عمدا أو سهوا لم تبطل طهارته</w:t>
            </w:r>
            <w:r>
              <w:rPr>
                <w:rStyle w:val="IndexLink"/>
                <w:rtl w:val="true"/>
              </w:rPr>
              <w:tab/>
            </w:r>
            <w:r>
              <w:rPr>
                <w:rStyle w:val="IndexLink"/>
              </w:rPr>
              <w:t>398</w:t>
            </w:r>
          </w:hyperlink>
        </w:p>
        <w:p>
          <w:pPr>
            <w:pStyle w:val="Contents6"/>
            <w:tabs>
              <w:tab w:val="clear" w:pos="7609"/>
              <w:tab w:val="right" w:pos="9026" w:leader="dot"/>
            </w:tabs>
            <w:rPr/>
          </w:pPr>
          <w:hyperlink w:anchor="__RefHeading___Toc747483_222507752">
            <w:r>
              <w:rPr>
                <w:webHidden/>
                <w:rStyle w:val="IndexLink"/>
                <w:rtl w:val="true"/>
              </w:rPr>
              <w:t>الثّاني</w:t>
            </w:r>
            <w:r>
              <w:rPr>
                <w:rStyle w:val="IndexLink"/>
                <w:rtl w:val="true"/>
              </w:rPr>
              <w:t>:</w:t>
            </w:r>
            <w:r>
              <w:rPr>
                <w:rStyle w:val="IndexLink"/>
                <w:rtl w:val="true"/>
              </w:rPr>
              <w:t>لو فعلها خلال الطّهارة لم يكن قد أتى بالمستحبّ</w:t>
            </w:r>
            <w:r>
              <w:rPr>
                <w:rStyle w:val="IndexLink"/>
                <w:rtl w:val="true"/>
              </w:rPr>
              <w:tab/>
            </w:r>
            <w:r>
              <w:rPr>
                <w:rStyle w:val="IndexLink"/>
              </w:rPr>
              <w:t>398</w:t>
            </w:r>
          </w:hyperlink>
        </w:p>
        <w:p>
          <w:pPr>
            <w:pStyle w:val="Contents6"/>
            <w:tabs>
              <w:tab w:val="clear" w:pos="7609"/>
              <w:tab w:val="right" w:pos="9026" w:leader="dot"/>
            </w:tabs>
            <w:rPr/>
          </w:pPr>
          <w:hyperlink w:anchor="__RefHeading___Toc747485_222507752">
            <w:r>
              <w:rPr>
                <w:webHidden/>
                <w:rStyle w:val="IndexLink"/>
                <w:rtl w:val="true"/>
              </w:rPr>
              <w:t>الثّالث</w:t>
            </w:r>
            <w:r>
              <w:rPr>
                <w:rStyle w:val="IndexLink"/>
                <w:rtl w:val="true"/>
              </w:rPr>
              <w:t>:</w:t>
            </w:r>
            <w:r>
              <w:rPr>
                <w:rStyle w:val="IndexLink"/>
                <w:rtl w:val="true"/>
              </w:rPr>
              <w:t>كيفيّتها</w:t>
            </w:r>
            <w:r>
              <w:rPr>
                <w:rStyle w:val="IndexLink"/>
                <w:rtl w:val="true"/>
              </w:rPr>
              <w:t>:</w:t>
              <w:tab/>
            </w:r>
            <w:r>
              <w:rPr>
                <w:rStyle w:val="IndexLink"/>
              </w:rPr>
              <w:t>399</w:t>
            </w:r>
          </w:hyperlink>
        </w:p>
        <w:p>
          <w:pPr>
            <w:pStyle w:val="Contents6"/>
            <w:tabs>
              <w:tab w:val="clear" w:pos="7609"/>
              <w:tab w:val="right" w:pos="9026" w:leader="dot"/>
            </w:tabs>
            <w:rPr/>
          </w:pPr>
          <w:hyperlink w:anchor="__RefHeading___Toc747487_222507752">
            <w:r>
              <w:rPr>
                <w:webHidden/>
                <w:rStyle w:val="IndexLink"/>
                <w:rtl w:val="true"/>
              </w:rPr>
              <w:t>مسألة</w:t>
            </w:r>
            <w:r>
              <w:rPr>
                <w:rStyle w:val="IndexLink"/>
                <w:rtl w:val="true"/>
              </w:rPr>
              <w:t>:</w:t>
            </w:r>
            <w:r>
              <w:rPr>
                <w:rStyle w:val="IndexLink"/>
                <w:rtl w:val="true"/>
              </w:rPr>
              <w:t>قال علماؤنا</w:t>
            </w:r>
            <w:r>
              <w:rPr>
                <w:rStyle w:val="IndexLink"/>
                <w:rtl w:val="true"/>
              </w:rPr>
              <w:t>:</w:t>
            </w:r>
            <w:r>
              <w:rPr>
                <w:rStyle w:val="IndexLink"/>
                <w:rtl w:val="true"/>
              </w:rPr>
              <w:t>المضمضة و الاستنشاق مستحبّان غير واجبين في الطّهارتين</w:t>
            </w:r>
            <w:r>
              <w:rPr>
                <w:rStyle w:val="IndexLink"/>
                <w:rtl w:val="true"/>
              </w:rPr>
              <w:tab/>
            </w:r>
            <w:r>
              <w:rPr>
                <w:rStyle w:val="IndexLink"/>
              </w:rPr>
              <w:t>399</w:t>
            </w:r>
          </w:hyperlink>
        </w:p>
        <w:p>
          <w:pPr>
            <w:pStyle w:val="Contents6"/>
            <w:tabs>
              <w:tab w:val="clear" w:pos="7609"/>
              <w:tab w:val="right" w:pos="9026" w:leader="dot"/>
            </w:tabs>
            <w:rPr/>
          </w:pPr>
          <w:hyperlink w:anchor="__RefHeading___Toc747489_222507752">
            <w:r>
              <w:rPr>
                <w:webHidden/>
                <w:rStyle w:val="IndexLink"/>
                <w:rtl w:val="true"/>
              </w:rPr>
              <w:t>فروع</w:t>
            </w:r>
            <w:r>
              <w:rPr>
                <w:rStyle w:val="IndexLink"/>
                <w:rtl w:val="true"/>
              </w:rPr>
              <w:t>:</w:t>
              <w:tab/>
            </w:r>
            <w:r>
              <w:rPr>
                <w:rStyle w:val="IndexLink"/>
              </w:rPr>
              <w:t>404</w:t>
            </w:r>
          </w:hyperlink>
        </w:p>
        <w:p>
          <w:pPr>
            <w:pStyle w:val="Contents6"/>
            <w:tabs>
              <w:tab w:val="clear" w:pos="7609"/>
              <w:tab w:val="right" w:pos="9026" w:leader="dot"/>
            </w:tabs>
            <w:rPr/>
          </w:pPr>
          <w:hyperlink w:anchor="__RefHeading___Toc747491_222507752">
            <w:r>
              <w:rPr>
                <w:webHidden/>
                <w:rStyle w:val="IndexLink"/>
                <w:rtl w:val="true"/>
              </w:rPr>
              <w:t>الأوّل</w:t>
            </w:r>
            <w:r>
              <w:rPr>
                <w:rStyle w:val="IndexLink"/>
                <w:rtl w:val="true"/>
              </w:rPr>
              <w:t>:</w:t>
            </w:r>
            <w:r>
              <w:rPr>
                <w:rStyle w:val="IndexLink"/>
                <w:rtl w:val="true"/>
              </w:rPr>
              <w:t>المضمضة</w:t>
            </w:r>
            <w:r>
              <w:rPr>
                <w:rStyle w:val="IndexLink"/>
                <w:rtl w:val="true"/>
              </w:rPr>
              <w:t>:</w:t>
            </w:r>
            <w:r>
              <w:rPr>
                <w:rStyle w:val="IndexLink"/>
                <w:rtl w:val="true"/>
              </w:rPr>
              <w:t>إدارة الماء في الفم،و الاستنشاق</w:t>
            </w:r>
            <w:r>
              <w:rPr>
                <w:rStyle w:val="IndexLink"/>
                <w:rtl w:val="true"/>
              </w:rPr>
              <w:t>:</w:t>
            </w:r>
            <w:r>
              <w:rPr>
                <w:rStyle w:val="IndexLink"/>
                <w:rtl w:val="true"/>
              </w:rPr>
              <w:t>اجتذابه بالأنف</w:t>
            </w:r>
            <w:r>
              <w:rPr>
                <w:rStyle w:val="IndexLink"/>
                <w:rtl w:val="true"/>
              </w:rPr>
              <w:tab/>
            </w:r>
            <w:r>
              <w:rPr>
                <w:rStyle w:val="IndexLink"/>
              </w:rPr>
              <w:t>404</w:t>
            </w:r>
          </w:hyperlink>
        </w:p>
        <w:p>
          <w:pPr>
            <w:pStyle w:val="Contents6"/>
            <w:tabs>
              <w:tab w:val="clear" w:pos="7609"/>
              <w:tab w:val="right" w:pos="9026" w:leader="dot"/>
            </w:tabs>
            <w:rPr/>
          </w:pPr>
          <w:hyperlink w:anchor="__RefHeading___Toc747493_222507752">
            <w:r>
              <w:rPr>
                <w:webHidden/>
                <w:rStyle w:val="IndexLink"/>
                <w:rtl w:val="true"/>
              </w:rPr>
              <w:t>الثّاني</w:t>
            </w:r>
            <w:r>
              <w:rPr>
                <w:rStyle w:val="IndexLink"/>
                <w:rtl w:val="true"/>
              </w:rPr>
              <w:t>:</w:t>
            </w:r>
            <w:r>
              <w:rPr>
                <w:rStyle w:val="IndexLink"/>
                <w:rtl w:val="true"/>
              </w:rPr>
              <w:t>لو أدار الماء في فمه ثمَّ ابتلعه فقد امتثل</w:t>
            </w:r>
            <w:r>
              <w:rPr>
                <w:rStyle w:val="IndexLink"/>
                <w:rtl w:val="true"/>
              </w:rPr>
              <w:tab/>
            </w:r>
            <w:r>
              <w:rPr>
                <w:rStyle w:val="IndexLink"/>
              </w:rPr>
              <w:t>405</w:t>
            </w:r>
          </w:hyperlink>
        </w:p>
        <w:p>
          <w:pPr>
            <w:pStyle w:val="Contents6"/>
            <w:tabs>
              <w:tab w:val="clear" w:pos="7609"/>
              <w:tab w:val="right" w:pos="9026" w:leader="dot"/>
            </w:tabs>
            <w:rPr/>
          </w:pPr>
          <w:hyperlink w:anchor="__RefHeading___Toc747495_222507752">
            <w:r>
              <w:rPr>
                <w:webHidden/>
                <w:rStyle w:val="IndexLink"/>
                <w:rtl w:val="true"/>
              </w:rPr>
              <w:t>الثّالث</w:t>
            </w:r>
            <w:r>
              <w:rPr>
                <w:rStyle w:val="IndexLink"/>
                <w:rtl w:val="true"/>
              </w:rPr>
              <w:t>:</w:t>
            </w:r>
            <w:r>
              <w:rPr>
                <w:rStyle w:val="IndexLink"/>
                <w:rtl w:val="true"/>
              </w:rPr>
              <w:t>يستحبّ فيهما الدّعاء</w:t>
            </w:r>
            <w:r>
              <w:rPr>
                <w:rStyle w:val="IndexLink"/>
                <w:rtl w:val="true"/>
              </w:rPr>
              <w:tab/>
            </w:r>
            <w:r>
              <w:rPr>
                <w:rStyle w:val="IndexLink"/>
              </w:rPr>
              <w:t>405</w:t>
            </w:r>
          </w:hyperlink>
        </w:p>
        <w:p>
          <w:pPr>
            <w:pStyle w:val="Contents6"/>
            <w:tabs>
              <w:tab w:val="clear" w:pos="7609"/>
              <w:tab w:val="right" w:pos="9026" w:leader="dot"/>
            </w:tabs>
            <w:rPr/>
          </w:pPr>
          <w:hyperlink w:anchor="__RefHeading___Toc747497_222507752">
            <w:r>
              <w:rPr>
                <w:webHidden/>
                <w:rStyle w:val="IndexLink"/>
                <w:rtl w:val="true"/>
              </w:rPr>
              <w:t>الرّابع</w:t>
            </w:r>
            <w:r>
              <w:rPr>
                <w:rStyle w:val="IndexLink"/>
                <w:rtl w:val="true"/>
              </w:rPr>
              <w:t>:</w:t>
            </w:r>
            <w:r>
              <w:rPr>
                <w:rStyle w:val="IndexLink"/>
                <w:rtl w:val="true"/>
              </w:rPr>
              <w:t>يستحبّ أن يتمضمض و يستنشق بيمناه</w:t>
            </w:r>
            <w:r>
              <w:rPr>
                <w:rStyle w:val="IndexLink"/>
                <w:rtl w:val="true"/>
              </w:rPr>
              <w:tab/>
            </w:r>
            <w:r>
              <w:rPr>
                <w:rStyle w:val="IndexLink"/>
              </w:rPr>
              <w:t>405</w:t>
            </w:r>
          </w:hyperlink>
        </w:p>
        <w:p>
          <w:pPr>
            <w:pStyle w:val="Contents6"/>
            <w:tabs>
              <w:tab w:val="clear" w:pos="7609"/>
              <w:tab w:val="right" w:pos="9026" w:leader="dot"/>
            </w:tabs>
            <w:rPr/>
          </w:pPr>
          <w:hyperlink w:anchor="__RefHeading___Toc747499_222507752">
            <w:r>
              <w:rPr>
                <w:webHidden/>
                <w:rStyle w:val="IndexLink"/>
                <w:rtl w:val="true"/>
              </w:rPr>
              <w:t>الخامس</w:t>
            </w:r>
            <w:r>
              <w:rPr>
                <w:rStyle w:val="IndexLink"/>
                <w:rtl w:val="true"/>
              </w:rPr>
              <w:t>:</w:t>
            </w:r>
            <w:r>
              <w:rPr>
                <w:rStyle w:val="IndexLink"/>
                <w:rtl w:val="true"/>
              </w:rPr>
              <w:t>يستحبّ التّرتيب فيهما و تقديمهما على الوضوء</w:t>
            </w:r>
            <w:r>
              <w:rPr>
                <w:rStyle w:val="IndexLink"/>
                <w:rtl w:val="true"/>
              </w:rPr>
              <w:tab/>
            </w:r>
            <w:r>
              <w:rPr>
                <w:rStyle w:val="IndexLink"/>
              </w:rPr>
              <w:t>405</w:t>
            </w:r>
          </w:hyperlink>
        </w:p>
        <w:p>
          <w:pPr>
            <w:pStyle w:val="Contents6"/>
            <w:tabs>
              <w:tab w:val="clear" w:pos="7609"/>
              <w:tab w:val="right" w:pos="9026" w:leader="dot"/>
            </w:tabs>
            <w:rPr/>
          </w:pPr>
          <w:hyperlink w:anchor="__RefHeading___Toc747501_222507752">
            <w:r>
              <w:rPr>
                <w:webHidden/>
                <w:rStyle w:val="IndexLink"/>
                <w:rtl w:val="true"/>
              </w:rPr>
              <w:t>السّادس</w:t>
            </w:r>
            <w:r>
              <w:rPr>
                <w:rStyle w:val="IndexLink"/>
                <w:rtl w:val="true"/>
              </w:rPr>
              <w:t>:</w:t>
            </w:r>
            <w:r>
              <w:rPr>
                <w:rStyle w:val="IndexLink"/>
                <w:rtl w:val="true"/>
              </w:rPr>
              <w:t>المستحب فيهما أن يتمضمض ثلاثا كملا،ثمَّ يستنشق ثلاثا</w:t>
            </w:r>
            <w:r>
              <w:rPr>
                <w:rStyle w:val="IndexLink"/>
                <w:rtl w:val="true"/>
              </w:rPr>
              <w:tab/>
            </w:r>
            <w:r>
              <w:rPr>
                <w:rStyle w:val="IndexLink"/>
              </w:rPr>
              <w:t>406</w:t>
            </w:r>
          </w:hyperlink>
        </w:p>
        <w:p>
          <w:pPr>
            <w:pStyle w:val="Contents6"/>
            <w:tabs>
              <w:tab w:val="clear" w:pos="7609"/>
              <w:tab w:val="right" w:pos="9026" w:leader="dot"/>
            </w:tabs>
            <w:rPr/>
          </w:pPr>
          <w:hyperlink w:anchor="__RefHeading___Toc747503_222507752">
            <w:r>
              <w:rPr>
                <w:webHidden/>
                <w:rStyle w:val="IndexLink"/>
                <w:rtl w:val="true"/>
              </w:rPr>
              <w:t>مسألة</w:t>
            </w:r>
            <w:r>
              <w:rPr>
                <w:rStyle w:val="IndexLink"/>
                <w:rtl w:val="true"/>
              </w:rPr>
              <w:t>:</w:t>
            </w:r>
            <w:r>
              <w:rPr>
                <w:rStyle w:val="IndexLink"/>
                <w:rtl w:val="true"/>
              </w:rPr>
              <w:t>يستحبّ الدّعاء عند غسل الأعضاء</w:t>
            </w:r>
            <w:r>
              <w:rPr>
                <w:rStyle w:val="IndexLink"/>
                <w:rtl w:val="true"/>
              </w:rPr>
              <w:tab/>
            </w:r>
            <w:r>
              <w:rPr>
                <w:rStyle w:val="IndexLink"/>
              </w:rPr>
              <w:t>407</w:t>
            </w:r>
          </w:hyperlink>
        </w:p>
        <w:p>
          <w:pPr>
            <w:pStyle w:val="Contents6"/>
            <w:tabs>
              <w:tab w:val="clear" w:pos="7609"/>
              <w:tab w:val="right" w:pos="9026" w:leader="dot"/>
            </w:tabs>
            <w:rPr/>
          </w:pPr>
          <w:hyperlink w:anchor="__RefHeading___Toc747505_222507752">
            <w:r>
              <w:rPr>
                <w:webHidden/>
                <w:rStyle w:val="IndexLink"/>
                <w:rtl w:val="true"/>
              </w:rPr>
              <w:t>مسألة</w:t>
            </w:r>
            <w:r>
              <w:rPr>
                <w:rStyle w:val="IndexLink"/>
                <w:rtl w:val="true"/>
              </w:rPr>
              <w:t>:</w:t>
            </w:r>
            <w:r>
              <w:rPr>
                <w:rStyle w:val="IndexLink"/>
                <w:rtl w:val="true"/>
              </w:rPr>
              <w:t>يستحبّ أن يبدأ الرّجل في غسل ذراعيه بظاهرهما،و المرأة بباطنهما</w:t>
            </w:r>
            <w:r>
              <w:rPr>
                <w:rStyle w:val="IndexLink"/>
                <w:rtl w:val="true"/>
              </w:rPr>
              <w:tab/>
            </w:r>
            <w:r>
              <w:rPr>
                <w:rStyle w:val="IndexLink"/>
              </w:rPr>
              <w:t>407</w:t>
            </w:r>
          </w:hyperlink>
        </w:p>
        <w:p>
          <w:pPr>
            <w:pStyle w:val="Contents6"/>
            <w:tabs>
              <w:tab w:val="clear" w:pos="7609"/>
              <w:tab w:val="right" w:pos="9026" w:leader="dot"/>
            </w:tabs>
            <w:rPr/>
          </w:pPr>
          <w:hyperlink w:anchor="__RefHeading___Toc747507_222507752">
            <w:r>
              <w:rPr>
                <w:webHidden/>
                <w:rStyle w:val="IndexLink"/>
                <w:rtl w:val="true"/>
              </w:rPr>
              <w:t>مسألة</w:t>
            </w:r>
            <w:r>
              <w:rPr>
                <w:rStyle w:val="IndexLink"/>
                <w:rtl w:val="true"/>
              </w:rPr>
              <w:t>:</w:t>
            </w:r>
            <w:r>
              <w:rPr>
                <w:rStyle w:val="IndexLink"/>
                <w:rtl w:val="true"/>
              </w:rPr>
              <w:t>قال علماؤنا</w:t>
            </w:r>
            <w:r>
              <w:rPr>
                <w:rStyle w:val="IndexLink"/>
                <w:rtl w:val="true"/>
              </w:rPr>
              <w:t>:</w:t>
            </w:r>
            <w:r>
              <w:rPr>
                <w:rStyle w:val="IndexLink"/>
                <w:rtl w:val="true"/>
              </w:rPr>
              <w:t>يستحبّ الوضوء بمدّ</w:t>
            </w:r>
            <w:r>
              <w:rPr>
                <w:rStyle w:val="IndexLink"/>
                <w:rtl w:val="true"/>
              </w:rPr>
              <w:tab/>
            </w:r>
            <w:r>
              <w:rPr>
                <w:rStyle w:val="IndexLink"/>
              </w:rPr>
              <w:t>408</w:t>
            </w:r>
          </w:hyperlink>
        </w:p>
        <w:p>
          <w:pPr>
            <w:pStyle w:val="Contents6"/>
            <w:tabs>
              <w:tab w:val="clear" w:pos="7609"/>
              <w:tab w:val="right" w:pos="9026" w:leader="dot"/>
            </w:tabs>
            <w:rPr/>
          </w:pPr>
          <w:hyperlink w:anchor="__RefHeading___Toc747509_222507752">
            <w:r>
              <w:rPr>
                <w:webHidden/>
                <w:rStyle w:val="IndexLink"/>
                <w:rtl w:val="true"/>
              </w:rPr>
              <w:t>مسألة</w:t>
            </w:r>
            <w:r>
              <w:rPr>
                <w:rStyle w:val="IndexLink"/>
                <w:rtl w:val="true"/>
              </w:rPr>
              <w:t>:</w:t>
            </w:r>
            <w:r>
              <w:rPr>
                <w:rStyle w:val="IndexLink"/>
                <w:rtl w:val="true"/>
              </w:rPr>
              <w:t>يكره التّمندل من الوضوء</w:t>
            </w:r>
            <w:r>
              <w:rPr>
                <w:rStyle w:val="IndexLink"/>
                <w:rtl w:val="true"/>
              </w:rPr>
              <w:tab/>
            </w:r>
            <w:r>
              <w:rPr>
                <w:rStyle w:val="IndexLink"/>
              </w:rPr>
              <w:t>409</w:t>
            </w:r>
          </w:hyperlink>
        </w:p>
        <w:p>
          <w:pPr>
            <w:pStyle w:val="Contents6"/>
            <w:tabs>
              <w:tab w:val="clear" w:pos="7609"/>
              <w:tab w:val="right" w:pos="9026" w:leader="dot"/>
            </w:tabs>
            <w:rPr/>
          </w:pPr>
          <w:hyperlink w:anchor="__RefHeading___Toc747511_222507752">
            <w:r>
              <w:rPr>
                <w:webHidden/>
                <w:rStyle w:val="IndexLink"/>
                <w:rtl w:val="true"/>
              </w:rPr>
              <w:t>مسألة</w:t>
            </w:r>
            <w:r>
              <w:rPr>
                <w:rStyle w:val="IndexLink"/>
                <w:rtl w:val="true"/>
              </w:rPr>
              <w:t>:</w:t>
            </w:r>
            <w:r>
              <w:rPr>
                <w:rStyle w:val="IndexLink"/>
                <w:rtl w:val="true"/>
              </w:rPr>
              <w:t>تكره الاستعانة في الوضوء بصبّ الماء</w:t>
            </w:r>
            <w:r>
              <w:rPr>
                <w:rStyle w:val="IndexLink"/>
                <w:rtl w:val="true"/>
              </w:rPr>
              <w:tab/>
            </w:r>
            <w:r>
              <w:rPr>
                <w:rStyle w:val="IndexLink"/>
              </w:rPr>
              <w:t>410</w:t>
            </w:r>
          </w:hyperlink>
        </w:p>
        <w:p>
          <w:pPr>
            <w:pStyle w:val="Contents6"/>
            <w:tabs>
              <w:tab w:val="clear" w:pos="7609"/>
              <w:tab w:val="right" w:pos="9026" w:leader="dot"/>
            </w:tabs>
            <w:rPr/>
          </w:pPr>
          <w:hyperlink w:anchor="__RefHeading___Toc747513_222507752">
            <w:r>
              <w:rPr>
                <w:webHidden/>
                <w:rStyle w:val="IndexLink"/>
                <w:rtl w:val="true"/>
              </w:rPr>
              <w:t>مسألة</w:t>
            </w:r>
            <w:r>
              <w:rPr>
                <w:rStyle w:val="IndexLink"/>
                <w:rtl w:val="true"/>
              </w:rPr>
              <w:t>:</w:t>
            </w:r>
            <w:r>
              <w:rPr>
                <w:rStyle w:val="IndexLink"/>
                <w:rtl w:val="true"/>
              </w:rPr>
              <w:t>يحرم كشف العورة في الحمّام و غيره بحيث يراه غيره</w:t>
            </w:r>
            <w:r>
              <w:rPr>
                <w:rStyle w:val="IndexLink"/>
                <w:rtl w:val="true"/>
              </w:rPr>
              <w:tab/>
            </w:r>
            <w:r>
              <w:rPr>
                <w:rStyle w:val="IndexLink"/>
              </w:rPr>
              <w:t>410</w:t>
            </w:r>
          </w:hyperlink>
        </w:p>
        <w:p>
          <w:pPr>
            <w:pStyle w:val="Contents6"/>
            <w:tabs>
              <w:tab w:val="clear" w:pos="7609"/>
              <w:tab w:val="right" w:pos="9026" w:leader="dot"/>
            </w:tabs>
            <w:rPr/>
          </w:pPr>
          <w:hyperlink w:anchor="__RefHeading___Toc747515_222507752">
            <w:r>
              <w:rPr>
                <w:webHidden/>
                <w:rStyle w:val="IndexLink"/>
                <w:rtl w:val="true"/>
              </w:rPr>
              <w:t>فصول في الفطرة</w:t>
            </w:r>
            <w:r>
              <w:rPr>
                <w:rStyle w:val="IndexLink"/>
                <w:rtl w:val="true"/>
              </w:rPr>
              <w:t>:</w:t>
              <w:tab/>
            </w:r>
            <w:r>
              <w:rPr>
                <w:rStyle w:val="IndexLink"/>
              </w:rPr>
              <w:t>415</w:t>
            </w:r>
          </w:hyperlink>
        </w:p>
        <w:p>
          <w:pPr>
            <w:pStyle w:val="Contents6"/>
            <w:tabs>
              <w:tab w:val="clear" w:pos="7609"/>
              <w:tab w:val="right" w:pos="9026" w:leader="dot"/>
            </w:tabs>
            <w:rPr/>
          </w:pPr>
          <w:hyperlink w:anchor="__RefHeading___Toc747517_222507752">
            <w:r>
              <w:rPr>
                <w:webHidden/>
                <w:rStyle w:val="IndexLink"/>
                <w:rtl w:val="true"/>
              </w:rPr>
              <w:t>فصل</w:t>
            </w:r>
            <w:r>
              <w:rPr>
                <w:rStyle w:val="IndexLink"/>
                <w:rtl w:val="true"/>
              </w:rPr>
              <w:t>:</w:t>
            </w:r>
            <w:r>
              <w:rPr>
                <w:rStyle w:val="IndexLink"/>
                <w:rtl w:val="true"/>
              </w:rPr>
              <w:t>و نتف الإبط من الفطرة و يفحش تركه،</w:t>
            </w:r>
            <w:r>
              <w:rPr>
                <w:rStyle w:val="IndexLink"/>
                <w:rtl w:val="true"/>
              </w:rPr>
              <w:tab/>
            </w:r>
            <w:r>
              <w:rPr>
                <w:rStyle w:val="IndexLink"/>
              </w:rPr>
              <w:t>416</w:t>
            </w:r>
          </w:hyperlink>
        </w:p>
        <w:p>
          <w:pPr>
            <w:pStyle w:val="Contents6"/>
            <w:tabs>
              <w:tab w:val="clear" w:pos="7609"/>
              <w:tab w:val="right" w:pos="9026" w:leader="dot"/>
            </w:tabs>
            <w:rPr/>
          </w:pPr>
          <w:hyperlink w:anchor="__RefHeading___Toc747519_222507752">
            <w:r>
              <w:rPr>
                <w:webHidden/>
                <w:rStyle w:val="IndexLink"/>
                <w:rtl w:val="true"/>
              </w:rPr>
              <w:t>فصل</w:t>
            </w:r>
            <w:r>
              <w:rPr>
                <w:rStyle w:val="IndexLink"/>
                <w:rtl w:val="true"/>
              </w:rPr>
              <w:t>:</w:t>
            </w:r>
            <w:r>
              <w:rPr>
                <w:rStyle w:val="IndexLink"/>
                <w:rtl w:val="true"/>
              </w:rPr>
              <w:t>إزالة الشّعر من الأنف مستحب،</w:t>
            </w:r>
            <w:r>
              <w:rPr>
                <w:rStyle w:val="IndexLink"/>
                <w:rtl w:val="true"/>
              </w:rPr>
              <w:tab/>
            </w:r>
            <w:r>
              <w:rPr>
                <w:rStyle w:val="IndexLink"/>
              </w:rPr>
              <w:t>417</w:t>
            </w:r>
          </w:hyperlink>
        </w:p>
        <w:p>
          <w:pPr>
            <w:pStyle w:val="Contents6"/>
            <w:tabs>
              <w:tab w:val="clear" w:pos="7609"/>
              <w:tab w:val="right" w:pos="9026" w:leader="dot"/>
            </w:tabs>
            <w:rPr/>
          </w:pPr>
          <w:hyperlink w:anchor="__RefHeading___Toc747521_222507752">
            <w:r>
              <w:rPr>
                <w:webHidden/>
                <w:rStyle w:val="IndexLink"/>
                <w:rtl w:val="true"/>
              </w:rPr>
              <w:t>فصل</w:t>
            </w:r>
            <w:r>
              <w:rPr>
                <w:rStyle w:val="IndexLink"/>
                <w:rtl w:val="true"/>
              </w:rPr>
              <w:t>:</w:t>
            </w:r>
            <w:r>
              <w:rPr>
                <w:rStyle w:val="IndexLink"/>
                <w:rtl w:val="true"/>
              </w:rPr>
              <w:t>و اتّخاذ الشّعر أفضل من إزالته،</w:t>
            </w:r>
            <w:r>
              <w:rPr>
                <w:rStyle w:val="IndexLink"/>
                <w:rtl w:val="true"/>
              </w:rPr>
              <w:tab/>
            </w:r>
            <w:r>
              <w:rPr>
                <w:rStyle w:val="IndexLink"/>
              </w:rPr>
              <w:t>417</w:t>
            </w:r>
          </w:hyperlink>
        </w:p>
        <w:p>
          <w:pPr>
            <w:pStyle w:val="Contents6"/>
            <w:tabs>
              <w:tab w:val="clear" w:pos="7609"/>
              <w:tab w:val="right" w:pos="9026" w:leader="dot"/>
            </w:tabs>
            <w:rPr/>
          </w:pPr>
          <w:hyperlink w:anchor="__RefHeading___Toc747523_222507752">
            <w:r>
              <w:rPr>
                <w:webHidden/>
                <w:rStyle w:val="IndexLink"/>
                <w:rtl w:val="true"/>
              </w:rPr>
              <w:t>فصل</w:t>
            </w:r>
            <w:r>
              <w:rPr>
                <w:rStyle w:val="IndexLink"/>
                <w:rtl w:val="true"/>
              </w:rPr>
              <w:t>:</w:t>
            </w:r>
            <w:r>
              <w:rPr>
                <w:rStyle w:val="IndexLink"/>
                <w:rtl w:val="true"/>
              </w:rPr>
              <w:t>و قصّ الأظفار من الفطرة و يتفاحش تركها</w:t>
            </w:r>
            <w:r>
              <w:rPr>
                <w:rStyle w:val="IndexLink"/>
                <w:rtl w:val="true"/>
              </w:rPr>
              <w:tab/>
            </w:r>
            <w:r>
              <w:rPr>
                <w:rStyle w:val="IndexLink"/>
              </w:rPr>
              <w:t>417</w:t>
            </w:r>
          </w:hyperlink>
        </w:p>
        <w:p>
          <w:pPr>
            <w:pStyle w:val="Contents6"/>
            <w:tabs>
              <w:tab w:val="clear" w:pos="7609"/>
              <w:tab w:val="right" w:pos="9026" w:leader="dot"/>
            </w:tabs>
            <w:rPr/>
          </w:pPr>
          <w:hyperlink w:anchor="__RefHeading___Toc747525_222507752">
            <w:r>
              <w:rPr>
                <w:webHidden/>
                <w:rStyle w:val="IndexLink"/>
                <w:rtl w:val="true"/>
              </w:rPr>
              <w:t>فصل</w:t>
            </w:r>
            <w:r>
              <w:rPr>
                <w:rStyle w:val="IndexLink"/>
                <w:rtl w:val="true"/>
              </w:rPr>
              <w:t>:</w:t>
            </w:r>
            <w:r>
              <w:rPr>
                <w:rStyle w:val="IndexLink"/>
                <w:rtl w:val="true"/>
              </w:rPr>
              <w:t>أخذ الشّارب من الفطرة،</w:t>
            </w:r>
            <w:r>
              <w:rPr>
                <w:rStyle w:val="IndexLink"/>
                <w:rtl w:val="true"/>
              </w:rPr>
              <w:tab/>
            </w:r>
            <w:r>
              <w:rPr>
                <w:rStyle w:val="IndexLink"/>
              </w:rPr>
              <w:t>418</w:t>
            </w:r>
          </w:hyperlink>
        </w:p>
        <w:p>
          <w:pPr>
            <w:pStyle w:val="Contents6"/>
            <w:tabs>
              <w:tab w:val="clear" w:pos="7609"/>
              <w:tab w:val="right" w:pos="9026" w:leader="dot"/>
            </w:tabs>
            <w:rPr/>
          </w:pPr>
          <w:hyperlink w:anchor="__RefHeading___Toc747527_222507752">
            <w:r>
              <w:rPr>
                <w:webHidden/>
                <w:rStyle w:val="IndexLink"/>
                <w:rtl w:val="true"/>
              </w:rPr>
              <w:t>فصل</w:t>
            </w:r>
            <w:r>
              <w:rPr>
                <w:rStyle w:val="IndexLink"/>
                <w:rtl w:val="true"/>
              </w:rPr>
              <w:t>:</w:t>
            </w:r>
            <w:r>
              <w:rPr>
                <w:rStyle w:val="IndexLink"/>
                <w:rtl w:val="true"/>
              </w:rPr>
              <w:t>فرق الرّأس من الفطرة</w:t>
            </w:r>
            <w:r>
              <w:rPr>
                <w:rStyle w:val="IndexLink"/>
                <w:rtl w:val="true"/>
              </w:rPr>
              <w:tab/>
            </w:r>
            <w:r>
              <w:rPr>
                <w:rStyle w:val="IndexLink"/>
              </w:rPr>
              <w:t>420</w:t>
            </w:r>
          </w:hyperlink>
        </w:p>
        <w:p>
          <w:pPr>
            <w:pStyle w:val="Contents6"/>
            <w:tabs>
              <w:tab w:val="clear" w:pos="7609"/>
              <w:tab w:val="right" w:pos="9026" w:leader="dot"/>
            </w:tabs>
            <w:rPr/>
          </w:pPr>
          <w:hyperlink w:anchor="__RefHeading___Toc747529_222507752">
            <w:r>
              <w:rPr>
                <w:webHidden/>
                <w:rStyle w:val="IndexLink"/>
                <w:rtl w:val="true"/>
              </w:rPr>
              <w:t xml:space="preserve">فصل </w:t>
            </w:r>
            <w:r>
              <w:rPr>
                <w:rStyle w:val="IndexLink"/>
                <w:rtl w:val="true"/>
              </w:rPr>
              <w:t>:</w:t>
              <w:tab/>
            </w:r>
            <w:r>
              <w:rPr>
                <w:rStyle w:val="IndexLink"/>
              </w:rPr>
              <w:t>420</w:t>
            </w:r>
          </w:hyperlink>
        </w:p>
        <w:p>
          <w:pPr>
            <w:pStyle w:val="Contents6"/>
            <w:tabs>
              <w:tab w:val="clear" w:pos="7609"/>
              <w:tab w:val="right" w:pos="9026" w:leader="dot"/>
            </w:tabs>
            <w:rPr/>
          </w:pPr>
          <w:hyperlink w:anchor="__RefHeading___Toc747531_222507752">
            <w:r>
              <w:rPr>
                <w:webHidden/>
                <w:rStyle w:val="IndexLink"/>
                <w:rtl w:val="true"/>
              </w:rPr>
              <w:t>فصل</w:t>
            </w:r>
            <w:r>
              <w:rPr>
                <w:rStyle w:val="IndexLink"/>
                <w:rtl w:val="true"/>
              </w:rPr>
              <w:t>:</w:t>
            </w:r>
            <w:r>
              <w:rPr>
                <w:rStyle w:val="IndexLink"/>
                <w:rtl w:val="true"/>
              </w:rPr>
              <w:t>يستحبّ الخضاب</w:t>
            </w:r>
            <w:r>
              <w:rPr>
                <w:rStyle w:val="IndexLink"/>
                <w:rtl w:val="true"/>
              </w:rPr>
              <w:tab/>
            </w:r>
            <w:r>
              <w:rPr>
                <w:rStyle w:val="IndexLink"/>
              </w:rPr>
              <w:t>420</w:t>
            </w:r>
          </w:hyperlink>
        </w:p>
        <w:p>
          <w:pPr>
            <w:pStyle w:val="Contents6"/>
            <w:tabs>
              <w:tab w:val="clear" w:pos="7609"/>
              <w:tab w:val="right" w:pos="9026" w:leader="dot"/>
            </w:tabs>
            <w:rPr/>
          </w:pPr>
          <w:hyperlink w:anchor="__RefHeading___Toc747533_222507752">
            <w:r>
              <w:rPr>
                <w:webHidden/>
                <w:rStyle w:val="IndexLink"/>
                <w:rtl w:val="true"/>
              </w:rPr>
              <w:t>فصل</w:t>
            </w:r>
            <w:r>
              <w:rPr>
                <w:rStyle w:val="IndexLink"/>
                <w:rtl w:val="true"/>
              </w:rPr>
              <w:t>:</w:t>
            </w:r>
            <w:r>
              <w:rPr>
                <w:rStyle w:val="IndexLink"/>
                <w:rtl w:val="true"/>
              </w:rPr>
              <w:t>يكره نتف الشّيب</w:t>
            </w:r>
            <w:r>
              <w:rPr>
                <w:rStyle w:val="IndexLink"/>
                <w:rtl w:val="true"/>
              </w:rPr>
              <w:tab/>
            </w:r>
            <w:r>
              <w:rPr>
                <w:rStyle w:val="IndexLink"/>
              </w:rPr>
              <w:t>422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666_159665"/>
      <w:bookmarkStart w:id="1" w:name="pg12666_159665"/>
      <w:bookmarkEnd w:id="1"/>
    </w:p>
    <w:p>
      <w:pPr>
        <w:pStyle w:val="Heading2"/>
        <w:numPr>
          <w:ilvl w:val="1"/>
          <w:numId w:val="1"/>
        </w:numPr>
        <w:rPr/>
      </w:pPr>
      <w:bookmarkStart w:id="2" w:name="pg12666_159665"/>
      <w:bookmarkStart w:id="3" w:name="__RefHeading___Toc746621_2225077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منتهی‌المطلب فی تحقیق‌المذهب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للعلامه الحلی الحسن‌بن یوسف‌بن علی‌بن المطهر؛ تحقیق قسم الفقه فی مجمع البحوث الاسلامیه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بنیاد پژوهش های اسلامی،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سپاری</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براساس جلد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البحوث الاسلامية</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BP182/3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297/342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2559784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46623_22250775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منتهی‌المطلب فی تحقیق‌المذهب</w:t>
      </w:r>
    </w:p>
    <w:p>
      <w:pPr>
        <w:pStyle w:val="BookText"/>
        <w:rPr/>
      </w:pPr>
      <w:r>
        <w:rPr>
          <w:rFonts w:ascii="IRNazanin" w:hAnsi="IRNazanin" w:eastAsia="IRNazanin"/>
          <w:color w:val="111111"/>
          <w:sz w:val="28"/>
          <w:sz w:val="28"/>
          <w:szCs w:val="28"/>
          <w:rtl w:val="true"/>
          <w:lang w:bidi="fa-IR"/>
        </w:rPr>
        <w:t>للعلامه الحلی الحسن‌بن یوسف‌بن علی‌بن المطهر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قسم الفقه فی مجمع البحوث الاسلامیه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منتهی‌المطلب فی تحقیق‌المذهب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للعلامه الحلی الحسن‌بن یوسف‌بن علی‌بن المطهر؛ تحقیق قسم الفقه فی مجمع البحوث الاسلامیه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بنیاد پژوهش های اسلامی،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سپاری</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براساس جلد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البحوث الاسلامية</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BP182/3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297/342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2559784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تقدیم</w:t>
      </w:r>
    </w:p>
    <w:p>
      <w:pPr>
        <w:pStyle w:val="BookText"/>
        <w:rPr/>
      </w:pPr>
      <w:r>
        <w:rPr>
          <w:rFonts w:ascii="IRNazanin" w:hAnsi="IRNazanin" w:eastAsia="IRNazanin"/>
          <w:color w:val="111111"/>
          <w:sz w:val="28"/>
          <w:sz w:val="28"/>
          <w:szCs w:val="28"/>
          <w:rtl w:val="true"/>
          <w:lang w:bidi="fa-IR"/>
        </w:rPr>
        <w:t>بقلم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الدکتور محمود البستانی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666_159671"/>
      <w:bookmarkStart w:id="8" w:name="pg12666_159671"/>
      <w:bookmarkEnd w:id="8"/>
    </w:p>
    <w:p>
      <w:pPr>
        <w:pStyle w:val="Heading2"/>
        <w:numPr>
          <w:ilvl w:val="1"/>
          <w:numId w:val="1"/>
        </w:numPr>
        <w:rPr/>
      </w:pPr>
      <w:bookmarkStart w:id="9" w:name="pg12666_159671"/>
      <w:bookmarkStart w:id="10" w:name="__RefHeading___Toc746625_222507752"/>
      <w:bookmarkStart w:id="11" w:name="_Toc3"/>
      <w:bookmarkEnd w:id="9"/>
      <w:bookmarkEnd w:id="10"/>
      <w:r>
        <w:rPr>
          <w:rtl w:val="true"/>
        </w:rPr>
        <w:t>تقديم</w:t>
      </w:r>
      <w:bookmarkEnd w:id="11"/>
    </w:p>
    <w:p>
      <w:pPr>
        <w:pStyle w:val="Heading3"/>
        <w:numPr>
          <w:ilvl w:val="2"/>
          <w:numId w:val="1"/>
        </w:numPr>
        <w:rPr/>
      </w:pPr>
      <w:bookmarkStart w:id="12" w:name="__RefHeading___Toc746627_222507752"/>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4" w:name="__RefHeading___Toc746629_222507752"/>
      <w:bookmarkStart w:id="15" w:name="_Toc5"/>
      <w:bookmarkEnd w:id="14"/>
      <w:r>
        <w:rPr>
          <w:rtl w:val="true"/>
        </w:rPr>
        <w:t>(</w:t>
      </w:r>
      <w:r>
        <w:rPr/>
        <w:t>1</w:t>
      </w:r>
      <w:r>
        <w:rPr>
          <w:rtl w:val="true"/>
        </w:rPr>
        <w:t>)</w:t>
      </w:r>
      <w:bookmarkEnd w:id="15"/>
    </w:p>
    <w:p>
      <w:pPr>
        <w:pStyle w:val="BookText"/>
        <w:rPr/>
      </w:pPr>
      <w:r>
        <w:rPr>
          <w:rFonts w:ascii="Amiri" w:hAnsi="Amiri" w:eastAsia="Amiri" w:cs="Amiri"/>
          <w:color w:val="111111"/>
          <w:sz w:val="28"/>
          <w:sz w:val="28"/>
          <w:szCs w:val="28"/>
          <w:rtl w:val="true"/>
          <w:lang w:bidi="ar-SA"/>
        </w:rPr>
        <w:t>يعدّ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واحدا من أبرز الأسماء الّتي أفرزتها عصور التاريخ الفقهيّ،</w:t>
      </w:r>
    </w:p>
    <w:p>
      <w:pPr>
        <w:pStyle w:val="BookText"/>
        <w:rPr/>
      </w:pPr>
      <w:r>
        <w:rPr>
          <w:rFonts w:ascii="Amiri" w:hAnsi="Amiri" w:eastAsia="Amiri" w:cs="Amiri"/>
          <w:color w:val="111111"/>
          <w:sz w:val="28"/>
          <w:sz w:val="28"/>
          <w:szCs w:val="28"/>
          <w:rtl w:val="true"/>
          <w:lang w:bidi="ar-SA"/>
        </w:rPr>
        <w:t>و إذا كان التاريخ الفقهيّ قد حفل بأسماء كثيرة من المتميّزين،فإنّ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صعيد المتميّزين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متفوّقة معدودة فرضت فاعليّتها بنحو متفرّد في ميدان النّشاط الفقهيّ،حيث يجيء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مقدّمة الأسماء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يتمثّل هذا النشاط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تطوير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الممارسة الفقهيّة و غيرها من ضروب المعرفة،أي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إدخال الجديد من أدوات الممارسة،فضلا عن اتّشاحها بالشّمول و العمق و الدّقة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،فيتمثّل هذا النّشاط في تنويع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فقه،أصول،كلام، 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لا تنحصر نشاطات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ضرب واحد منها،بل يتجاوزها إلى مختلف ضروب المعرفة،و حتّى في ميدان المعرفة الواحدة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نحو النّشاط الفقهيّ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توفّرت هذه الشّخصيّة على مصنّفات مختلفة عرفت بمختصراته و متوسّطاته و مطوّلاته،فضلا عن كونها تصبّ في اتّجاهات متنوّعة تتوزّع بين النّمط الاستدلاليّ و الفتوائيّ و التّراوح بينهما و بين المنهج المقارن و غير المقارن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هذه الشّخصيّة قد اقترن نشاطها العلميّ بنشاط اجتماعيّ أكسبها مزيدا من الأهمّيّة التّأريخيّة،حيث احتلّت موقعا رياديّا بالنّسبة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المؤسّسة المرجعيّة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مثلما احتلّت موقعا له فاعليّته في الحياة الاجتماعيّة العامّة،حيث كان الصّراع بين الطّائفة و بين الاتّجاهات المذهبيّة من جانب،و فترات المدّ و الجزر من جانب آخر،يضفي على هذه </w:t>
      </w:r>
      <w:bookmarkStart w:id="16" w:name="pg12666_159672"/>
    </w:p>
    <w:p>
      <w:pPr>
        <w:pStyle w:val="BookText"/>
        <w:rPr/>
      </w:pPr>
      <w:bookmarkEnd w:id="16"/>
      <w:r>
        <w:rPr>
          <w:rFonts w:ascii="Amiri" w:hAnsi="Amiri" w:eastAsia="Amiri" w:cs="Amiri"/>
          <w:color w:val="111111"/>
          <w:sz w:val="28"/>
          <w:sz w:val="28"/>
          <w:szCs w:val="28"/>
          <w:rtl w:val="true"/>
          <w:lang w:bidi="ar-SA"/>
        </w:rPr>
        <w:t>الشّخصيّة أهمّيّة اجتماعيّة خاصّة،تكسبها مزيدا من الاهتمام التّاريخيّ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لن نتحدّث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الموقع الاجتماعيّ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للعلاّمة،و انعكاسات الوضع السّياسي على نشاطه،حيث توفّرت المصادر الّتي تعنى بالسّيرة و التّأريخ على هذا الجانب،كما لن نتحدّث عن نشاطه العلميّ بعامّة،و مساهمته الفذّة في نشر المذهب،و لن نتحدّث عن مجمل نشاطه الّذي يحوم على الجانب الثّقافيّ،فيما يقول عنه مترجموه بأنّ حصيلة ذلك أكثر من مائة كتاب أو يزيد على ذلك،لن نتحدّث عن ذلك كلّه،بل نحصر حديثنا في صعيد النّشاط الفقهيّ المتمثّل في أحد كتبه فحسب،و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مصنّفاته الأخرى الّتي قد تتماثل منهجا و ممارسة في بعض الجوانب،مثل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يتميّز كلّ منهما بسمات خاصّة قد نعرض لها عابرا خلال حديثنا عن الكتاب المشار إليه</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746631_222507752"/>
      <w:bookmarkStart w:id="18" w:name="_Toc6"/>
      <w:bookmarkEnd w:id="17"/>
      <w:r>
        <w:rPr>
          <w:rtl w:val="true"/>
        </w:rPr>
        <w:t>(</w:t>
      </w:r>
      <w:r>
        <w:rPr/>
        <w:t>2</w:t>
      </w:r>
      <w:r>
        <w:rPr>
          <w:rtl w:val="true"/>
        </w:rPr>
        <w:t>)</w:t>
      </w:r>
      <w:bookmarkEnd w:id="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ضخم يتّشح بطابعين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المقارنة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التّأريخ الفقهيّ الّذي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شهد تطوّرا ملحوظا فيه،على يد روّاد كبار أمثال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سواهم،فيما يمكن ملاحظة ذلك في كتب عديدة من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 مع ملاحظة أنّ الجيل اللاّحق لهذه الأسماء قد شهد أيضا بعض الممارسات الاستدلاليّة لدى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سرائره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يظلّ هذا الأخير قريبا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النّسب، و من حيث المستوي العلميّ في تطويره للممارسة الفقهيّة منهجا و فكرا</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المقدّمة لا تسمح لنا بمتابعة خطوط التّطوّر الّذي شهدته الأجيال الفقهيّة المختلفة،بدءا من نماذج الاستدلال العابر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 الرّواة المعاصرين للمعصومين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و مضت نماذج منه لدى بعض الرّواة عصرئذ مرورا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عصر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يشير المعنيّون بشؤون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توفّره لدى أسماء من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امتدادا إلى أسماء متميّزة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انتهاء إلى الأسماء الرّائدة الّتي </w:t>
      </w:r>
    </w:p>
    <w:p>
      <w:pPr>
        <w:pStyle w:val="BookText"/>
        <w:rPr/>
      </w:pPr>
      <w:r>
        <w:rPr>
          <w:rFonts w:ascii="Amiri" w:hAnsi="Amiri" w:eastAsia="Amiri" w:cs="Amiri"/>
          <w:color w:val="111111"/>
          <w:sz w:val="28"/>
          <w:sz w:val="28"/>
          <w:szCs w:val="28"/>
          <w:rtl w:val="true"/>
          <w:lang w:bidi="ar-SA"/>
        </w:rPr>
        <w:t>أشرنا إليها حيث يمكن القول بأنّ خطوط التّطوّر تظلّ ملحوظة لدى هذه الأسماء بشكل أو بآخر بما يواكبها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أدوات أصوليّة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يشير إليها المؤرّخون،أو ما وصل إلى أيدينا منه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الموجزة في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للمفيد،و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للمرتضى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كتبها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سواهم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بالرّغم من أنّ الأداة الأصوليّة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مستوى النّظرية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تعني أنّ الفقيه يمارس عمليّة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تطبيق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شاملة لمبادئ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يصوغها،إلاّ أنّ انعكاسات ذلك على الممارسات الفقهيّة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في نطاق محدود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يظلّ تعبيرا عن خطوط التّطوّر الّذي أشرنا إليه، و من ثمَّ يظلّ مؤشّرا إلى مستويات التّطوّر الفكريّ الّذي يمكن ملاحظته لدى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يعدّ نقطة تحوّل ملحوظة في هذا الميدان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الطّابع الآخر،و نعني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المقارنة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كلاّ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يمثّلون أسماء رائدة في هذا الصّعيد،بحيث يمكن الذّهاب إلى أنّ طبيعة الحياة الاجتماعيّة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سياسيّا،و مذهبيّا،و علميّا،مضافا إلى شخصيّاتهم الرّائدة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كونهم ممثّلين للمؤسّسة المرجعيّة في قمّة هرمها الاجتماعيّ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فرضت على الأسماء المشار إليها نوعا من النّشاط الفقهيّ القائم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المقارنة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المذهب الإماميّ و بين المذاهب العامّة الأخرى،حيث شهدت تلكم المذاهب أيضا نشاطا مماثلا فيما بينها في صعيد المقارنة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المهم أنّ نشاط فقهائنا في ميدان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المقارنة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تجسّد بوضوح في مصنّفات أشرنا إليها من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سواها من الكتب الّتي يشير إليها المؤرّخون لدى المفيد و المرتضى و الطّوسي و غيرهم،ممّا نلحظ شذرات منه في الأجيال اللاّحقة أيضا</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أفاد من الأسماء المذكورة،كما أنّه تأثّر ببعض خطوط مناهجهم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المقارنة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أيضا،إلاّ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الحصيلة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أضاف جديدا، كما هو طابع أيّة شخصيّة متميّزة رائدة،بحيث تمتدّ في الماضي،و تصنع الحاضر،و تقدّم جديدا يترك أثره على اللاّحق،بما تمتلكه من قدرة ذاتيّة على الكشف في ممارستها العلميّة، بحيث يقتادها ذلك إلى الإسهام في تطوير المعرفة و أدواتها،بالنّحو الّذي نلحظه لدى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نتحدّث عنه،أو كتبه الأخرى الّتي تكشف عن </w:t>
      </w:r>
      <w:bookmarkStart w:id="19" w:name="pg12666_159674"/>
    </w:p>
    <w:p>
      <w:pPr>
        <w:pStyle w:val="BookText"/>
        <w:rPr/>
      </w:pPr>
      <w:bookmarkEnd w:id="19"/>
      <w:r>
        <w:rPr>
          <w:rFonts w:ascii="Amiri" w:hAnsi="Amiri" w:eastAsia="Amiri" w:cs="Amiri"/>
          <w:color w:val="111111"/>
          <w:sz w:val="28"/>
          <w:sz w:val="28"/>
          <w:szCs w:val="28"/>
          <w:rtl w:val="true"/>
          <w:lang w:bidi="ar-SA"/>
        </w:rPr>
        <w:t>تطويره لعنصري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الاستدلال،و المقارنة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نبدأ في الحديث عن منهجه أوّلا،من حيث</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746633_222507752"/>
      <w:bookmarkStart w:id="21" w:name="_Toc7"/>
      <w:bookmarkEnd w:id="20"/>
      <w:r>
        <w:rPr>
          <w:rtl w:val="true"/>
        </w:rPr>
        <w:t>(</w:t>
      </w:r>
      <w:r>
        <w:rPr/>
        <w:t>3</w:t>
      </w:r>
      <w:r>
        <w:rPr>
          <w:rtl w:val="true"/>
        </w:rPr>
        <w:t>)</w:t>
      </w:r>
      <w:bookmarkEnd w:id="21"/>
    </w:p>
    <w:p>
      <w:pPr>
        <w:pStyle w:val="Heading4"/>
        <w:numPr>
          <w:ilvl w:val="3"/>
          <w:numId w:val="1"/>
        </w:numPr>
        <w:rPr/>
      </w:pPr>
      <w:bookmarkStart w:id="22" w:name="__RefHeading___Toc746635_222507752"/>
      <w:bookmarkStart w:id="23" w:name="_Toc8"/>
      <w:bookmarkEnd w:id="22"/>
      <w:r>
        <w:rPr>
          <w:rtl w:val="true"/>
        </w:rPr>
        <w:t>اشارة</w:t>
      </w:r>
      <w:bookmarkEnd w:id="23"/>
    </w:p>
    <w:p>
      <w:pPr>
        <w:pStyle w:val="BookText"/>
        <w:rPr/>
      </w:pPr>
      <w:r>
        <w:rPr>
          <w:rFonts w:ascii="Amiri" w:hAnsi="Amiri" w:eastAsia="Amiri" w:cs="Amiri"/>
          <w:color w:val="111111"/>
          <w:sz w:val="28"/>
          <w:sz w:val="28"/>
          <w:szCs w:val="28"/>
          <w:rtl w:val="true"/>
          <w:lang w:bidi="ar-SA"/>
        </w:rPr>
        <w:t>المقارنة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المقارنة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 من النّشاط العلميّ الّذي خبرته ضروب المعرفة الإنسانيّة في حقول التّربية،و النّفس،و الاجتماع،و الاقتصاد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إلخ،بصفة أنّ مقارنة الشّيء مع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ذلك من خلال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التّماثل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بينهما،أو من خلال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التّضاد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يسهم في بلورة و تعميق المفهوم الّذي يستهدفه الباحث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المقارنة تتمّ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ملاحظ في البحوث المعاصرة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مستويات مختلفة،منها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المقارنة المستقلّة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تقوم أساسا على الموازنة بين ضربين من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قمنا بمقارنة بين الإسلام مثلا و بين الأديان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ما يندرج ضمن الأبحاث الّتي تأخذ شكلا له استقلاليّته في الدّراسات الحديثة بخاصّة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هناك نوعا من المقارنة الّتي تشكّل عنصرا واحدا من عناصر البحث دون أن تستقلّ بالمقارنة،أي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المقارنة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جزءا من أجزاء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فضلا عن أنّ المقارنة بقسميها المتقدّمين قد تكون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تتناول جميع الجوانب المبحوث عنها،مقابل المقارنة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تتناول جانبا واحدا أو عملا منحصرا لدى كتاب واحد أو مؤلّف واحد على سبيل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يلاحظ أنّ فقهاءنا قد توفّروا على شتّى مستويات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المقارنة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أشرنا إليها قديما و حديثا،بل يمكن القول بأنّه لا يكاد أي كتاب استدلاليّ أو فتوائيّ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يخلو من أحد أشكال المقارنة،بل إنّ الممارسات الفقهيّة بنحو عام تتميّز عن سواها من الممارسات الّتي خبرتها علوم النّفس،و الاجتماع،و التاريخ،و التّربية،و الأدب،و الفنّ،و سواها باعتمادها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المقارنة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عنصرا أو بحثا مستقلاّ لا يكاد كتاب فقهيّ يخلو منها في الغالب</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ما في الأمر أنّ المقارنة قد تأخذ صفة التّغليب داخل المذهب مثلا مثلما تأخذ صفة كونها </w:t>
      </w:r>
      <w:bookmarkStart w:id="24" w:name="pg12666_159675"/>
    </w:p>
    <w:p>
      <w:pPr>
        <w:pStyle w:val="BookText"/>
        <w:rPr/>
      </w:pPr>
      <w:bookmarkEnd w:id="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عنصرا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عناصر الممارسة الفقهيّة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المقارنة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فتأخذ حجما أصغر من الاهتمام الفقهيّ،حيث تسهم الظّروف الاجتماعيّة في تضخيم أو تضئيل هذا الحجم،فيما لا يعنينا التّحدّث عنه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يعنينا أن نشير إلى أنّ الفقهاء قديما و حديثا قد توفّروا على هذا النمط من النّشاط المقارن،و في مقدّمتهم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عرف بهذا النشاط من خلال قيامه بأبحاث ضخمة تناولت كلاّ من المقارنة داخل المذهب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خارج المذهب أيضا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نطاق محدّد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جاءت مقارنته خارج 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متجسّدة في كتابه الّذي نتحدّث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أكسبه مزيدا من الأهميّة العلميّة الّتي آن لنا أن نعرض لخطوطه المنهجيّة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يمكننا عرض الخطوط لمنهجة المقارن،وفقا لما يلي</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746637_222507752"/>
      <w:bookmarkStart w:id="26" w:name="_Toc9"/>
      <w:bookmarkEnd w:id="25"/>
      <w:r>
        <w:rPr/>
        <w:t>1</w:t>
      </w:r>
      <w:r>
        <w:rPr>
          <w:rtl w:val="true"/>
        </w:rPr>
        <w:t>-</w:t>
      </w:r>
      <w:r>
        <w:rPr>
          <w:rtl w:val="true"/>
        </w:rPr>
        <w:t>عرض الأقوال</w:t>
      </w:r>
      <w:r>
        <w:rPr>
          <w:rtl w:val="true"/>
        </w:rPr>
        <w:t>:</w:t>
      </w:r>
      <w:bookmarkEnd w:id="26"/>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تبدأ الخطوة الاولى من ممارساته المقارنة بعرض الآراء الفقهيّة للمؤلّف،أو وجهة النّظر لفقهاء الطّائفة بعامّة،أو أحد فقهائها،أو فقهاء المذاهب الأخرى،أو مطلق الفقهاء حسب ما يتطلّبه سياق المسألة المطروحة،حيث يتدخّل مدى التّوافق أو التّخالف بين الآراء في منهجيّة العرض للأقوال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بيد أنّ الغالب يبدأ بوجهة نظر المؤلّف طالما نعلم بأنّ هدف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المقارنة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مطلق الممارسات الفقهيّة ليس هو مجرّد العرض للآراء،بل تثبيت وجهة النّظر الصّائبة في تصوّر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لذلك،فإنّ تثبيته و جهة نظره أوّلا،ثمَّ عرض الآراء الأخرى، يظلّ خطوة منهجيّة لها مشروعيّتها دون أدنى 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إرداف و جهة نظره بأقوال فقهاء الطّائفة يحمل نفس المشروعيّة ما دام هدف المقارنة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أحد خطوطه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إقناع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بصواب 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لذلك،نجده بعد عرضه لوجهة نظره،ثمَّ وجهة نظر فقهائنا،يتّجه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المرحلة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عرض وجهة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الحالات جميعا يلتزم المؤلّف بالحياد العلميّ من جانب،و بمتطلّبات المنهج المقارن من جانب آخر،حيث يستقطب جميع الأقوال داخل المذهب و خارجه،على نحو ما نلحظه في الممارسة التّالية مثلا،و هي تتناول مسح الرّأس في عمليّة الوضوء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من مسح الرّأس لا يتقدّر بقدر في الرّجل،و في المرأة يكفي منه أقل ما يصدق عليه 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قال الشّيخ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الأفضل أن يكون بقدر ثلاث أصابع مضمومة،و به قال السّيّد المرتضى،و 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مقدار ثلاث أصابع مضمومة،و هو اختيار ابن بابويه،و أبي حنيفة في إحدى الرّاويتين،و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 ما وقع عليه الاسم،و ذهب بعض الحنابلة إلى أنّ قدر الواجب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النّاصية،و هو رواية عن أبي حنيفة،و حكي عن أحمد أنّه لا يجزي إلاّ مسح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فالملاحظ هنا،أنّ المؤلّف بدأ بتصدير فتواه،ثمَّ بفتاوى الآخرين من فقهاء المذهب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اختلاف الآراء بين المرتضى و الطّوسي و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عرض آراء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مدى توافقها أو تخالفها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فقهاء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نحو ما نقله من الاتّفاق بين ابن بابويه و الطّوسي و أبي حنيفة،ثمَّ ما نقله من التّفاوت بين آراء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طبيعيّا،لا يعني هذا أنّ المؤلّف يلتزم بهذا المنهج في ممارساته جميعا بقدر ما يعني أنّ الطّابع الغالب على مقارناته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السّمة المذكورة،و إلاّ نجده حينا يكتفي بالمقارنة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داخل 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ملاحظ في الممارسة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جواز إحرام المرأة في الحرير المحض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قولان،أحدهما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الجواز،و هو 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النّساء،و اختاره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المنع،اختاره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الأقوى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نجده حينا آخر يكتفي بالمقارنة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 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ملاحظ في الممارسة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صلّى المكتوبة بعد الطّواف لم تجزه عن الرّكعتين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قال الزّهري و مالك و أصحاب الرّأي،و روي عن ابن عبّاس و عطاء و جابر بن زيد و الحسن و سعيد بن جبير و إسحاق و عن أحمد روايتان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يتخلّى أحيانا عن عرض الأقوال نهائيّا،مكتفيا بوجهة نظره فحسب،من نحو معالجته للمسألة التّالية</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يحرم عمل الصّور المجسّمة و أخذ الأجرة عليه،روى ابن بابويه عن </w:t>
      </w:r>
      <w:bookmarkStart w:id="27" w:name="pg12666_159677"/>
    </w:p>
    <w:p>
      <w:pPr>
        <w:pStyle w:val="BookText"/>
        <w:rPr/>
      </w:pPr>
      <w:bookmarkEnd w:id="27"/>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يتخلّى حتّى عن تقديم وجهة نظره مباشرة،مكتفيا من ذلك بإيراد الدّليل،و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يدرج ضمن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بمتن الرّواية على نحو ما نلحظه في الممارسة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في الصّحيح عن محمّد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يرشو الرّجل الرّشوة على أن يتحوّل من مسكنه فيسكنه؟قال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أمثلة هذه الموارد الّتي يتخلّى فيها عن المقارنة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صعيد عرض الأقوال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تظلّ نادرة بالقياس إلى الطّابع الغالب على ممارساته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تصوّرنا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عدم خلاف يعتدّ به بين علماء الخاصّة،أو بينهم و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كون المسألة المعروضة ذات طابع فرعيّ أو كون اللّجوء إلى عرض الأقوال في المسائل جميعا تستتلي إطالة البحث أو قلّة فائدته، أو كون المسألة لا يسمح الوقت بعرضها،أو كون الوقوف عليها يتعذّر حينا،أو كونها غير مبحوث فيها،كلّ ذلك يفسّر لنا السّرّ الكامن وراء تخلية أحيانا عن عرض الأقوال شاملة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خارجا عن ذلك،يظلّ عرض الأقوال لدى المؤلّف طابعا ملحوظا في غالبيّة ممارساته،حتّى أنّه ليقدّم أحيانا قوائم ضخمة من الأسماء بنحو يثير الدّهشة،حيث يعرض الأسماء الممثّلة للمذاهب الرّئيسة و ما ترتبط بها من خطوط و تيّارات داخل المذهب الواحد،كما يعرض الأسماء التي اندثرت مذاهبها،مضافا إلى أقوال كبار الصّحابة و التّابعين و سائر الفقهاء المتميّزين في مختلف الفترات التاريخيّة،ممّا يكشف ذلك عن قابليّة فذّة في بذل الجهد للعثور على تلكم الأسماء و استخلاص أقوالها،بخاصّة أنّ بيئته التاريخيّة لم تخبر وسائل الطّباعة الحديثة،حيث يتطلّب الوقوف على أقوال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مختلف تيّاراتهم و أجيالهم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قابليّة ضخمة لا تتوفّر إلاّ لدى الأفذاذ،دون أدنى شك</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746639_222507752"/>
      <w:bookmarkStart w:id="29" w:name="_Toc10"/>
      <w:bookmarkEnd w:id="28"/>
      <w:r>
        <w:rPr/>
        <w:t>2</w:t>
      </w:r>
      <w:r>
        <w:rPr>
          <w:rtl w:val="true"/>
        </w:rPr>
        <w:t>-</w:t>
      </w:r>
      <w:r>
        <w:rPr>
          <w:rtl w:val="true"/>
        </w:rPr>
        <w:t>عرض الدّليل الشّخصيّ</w:t>
      </w:r>
      <w:r>
        <w:rPr>
          <w:rtl w:val="true"/>
        </w:rPr>
        <w:t>:</w:t>
      </w:r>
      <w:bookmarkEnd w:id="29"/>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 أنّ المؤلّف يبدأ غالبا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عرضه للأقوال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بتصدير وجهة نظره،أو تخليلها ضمن العرض أو نهايته،حينئذ فإنّ الخطوة الثّانية من منهجه المقارن تبدأ بعرض الدّليل الشّخصي </w:t>
      </w:r>
    </w:p>
    <w:p>
      <w:pPr>
        <w:pStyle w:val="BookText"/>
        <w:rPr/>
      </w:pPr>
      <w:r>
        <w:rPr>
          <w:rFonts w:ascii="Amiri" w:hAnsi="Amiri" w:eastAsia="Amiri" w:cs="Amiri"/>
          <w:color w:val="111111"/>
          <w:sz w:val="28"/>
          <w:sz w:val="28"/>
          <w:szCs w:val="28"/>
          <w:rtl w:val="true"/>
          <w:lang w:bidi="ar-SA"/>
        </w:rPr>
        <w:t>الّذي يمثّل وجهة نظره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سنرى عند حديثنا عن أدوات الاستدلال الّتي يستخدمها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المؤلّف يعتمد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الرئيسة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الثّانويّة من أصل عمليّ،و غيره،مضافا إلى أدوات الاستدلال العامّة الّتي نعرض لها في حينه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لكن،ما يعنينا الآن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العرض،دون تفصيلاته،حيث يبدأ ذلك بالكتاب أو السّنّة أو الإجماع أو العقل،أو بثلاثة منها أو باثنين أو بها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توافر الأدلّة الّتي تتاح له،أو يبدأ ذلك بدليل ثانويّ أو بالأدلّة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الرّئيسي و الثّانويّ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إلى أنّ منهجه في عرضه للأدلّة المشار إليها يبدأ بعبارة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تشير إلى دليله الشّخصي بطبيعة الحال،حيث يعرض الدّليل الإجماليّ أوّلا ثمَّ يبدأ بتفصيله،و هذا ما يمكن ملاحظته في الممارسة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علماؤنا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النّوم الغالب على السّمع و البصر ناقض للوضوء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مذهب المزنيّ و إسحاق و أبي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و المعقول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النّصّ،فقوله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قُمْتُمْ إِلَى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المعقول،فهو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النّوم سبب لخروج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أنّ ما يعنينا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الخطوة من منهجه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الدّليل من خلال المقارنة ،و ليس الدّليل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نتحدّث عنه لا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حينئذ فإنّ عرضه لدليله الشّخصي لا بدّ أن يتناسب مع منهجه المقارن الّذي يحرص فيه على تقديم الأدلّة متوافقة مع مبادي الخاصّة و العامّة،لكن بما أنّ مبادي العامّة تظلّ مستهدفة من حيث حرصه على تحقيق 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الإقناع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لهم،حينئذ نجده يقدّم أدلّتهم أوّلا،ثمَّ يتبعها بالدّليل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هنا يبدأ بعرض الدّليل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بصفته دليلا مشتركا بين الخاصّ و العام،ثمَّ من 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يورد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أنّ إيرادها أخيرا يظلّ أكثر إلزاما لهم من حيث كونها متوافقة مع أدلّتهم من جانب،مضافا إلى كون ذلك أسلوبا من أساليب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ملاحظة هذا المنهج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عرض 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متمثّلا في الممارسة الآتية عن مسوّغات التّيمّم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تَجِدُوا ماءً فَتَيَمَّمُوا صَعِيداً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بما أنّ ما يعنينا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الخطوة من منهجه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الدّليل من خلال المقارنة ،و ليس الدّليل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نتحدّث عنه لا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حينئذ فإنّ عرضه لدليله الشّخصي لا بدّ أن يتناسب مع منهجه المقارن الّذي يحرص فيه على تقديم الأدلّة متوافقة مع مبادي الخاصّة و العامّة،لكن بما أنّ مبادي العامّة تظلّ مستهدفة من حيث حرصه على تحقيق 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الإقناع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لهم،حينئذ نجده يقدّم أدلّتهم أوّلا،ثمَّ يتبعها بالدّليل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هنا يبدأ بعرض الدّليل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بصفته دليلا مشتركا بين الخاصّ و العام،ثمَّ من 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يورد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أنّ إيرادها أخيرا يظلّ أكثر إلزاما لهم من حيث كونها متوافقة مع أدلّتهم من جانب،مضافا إلى كون ذلك أسلوبا من أساليب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ملاحظة هذا المنهج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عرض 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متمثّلا في الممارسة الآتية عن مسوّغات التّيمّم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تَجِدُوا ماءً فَتَيَمَّمُوا صَعِيداً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الجمهور عن أبي ذر 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الصّعيد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 عن ابن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البدء بدليل الكتاب،فالرّواية العامّة،فالرّواية الخاصّة يحقّق هدفا مزدوجا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مجال البحث المقارن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إقناع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إلزامهم من خلال أدوات استدلالهم،فضلا عن إقناع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بأدواتهم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الأمر نفسه حينما يتقدّم بالأدلّة الأخرى الّتي تشكّل أدوات مشتركة بين الفريقين،حيث تتطلّب المقارنة استخدام ما هو مشترك أيضا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الإجماع،أو العقل،أو الأصل،و هو أمر يمكن ملاحظته في الممارسة الآتية الّتي استدلّ بها على طهارة الماء و مطهّريّته،مرتكنا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عن الكتاب و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الإجماع و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أحدا لم يخالف في أنّ الماء المطلق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النّجاسة حكم طارئ على المحل،و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الطّريان،و لأنّ تنجّس الماء يلزم منه الحرج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نفسه يمكن ملاحظته بالنّسبة إلى توسّله بسائر الأصول الأخرى،كالاستصحاب مثلا،و هذا من 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أسر المشرك و له زوجة لم يؤسرها المسلمون،فالزّوجيّة باقية،عملا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المؤلّف يستخدم 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الأدوات بين الفريقين،أو ما يختصّ بأدوات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لا يعني أنّه يستخدم مطلق أدواتهم بقدر ما يعني أنّه ينتخب من الأدوات ما لا يتعارض بنحو أساسي مع مبادئه الخاصّة،كالقياس و غيره من المعايير المنهيّ عنها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طبيعيّا،أنّ غالبيّة الأدوات الّتي يتوكّأ المؤلّف عليها بالنّسبة إلى أدوات الاستدلال لدى الجمهور،ليست حجّة عند المؤلّف،مثل رواياتهم الواردة من غير طرق الخاصّة،و مثل عمل الصّحابة،و مثل إجماعاتهم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يستخدمها بمثابة إلزام يستدلّ من خلالها على</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تثبيت وجهة نظره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 المسوّغ لأمثلة هذا التّوكّؤ على أدلّة السّنّة النّبويّة من طرقهم أو إجماعاتهم أو قول و عمل الصّحابة دون القياس و الاستحسان و نحوها من الأدلّة الّتي تدخل ضمن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هذه الأدلّة لا تتعارض مع 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كونها مستندة إلى كلام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فعله أو تقريره،كلّ ما في الأمر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مشكوك فيها،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ذات مظانّ شرعيّة من حيث المصدر دون طرقه الكاشفة عنه،و هذا بخلاف الأدلّة المستندة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المنهيّ عنه شرعا،حيث لا مستند لها البتّة،لذلك يمكن الاستدلال بالرّواية أو الإجماع أو عمل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مقام إلزامهم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العكس من 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،فروايات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حيال طهارة و مطهّريّة الماء،أو إجماعهم على عدم انفعال الكثير منه بالنّجاسة،أو عمل الصّحابة في عدم الالتفات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الّذي لا يمكن التّحرّز منه بالنّسبة إلى مطهّريّته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أمثلة هذه الأدلّة الّتي استند إليها المؤلّف تظلّ أدوات معززة 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استنادها إلى 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بالرّغم من أنّها ذات طرق مشكوك في حجّتها و لكنّها ما دامت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بشكل أو بآخر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تدّعي الانتساب إلى 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،فحينئذ لا مانع من التّوكّؤ عليها في صعيد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الإلزام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ضوء هذه الحقائق يمكننا أن نستشهد ببعض ممارسات المؤلّف في تعامله مع أدلّة الجمهور في مرحلة عرض الأدلّة،سواء أ كان ذلك في صعيد التّعامل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و فعل الصّحابيّ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إلى تعامله مع الرّواية،فنجده يرتكن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معايير الجمهور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التّعديل و الجرح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لها،حيث إنّ المقارنة تفرض عليه أن يعتمد معايير الطّرف الآخر من أطراف المقارنة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 يحرص على تقديم الرّواية المعتبرة سندا لدى الجمهور،حتّى أنّه ليشير أحيانا إلى كونها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خلال التّنصيص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من نحو تعقيبه على الرّوايات الّتي ساقها للتّدليل على عدم طهارة جلد الميتة حتّى لو دبغ،حيث علّق على إحداها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أبو داود،قال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إسناده 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عقّب على أخرى،قائلا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إسناده حسن</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بالمقابل نجده في مرحلة ردوده على أدلّة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سنرى لا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يرفض الرّواية </w:t>
      </w:r>
    </w:p>
    <w:p>
      <w:pPr>
        <w:pStyle w:val="BookText"/>
        <w:rPr/>
      </w:pPr>
      <w:r>
        <w:rPr>
          <w:rFonts w:ascii="Amiri" w:hAnsi="Amiri" w:eastAsia="Amiri" w:cs="Amiri"/>
          <w:color w:val="111111"/>
          <w:sz w:val="28"/>
          <w:sz w:val="28"/>
          <w:szCs w:val="28"/>
          <w:rtl w:val="true"/>
          <w:lang w:bidi="ar-SA"/>
        </w:rPr>
        <w:t>الضّعيفة مستندا أيضا لمعاييرهم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يعني أنّ المؤلّف يظلّ ملتزما بما تفرضه متطلّبات المقارنة بين الأطراف من حيث الرّكون إلى معاييرهم في تعديل الرّواية أو تجريحها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لكن،ثمّة ملاحظة لا مناص من تسجيلها هنا،و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المؤلّف يعتمد على الرّواية العاميّة مع كونها غير معتبرة،في نظره من 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إلزام المخالف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يصرّح بكونها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معتبرة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يقدّمها بمثابة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إلزام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للمخالف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فمثلا،في تقديمه لإحدى الرّوايات الّتي تزعم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سلّم في ركعتي الرّباعيّة نسيانا،و تكلّم بعد ذلك مستفسرا بعد أن نبّه على ذلك حيث ساقها المؤلّف للتّدليل على جواز التّكلّم علّق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ذي اليدين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الرّواية الّتي ساقها للتّدليل على جواز التّكلّم لمن ظنّ الإتمام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تكن حجّة لنا،فهي في معرض الإلزام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كذلك،في تعقيبه على صلاة جعفر حيث قدّم رواية من الجمهور بأنّ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العبّاس بن عبد المطّلب تلكم الصّلاة،بينا تشير الرّوايات الواردة من طرق الخاصّة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عقّب المؤلّف على ذلك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إنّما ذكرنا تلك الرّواية احتجاجا على أحمد النّافي لمشروعيّتها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أمثلة هذه النّماذج تكشف عن أنّ المؤلّف يعنيه أن يلزم المخالف في الدّرجة الأولى حتّى لو كان ذلك على حساب الرّواية الضّعيفة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يتقبّل الرّواية الضّعيفة في مرحلة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جانب،مضافا إلى أنّه لا يتقبّلها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حالة مناقشته للخاصّة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جانب آخر،و هذا ما نلحظه في تعليقه على رواية للجمهور،احتجّ بها الطّوسي في عدم جواز تقدّم المرأة على الرّجل في الصّلاة،قائلا</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غير منقول من طرقنا فلا تعويل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فالمؤلّف هنا يرفض الرّواية العاميّة حتّى لو كانت معتبرة لدى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مناقشته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دامت ليست حجّة من حيث طرقها و لكنّه يتقبّلها في معرض إلزامه للمخالف،مع ملاحظة أنّه يخضعها لمعايير التّعديل و الجرح عند تعامله مع الجمهور،إلاّ في حالة الإلزام،حيث لا يلتزم بصحّة الرّواية أو عدمها للسّبب الّذي ذكرناه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يعني أنّ المؤلّف يأخذ طرفي المقارنة بنظر الاعتبار حتّى أنّنا لنجده في </w:t>
      </w:r>
    </w:p>
    <w:p>
      <w:pPr>
        <w:pStyle w:val="BookText"/>
        <w:rPr/>
      </w:pPr>
      <w:r>
        <w:rPr>
          <w:rFonts w:ascii="Amiri" w:hAnsi="Amiri" w:eastAsia="Amiri" w:cs="Amiri"/>
          <w:color w:val="111111"/>
          <w:sz w:val="28"/>
          <w:sz w:val="28"/>
          <w:szCs w:val="28"/>
          <w:rtl w:val="true"/>
          <w:lang w:bidi="ar-SA"/>
        </w:rPr>
        <w:t>تعامله مع الرّواية الواحدة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طرفي المقارنة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يخضعها لمستويين من التّعامل،حيث وجدناه يرفض الرّواية الّتي احتجّ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عندما يناقش أبا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احتجّ أيضا بالرّواية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نجده يرفض الرّواية ليس من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من حيث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عقب عليها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يصحّ احتجاج أبي حنيفة،لأنّه إذا وجب أنّ يؤخّرها،وجب عليها أن تتأخّر،و لا فرق بينهما،بل الأولى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المنهيّ هي المرأة عن التقدّم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شك،انّ أمثلة هذا التّعامل مع روايات الجمهور،تظلّ منهجا صائبا ما دام يأخذ بنظر الاعتبار أدوات الجمهور و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يتعيّن عليه أن يرفض روايات العامّة عند مناقشته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،مثلما يحق له أن يقدّم الرّواية الضّعيفة حينما يحتجّ بها على المخالف في حالة كونها معتبرة لدى الأخير،و هذا ما نجده واضحا عندما يحتجّ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أبي حنيفة برواية مرسلة ما دام الأخير لا يمانع من العمل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صرّح المؤلّف بذلك في بعض احتجاجاته على الشّخص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أنّنا لا نوافق المؤلّف على احتجاجه بالرّواية الضّعيفة في حالة تضمّنها ما هو مضادّ لمبادئ الشّرع من جانب،و ما هو متناقض في الاستدلال بها من جانب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ما يمكن ملاحظته بوضوح في ممارستين للمؤلّف،تحدّث في أولاهما عن الكلام متعمّدا في الصّلاة،و تحدّث في أخراهما عن الكلام ممّن ظنّ إتمامها،حيث رفض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للجمهور تزعم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أشرنا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في ركعتي الرّباعيّة نسيانا،فيما لفت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ذلك،و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استفسر عن صحّة ما زعمه الشّخص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 ردّ هذه الرّواية بجملة وجوه،منها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الرّاوي أبا هريرة أسلم بعد وفاة الشّخص المشار إليه بسنتين،و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ما نعتزم التأكيد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الرّواية تتضمّن ما يتنافى مع عصمة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النّسيان</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المسألة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المؤلّف يقدّم الرّواية ذاتها للتّدليل على جواز التّكلّم بالنّسبة لمن ظنّ الإتمام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فبالرغم من أنّه لم يعتدّ بهذه الرّواية،حيث علّق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ذي اليدين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تكن لنا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في معرض الإلزام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سوقها هنا للتّدليل على </w:t>
      </w:r>
    </w:p>
    <w:p>
      <w:pPr>
        <w:pStyle w:val="BookText"/>
        <w:rPr/>
      </w:pPr>
      <w:r>
        <w:rPr>
          <w:rFonts w:ascii="Amiri" w:hAnsi="Amiri" w:eastAsia="Amiri" w:cs="Amiri"/>
          <w:color w:val="111111"/>
          <w:sz w:val="28"/>
          <w:sz w:val="28"/>
          <w:szCs w:val="28"/>
          <w:rtl w:val="true"/>
          <w:lang w:bidi="ar-SA"/>
        </w:rPr>
        <w:t>جواز التّكلّم بالنّسبة لمن ظنّ الإتمام،ينطوي على جملة من الملاحظات،منها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استشهاده بها في حكمين مختلفين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النّسيان و الظّنّ مع أنّها لا تتضمّن إلاّ حكما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حتّى مع صحّة الفرضيّة الاولى لا يمكننا أن نعتمدها ما دام المؤلّف نفسه قد رفضها بالنّسبة إلى النّسيان،فيما ينبغي أن يرفضها بالنّسبة إلى الظّنّ أيضا،ما دامت متعلّقة بفعل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لما تقدّم،فإنّ الرّواية المذكورة ما دامت تتضمّن ما هو يتنافى مع عصمة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 لم يكن هناك أيّ مسوّغ للاستدلال بها ما دام المؤلف قد أخذ على نفسه ألاّ يعتمد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في مجال الإلزام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يتّسق مع الشّرع بنحو ما قلناه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رفضه لمعاييرهم المرتبطة بالقياس و الاستحسان و نحوهما ممّا يرفضها حتّى في 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أيّا كان،فإنّ المؤلّف خارجا عن الملاحظة المذكورة،يظلّ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متعاملا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الجمهور حسب ما يتطلّبه منهج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المقارنة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الاعتماد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أدواتهم الاستدلاليّة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لا تتعارض مع 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بالنّحو الّذي أوضحناه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يتّصل بأدوات الاستدلال الأخرى،فإنّ المؤلّف يمارس نفس المنهج،و هذا مثل تعامله مع دليلي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يمكن ملاحظته في الممارسة التّالية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إلى عدم جواز المسح على الخف،فيما عرض جملة من أدلّة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روي عن الصّحابة من إنكاره،و لم ينكر المنازع،فدلّ على أنّه 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الممارسة التّالية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إلى جواز التّكلّم في الصّلاة ممّن ظنّ إتمامها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عن جماعة من الصّحابة أنّهم تكلّموا بعد السّلام بظنّ الإتمام،ثمَّ أتمّوا مع الذّكر كالزّبير و ابنيه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اللّه،و عروة،و صوّبهم ابن عبّاس،و لم ينكر،فكان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الممارسة الآتية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مستدلاّ بها على طهارة و مطهّريّة الماء المطلق في حالة امتزاجه بما لا يمكن التّحرّز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الصّحابة كانوا يسافرون و غالب أوعيتهم الأدم،و هي تغيّر الماء غالبا</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الصّحابي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العمل الجماعيّ السّابق بصفته كاشفا عن السّيرة الشّرعيّة بالنّسبة لمقاييس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تعامل المؤلّف مع هذا الجانب،يظلّ مماثلا لتعامله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حيث تقديمه دليلا معزّزا لوجهة نظره الشّخصيّة،ثمَّ رفضه للدّليل </w:t>
      </w:r>
      <w:bookmarkStart w:id="30" w:name="pg12666_159684"/>
    </w:p>
    <w:p>
      <w:pPr>
        <w:pStyle w:val="BookText"/>
        <w:rPr/>
      </w:pPr>
      <w:bookmarkEnd w:id="30"/>
      <w:r>
        <w:rPr>
          <w:rFonts w:ascii="Amiri" w:hAnsi="Amiri" w:eastAsia="Amiri" w:cs="Amiri"/>
          <w:color w:val="111111"/>
          <w:sz w:val="28"/>
          <w:sz w:val="28"/>
          <w:szCs w:val="28"/>
          <w:rtl w:val="true"/>
          <w:lang w:bidi="ar-SA"/>
        </w:rPr>
        <w:t>المذكور نفسه في مرحلة ردّه على أدلّة المخالفين تمشّيا مع منهجه القائم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 بالنّحو الّذي لحظناه في إلزامه الآخرين بالنّسبة إلى الرّواية الضّعيفة الّتي يقدّمها في مرحلة عرض الدّليل الشّخصيّ،ثمَّ يرفضها في مرحلة الرّد و هذا ما نلحظه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عرضه لإعمال كبار الصّحابة بمثابة تعزيز لأدلّته الخاصّة،بينا يرفضها مطلقا في حالة احتجاجهم ذاهبا إلى أنّها ليست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دامت غير مرتكنة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بعامّة،فإنّ تعامل المؤلف مع أدوات الاستدلال لدى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مرحلة عرض الأدلة الشّخصية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في أداة مشتركة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 أدواتهم المختصّة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تعامله مع فقهاء الخاصّة، فلا بدّ أن 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بطبيعة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وفق أدواتهم الخاصّة بهم أيضا ما داموا من جانب،أحد طرفي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المقارنة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دام المؤلّف يمثّل أحد فقهائهم من جانب آخر،مع ملاحظة أنّه يستخدم نفس التّعامل بالنّسبة إلى عمليّة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الإلزام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بما هو 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لديه في صعيد التّعزيز لوجهة نظره،أو صعيد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أدلّة الآخرين بالنّحو الّذي نعرض له لا حقا عند حديثنا عن الجانب الآخر من ممارسته،و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الاستدلال</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746641_222507752"/>
      <w:bookmarkStart w:id="32" w:name="_Toc11"/>
      <w:bookmarkEnd w:id="31"/>
      <w:r>
        <w:rPr/>
        <w:t>3</w:t>
      </w:r>
      <w:r>
        <w:rPr>
          <w:rtl w:val="true"/>
        </w:rPr>
        <w:t xml:space="preserve"> </w:t>
      </w:r>
      <w:r>
        <w:rPr>
          <w:rtl w:val="true"/>
        </w:rPr>
        <w:t>فرضيّة النّقض</w:t>
      </w:r>
      <w:r>
        <w:rPr>
          <w:rtl w:val="true"/>
        </w:rPr>
        <w:t>:</w:t>
      </w:r>
      <w:bookmarkEnd w:id="32"/>
    </w:p>
    <w:p>
      <w:pPr>
        <w:pStyle w:val="BookText"/>
        <w:rPr/>
      </w:pPr>
      <w:r>
        <w:rPr>
          <w:rFonts w:ascii="Amiri" w:hAnsi="Amiri" w:eastAsia="Amiri" w:cs="Amiri"/>
          <w:color w:val="111111"/>
          <w:sz w:val="28"/>
          <w:sz w:val="28"/>
          <w:szCs w:val="28"/>
          <w:rtl w:val="true"/>
          <w:lang w:bidi="ar-SA"/>
        </w:rPr>
        <w:t xml:space="preserve">المؤلّف عندما يعرض أدلّته الشّخصيّة في المرحلة الثّانية،يفترض أحيانا إمكانيّة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من قبل الآخرين كما لو افترض أنّ النّصوص الّتي استشهد بها مطعونة سندا،أو معارضة بنصوص أخرى،أو أنّ أدلّته بعامّة غير صائبة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إلخ،حينئذ يتقدّم المؤلّف بالرّدّ على الإشكال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ما يمكن ملاحظته مثلا في النّموذج الآتي، حيث قدّم المؤلّف أدلّته الشّخصيّة على عدم انفعال ماء البئر بالنّجاسة،و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القائلة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رجل أسأله أن يسأل أبا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البئر واسع لا يفسده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عقّب المؤلّف على هذه الرّواية قائلا</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اعترضوا على الحديث الأوّل بوجوه </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يفسده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فسادا يوجب التّعطيل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الرّاوي أسندها إلى المكاتبة،و هي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المعارضة بخبر ابن بزيع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الخبر القائل بأن ينزح من البئر دلاء،حيث تستشف منه نجاسة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تخصيص لا يدلّ اللفظ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الرّاوي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كذا،و الثّقة لا يخبر بالقول إلاّ مع القطع، على 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ينفذ رسله بالمكاتبات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يتمّ على تقدير نصوصيّة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واضح من خلال هذه الممارسة أنّ المؤلّف قد التزم بمتطلّبات المقارنة الشّاملة الّتي تفرض عليه أن يتوقّع إشكالات الأخيرين عليه،فيما يمكن ألاّ يقتنعوا بصواب دليله الشّخصي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مثل هذا العرض أو افتراض الإشكال عليه،يحمل مسوّغة دون أدنى 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هذه الإشكالات محكوما بنفس المسوّغ،طالما يستهدف من ذلك تثبيت وجهة نظره الخاصّة،كما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عرض المؤلّف لاعتراضات الآخرين،يأخذ أكثر من صياغة،فهو حينا يصوغ الإشكال بنحوه المتقدّم،و حينا آخر يستخدم أسلوب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المقولات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من نحو ذهابه إلى عدم وجوب استيعاب الرّجلين بالمسح،عبر ارتكانه إلى الدّليل القرآنيّ في آية الوضوء من عطف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افترض هذا الإشكال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قرئ بالنّصب،و ذلك يقتضي العطف على المحل فلا يكون مبعّضا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منافاة بينهما،لأنّ التّبعيض لمّا ثبت بالجرّ،وجب تقديره في النّصب، و إلاّ لتنافت القراءات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إلى أنّ أسلوب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المقولات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يجيء أيضا في المراحل الأخرى من منهجه المقارن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ما يعرض أدلّة الآخرين و الرّدّ عليها،حيث تتطلّب المناقشة أمثلة هذه الإشكالات و الرّدّ عليها،كما سنرى في حينه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يلاحظ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هناك صياغة اخرى يستخدمها المؤلّف في مرحلة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لأدلّته،ألا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تطوّع المؤلّف بإيراد الإشكال على دليله دون أن يفترضه من الآخرين، و هذا 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تقديمه للأدلّة الرّوائيّة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انطواؤها على اعتراضات في السّند أو الدّلالة حينا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ملاحظة ذلك في ممارسات متنوّعة من نحو تقديمه جملة من الرّوايات الّتي ساقها للتّدليل على وجوب الموالاة في أفعال الوضوء،حيث استشهد برواية لأبي بصير،و عقّب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طريقها سماعة،و فيه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استشهد برواية أخرى،و عقّب عليها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طريقها معلّى بن محمّد،و 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فالمؤلّف في أمثلة هذه الممارسات،يتطوّع بإيراد الإشكال على أدلّته،حيث ينسج حولها صمتا حينا،كما هو طابع النّصوص المتقدّمة الّتي لم يردّ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يردّ على ذلك حينا آخر،كما هو ملاحظ في تعقيبه على رواية ساقها للتّدليل على أنّ الواجب في غسل الأعضاء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للوضوء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المرّة الواحدة،حيث أشار إلى أنّ في طريقها سهل بن زياد، و هو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يردّ على هذا الإشكال بأنّ الرّواية قد تأيّدت بروايات صحيحة تحوم على نفس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شكّ،أنّ تقديم الرّواية الضّعيفة في سياق الرّوايات المعتبرة يعدّ نوعا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لها،إلاّ أنّ الملاحظ أنّ المؤلّف نجده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الأحيان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يورد الرّواية الضّعيفة في سياق خاصّ هو كونها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لأدلّته لا 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و هذا ما نلحظه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تعقيبه على رواية ضعيفة أوردها للتّدليل على عدم نجاسة ما لا نفس له سائلة،حيث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مقوّية،لا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ينبغي أن نشير إلى أنّ تقوية الاستدلال برواية ضعيفة لا يمكن الاقتناع به،لبداهة أنّ 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قابليّة له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العكس هو الصّحيح،أي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الرّواية الضّعيفة هي ما تتقوّى بالرّوايات المعتبرة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لاحظنا ذلك في نصّ أسبق</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أيّا كان،يعنينا أن نشير إلى أنّ المؤلّف في المرحلة الثّالثة من منهجه المقارن يلتزم </w:t>
      </w:r>
      <w:bookmarkStart w:id="33" w:name="pg12666_159687"/>
    </w:p>
    <w:p>
      <w:pPr>
        <w:pStyle w:val="BookText"/>
        <w:rPr/>
      </w:pPr>
      <w:bookmarkEnd w:id="33"/>
      <w:r>
        <w:rPr>
          <w:rFonts w:ascii="Amiri" w:hAnsi="Amiri" w:eastAsia="Amiri" w:cs="Amiri"/>
          <w:color w:val="111111"/>
          <w:sz w:val="28"/>
          <w:sz w:val="28"/>
          <w:szCs w:val="28"/>
          <w:rtl w:val="true"/>
          <w:lang w:bidi="ar-SA"/>
        </w:rPr>
        <w:t>بموضوعيّة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المقارنة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حينما يتطوّع بإيراد الإشكالات المتوقّعة حيال أدلّته الشّخصيّة،بالنّحو الّذي تقدّم الحديث عنه</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746643_222507752"/>
      <w:bookmarkStart w:id="35" w:name="_Toc12"/>
      <w:bookmarkEnd w:id="34"/>
      <w:r>
        <w:rPr/>
        <w:t>4</w:t>
      </w:r>
      <w:r>
        <w:rPr>
          <w:rtl w:val="true"/>
        </w:rPr>
        <w:t>-</w:t>
      </w:r>
      <w:r>
        <w:rPr>
          <w:rtl w:val="true"/>
        </w:rPr>
        <w:t>أدلّة المخالفين</w:t>
      </w:r>
      <w:r>
        <w:rPr>
          <w:rtl w:val="true"/>
        </w:rPr>
        <w:t>:</w:t>
      </w:r>
      <w:bookmarkEnd w:id="35"/>
    </w:p>
    <w:p>
      <w:pPr>
        <w:pStyle w:val="BookText"/>
        <w:rPr/>
      </w:pPr>
      <w:r>
        <w:rPr>
          <w:rFonts w:ascii="Amiri" w:hAnsi="Amiri" w:eastAsia="Amiri" w:cs="Amiri"/>
          <w:color w:val="111111"/>
          <w:sz w:val="28"/>
          <w:sz w:val="28"/>
          <w:szCs w:val="28"/>
          <w:rtl w:val="true"/>
          <w:lang w:bidi="ar-SA"/>
        </w:rPr>
        <w:t>بعد أن يعرض المؤلّف دليله الشّخصيّ و الإشكالات الواردة عليه من قبل المؤلّف نفسه،يتّجه إلى عرض الأدلّة المخالفة لوجهة نظره حيث يصدّرها بعبارة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تومئ هذه العبارة إلى المستند الشّرعيّ أو العقليّ للأقوال الّتي عرضها المؤلّف في المرحلة الاولى من منهجه المقارن،أي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الأقوال المخالفة لوجهة نظره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طبيعيّا،يظلّ العرض لأدلّة المخالفين مرتبطا بطبيعة المسألة المطروحة من حيث شمولها لكلّ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يفرد لكلّ منهما حقلا خاصّا،و من حيث تعدّد الأقوال أو توحّدها،حيث يحرص على عرضها جميعا ما أمكنه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فمثلا،عند عرضه لمسألة عدم رؤية الهلال،نقل جملة آراء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العدل الواحد،شهادة العدلين،شهادتهما مع الصّحو،شهادة عدد كبير مع العلّة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إلخ،حيث حرص على عرض الأدلّة لها بهذا النّحو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 سلار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احتجّ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 أبو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 الشّيخ</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الملاحظ أنّ المؤلّف لا يعرض أحيانا للاحتجاجات كلّها،بل نجده يكتفي بعرض واحد منها،و هذا من نحو عرضه للأقوال المختلفة بالنّسبة إلى عدم تعيّن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تعيّنها في الثّالثة و الرّابعة من الفرائض حيث نقل قولا بوجوبها في كلّ الرّكعات،و قولا في معظم الصّلاة،و قولا في ركعة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اكتفى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نقله الجمهور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كأنه يقرأ بالحمد في الرّكعتين الأخيرتين،دون أن يعرض لأدلّة القولين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ما لا يلتئم مع حرصه الّذي لحظناه بالنّسبة إلى عرض الأدلّة </w:t>
      </w:r>
    </w:p>
    <w:p>
      <w:pPr>
        <w:pStyle w:val="BookText"/>
        <w:rPr/>
      </w:pP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أنّنا نحتمل أنّ عدم وجود دليل يعتدّ به،أو عدم العثور عليه بسبب فقدان النّصوص الاستدلالية للمخالف،يقف سببا وراء ذلك،و هذا ما يصرّح به المؤلّف أحيانا عندما يقرّر بأنّه لم يعثر على دليل لهذا الفقيه أو ذاك،بخاصّة إذا أخذنا بنظر الاعتبار أنّ تقديمه لأدلّة المخالفين لا ينحصر في عثوره على المصدر الاستدلاليّ للمخالف،بل يلتمس المؤلّف أدلّة تتناسب مع فتوى المخالف حيث إنّ كثيرا من الفقهاء لم يؤثر عنهم أيّ كتاب استدلاليّ،كما أنّ بعض أقوالهم تنقل عنهم بواسطة الآخرين،ممّا يجعل العثور على أدلّتهم أمرا متعذّرا،و من ثمَّ ينحصر عرض الدّليل في محاولة المؤلّف بأن يلتمس دليلا تخمينيّا يمكن أن يشكّل مستندا للأقوال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كلّه فيما يتّصل بطريقة العرض للأدلّة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فيما يتّصل بمستوياتها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الاختزال أو التّفصيل،و من حيث أدوات الاستدلال الّتي يعتمدها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فتظلّ مماثلة لمنهجه في عرض الأدلّة الشّخصيّة،حيث يخضع المسألة لمتطلّبات السّياق الّذي ترد فيه،ففي صعيد الإجمال أو التّفصيل للأدلّة نجده حينا يكتفي بتقديم الدّليل عابرا،و نجده في ممارسات اخرى يفصّل الحديث في ذلك،و هذا من نحو الممارسة التّالية الّتي يعرض فيها أدلّة القائلين بانفعال ماء البئر بالنّجاسة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 القائلون بالتّنجيس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النّص،و هو ما رواه الشّيخ في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طاهرا لما ساغ التيمّم،و التّالي باطل فالمقدّم مثله،و الشّرطيّة ظاهرة،فإنّ الشّرط في جواز التّيمّم فقدان الطّاهر،و بيان بطلان التّالي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 عن عبد اللّه بن أبي يعفور و عنبسة بن مصعب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أتيت البئر و أنت جنب فلم تجد دلوا و لا شيئا يغرف به،فتيمّم بالصّعيد الطّيّب،فانّ ربّ الماء ربّ الصّعيد،و لا تقع على البئر و لا تفسد ماءهم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يجز التّيمّم لزم أحد الأمرين</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 جواز استعمال ماء البئر بغير نزح،أو </w:t>
      </w:r>
      <w:bookmarkStart w:id="36" w:name="pg12666_159689"/>
    </w:p>
    <w:p>
      <w:pPr>
        <w:pStyle w:val="BookText"/>
        <w:rPr/>
      </w:pPr>
      <w:bookmarkEnd w:id="36"/>
      <w:r>
        <w:rPr>
          <w:rFonts w:ascii="Amiri" w:hAnsi="Amiri" w:eastAsia="Amiri" w:cs="Amiri"/>
          <w:color w:val="111111"/>
          <w:sz w:val="28"/>
          <w:sz w:val="28"/>
          <w:szCs w:val="28"/>
          <w:rtl w:val="true"/>
          <w:lang w:bidi="ar-SA"/>
        </w:rPr>
        <w:t>طرح الصّلاة،و هما باطلان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فلأنّه لو صحّ،ما وجب النّزح،و هو باطل بالأحاديث المتواترة الدّالّة على وجوبه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لو كان طاهرا لكان النّزح عبثا،و المقدّم كالتّالي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فالملاحظ أنّ المؤلّف فصل في عرضه لأدلّة المخالفين،حيث قدّم أوّلا أربعة أدلّة رئيسة و معزّزة،و فصّل ثانيا في عرضه للدّليل الثّالث ففرّع عليه فرعين،ثمَّ فرّع على الأخير منهما فرعين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هذا التّفصيل في عرضه لأدلّة المخالف فضلا عن كونه عملا جادّا يكشف عن براعته في العرض،و فضلا عن كونه يتناسب مع أهمّية المسألة المطروحة حيث إنّ السّابقين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اشتهر القول لديهم بانفعال ماء البئر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خالفهم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يجعل لتفصيله المذكور مسوّغا علميّا دون أدنى 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فضلا عن ذلك كلّه،فإنّ المؤلّف من خلال حرصه على تفصيل الأدلّة،يكشف عن الحياد العلميّ الّذي تتطلّبه المقارنة الشّاملة،كما هو واضح</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746645_222507752"/>
      <w:bookmarkStart w:id="38" w:name="_Toc13"/>
      <w:bookmarkEnd w:id="37"/>
      <w:r>
        <w:rPr/>
        <w:t>5</w:t>
      </w:r>
      <w:r>
        <w:rPr>
          <w:rtl w:val="true"/>
        </w:rPr>
        <w:t xml:space="preserve"> </w:t>
      </w:r>
      <w:r>
        <w:rPr>
          <w:rtl w:val="true"/>
        </w:rPr>
        <w:t>الرّد على أدلّة المخالفين</w:t>
      </w:r>
      <w:r>
        <w:rPr>
          <w:rtl w:val="true"/>
        </w:rPr>
        <w:t>:</w:t>
      </w:r>
      <w:bookmarkEnd w:id="38"/>
    </w:p>
    <w:p>
      <w:pPr>
        <w:pStyle w:val="Heading5"/>
        <w:numPr>
          <w:ilvl w:val="4"/>
          <w:numId w:val="1"/>
        </w:numPr>
        <w:rPr/>
      </w:pPr>
      <w:bookmarkStart w:id="39" w:name="__RefHeading___Toc746647_222507752"/>
      <w:bookmarkStart w:id="40" w:name="_Toc14"/>
      <w:bookmarkEnd w:id="39"/>
      <w:r>
        <w:rPr>
          <w:rtl w:val="true"/>
        </w:rPr>
        <w:t>اشارة</w:t>
      </w:r>
      <w:bookmarkEnd w:id="40"/>
    </w:p>
    <w:p>
      <w:pPr>
        <w:pStyle w:val="BookText"/>
        <w:rPr/>
      </w:pPr>
      <w:r>
        <w:rPr>
          <w:rFonts w:ascii="Amiri" w:hAnsi="Amiri" w:eastAsia="Amiri" w:cs="Amiri"/>
          <w:color w:val="111111"/>
          <w:sz w:val="28"/>
          <w:sz w:val="28"/>
          <w:szCs w:val="28"/>
          <w:rtl w:val="true"/>
          <w:lang w:bidi="ar-SA"/>
        </w:rPr>
        <w:t>بعد أن يعرض المؤلّف لأدلّة المخالف،حينئذ يتعيّن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يتّجه للرّدّ عليها طالما يستهدف تثبيت وجهة نظره بطبيعة الحال،و من الواضح،أنّ هذه المرحلة من مراحل منهجه المقارن،تظلّ مرتبطة بمستويات الأدلّة الّتي يلتمسها للمخالف،فيجمل أو يفصّل أو يبسّط أو يعمّق الرّدّ حسب متطلّبات السّياق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بعامّة يلقي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المرحلة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بثقله العلميّ بنحو ملحوظ بحيث تتّضح أمام الملاحظ قابليّة المؤلّف في محاكمة أدلّة الآخرين، و من ثمَّ يمكننا أن نستكشف غالبيّة الأدوات الّتي يعتمدها في ممارسته الفقهيّة،بحيث يمكن القول بأنّ الطّابع العلميّ يتبدّى من خلال هذه المرحلة من منهجه المقارن</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سبيل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نقدّم نموذجا للرّدّ المفصّل لدى المؤلّف،حيث لحظنا في المرحلة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مرحلة عرض أدلّة المخالفين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فصّل الكلام في عرضه لأدلّة القائلين بانفعال ماء البئر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ها هو يسلك نفس التّفصيل في الرّدّ على ذلك ما دام الموقف يتطلّب تجانسا بين أدلّة المخالف المفصّلة و بين الرّدّ عليها بنفس التّفصيل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قدّم أدلّة المخالف في أربع نقاط مع تفريعاتها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الجواب عمّا احتجّوا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أوّلا،من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يحكم بالنّجاسة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ينزح منها دلاء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أقصى ما في الباب أنّه أوجب النّزح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لم لا يجوز أن يكون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ينزح منها دلاء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الطّهارة 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 على ما لو تغيّرت،جمعا بين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دلالة مفهوم،و هي ضعيفة،خصوصا مع معارضتها للمنطوق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 المطهّر هنا على ما اذن في استعماله،و ذلك انّما يكون بعد النّزح لمشاركته للنّجس في المنع جمعا بين 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الأجوبة آتية في الحديث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يجزيك أن تنزح دلاء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 بأنّ عمل الأكثر ليس بحجّة،و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يدّعى عمل الأكثر هنا مع أنّ الشّيخ و ابن ابي عقيل ذهبا إلى ما نقلناه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بالمنع من الملازمة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احتجاجهم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طاهرا لما ساغ التّيمّم،و التّالي باطل،فالمقدّم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فقدان الطّاهر،قلنا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الإطلاق،بل المأذون في استعماله،فإنّ المستعمل في إزالة الحدث الأكبر طاهر عند أكثر أصحابنا يجب معه التّيمّم،فكذا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بالمنع من بطلان 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الحديث الّذي ذكروه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فتيمّم بالصّعيد 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تقع على البئر و لا تفسد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غير دالّ على التّنجيس،فإنّه يحتمل رجوع النّهي إلى التّنجيس للمصلحة الحاصلة من فقدان الضّرر بالوقوع،و النّهي عن إفساد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على معنى عدم الانتفاع به إلاّ بعد النّزح</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استشهدنا بهذا النّص المطوّل ليتبيّن القارئ مدى اتّسام هذا الرّدّ بالتّفصيل </w:t>
      </w:r>
    </w:p>
    <w:p>
      <w:pPr>
        <w:pStyle w:val="BookText"/>
        <w:rPr/>
      </w:pPr>
      <w:r>
        <w:rPr>
          <w:rFonts w:ascii="Amiri" w:hAnsi="Amiri" w:eastAsia="Amiri" w:cs="Amiri"/>
          <w:color w:val="111111"/>
          <w:sz w:val="28"/>
          <w:sz w:val="28"/>
          <w:szCs w:val="28"/>
          <w:rtl w:val="true"/>
          <w:lang w:bidi="ar-SA"/>
        </w:rPr>
        <w:t>و العمق و الشّمول،فيما ردّ على الدّليل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الرّوايتان القاضيتان بالنّزح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علّل المخالف ذلك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طاهرة لكان تعليل التّطهير بالنّزح تعليلا لحكم سابق بعلّة لا حقة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ردّه على ذلك بخمسة وجوه اعتمد فيها على ذائقته الفقهيّة المتميّزة من جانب، مثل عدم الملازمة بين النّزح و النّجاسة،و مثل إمكان حمل ذلك على النّظافة و ليس الطّهارة الّتي تقابلها النّجاسة،و مثل تفسيره لعبارة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الإفساد لماء البئر 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الانتفاع به، و ليس نجاسته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جانب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محاولة تأليفه بين الرّوايات المتضاربة، حيث إنّ عبارات من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البئر واسع لا يفسده شيء إلاّ أن يتغيّر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جوابا لمن 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وقوع بعض النّجاسات في البئر،و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 ما وقع في البئر إلاّ أن ينتن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أمثلة هذه العبارات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عدم انفعال ماء البئر بالنّجاسة،لذلك،فإنّ حمله الرّوايات الآمرة بالنّزح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جمع بين الأدلّة،يكون بذلك قد استخدم ذائقته الفقهيّة في تفسير النّصّ أو تأويله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بالنّحو 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فضلا عن اعتماد المؤلّف بعض الأدلّة العقليّة،في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الملازمات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نقضها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فضلا عن اعتماده العنصر الاستقرائيّ في التماس أحكام أو 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مماثلة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للمسألة المبحوث عنها،مثل استشهاده بالماء المستعمل في رفع الحدث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إلخ،حيث تكشف هذه المستويات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مدى الجدّيّة و مدى الحرص على تفصيل الممارسة الّتي ينتهجها في هذا الميدان</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طبيعيّا،من الممكن أن تثار بعض الملاحظات على الرّدّ المذكور للمؤلّف،و منها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ذهابه إلى أنّ عمل الأكثر ليس بحجّة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موقف صائب دون أدنى شكّ،بدليل أنّه خالف المشهور في انفعال ماء البئر،مع ملاحظة أنّ المؤلّف يعمل بالمشهور في غالبيّة ممارساته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سنرى لا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ردّه على المخالف بعبارة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يدّعى عمل الأكثر هنا مع أنّ الشّيخ و ابن ابي عقيل ذهبا إلى ما نقلناه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الرّدّ لا يمكن التّسليم به من حيث نفيه 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لمجرّد مخالفة فقيهين،لوضوح أنّ مخالفة الواحد أو الاثنين لا تقدح في تحقّق الشّهرة،و إلاّ كان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بيّن،و لا أدلّ على ذلك أنّ المؤلّف قد صدّر ممارسته لهذه المسألة بعبارة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عند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تنجّس البئر بملاقاة النّجاسة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أقرّ بتحقّق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القول،و حينئذ،كيف ينفيه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ردّه </w:t>
      </w:r>
    </w:p>
    <w:p>
      <w:pPr>
        <w:pStyle w:val="BookText"/>
        <w:rPr/>
      </w:pPr>
      <w:r>
        <w:rPr>
          <w:rFonts w:ascii="Amiri" w:hAnsi="Amiri" w:eastAsia="Amiri" w:cs="Amiri"/>
          <w:color w:val="111111"/>
          <w:sz w:val="28"/>
          <w:sz w:val="28"/>
          <w:szCs w:val="28"/>
          <w:rtl w:val="true"/>
          <w:lang w:bidi="ar-SA"/>
        </w:rPr>
        <w:t>المذكور على المخالف؟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بالرّغم من أنّ المؤلّف كان في صدد الرّدّ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الشّهرة الفتوائيّة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الشّهرة العمليّة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بدليل أنّ المخالف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ما نقله المؤلّف على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احتجّ بالقول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أكثر الأصحاب،و هو و إن لم يكن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انضمّ إلى ما ذكرناه من الأحاديث حصل القطع بالحكم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في الحالين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أ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فتوائيّة أو عمليّة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مخالفة الواحد أو الاثنين لا تزيلها،كما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بغضّ النّظر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ردوده بصورة 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أشرنا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متوفّرا على الممارسة الجدّيّة،العميقة،المستوعبة لكلّ متطلّبات الرّدّ المفصّل،بالنّحو الّذي لحظناه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 حيث أدوات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المقارنة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يستخدمها المؤلّف في مرحلة ردّه على أدلّة المخالفين،فإنّ الخطوط الّتي لحظناها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مرحلة عرض أدلّتهم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تأخذ المنحى 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اعتماده أدوات طرفي المقارنة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الأدوات المشتركة بينهما بطبيعة الحال،مع ملاحظة جانبين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رفضه لأدوات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أكثر من مجال،منها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الرّدّ على الرّواية الضّعيفة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لا يرفضها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لحظنا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مرحلة عرض أدلّته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أدلّتهم المنهيّ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كالقياس و الاستحسان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اعتماده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كثير من الحالات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تعامله مع الجمهور،سواء أ كان ذلك في صعيد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أدلّة الطّرفين أو التّرجيح لأدلّة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يحسن بنا أن نستشهد بنماذج من ممارساته في صعيد تعامله مع الجمهور أوّلا،فيما نبدأ ذلك بتعامله مع أدلّتهم النّقليّة،و في مقدّمتها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الرّواية،حيث يخضعها لجملة من الاعتبارات،منها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التعامل مع الرّواية،من خلال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سندا،حيث يعتمد في ذلك على معايير الجمهور نفسه،ففي ردّه على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الماء قلّتين لم يحمل خبثا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استدلّ بها الشّافعيّ على اعتصام الماء الكثير،علّق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الحنفيّة قد طعنوا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صحيحا لعرفه مالك</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ردّ الأحاديث الذّاهبة إلى أنّ المسح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المرفقين في التّيمّم،بقوله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الجواب عن أحاديث أبي حنيفة بضعفها فإنّ أكثر العلماء أنكرها و لم يرو منها أصحاب السّنن 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بصحيح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هو عن ابن عمر،و قال الخطابيّ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يرويه محمّد بن ثابت،و 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فالملاحظ هنا،أنّ المؤلّف قد اعتمد مقاييس الجمهور في تجريح هذه الرّوايات،من خلال علماء الحديث،أو أصحاب السّنن،أو روّاد المذاهب أنفسهم من حيث إنكار بعضهم لمبادئ البعض الآخر،حيث يعدّ مثل هذا المنحى من الرّدّ أسلوبا بارعا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الإلزام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أنّه،إذا كان المؤلّف يعتمد مقاييس الجمهور في تقويم الرّواية من 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إلزامهم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بمقاييسهم ذاتهم،فهذا لا يعني أنّه يتقبّل ذلك بنحو مطلق حتّى لو كان ذلك على حساب مبادئه الخاصّة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الحياد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تفرضه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المقارنة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جانب،و خطأ بعض المقاييس الّتي يصدر عنها الجمهور من جانب آخر،يفرضان على المؤلّف الاّ يتقبّل المعيار المخطئ لديهم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 نجده يرد مثلا على الحنابلة الّذين طعنوا 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عن طريق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قدّمه المؤلّف دليلا لوجهة نظره بالنّسبة إلى التّخيير في الأخيرتين بين التّسبيح و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على الطّعن المذكور،بقوله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طعن الحنابلة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الرّواية هي للحارث بن الأعور،و قد قال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كذّابا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باطل،لأنّ المشهور من حال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الصّلاح،و ملازمته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الشّعبيّ،فالمعلوم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الانحراف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ملازمته لبني أميّة،و مباحثته لهم،حتى عدّ في شيعتهم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أمثلة هذا الرّدّ تتناسب مع موضوعيّة المنهج المقارن الّذي يفرض على المؤلّف ألاّ يتقبّل المعايير المخطئة للجمهور،بخاصّة أنّ المؤلّف استند إلى عنصري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و التّأريخ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تدليله على فساد الطّاعن و صلاح المطعون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التّعامل مع الرّواية من خلال السّمة الذّهنيّة للرّاوي من حيث إمكان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عمليّة النّقل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من نحو رواية أبي هريرة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المضمضة و الاستنشاق للجنب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عقّب المؤلّف عليها قائلا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حكاية قول أبي هريرة فلعلّه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ليس بفرض فرضا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يكسب أمثلة هذا الرّدّ قيمة علميّة،أنّ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حالات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يقف عند مجرّد إمكان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نجده يستدلّ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من نحو ردّه على الاتّجاه الذّاهب إلى وجوب إرغام الأنف في السّجود،حيث احتجّ المخالف برواية لابن عبّاس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أن أسجد على سبعة أعظم و أشار بيده إلى الأنف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عقّب المؤلّف أوّلا على ذلك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 الرّاوي رأى محاذاة يديه لأوّل الجبهة،فتوهّم 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ذلك،استدلّ المؤلّف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توهّمه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برواية أخرى للرّاوي نفسه،عدّ الأنف منها،فعقّب عليها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أن أسجد على سبعة أعظم،ثمَّ عدّ الأنف،دليل على أنّه غير مراد بأمر الوجوب،و إلاّ لكان المأمور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أمثلة هذا الاستدلال يظلّ من المتانة و القوّة بمكان كبير،حيث أثبت إمكان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الرّاوي بما لا مجال للشّكّ فيه،و هو أمر يدعو إلى أكبار المؤلّف في أمثلة هذه الرّدود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التّعامل مع الرّواية من خلال معارضتها من قبل الرّاوي نفسه،أي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معارضة روايته برواية أخرى للرّاوي 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من نحو رواية أبي هريرة الّتي احتجّ بها المخالف بالنّسبة إلى وضع اليدين قبل الرّكبتين في الهويّ إلى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سجد أحدكم فليبدأ بركبتيه قبل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عقّب المؤلّف على هذه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أبي هريرة معارضة بالرّواية الّتي نقلناها عنه،و ذلك ممّا يوجب تطرّق التّهمة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يقصد بها رواية احتجّ بها المؤلّف لوجهة نظره الذّاهبة إلى وضع اليدين قبل الرّكبتين في الهويّ إلى السّجود،و الرّواية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سجد أحدكم فليضع يديه قبل ركبتيه،و لا يبرك بروك البعير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 أنّ مثل هذا الرّدّ يظلّ عرضة للإشكال من جانبين،أحدهما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سقوط الرّوايتين كلتيهما،حيث يفترض في مثل هذه الحالة إمّا أن يصحّح المؤلّف إحدى الرّوايتين أو يرجع الى ثالثة أو إلى الأصول العمليّة و 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تعارضهما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الجانب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قول المؤلف بأنّ معارضة </w:t>
      </w:r>
    </w:p>
    <w:p>
      <w:pPr>
        <w:pStyle w:val="BookText"/>
        <w:rPr/>
      </w:pPr>
      <w:r>
        <w:rPr>
          <w:rFonts w:ascii="Amiri" w:hAnsi="Amiri" w:eastAsia="Amiri" w:cs="Amiri"/>
          <w:color w:val="111111"/>
          <w:sz w:val="28"/>
          <w:sz w:val="28"/>
          <w:szCs w:val="28"/>
          <w:rtl w:val="true"/>
          <w:lang w:bidi="ar-SA"/>
        </w:rPr>
        <w:t>الرّواية الأولى بالثّانية توجب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تطرّق التّهمة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تنعكس عليه أيضا،لأنّ الرّواية الأولى ساقها للتّدليل على صحّة وجهة نظره،فإذا أسقط الرّوايتين،يكون قد أسقط دليله أيضا،و هذا ما يجعل الرّدّ المذكور غير محكوم بصواب ممارسته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على العكس مثلا من ممارسة اخرى، صحّح فيها المؤلّف إحدى الرّوايتين المتعارضتين عند ردّه على دليل خصمه فيما استند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إلى زعمه بعدم وجوب سورة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اقرأ ما تيسّر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ردّ المؤلّف على ذلك بأنّ الرّواية المذكورة رويت بصيغة أخرى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اقرأ بأمّ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ما يكسب الرّدّ المشار إليه،قيمة 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 المؤلّف قد اضطلع بتصحيح إحدى الرّوايتين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التي اعتمدها دليلا لوجهة نظره،كما هو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التّعامل مع الرّواية من خلال معارضتها مطلقا،أي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معارضتها بروايات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النّمط يتماثل مع 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مستويات الرّدّ الّتي تتّجه إلى إسقاطهما أو تصحيح 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إلخ،ففي مجال التّصحيح مثلا،نجد المؤلّف يردّ على احتجاج المخالف الذّاهب إلى أنّ التكبير في الأذان مرّتان لا أربع،و استناده إلى رواية تقول بأنّ أحد المؤذّنين في زمن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يجعل التّكبير مرّتين،حيث ردّه 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معارض بحديث بلال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المؤلّف قدّمه لدعم أدلّته الشّخصيّة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تقول الرّواية بأنّ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التّكبير بأربع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الأخذ به أولى،لأنّه كان أكثر ملازمة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أهميّة مثل هذا الرّدّ تتمثّل في تصحيح الرّواية المعارضة من خلال كون المؤذّن أكثر ملازمة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مرجّح لها،أو إسقاط للرّواية المعارضة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يكشف مثل هذا التّصحيح عن براعة فائقة في الممارسة الفقهيّة دون أدنى 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التّعامل مع الرّواية من خلال تذوّق دلالتها،أي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استشفاف المخالف دلالة مغايرة لظهورها و هذا ما يمكن ملاحظته في ردّ المؤلّف على الجمهور في ذهاب الأخير إلى عدم ناقضيّة النّوم للوضوء،إلاّ في حالات خاصّة،مستندين في ذلك إلى رواية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على من نام مضطجعا،فإنّه إذا اضطجع استراحت مفاصله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أخرى جاء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أنا جالس في صلاتي إذ رقدت،و إذا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اللّه،عليّ من هذا </w:t>
      </w:r>
      <w:bookmarkStart w:id="41" w:name="pg12666_159696"/>
    </w:p>
    <w:p>
      <w:pPr>
        <w:pStyle w:val="BookText"/>
        <w:rPr/>
      </w:pPr>
      <w:bookmarkEnd w:id="41"/>
      <w:r>
        <w:rPr>
          <w:rFonts w:ascii="Amiri" w:hAnsi="Amiri" w:eastAsia="Amiri" w:cs="Amiri"/>
          <w:color w:val="111111"/>
          <w:sz w:val="28"/>
          <w:sz w:val="28"/>
          <w:szCs w:val="28"/>
          <w:rtl w:val="true"/>
          <w:lang w:bidi="ar-SA"/>
        </w:rPr>
        <w:t>وضوء؟،فقال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لا،حتّى تضع جنبيك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عقّب المؤلّف على هاتين الرّوايتين،بقوله على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نصّ على الاضطجاع و نصّ على العلّة الّتي هي الاسترخاء،و ذلك يقتضي تعمّم الحكم في جميع موارد العلّة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عن الرّواية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أن يكون غير مستغرق بحيث يغيب عن مشاعره الإحساس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فالمؤلّف هنا يرد تينك الرّوايتين من خلال تفسيرهما بما لا يتنافى و أدلّته الشّخصيّة، أو لنقل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يفسّرهما في ضوء النّقض للدّلالة الّتي أخطأ المستدل المخالف في استخلاص الحكم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 أنّ المهم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براعته في استخلاص الدّلالتين اللّتين لحظناهما حيث استخلص في أولاهما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يتعمّم حكمه على جميع الموارد بما فيها المورد الّذي استهدف المخالف نفيه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استخلص في أخراهما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احتمالا هو عدم تحقّق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المشار إليه،حيث إنّ عدم الاستغراق في النّوم هو أحد مصاديقه،كما هو واضح</w:t>
      </w:r>
      <w:r>
        <w:rPr>
          <w:rFonts w:eastAsia="Amiri" w:cs="Amiri" w:ascii="Amiri" w:hAnsi="Amiri"/>
          <w:color w:val="111111"/>
          <w:sz w:val="28"/>
          <w:szCs w:val="28"/>
          <w:rtl w:val="true"/>
          <w:lang w:bidi="ar-SA"/>
        </w:rPr>
        <w:t>.</w:t>
      </w:r>
    </w:p>
    <w:p>
      <w:pPr>
        <w:pStyle w:val="Heading5"/>
        <w:numPr>
          <w:ilvl w:val="4"/>
          <w:numId w:val="1"/>
        </w:numPr>
        <w:rPr/>
      </w:pPr>
      <w:bookmarkStart w:id="42" w:name="__RefHeading___Toc746649_222507752"/>
      <w:bookmarkStart w:id="43" w:name="_Toc15"/>
      <w:bookmarkEnd w:id="42"/>
      <w:r>
        <w:rPr>
          <w:rtl w:val="true"/>
        </w:rPr>
        <w:t>التّعامل مع الأدلّة الأخرى</w:t>
      </w:r>
      <w:r>
        <w:rPr>
          <w:rtl w:val="true"/>
        </w:rPr>
        <w:t>:</w:t>
      </w:r>
      <w:bookmarkEnd w:id="43"/>
    </w:p>
    <w:p>
      <w:pPr>
        <w:pStyle w:val="Heading6"/>
        <w:numPr>
          <w:ilvl w:val="5"/>
          <w:numId w:val="1"/>
        </w:numPr>
        <w:rPr/>
      </w:pPr>
      <w:bookmarkStart w:id="44" w:name="__RefHeading___Toc746651_222507752"/>
      <w:bookmarkStart w:id="45" w:name="_Toc16"/>
      <w:bookmarkEnd w:id="44"/>
      <w:r>
        <w:rPr>
          <w:rtl w:val="true"/>
        </w:rPr>
        <w:t>الإجماع</w:t>
      </w:r>
      <w:r>
        <w:rPr>
          <w:rtl w:val="true"/>
        </w:rPr>
        <w:t>:</w:t>
      </w:r>
      <w:bookmarkEnd w:id="45"/>
    </w:p>
    <w:p>
      <w:pPr>
        <w:pStyle w:val="BookText"/>
        <w:rPr/>
      </w:pPr>
      <w:r>
        <w:rPr>
          <w:rFonts w:ascii="Amiri" w:hAnsi="Amiri" w:eastAsia="Amiri" w:cs="Amiri"/>
          <w:color w:val="111111"/>
          <w:sz w:val="28"/>
          <w:sz w:val="28"/>
          <w:szCs w:val="28"/>
          <w:rtl w:val="true"/>
          <w:lang w:bidi="ar-SA"/>
        </w:rPr>
        <w:t>يتعامل المؤلّف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إلى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يماثل التّعامل مع الدّليل الرّوائيّ من حيث اعتماده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يضيف إلى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 المسلمين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بنحو ما لحظناه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مرحلة الأدلّة الشّخصيّة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يضيف إلى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مقدّمته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 طبيعة هذه المرحلة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مرحلة الرّدّ على دليل المخالف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تفرض عليه من جانب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يردّ إجماعاتهم بما يضادّها من أدلّتهم،و بما ينافيها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جانب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ملاحظة هذه المستويات من الرّدّ،متمثّلة في 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سبيل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الاتّجاهات الذّاهبة إلى غسل الوجه ما بين العذار و الاذن،حيث احتجّ المخالفون على ذلك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ردّهم بقوله</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بالمنع من الإجماع مع وقوع الخلاف،و كيف يتحقّق ذلك و أهل البيت </w:t>
      </w:r>
      <w:bookmarkStart w:id="46" w:name="pg12666_159697"/>
    </w:p>
    <w:p>
      <w:pPr>
        <w:pStyle w:val="BookText"/>
        <w:rPr/>
      </w:pPr>
      <w:bookmarkEnd w:id="46"/>
      <w:r>
        <w:rPr>
          <w:rFonts w:ascii="Amiri" w:hAnsi="Amiri" w:eastAsia="Amiri" w:cs="Amiri"/>
          <w:color w:val="111111"/>
          <w:sz w:val="28"/>
          <w:sz w:val="28"/>
          <w:szCs w:val="28"/>
          <w:rtl w:val="true"/>
          <w:lang w:bidi="ar-SA"/>
        </w:rPr>
        <w:t>عليهم السّلام رووا هذا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يقصد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دارت عليه الإبهام و الوسطى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مالك و يوسف و الزّهريّ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نحو ردّه على الاتّجاه الذّاهب إلى أنّ مسح الرّأس في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بجميعه، ردّ ذلك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أهل البيت أجمعوا على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نحو ردّه على أحد الاتّجاهات الذّاهبة إلى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شرطا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الصّلاة،ردّ ذلك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مناف للإجماع،إذ قد ثبت عن الصّحابة و التّابعين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فالملاحظ في هذه الممارسات الثلاث،أنّ المؤلّف توكّأ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ردّه على قول شاذ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شرط المسافة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 استناده إلى إجماع الصّحابة و التّابعين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 مخالفة فقيه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لفقهائهم الآخرين،يفرض على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خلال أدلّتهم،كما هو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ردّه على الاتّجاه الذّاهب إلى تحديد الغسل ما بين العذار و الاذن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أنّ هذا الاتّجاه ادّعى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ذلك،حينئذ نقض الادّعاء المذكور بوجود المخالف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 إشارته إلى 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مضافا إلى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إلزاما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ردّه على الاتّجاه الذّاهب إلى مسح جميع الرّأس،فبما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منشطرون إلى أكثر من اتّجاه خلافا للخاصّة فيما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تبعيض ذلك،حينئذ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وحدهم له مسوّغة العلميّ،كما هو واضح</w:t>
      </w:r>
      <w:r>
        <w:rPr>
          <w:rFonts w:eastAsia="Amiri" w:cs="Amiri" w:ascii="Amiri" w:hAnsi="Amiri"/>
          <w:color w:val="111111"/>
          <w:sz w:val="28"/>
          <w:szCs w:val="28"/>
          <w:rtl w:val="true"/>
          <w:lang w:bidi="ar-SA"/>
        </w:rPr>
        <w:t>.</w:t>
      </w:r>
    </w:p>
    <w:p>
      <w:pPr>
        <w:pStyle w:val="Heading6"/>
        <w:numPr>
          <w:ilvl w:val="5"/>
          <w:numId w:val="1"/>
        </w:numPr>
        <w:rPr/>
      </w:pPr>
      <w:bookmarkStart w:id="47" w:name="__RefHeading___Toc746653_222507752"/>
      <w:bookmarkStart w:id="48" w:name="_Toc17"/>
      <w:bookmarkEnd w:id="47"/>
      <w:r>
        <w:rPr>
          <w:rtl w:val="true"/>
        </w:rPr>
        <w:t>الشّهرة الرّوائيّة و العمليّة و الفتوائيّة</w:t>
      </w:r>
      <w:r>
        <w:rPr>
          <w:rtl w:val="true"/>
        </w:rPr>
        <w:t>:</w:t>
      </w:r>
      <w:bookmarkEnd w:id="48"/>
    </w:p>
    <w:p>
      <w:pPr>
        <w:pStyle w:val="BookText"/>
        <w:rPr/>
      </w:pPr>
      <w:r>
        <w:rPr>
          <w:rFonts w:ascii="Amiri" w:hAnsi="Amiri" w:eastAsia="Amiri" w:cs="Amiri"/>
          <w:color w:val="111111"/>
          <w:sz w:val="28"/>
          <w:sz w:val="28"/>
          <w:szCs w:val="28"/>
          <w:rtl w:val="true"/>
          <w:lang w:bidi="ar-SA"/>
        </w:rPr>
        <w:t>تظلّ هذه الأدوات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جملة الأدوات المشتركة الّتي يعتمدها المؤلّف في ردّه على 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بصفتها أدوات تعامل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كما سنرى ذلك لا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 نجده غير مقتصر على تقديم أدلّة طرف دون آخر،بل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يزاوج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 في أكثر من ممارسة</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من نحو الممارسة التّالية الّتي يردّ فيها على روايتين قد أوردهما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w:t>
      </w:r>
      <w:bookmarkStart w:id="49" w:name="pg12666_159698"/>
    </w:p>
    <w:p>
      <w:pPr>
        <w:pStyle w:val="BookText"/>
        <w:rPr/>
      </w:pPr>
      <w:bookmarkEnd w:id="49"/>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رفع اليدين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يقتصر على تكبيرة الافتتاح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ردّ ذلك،قائلا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الجواب عن الحديثين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أنّهما معارضان للأحاديث 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يقصد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الأحاديث الّتي عرضها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للخاصّة و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لاستحباب رفع اليدين عند الرّكوع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عمل الصّحابة بما قلناه،و عمل أهل البيت عليهم السّلام،مع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الحجّة،و هم أعرف بمظانّ الأمور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فالملاحظ هنا،أنّه قد اعتمد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الشّهرة الرّوائيّة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حينما أشار إلى كثرة الرّوايات الذّاهبة إلى رفع اليدين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اعتمد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حالة ما إذا كان عمل الصّحابة مستندا إلى رواياتهم الّتي ذكرها،أو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أهل البيت عليهم السّلام حيث رجّح هذا الجانب على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أهميّة مثل هذا الرّدّ تتمثّل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المؤلّف قد اعتمد أدوات طرفي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المقارنة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أكسب ممارسته أهميّة كبيرة،بيد أنّ الأهم من ذلك أنّه أكسب عمل أهل البيت عليهم السّلام قيمة خاصّة تترجّح على سواها بصفة أنّهم أعرف بمظانّ الأمور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يعني أنّ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أمثلة هذه الممارسة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التزم بما تفرضه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منهجيّة المقارنة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جانب،مضافا إلى ضرورة العمل بما يعتقده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 و بين اللّه تعالى في ذهابه إلى أنّ أهل البيت عليهم السّلام هم الأعرف بمظانّ الأمور الشّرعيّة</w:t>
      </w:r>
      <w:r>
        <w:rPr>
          <w:rFonts w:eastAsia="Amiri" w:cs="Amiri" w:ascii="Amiri" w:hAnsi="Amiri"/>
          <w:color w:val="111111"/>
          <w:sz w:val="28"/>
          <w:szCs w:val="28"/>
          <w:rtl w:val="true"/>
          <w:lang w:bidi="ar-SA"/>
        </w:rPr>
        <w:t>.</w:t>
      </w:r>
    </w:p>
    <w:p>
      <w:pPr>
        <w:pStyle w:val="Heading6"/>
        <w:numPr>
          <w:ilvl w:val="5"/>
          <w:numId w:val="1"/>
        </w:numPr>
        <w:rPr/>
      </w:pPr>
      <w:bookmarkStart w:id="50" w:name="__RefHeading___Toc746655_222507752"/>
      <w:bookmarkStart w:id="51" w:name="_Toc18"/>
      <w:bookmarkEnd w:id="50"/>
      <w:r>
        <w:rPr>
          <w:rtl w:val="true"/>
        </w:rPr>
        <w:t>عمل الصّحابيّ</w:t>
      </w:r>
      <w:r>
        <w:rPr>
          <w:rtl w:val="true"/>
        </w:rPr>
        <w:t>:</w:t>
      </w:r>
      <w:bookmarkEnd w:id="51"/>
    </w:p>
    <w:p>
      <w:pPr>
        <w:pStyle w:val="BookText"/>
        <w:rPr/>
      </w:pPr>
      <w:r>
        <w:rPr>
          <w:rFonts w:ascii="Amiri" w:hAnsi="Amiri" w:eastAsia="Amiri" w:cs="Amiri"/>
          <w:color w:val="111111"/>
          <w:sz w:val="28"/>
          <w:sz w:val="28"/>
          <w:szCs w:val="28"/>
          <w:rtl w:val="true"/>
          <w:lang w:bidi="ar-SA"/>
        </w:rPr>
        <w:t>لحظنا بعض الممارسات المرتبطة بعمل الصّحابة في مرحلة عرض الأدلّة الشّخصيّة و غيرها،هنا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مرحلة الرّدّ على أدلّتهم،يمارس نفس المنحى من حيث تقبّله لهذا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كونه كاشفا عن سيرة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لدى الجمهور،كما هو الأمر بالنّسبة إلى ما لحظناه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سيرتهم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تحديد المسافة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توكّأ على سيرة الصّحابة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أدلّتهم المخالفة لوجهة نظره</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الأمر كذلك،بالنّسبة إلى قول أو عمل الصّحابي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حالة كونه مستقلا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يردّ على مخالفيه قول أو فعل الصّحابي،من خلال إشارته إلى كونه معارضا بصحابيّ آخر،أو </w:t>
      </w:r>
      <w:bookmarkStart w:id="52" w:name="pg12666_159699"/>
    </w:p>
    <w:p>
      <w:pPr>
        <w:pStyle w:val="BookText"/>
        <w:rPr/>
      </w:pPr>
      <w:bookmarkEnd w:id="52"/>
      <w:r>
        <w:rPr>
          <w:rFonts w:ascii="Amiri" w:hAnsi="Amiri" w:eastAsia="Amiri" w:cs="Amiri"/>
          <w:color w:val="111111"/>
          <w:sz w:val="28"/>
          <w:sz w:val="28"/>
          <w:szCs w:val="28"/>
          <w:rtl w:val="true"/>
          <w:lang w:bidi="ar-SA"/>
        </w:rPr>
        <w:t>خرقه لإجماعهم أو إسقاطه أساسا،من حيث كونه غير حجّة ما لم يستند إلى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ما نلحظه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ممارسته الّتي يردّ بها على من ذهب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أن يعاقب أحد الأشخاص المفطرين ممّن انفرد برؤية الهلال،حيث علّق المؤلّف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سلوك الصّحابيّ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مستند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 حجّة ما لم يسنده إلى الرّسول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53" w:name="__RefHeading___Toc746657_222507752"/>
      <w:bookmarkStart w:id="54" w:name="_Toc19"/>
      <w:bookmarkEnd w:id="53"/>
      <w:r>
        <w:rPr>
          <w:rtl w:val="true"/>
        </w:rPr>
        <w:t>الأدلّة المنهيّ عنها</w:t>
      </w:r>
      <w:r>
        <w:rPr>
          <w:rtl w:val="true"/>
        </w:rPr>
        <w:t>:</w:t>
      </w:r>
      <w:bookmarkEnd w:id="54"/>
    </w:p>
    <w:p>
      <w:pPr>
        <w:pStyle w:val="BookText"/>
        <w:rPr/>
      </w:pPr>
      <w:r>
        <w:rPr>
          <w:rFonts w:ascii="Amiri" w:hAnsi="Amiri" w:eastAsia="Amiri" w:cs="Amiri"/>
          <w:color w:val="111111"/>
          <w:sz w:val="28"/>
          <w:sz w:val="28"/>
          <w:szCs w:val="28"/>
          <w:rtl w:val="true"/>
          <w:lang w:bidi="ar-SA"/>
        </w:rPr>
        <w:t>و نقصد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الرأي و نحوها و حيث إنّ المؤلّف لا يعتمد أمثلة هذه الأدلّة المنهيّ عنها،فيما يفرض عليه ذلك،أن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بطبيعة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ما يمكن ملاحظته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سبيل الاستشهاد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ذهب إلى جواز انعقاد الصّلاة بغير الصّيغة المنحصرة بعبارة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ذهب المخالف إلى أنّه يتمّ بأيّة عبارة تتضمّن ذكر اللّه تعالى و تعظيمه،مشابهة للتّكبير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ردّه المؤلّف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مقابل النّصّ،فلا يكون مقبولا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الملاحظ أنّ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كثير من ممارساته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يكتفي بمجرّد الإشارة إلى معارضة هذا القياس أو ذاك للنّصّ،بل نجده يوضّح عقم هذا القياس أو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من خلال توضيحه الفارق بين الأصل و الفرع،أو بتقديم معارض له في القياس 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فالمخالف الّذي سبق أن ردّه المؤلّف قد احتجّ بقياس آخر على المسألة المتقدّمة بأنّ ذلك يقاس على الخطبة الّتي لا صيغة محدّدة لها،حيث ردّه المؤلّف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الفرق بينه و بين الخطبة ظاهر،إذ لم يرد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لفظ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ردّ القياس بما هو معارض له،فيمكن ملاحظته في ردّه على من ذهب إلى عدم جواز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الصّبيّ الإمام في صلاة الجماعة قياسا على المرأة،حيث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القياس منقوض بالنّوافل،و بالأمّي مع القارئ،و بالفاسق مع العدل</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ردوده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سواه من أدوات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المنهيّ عنها،فيمكن </w:t>
      </w:r>
      <w:bookmarkStart w:id="55" w:name="pg12666_159700"/>
    </w:p>
    <w:p>
      <w:pPr>
        <w:pStyle w:val="BookText"/>
        <w:rPr/>
      </w:pPr>
      <w:bookmarkEnd w:id="55"/>
      <w:r>
        <w:rPr>
          <w:rFonts w:ascii="Amiri" w:hAnsi="Amiri" w:eastAsia="Amiri" w:cs="Amiri"/>
          <w:color w:val="111111"/>
          <w:sz w:val="28"/>
          <w:sz w:val="28"/>
          <w:szCs w:val="28"/>
          <w:rtl w:val="true"/>
          <w:lang w:bidi="ar-SA"/>
        </w:rPr>
        <w:t>ملاحظتها في ردوده على بعض المخالفين ممّن ذهب إلى تقدير الماء الكثير بالقلّتين،أو بعدم وصول النّجاسة إليه،أو تقديره بعشرة أذرع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إلخ،حيث ردّ القولين الأخيرين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حركة الماء و التّقدير بالأذرع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القول بمذهب أبي حنيفة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تقدير غير شرعيّ،و لأنّه مجهول، فإنّ الحركة قابلة للشّدّة و الضّعف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التّقدير بعشرة أذرع مجرّد استحسان من غير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أمثلة هذا الرّد تتّسم بأهمّيّة كبيرة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فبالرغم من ردّه أدوات استدلال المخالف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عدم مشروعيّتها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يتعامل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جانب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هذه الأدوات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بإبراز فسادها،مثل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القياس قبال النّصّ،أو الاستحسان من غير دليل حيث جاء في أحد تعريفاته مثلا أنّه دليل ينقدح في الذّهن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بنقضه بنفس الأدلّة مثل القياس المعارض بمثله،بالنّحو الّذي لحظناه في الممارسات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كلّه فيما يتّصل بأدوات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يتّصل بتعامله مع الخاصّة،فسنعرض له عند حديثنا عن السّمة الاستدلاليّة في ممارساته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ملاحظتنا هذه المرحلة من منهجه المقارن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نتقدّم إلى المرحلة الأخيرة، و هي</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746659_222507752"/>
      <w:bookmarkStart w:id="57" w:name="_Toc20"/>
      <w:bookmarkEnd w:id="56"/>
      <w:r>
        <w:rPr/>
        <w:t>6</w:t>
      </w:r>
      <w:r>
        <w:rPr>
          <w:rtl w:val="true"/>
        </w:rPr>
        <w:t>-</w:t>
      </w:r>
      <w:r>
        <w:rPr>
          <w:rtl w:val="true"/>
        </w:rPr>
        <w:t>فرضيّة النّقض أو الإشكال على ردوده</w:t>
      </w:r>
      <w:r>
        <w:rPr>
          <w:rtl w:val="true"/>
        </w:rPr>
        <w:t>:</w:t>
      </w:r>
      <w:bookmarkEnd w:id="57"/>
    </w:p>
    <w:p>
      <w:pPr>
        <w:pStyle w:val="BookText"/>
        <w:rPr/>
      </w:pPr>
      <w:r>
        <w:rPr>
          <w:rFonts w:ascii="Amiri" w:hAnsi="Amiri" w:eastAsia="Amiri" w:cs="Amiri"/>
          <w:color w:val="111111"/>
          <w:sz w:val="28"/>
          <w:sz w:val="28"/>
          <w:szCs w:val="28"/>
          <w:rtl w:val="true"/>
          <w:lang w:bidi="ar-SA"/>
        </w:rPr>
        <w:t>هذه هي المرحلة أو الخطوة الأخيرة من الخطوات الّتي ينتجها المؤلّف في منهجه المقارن</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كانت المرحلة السّابقة تتمثّل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ردوده على المخالفين،أمّا الخطوة الأخيرة فتتمثّل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فرضيّة الإشكال من قبل مخالفيه،حيث يتوقّع المؤلّف أن يردّ مخالفوه على ردوده الّتي تحدّثنا عنها في المرحلة الخامسة من منهجه المقارن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لذلك،فإنّ المرحلة السّادسة الّتي نعرض لها الآن تكاد تماثل المرحلة الثّالثة الّتي وقفنا عند مستوياتها المتمثّلة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فرضيّة الرّدّ على أدلّته الشّخصيّة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هنا،فإنّ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يتمّ من خلال ردوده على الآخرين،و ليس من </w:t>
      </w:r>
    </w:p>
    <w:p>
      <w:pPr>
        <w:pStyle w:val="BookText"/>
        <w:rPr/>
      </w:pPr>
      <w:r>
        <w:rPr>
          <w:rFonts w:ascii="Amiri" w:hAnsi="Amiri" w:eastAsia="Amiri" w:cs="Amiri"/>
          <w:color w:val="111111"/>
          <w:sz w:val="28"/>
          <w:sz w:val="28"/>
          <w:szCs w:val="28"/>
          <w:rtl w:val="true"/>
          <w:lang w:bidi="ar-SA"/>
        </w:rPr>
        <w:t>خلال عرض أدلّته الشّخصيّة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تبعا لهذا،نجد أنّ هذه الخطوة تتميّز عن سابقتها بتنوّع الإشكال و تضخّمه،و أيضا بتنوّع ردّه على الإشكالات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الواضح،أنّ هذه الخطوة تعدّ في قمّة الأهمّيّة بالنّسبة لمتطلّبات المنهج المقارن، نظرا لإمكانيّة أن تثار على ردوده إشكالات 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 طرفا المقارنة يمكنهما أن يقدّما الإجابة على ردّ كل واحد للآخر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بمقدورنا أن نستشهد ببعض النّماذج في هذا الصّعيد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ردّه على القول الذاهب بعدم انفعال الماء بالنّجاسة في حالة بلوغه قلّتين،أو القول المستند إلى ما هو غير شرعيّ،بالنّسبة إلى تقديره،حيث ردّهم،بالطّعن في السّند في موضوع القلّتين،و ردّهم بعد استناد تقديرهم إلى الشّرع بل لمجرّد الاستحسان و 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لحظنا في المرحلة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هنا،نجد أنّ المؤلّف يورد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إشكالا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ردّه المذكور،حيث افترض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ينتقض ما ذكرتموه بما رواه الشّيخ عن عبد اللّه بن المغيرة عن بعض أصحابه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الماء قدر قلّتين لم ينجّسه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رواه في الصّحيح عن صفوان،قال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الحياض الّتي من مكّة إلى المدينة،تردها السّباع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قدر الماء؟قلت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نصف السّاق إلى الرّكبة،قال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نجيب عن الأوّل بأنّه مرسل،و لأنّه مناف لعمل الأصحاب،و لأنّه ورد للتّقيّة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 بأنّه مناف لإجماع المسلمين،لأنّ القائل بالتّقدير لم يقدّره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فالمؤلّف هنا قد أوفى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المقارنة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حقّها،و سلك المنحى الموضوعيّ في ذلك،حينما وجد أنّ في 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يتوافق مع 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 لم ينسج صمتا حيال هذه الرّوايات،بل ردّ الاولى منهما بضعف السّند،و منافاتها لعمل الأصحاب،و ورودها 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 الأخرى بمخالفتها لإجماع المسلمين</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كانت هذه الممارسة تعرض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تردّه،من خلال إقراره فعلا بوجود نصوص مماثلة لأدلّة المخالف،فإنّه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مستوى آخر من الممارسة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w:t>
      </w:r>
    </w:p>
    <w:p>
      <w:pPr>
        <w:pStyle w:val="BookText"/>
        <w:rPr/>
      </w:pPr>
      <w:r>
        <w:rPr>
          <w:rFonts w:ascii="Amiri" w:hAnsi="Amiri" w:eastAsia="Amiri" w:cs="Amiri"/>
          <w:color w:val="111111"/>
          <w:sz w:val="28"/>
          <w:sz w:val="28"/>
          <w:szCs w:val="28"/>
          <w:rtl w:val="true"/>
          <w:lang w:bidi="ar-SA"/>
        </w:rPr>
        <w:t>خلال 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فحسب،حيث نجده يردّ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المذكورة بأسلوب آخر من الرّدّ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ما نلحظه متمثّلا في أسلوب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استخدامه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تتناسب هذه العبارة مع طبيعة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لم يقتنع بها،بخلاف أسلوبه الأوّل الّذي يعتمد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المقولات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تتناسب العبارة الأخيرة مع طبيعة الإشكال الّذي يقتنع بمشروعيّته فيما لحظناه قد أقرّ بوجود روايات للخاصّة تماثل روايات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المهم يمكننا ملاحظة الأسلوب الآخر الّذي يعتمد مجرّد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بالإشكال دون أن يقتنع به،متمثّلا في ردّه على من ذهب إلى أنّ الواجب من الغسل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البدن بواسطة اليد،و لا يكفي مجرّد الصّبّ،مستندا في ذلك إلى هذه المقولة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فعل،و الفعل لا يتحقّق إلاّ بالدّلك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أجابه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فعل،قلنا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مسلّم،لكنّه غير مقصود لذاته،بل المقصود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الطّهارة،و قد حصلت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سلّمنا،لكنّ تمكين البدن و تقريبه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فعل،فخرج به عن العهدة بدون الدّلك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فالملاحظ هنا،أنّ المؤلف قد اعتمد عنصر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 ذلك بأنّ تمكين البدن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أيضا،بالنّحو الّذي لحظناه،و أهمّيّة مثل هذا الأسلوب تتمثّل في شموليّة الممارسة لكلّ الاحتمالات الّتي يمكن أن يتقدّم بها المخالف،حتّى تصبح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المقارنة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مستكملة لشروطها جميعا،و هذا ما توفّر عليه المؤلّف حقّا،كما لحظنا</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تقدّم،يجسّد منهج المؤلّف في ممارسته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عنصر المقارنة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طبعت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العنصر الآخر الّذي قلنا بأنّه يطبع كتابه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bookmarkStart w:id="58" w:name="pg12666_159703"/>
    </w:p>
    <w:p>
      <w:pPr>
        <w:pStyle w:val="Heading3"/>
        <w:numPr>
          <w:ilvl w:val="2"/>
          <w:numId w:val="1"/>
        </w:numPr>
        <w:rPr/>
      </w:pPr>
      <w:bookmarkStart w:id="59" w:name="__RefHeading___Toc746661_222507752"/>
      <w:bookmarkStart w:id="60" w:name="_Toc21"/>
      <w:bookmarkEnd w:id="58"/>
      <w:bookmarkEnd w:id="59"/>
      <w:r>
        <w:rPr>
          <w:rtl w:val="true"/>
        </w:rPr>
        <w:t>(</w:t>
      </w:r>
      <w:r>
        <w:rPr/>
        <w:t>4</w:t>
      </w:r>
      <w:r>
        <w:rPr>
          <w:rtl w:val="true"/>
        </w:rPr>
        <w:t>)</w:t>
      </w:r>
      <w:bookmarkEnd w:id="60"/>
    </w:p>
    <w:p>
      <w:pPr>
        <w:pStyle w:val="Heading4"/>
        <w:numPr>
          <w:ilvl w:val="3"/>
          <w:numId w:val="1"/>
        </w:numPr>
        <w:rPr/>
      </w:pPr>
      <w:bookmarkStart w:id="61" w:name="__RefHeading___Toc746663_222507752"/>
      <w:bookmarkStart w:id="62" w:name="_Toc22"/>
      <w:bookmarkEnd w:id="61"/>
      <w:r>
        <w:rPr>
          <w:rtl w:val="true"/>
        </w:rPr>
        <w:t>اشارة</w:t>
      </w:r>
      <w:bookmarkEnd w:id="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الاستدلال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المقارنة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أشرنا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صعيد عرض الأقوال كما هو طابع الكثير من المؤلّفات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تتمّ في صعيد الممارسة الفكريّة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هو طابع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العنصر الأخير،قد يتمّ عابرا،أو مختزلا و قد يتمّ بنحوه المفصّل الشّامل، فيما يطبع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ما يعنينا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نعرض لمنهج المؤلّف في الاستدلال،من حيث تعامله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يعتمدها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الأدوات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تواكبها طبيعيّا،إنّ هذه الصّفحات لا تسمح لنا بالتّناول المفصّل لمنهج المؤلّف،بقدر ما يحسن بنا أن نعرض سريعا لطبيعة تعامله مع الأدلّة و أدواتها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سلفا،ينبغي أن نشير إلى أنّ المؤلّف قد توفّر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الممارسة الاستدلاليّة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 متطلّباتها من حيث تعامله مع الأدلّة الرّئيسة من الكتاب و السّنّة أو الكاشفة عنها من شهرة أو سيرة شرعيّة أو عقلائيّة،فضلا عن دليلي الإجماع و العقل،و فضلا عن الأدلّة الثّانويّة من أصل عمليّ و نحوه بما يواكب ذلك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يتمّ التّعامل من خلالها مع الأدلّة المذكورة،و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أدوات التّعامل اللّغوي و العرفي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الظّواهر اللّفظيّة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عموم و إطلاق و خصوص و تقييد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إلخ،مضافا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بطبيعة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أدوات التّعامل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يتعامل مع الأدلّة المذكورة و أدواتها بكل ما يتطلّبه البحث من سعة و عمق و جدّيّة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وقوفنا على منهجه المقارن يكشف عن الطّابع المذكور بوضوح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 أنّنا نعتزم عرض هذا الجانب مشفوعا مع الملاحظات الّتي يمكن أن تثار حيال منهجه في هذا الصّعيد</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نقف أوّلا مع منهجه في التّعامل مع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 أو سنّة</w:t>
      </w:r>
      <w:r>
        <w:rPr>
          <w:rFonts w:eastAsia="Amiri" w:cs="Amiri" w:ascii="Amiri" w:hAnsi="Amiri"/>
          <w:color w:val="111111"/>
          <w:sz w:val="28"/>
          <w:szCs w:val="28"/>
          <w:rtl w:val="true"/>
          <w:lang w:bidi="ar-SA"/>
        </w:rPr>
        <w:t xml:space="preserve">»: </w:t>
      </w:r>
      <w:bookmarkStart w:id="63" w:name="pg12666_159704"/>
    </w:p>
    <w:p>
      <w:pPr>
        <w:pStyle w:val="Heading4"/>
        <w:numPr>
          <w:ilvl w:val="3"/>
          <w:numId w:val="1"/>
        </w:numPr>
        <w:rPr/>
      </w:pPr>
      <w:bookmarkStart w:id="64" w:name="__RefHeading___Toc746665_222507752"/>
      <w:bookmarkStart w:id="65" w:name="_Toc23"/>
      <w:bookmarkEnd w:id="63"/>
      <w:bookmarkEnd w:id="64"/>
      <w:r>
        <w:rPr>
          <w:rtl w:val="true"/>
        </w:rPr>
        <w:t>التّعامل مع النّصوص</w:t>
      </w:r>
      <w:r>
        <w:rPr>
          <w:rtl w:val="true"/>
        </w:rPr>
        <w:t>:</w:t>
      </w:r>
      <w:bookmarkEnd w:id="65"/>
    </w:p>
    <w:p>
      <w:pPr>
        <w:pStyle w:val="Heading5"/>
        <w:numPr>
          <w:ilvl w:val="4"/>
          <w:numId w:val="1"/>
        </w:numPr>
        <w:rPr/>
      </w:pPr>
      <w:bookmarkStart w:id="66" w:name="__RefHeading___Toc746667_222507752"/>
      <w:bookmarkStart w:id="67" w:name="_Toc24"/>
      <w:bookmarkEnd w:id="66"/>
      <w:r>
        <w:rPr/>
        <w:t>1</w:t>
      </w:r>
      <w:r>
        <w:rPr>
          <w:rtl w:val="true"/>
        </w:rPr>
        <w:t>-</w:t>
      </w:r>
      <w:r>
        <w:rPr>
          <w:rtl w:val="true"/>
        </w:rPr>
        <w:t>التّفسير اللّغويّ</w:t>
      </w:r>
      <w:r>
        <w:rPr>
          <w:rtl w:val="true"/>
        </w:rPr>
        <w:t>:</w:t>
      </w:r>
      <w:bookmarkEnd w:id="67"/>
    </w:p>
    <w:p>
      <w:pPr>
        <w:pStyle w:val="BookText"/>
        <w:rPr/>
      </w:pPr>
      <w:r>
        <w:rPr>
          <w:rFonts w:ascii="Amiri" w:hAnsi="Amiri" w:eastAsia="Amiri" w:cs="Amiri"/>
          <w:color w:val="111111"/>
          <w:sz w:val="28"/>
          <w:sz w:val="28"/>
          <w:szCs w:val="28"/>
          <w:rtl w:val="true"/>
          <w:lang w:bidi="ar-SA"/>
        </w:rPr>
        <w:t>يتعامل المؤلّف مع النّصوص وفقا لما يتطلّبه التّعامل من كشف لدلالاتها اللّغويّة أوّلا،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أو التّفسير لدلالة لغويّة كالظّواهر النّحويّة مثلا أو الدّلالة المعجميّة للعبارات أو الدّلالة العرفيّة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صعيد الكشف اللّغويّ مثلا،نواجه تفسيره للآية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امْسَحُوا بِرُؤُسِكُمْ وَ 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أوضح مفروغيّة القراءة بالجرّ و ليس النّصب،مشيرا إلى قراءة كلّ من ابن كثير و أبيّ عمرو و حمزة و سواهم،و اتّفاق أهل اللّغة على اشتراك الواو في المعنى و الإعراب، موردا الإشكال الذّاهب إلى أنّ الجرّ لا يقتضي العطف على المجرور لإمكانيّة أن يكون العطف على الأيدي و الجرّ بالمجاورة،مستشهدا ببيت شعريّ و بمثل،رادّا ذلك بأنّ الإعراب بالمجاورة لا يقاس عليه عند أهل العربيّة أوّلا،و أنّ بعض النّحاة لا يقرّونه ثانيا، و أنّه يتمّ في حالة عدم اللّبس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كالمثل و البيت اللّذين أشرنا إليهما ثالثا،مستشهدا بآية</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حور 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قرأها بالجرّ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العطف هو على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أكثريّة القرّاء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الرّفع،موردا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إشكالا آخر،هو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القراءة بالنّصب أيضا،و اقتضاء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العطف على الأيدي،رادّا ذلك بعدم إيجاب النّصب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ذلك على الأيدي،لجواز العطف على الرّؤوس أيضا،و أنّ العطف،على الموضع هو المشهور لغويّا،موردا للمرّة الجديدة إشكالا ثالثا،هو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أولويّة العطف على اللّفظ،رادّا ذلك بعدم التّسليم بهذه الأولويّة،موردا للمرّة الرّابعة افتراضا آخر،هو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التّسليم بإمكان الأولويّة المذكورة،إلاّ أنّه أوضح أنّ هذه الأولويّة معارضة بأولويّتين مثلهما،و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 من جانب،و قبح الانتقال من حكم قبل تمامه إلى آخر غير مشارك له من جانب آخر،موضّحا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نهاية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يستشهد بنماذج في هذا الصّدد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العطف على الأيدي ممتنع لاستتلائه بطلان قراءة الجرّ،في حين أنّ العطف على الموضع تقتاد إلى الجمع بين القراءتين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واضح من هذه الممارسة،أنّ المؤلّف قد بذل أقصى الجهد في التدليل على مفروغيّة القراءة بالجرّ،حيث عرض مختلف الوجوه الّتي تسوّغ القراءة بالجرّ،و عرض مختلف الوجوه الّتي تسوّغ العكس،رادّا عليها جميعا من خلال الاستشهاد باللّغويّين و النّصوص،بالنّحو الّذي عرضنا له،ممّا تكشف مثل هذه الممارسة عن سعتها و دقّتها و استيعابها لكلّ الجوانب،و هو ما يتطلّبه الكشف العلميّ الجاد في صعيد التّفسير اللّغويّ للنّص من الزّاوية النّحويّة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نفسه بالنّسبة إلى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تفسيره لدلالة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يتيمّم به،أورد المؤلّف مجموعة من أقوال اللّغويّين و غيرهم ممّن فسّر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التّراب الخالص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غبار الأرض المستوية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إلخ،مضافا إلى اعتماده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 أو الذّوق الفنّيّ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ردّه على الاتّجاه الذّاهب إلى إمكانيّة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من جنس الأرض أو مشابهة،مثل الرّماد و الجصّ و غيرهما،معلّقا على نفي ذلك بأكثر من وجه،و منه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 اختصّت بأعمّ المائعات وجودا،و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الماء،فتخصّ بأعمّ الجامدات وجودا،و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بالرّغم من أنّ هذا التّعليل لا يكشف ضرورة عن الأسرار الكامنة وراء التّيمّم بالتّراب،إلاّ أنّه ينمّ عن تذوّق خاصّ لدلالة العبارة في أحد جوانبها،بخاصّة أنّه أورد ذلك في سياق الرّدّ على من ذهب إلى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 هي المسوّغ في مشاركة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 لدلالة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إنّه نفي هذا المعيار و حصره في الأرض،و فسّر ذلك في ضوء تذوّقه الخاص الّذي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مهما يكن،يعنينا أن نشير إلى أنّ المؤلّف يمنح الممارسة المرتبطة بتفسير النّصّ لغويّا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نحويّا أو معجميّا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متطلّبات الموقف،ما دام التّعرّف على دلالته اللّغويّة يشكّل الخطوة التمهيديّة للتّعامل مع النّصّ،بصفة أنّ استخلاص دلالته شرعيّا يتوقّف على فهمه لغويّا أوّلا،كما هو واضح</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إلى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حالة تعارض النّصوص اللّغويّة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يرتكن إلى وجهة نظر المشرّع الإسلاميّ في </w:t>
      </w:r>
    </w:p>
    <w:p>
      <w:pPr>
        <w:pStyle w:val="BookText"/>
        <w:rPr/>
      </w:pPr>
      <w:r>
        <w:rPr>
          <w:rFonts w:ascii="Amiri" w:hAnsi="Amiri" w:eastAsia="Amiri" w:cs="Amiri"/>
          <w:color w:val="111111"/>
          <w:sz w:val="28"/>
          <w:sz w:val="28"/>
          <w:szCs w:val="28"/>
          <w:rtl w:val="true"/>
          <w:lang w:bidi="ar-SA"/>
        </w:rPr>
        <w:t>حسم الموقف و هذا من تحقيقه اللّغوي لعبارة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وردت في باب الوضوء، فيما خلص من تحقيقه إلى أنّ المقصود منهما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العظمان في وسط القدم،و ليس النّابتين في جانبي السّاق،كما زعم بعضهم و المؤلّف بعد أن يثبت ذلك،يتقدّم بالرّدّ على بعض اللّغويين ممّن فسر ذلك تبعا للمخالف،علّق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نقلناه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مشيرا بذلك إلى ما ورد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تفسيرهما بما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الواضح أنّ مثل هذا التّرجيح لقول المشرّع الإسلاميّ يحمل قيمة استدلاليّة 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 المشرّع الإسلاميّ يملك الحسم في تحديد ما هو مختلف فيه،حتّى لو كان ذلك في صعيد اللّغة،بالنّحو الّذي لحظناه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فيما يتّصل بالكشف،نحويّا و معجميّا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نفسه فيما يتّصل بالكشف أو التّفسير للنّصّ،من خلال لغته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تقديم نموذج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سبيل الاستشهاد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الميدان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تفسيره لقوله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ضَرَبْتُمْ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صلاة القصر،ردّ الذّاهبين إلى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يتحقّق مع خروج المسافر من منزله،ردّهم بأنّ ذلك يتحقّق مع خفاء الجدران،و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يتحقّق مع الحضور في البلد،فلا بدّ من التّباعد الّذي يصدق معه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فالملاحظ في هذا النّمط من أنّه قد اعتمد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توضيحه لدلالة الضّرب في الأرض،كما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يتعيّن علينا أن نشير إلى أنّ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ممارساته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 النّصّ تفسيرا يصعب التّسليم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من نحو تأويله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صعيد اللّغة العرفيّة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لرواية تحدّد الحيض بثمانية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طرف كثرته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علّق عليها قائلا</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الغالب وقوع المتوسّط و هو ثمانية أيّام أو سبعة أو ستة،فيكون ذلك إشارة إلى بيان أكثر أيّامه في الغالب،لا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التّأويل لا يمكن التّسليم به،لبداهة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يتحدّد في الرّقم المذكور،بدليل أنّ المؤلّف نفسه قد ذكر السّتّة و السّبعة أيّام أيضا،كما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يتحدّد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الرقم المذكور نظرا لعدم إمكان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bookmarkStart w:id="68" w:name="pg12666_159707"/>
    </w:p>
    <w:p>
      <w:pPr>
        <w:pStyle w:val="BookText"/>
        <w:rPr/>
      </w:pPr>
      <w:bookmarkEnd w:id="68"/>
      <w:r>
        <w:rPr>
          <w:rFonts w:ascii="Amiri" w:hAnsi="Amiri" w:eastAsia="Amiri" w:cs="Amiri"/>
          <w:color w:val="111111"/>
          <w:sz w:val="28"/>
          <w:sz w:val="28"/>
          <w:szCs w:val="28"/>
          <w:rtl w:val="true"/>
          <w:lang w:bidi="ar-SA"/>
        </w:rPr>
        <w:t>و لو أنّ المؤلّف طرح هذا الخبر لشذوذه مقابل الشّهرة الرّوائيّة لرقم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أجدر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المؤلّف أقرّ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بشذوذ الرّواية عند ما قال في البدء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خبر لم يذهب إليه أحد من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أضاف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 تأويله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قناعته بصحّة الرّواية من جانب،و حرصه على مقولة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أولى من الطّرح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حمله على التّفسير المتقدّم، و هو أمر سنعرض له عند حديثنا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تأليفه بين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حقل لا حق حيث يمكن أن يثأر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التّشكيك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المذكورة بالنّحو الّذي نعرض له في حينه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المهم،أنّ هذه الأنماط الثلاثة من التّفسير اللّغويّ للنّصّ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نحويّا و معجميّا و عرفيّا، تظلّ خطوة اولى من التّعامل مع النّصّ،قد توفّر المؤلّف عليها حسب ما يتطلّبه الموقف من تفصيل أو اختزال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الخطوة الأخرى لتعامله مع النّصّ،فتتمثّل في</w:t>
      </w:r>
      <w:r>
        <w:rPr>
          <w:rFonts w:eastAsia="Amiri" w:cs="Amiri" w:ascii="Amiri" w:hAnsi="Amiri"/>
          <w:color w:val="111111"/>
          <w:sz w:val="28"/>
          <w:szCs w:val="28"/>
          <w:rtl w:val="true"/>
          <w:lang w:bidi="ar-SA"/>
        </w:rPr>
        <w:t>:</w:t>
      </w:r>
    </w:p>
    <w:p>
      <w:pPr>
        <w:pStyle w:val="Heading5"/>
        <w:numPr>
          <w:ilvl w:val="4"/>
          <w:numId w:val="1"/>
        </w:numPr>
        <w:rPr/>
      </w:pPr>
      <w:bookmarkStart w:id="69" w:name="__RefHeading___Toc746669_222507752"/>
      <w:bookmarkStart w:id="70" w:name="_Toc25"/>
      <w:bookmarkEnd w:id="69"/>
      <w:r>
        <w:rPr/>
        <w:t>2</w:t>
      </w:r>
      <w:r>
        <w:rPr>
          <w:rtl w:val="true"/>
        </w:rPr>
        <w:t>-</w:t>
      </w:r>
      <w:r>
        <w:rPr>
          <w:rtl w:val="true"/>
        </w:rPr>
        <w:t>التّفسير من خلال النّصّ</w:t>
      </w:r>
      <w:r>
        <w:rPr>
          <w:rtl w:val="true"/>
        </w:rPr>
        <w:t>:</w:t>
      </w:r>
      <w:bookmarkEnd w:id="70"/>
    </w:p>
    <w:p>
      <w:pPr>
        <w:pStyle w:val="BookText"/>
        <w:rPr/>
      </w:pPr>
      <w:r>
        <w:rPr>
          <w:rFonts w:ascii="Amiri" w:hAnsi="Amiri" w:eastAsia="Amiri" w:cs="Amiri"/>
          <w:color w:val="111111"/>
          <w:sz w:val="28"/>
          <w:sz w:val="28"/>
          <w:szCs w:val="28"/>
          <w:rtl w:val="true"/>
          <w:lang w:bidi="ar-SA"/>
        </w:rPr>
        <w:t>و هو أنّ يفسّر النّصّ في ضوء سياقه الّذي ورد فيه،أو في ضوء النّصوص الأخرى الواردة في المسألة المطروحة،أو غيرها ممّا تفتقر إلى التّوضيح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للإجمال الّذي يطبع النّصّ،و هذا ما يندرج ضمنه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التّأليف بين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خلال ما يسمّي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العرفيّ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يتجاوزه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التّبرّعي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أيضا،و سائر الاشكال الّتي تجمع بين النّصوص المتضاربة في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النّمط الأوّل من التّفسير،أي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الدّلالة من خلال سياقها الّذي وردت فيه،فيمكن ملاحظته في ممارسات متنوّعة من نحو ردّه مثلا على من ذهب إلى أنّ الفاقد للماء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يشمله 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لوروده في سياق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تبعا للآية الكريمة عن التّيمّم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ردّ ذلك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لا تدلّ عليه،لأنّه تعالى ذكر أمورا في الأغلب هي أعذار كالمرض و السّفر،فإذا خرج الوصف مخرج الأغلب،لا يدلّ على نفي الحكم عمّا عداه</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نحو ردّه على من ذهب إلى وجوب غسل الجمعة مثلا،استنادا إلى رواية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اغتسل يوم الفطر و الأضحى و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إنّ الأمر يدلّ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 ذلك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للوجوب لكانت الأغسال الّتي عدّدها واجبة،و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الممارسة و سابقتها فسّر المؤلّف دلالة النّص في ضوء السّياق الّذي و ردت فيه، حيث كان السّياق في الآية الكريمة يتناول أمورا تقترن بالأعذار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كان السّياق في الرّواية يتناول أغسالا ليست واجبة كالفطر و الأضحى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الواضح،أنّ التّفسير من خلال السّياق ينطوي على أهميّة كبيرة في صعيد الكشف عن الدّلالة المستهدفة في النّصّ،لبداهة أنّ عزلها عن السّياق الّذي وردت فيه،يجعل الحكم مبتورا،كما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الأحيان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المؤلّف تتعذّر عليه إضاءة الدّلالة من خلال سياقها الّذي وردت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فنجده مثلا في محاولته الاستدلال على عدم وجوب الأذان و الإقامة في صلاة الجماعة،يردّ الذّاهبين إلى وجوبها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استنادهم إلى الرّواية القائلة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يجزي أذان واحد؟فقال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صلّيت جماعة لم يجز إلاّ أذان و إقامة،و إن كنت وحدك تبادر أمرا تخاف أن يفوتك،تجزيك إقامة إلاّ الفجر و المغرب،فإنّه ينبغي أن تؤذّن فيهما و 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عقّب المؤلّف على هذه الرّواية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الاستحباب،و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إلزامه بالإقامة،في حالة الانفراد</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فالملاحظ،أنّ المؤلّف كان في صدد الرّدّ على عدم وجوب الأذان و الإقامة جماعة، و لكن ليس في الرّواية ما يدلّ على نفي الوجوب،بل هناك دلالة على سقوط الأذان في الصّلاة المنفردة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لذلك تتعذّر ملاحظة علاقة بين تفسيره لعدم وجوبهما جماعة و بين السّياق </w:t>
      </w:r>
      <w:r>
        <w:rPr>
          <w:rStyle w:val="FootnoteAnchor"/>
          <w:rtl w:val="true"/>
        </w:rPr>
        <w:footnoteReference w:id="2"/>
      </w:r>
      <w:r>
        <w:rPr>
          <w:rFonts w:ascii="Amiri" w:hAnsi="Amiri" w:eastAsia="Amiri" w:cs="Amiri"/>
          <w:color w:val="111111"/>
          <w:sz w:val="28"/>
          <w:sz w:val="28"/>
          <w:szCs w:val="28"/>
          <w:rtl w:val="true"/>
          <w:lang w:bidi="ar-SA"/>
        </w:rPr>
        <w:t xml:space="preserve">الّذي اعتمد عليه في التّدليل على ذلك،حيث لا علاقة بين الإلزام بالإقامة عند </w:t>
      </w:r>
    </w:p>
    <w:p>
      <w:pPr>
        <w:pStyle w:val="BookText"/>
        <w:rPr/>
      </w:pPr>
      <w:r>
        <w:rPr>
          <w:rFonts w:ascii="Amiri" w:hAnsi="Amiri" w:eastAsia="Amiri" w:cs="Amiri"/>
          <w:color w:val="111111"/>
          <w:sz w:val="28"/>
          <w:sz w:val="28"/>
          <w:szCs w:val="28"/>
          <w:rtl w:val="true"/>
          <w:lang w:bidi="ar-SA"/>
        </w:rPr>
        <w:t>الانفراد،و بين وجوبهما جماعة،كما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يتّصل بتفسير النّصّ في ضوء الإضاءة بالنّصوص الأخرى،فإنّ المؤلّف يتوفّر عليه بطبيعة الحال سواء أ كان ذلك في نطاق الجمع بين ما هو عام،و خاص،و مطلق، و مقيّد،و نحوهما،أو في نطاق الحمل على الاستحباب أو الكراهة،أو في نطاق ما هو مجمل أو مبيّن،أو في نطاق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 بحيث يزول التّنافي بين النّصّين المتضاربين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نجدنا بحاجة إلى الاستشهاد بنماذج في هذا الصّدد نظرا لوضوحها في الأذهان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أنّ ما يلفت النّظر حقّا،هو أنّ المؤلّف يبدي حرصا بالغ المدى على ضرورة الجمع بين النّصوص،بدلا من طرحها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 ما يتّسم منها بضعف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الواضح أنّ هذا الحرص هو صدى لمقولة معروفة قد اشتهرت بين الفقهاء،بخاصّة لدى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أكّد هذه المقولة نظريّا في كتابه الأصوليّ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طبّقها في ممارساته المتنوّعة،و هي مقولة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أولى من الطّرح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أنّ هذه المقولة تقتاد في كثير من الحالات الّتي يصعب فيها الجمع بين المتضاربين إلى نمط من التّفسير الّذي قد لا يتحمّله النّصّ،ممّا نجده بوضوح في كثير من تفسيرات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يشارك الطّوسيّ في هذا الاتّجاه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أشار بدوره إلى بعض هذه النّماذج المطبوعة بسمة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نشكّ أنّ هذا الاتّجاه لدى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 عملا رائدا من شخصيّة متفرّدة طوال التاريخ الفقهيّ،كما أنّ حرصه على عدم طرح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 أمكن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صواب وجهة نظره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 قد أشار إليه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دام التّمييز صعبا بين ما هو مقبول أو غير مقبول من الدّلالات،و هذا ما توفّر عليه الطّوسيّ في ممارساته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شكّلت تراثا ضخما في تأريخ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الإلحاح على هذا النّمط يقتاد إلى تحميل النّصّ أحيانا ما لا يحتمله،كما قلنا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 نعود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نجده أيضا موفّقا في ممارساته القائمة على المقولة المذكورة،إلاّ أنّه أيضا يقع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نتيجة إلحاحه على هذا الجانب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الممارسات الّتي تثير التّساؤل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 ينجح دون أدنى 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تأويلاته الجامعة بين دلالات </w:t>
      </w:r>
    </w:p>
    <w:p>
      <w:pPr>
        <w:pStyle w:val="BookText"/>
        <w:rPr/>
      </w:pPr>
      <w:r>
        <w:rPr>
          <w:rFonts w:ascii="Amiri" w:hAnsi="Amiri" w:eastAsia="Amiri" w:cs="Amiri"/>
          <w:color w:val="111111"/>
          <w:sz w:val="28"/>
          <w:sz w:val="28"/>
          <w:szCs w:val="28"/>
          <w:rtl w:val="true"/>
          <w:lang w:bidi="ar-SA"/>
        </w:rPr>
        <w:t>النّصوص،و هذا مثل حمله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سبيل الاستشهاد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ورد من الإسهام للمرأة في الغنيمة، حيث حمله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ورد من النّصوص ما يشير إلى إعطائها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حروب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مماثلا 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للرّجال،فيما عقّب المؤلّف على هذه النّصوص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أنّ الرّاوي 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الرواية لهذا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أسهم لنا كما أسهم للرّجال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بيننا الرّضخ كما قسم الغنيمة بين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أمثلة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تتناسب مع دلالة النّصّ الذي تردم الفارق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بصفة أنّ كليهما تعبير عن إعطاء الحصّة لمن اشترك في المعركة،بغضّ النّظر عن الفارس الّذي يتعيّن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الإسهام،و العبد أو المرأة اللّذين يتعيّن لهما الرّضخ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تتجانس فيها عبارة النّصّ مع تأويل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من نحو تعقيبه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سبيل الاستشهاد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الرّوايات الّتي تشير إلى أنّ المتيمّم إذا دخل في الصّلاة و وجد الماء أثناء ذلك،فعليه أن يتمّ صلاته ما لم يركع،عقّب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أن يحمل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دخل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قارب الدّخول فيها،أو دخل في مقدّماتها من التّوجّه بالأذان و التّكبير،و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فلينصرف ما لم يركع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يدخل في الصّلاة ذات الرّكوع،و أطلق على الصّلاة اسم الرّكوع مجازا من باب إطلاق اسم الجزء على الكلّ،و هذان المجازان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بعدا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المصير إليهما للجمع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فالمؤلّف يقرّ بأنّ المصير إلى هذين المجازين بعيد،و لكنّه يقرّ أيضا بأنّ المصير إليهما أولى من أجل الجمع بين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بعد هذين المجازين عن الحقيقة أمر من الوضوح بمكان كبير،حيث لا يمكن الاقتناع بأنّ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قارب الدّخول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هذا خلاف العرف اللّغويّ،كما أنّ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يركع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يمكن أن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يدخل في الصّلاة ذات الرّكوع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أمثلة هذه الاحتمالات تلغي حجّيّة كلّ الظّواهر اللّغويّة التي تسالم عليها العرف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الانصاف يقتضي أن نقرّر بأنّ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لحظنا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أخضع هذه التأويلات لمجرّد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صرّح بذلك بقوله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أخضعها للبعد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بعدا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حملها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المهم</w:t>
      </w:r>
      <w:r>
        <w:rPr>
          <w:rFonts w:eastAsia="Amiri" w:cs="Amiri" w:ascii="Amiri" w:hAnsi="Amiri"/>
          <w:color w:val="111111"/>
          <w:sz w:val="28"/>
          <w:szCs w:val="28"/>
          <w:rtl w:val="true"/>
          <w:lang w:bidi="ar-SA"/>
        </w:rPr>
        <w:t xml:space="preserve">» </w:t>
      </w:r>
      <w:bookmarkStart w:id="71" w:name="pg12666_159711"/>
    </w:p>
    <w:p>
      <w:pPr>
        <w:pStyle w:val="BookText"/>
        <w:rPr/>
      </w:pPr>
      <w:bookmarkEnd w:id="71"/>
      <w:r>
        <w:rPr>
          <w:rFonts w:ascii="Amiri" w:hAnsi="Amiri" w:eastAsia="Amiri" w:cs="Amiri"/>
          <w:color w:val="111111"/>
          <w:sz w:val="28"/>
          <w:sz w:val="28"/>
          <w:szCs w:val="28"/>
          <w:rtl w:val="true"/>
          <w:lang w:bidi="ar-SA"/>
        </w:rPr>
        <w:t>على الاستحباب،حيث اتّجه إلى هذا الحمل في أوّل ردوده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أنّ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سنرى لاحقا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يكتفي في تقديم أدلّته و ردوده بدليل واحد أو وجه واحد بل يعرض كلّ الاحتمالات الواردة،حينئذ نستخلص بأنّ الدّليل أو الوجه الّذي يعتمده أساسا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يذكره أوّلا،و هذا هو الّذي يمنح ممارسته الفقهيّة قيمتها الحقّة،و أنّ ما يذكره من أدلّة أو وجوه اخرى تظلّ مجرّد أدوات يستخدمها لإلزام المخالف،فيما يفصح مثل هذا المنحى في الاستدلال عن كونه خطأ في حقل المناقشة و الرّدّ و نحوهما،و ليس خطأ في استخلاص الحكم النّهائيّ للمسألة،حيث قلنا أنّ استخلاصه للحكم يتحدّد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الدّليل أو الوجه الأوّل من فاتحة الأدلّة أو الّتي يسردها في مناقشاته مع الآخرين</w:t>
      </w:r>
      <w:r>
        <w:rPr>
          <w:rFonts w:eastAsia="Amiri" w:cs="Amiri" w:ascii="Amiri" w:hAnsi="Amiri"/>
          <w:color w:val="111111"/>
          <w:sz w:val="28"/>
          <w:szCs w:val="28"/>
          <w:rtl w:val="true"/>
          <w:lang w:bidi="ar-SA"/>
        </w:rPr>
        <w:t>.</w:t>
      </w:r>
    </w:p>
    <w:p>
      <w:pPr>
        <w:pStyle w:val="Heading5"/>
        <w:numPr>
          <w:ilvl w:val="4"/>
          <w:numId w:val="1"/>
        </w:numPr>
        <w:rPr/>
      </w:pPr>
      <w:bookmarkStart w:id="72" w:name="__RefHeading___Toc746671_222507752"/>
      <w:bookmarkStart w:id="73" w:name="_Toc26"/>
      <w:bookmarkEnd w:id="72"/>
      <w:r>
        <w:rPr/>
        <w:t>3</w:t>
      </w:r>
      <w:r>
        <w:rPr>
          <w:rtl w:val="true"/>
        </w:rPr>
        <w:t>-</w:t>
      </w:r>
      <w:r>
        <w:rPr>
          <w:rtl w:val="true"/>
        </w:rPr>
        <w:t>النّصّ و التّعارض</w:t>
      </w:r>
      <w:r>
        <w:rPr>
          <w:rtl w:val="true"/>
        </w:rPr>
        <w:t>:</w:t>
      </w:r>
      <w:bookmarkEnd w:id="73"/>
    </w:p>
    <w:p>
      <w:pPr>
        <w:pStyle w:val="BookText"/>
        <w:rPr/>
      </w:pPr>
      <w:r>
        <w:rPr>
          <w:rFonts w:ascii="Amiri" w:hAnsi="Amiri" w:eastAsia="Amiri" w:cs="Amiri"/>
          <w:color w:val="111111"/>
          <w:sz w:val="28"/>
          <w:sz w:val="28"/>
          <w:szCs w:val="28"/>
          <w:rtl w:val="true"/>
          <w:lang w:bidi="ar-SA"/>
        </w:rPr>
        <w:t>الممارسات المتقدّمة،تمثّل نموذجا لتعامل المؤلّف مع النّصوص المتضاربة الّتي لا يمكن الجمع بينها،فإنّ المؤلّف يسلك المنحى الاستدلالي الّذي تفرضه طبيعة الموقف في أمثلة هذا التّضارب الّذي عرضت له روايات أهل البيت عليهم السّلام،و قدّمت الحلول المتنوّعة في معالجته،متمثّلة في ترجيح الموثوق سندا،و المشهور رواية،و الموافق للقرآن الكريم، و المخالف لآراء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يرتبط بوثاقة الرّاوي،فسنعرض له لا حقا عند حديثنا عن تعامله مع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المرجّحات الأخرى،فإنّ المؤلّف يتوفّر على العمل بها بنحو ملحوظ،و في مقدّمتها التّرجيح بالشّهرة الرّوائيّة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ما يمكن ملاحظته في ممارسات متنوّعة،من نحو ترجيحه للرّوايات الذّاهبة إلى أن حدّ النّفاس هو حد أكثر الحيض مقابل ما ورد من النّصوص الّتي تحدّده أكثر من ذلك،معلّقا على ذلك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رويناه أكثر،و الكثرة تدلّ على الرّجحان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نحو ترجيحه للرّوايات المحدّدة لرؤية الهلال بالرّؤية،و مضيّ ثلاثين يوما،مقابل رواية تحدّده بالغيبوبة قبل الشّفق و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غاب الهلال قبل الشّفق فهو لليلة،و إذا غاب بعد الشّفق فهو لليلتين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رجّح الرّوايات الاولى،بقوله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لكثرتها و اشتهارها حتّى قاربت المتواتر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نحو التّعقيب الّذي استند فيه إلى وجهة نظر </w:t>
      </w:r>
    </w:p>
    <w:p>
      <w:pPr>
        <w:pStyle w:val="BookText"/>
        <w:rPr/>
      </w:pPr>
      <w:r>
        <w:rPr>
          <w:rFonts w:ascii="Amiri" w:hAnsi="Amiri" w:eastAsia="Amiri" w:cs="Amiri"/>
          <w:color w:val="111111"/>
          <w:sz w:val="28"/>
          <w:sz w:val="28"/>
          <w:szCs w:val="28"/>
          <w:rtl w:val="true"/>
          <w:lang w:bidi="ar-SA"/>
        </w:rPr>
        <w:t>الطّوسيّ،على رواية شاذّة تنفي وجوب طواف النّساء في العمرة المفردة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العدول عنها،إلى العمل بالأكثر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بالنّسبة للشّهرة الرّوائية،أمّا العمليّة فإنّ المؤلّف مقتنع بكونها أحد المرجّحات في حقل التّعارض بين النّصوص،أو مطلقا،و هذا ما يمكن ملاحظته في الممارسة التّالية، حيث رجّح بها الرّواية الّتي تقرّر بأنّ العائد من السّفر ينتهي عند الحدّ مقابل الرّواية الذّاهبة إلى أنّه ينتهي مع دخوله البيت،قائلا و هو في معرض الرّدّ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يترجّح ما ذكرناه أوّلا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الشّهرة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طبيعيّا،لا يعنينا أن تكون قناعة المؤلّف بهذه الشّهرة نابعة من استخلاصه إيّاها من المرجّحات المنصوص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بما اشتهر بين أصحابك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مرفوعة زرارة، أو في رواية ابن حنظلة الّتي استفاد البعض منها الشّهرتين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الرّوائيّة و الفتوائيّة،أو تكون قناعته نابعة من مطلق المرجّحات الّتي يتوكّأ المؤلّف عليها في ممارساته عند تعارض الخبرين،أو الخبر مع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إلخ،بقدر ما يعنينا أن نشير إلى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تظلّ واحدا من المرجّحات عند التّعارض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ليس بنحو مطلق،بل حسب متطلّبات السّياق، حيث سبق أن لحظنا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ردّ المؤلّف على القائلين بعدم انفعال البئر بالنّجاسة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قناعته بعمل الأكثر و أنّها ليست حجّة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من الواضح عند أهله أنّه فرق بين كون الشّيء مرجّحا لأحد المتعارضين و كونه حجّة بنفسه،فمجرّد عمل الأكثر لا حجّة فيه،إلاّ أنّه من المرجّحات،فإذا عمل الأكثر ما كان مقتضى الأدلّة خلافه لا يعتنى به،و أمّا إذا وقع بين طائفتين من الرّوايات تعارض فالتّرجيح مع ما عمل به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لكنّها تكون كذلك في سياقات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التّرجيح بموافقة القرآن الكريم،فيمكن ملاحظته في ممارسات متنوّعة،منها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ترجيحه للرّوايات النّافية لغسل الجنابة بالنّسبة لمن يتضرّر به مقابل الرّوايات الآمرة بالغسل،حيث عقّب على الرّوايات الأخيرة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كانت صحيحة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مضمونها مشكل،إذ هو معارض لعموم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رفضه للرّواية الواردة بأنّ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 على الخفّ بالنّسبة للوضوء،حيث عقّب قائلا</w:t>
      </w:r>
      <w:r>
        <w:rPr>
          <w:rFonts w:eastAsia="Amiri" w:cs="Amiri" w:ascii="Amiri" w:hAnsi="Amiri"/>
          <w:color w:val="111111"/>
          <w:sz w:val="28"/>
          <w:szCs w:val="28"/>
          <w:rtl w:val="true"/>
          <w:lang w:bidi="ar-SA"/>
        </w:rPr>
        <w:t xml:space="preserve">: </w:t>
      </w:r>
      <w:bookmarkStart w:id="74" w:name="pg12666_159713"/>
    </w:p>
    <w:p>
      <w:pPr>
        <w:pStyle w:val="BookText"/>
        <w:rPr/>
      </w:pPr>
      <w:bookmarkEnd w:id="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الرّواية تقتضي نسخ القرآن بخبر الواحد،و ذلك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بالرغم من أنّ هذه الممارسة ترتبط بموضوع آخر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بالنّسبة إلى إمكانيّة النّسخ و عدمه،إلاّ أنّها تطبيق واضح لعمليّة التّرجيح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عمليّة التّرجيح بموافقة الكتاب معناها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حجّيّة كلّ من الطّائفتين لو لا تعارضهما،و ما نقل عن الكتاب في الموردين،إنّما هو من باب ردّ الحديث بمخالفة الكتاب،و بينهما فرق واضح،فتأمّل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بموافقة الكتاب،خاصّة أنّ المؤلّف أضاف إلى دليله المتقدّم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معارضة برواية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الكتاب المسح على الخفّين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يجسّد هذا التّعليق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الأخذ بالنّصّ القرآنيّ مقابل معارضة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التّرجيح بمخالفة العامّة،فإنّ نماذجه متنوّعة في هذا الميدان،فيما لا حاجة إلى الاستشهاد بها مع ملاحظة أنّ المؤلّف يتحفّظ أحيانا في العمل بهذا المرجّح إمّا لكونه يتعامل مع العامّة في مقارناته،أو لإمكان قناعته بالمرجّحات الأخرى بما أنّها أقرب إلى الواقع في تصوّره،و لعلّ الملاحظ في هذا الصّعيد أنّ المؤلّف في كثير من ممارساته،يتوكّأ على الشّيخ الطّوسيّ في العمل بهذا المرجّح،ممّا يكشف ذلك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حيال المرجّح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ينبغي أن نشير إلى أنّ المؤلّف يتجاوز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بطبيعة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بالمرجّحات المنصوص عليها،إلى غيرها من المرجّحات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حالة التّعارض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نلحظه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 الأصولي المقارن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الوصول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أنّه يسرد عشرات المواقف الّتي يتعيّن فيها ترجيح الخبر على غيره،كما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تطبيقيّا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يمارس أكثر من عمليّة استدلال في هذا الصّعيد ممّا نعرض لنماذجه عند حديثنا عن تعامله مع السّند</w:t>
      </w:r>
      <w:r>
        <w:rPr>
          <w:rFonts w:eastAsia="Amiri" w:cs="Amiri" w:ascii="Amiri" w:hAnsi="Amiri"/>
          <w:color w:val="111111"/>
          <w:sz w:val="28"/>
          <w:szCs w:val="28"/>
          <w:rtl w:val="true"/>
          <w:lang w:bidi="ar-SA"/>
        </w:rPr>
        <w:t>.</w:t>
      </w:r>
    </w:p>
    <w:p>
      <w:pPr>
        <w:pStyle w:val="Heading5"/>
        <w:numPr>
          <w:ilvl w:val="4"/>
          <w:numId w:val="1"/>
        </w:numPr>
        <w:rPr/>
      </w:pPr>
      <w:bookmarkStart w:id="75" w:name="__RefHeading___Toc746673_222507752"/>
      <w:bookmarkStart w:id="76" w:name="_Toc27"/>
      <w:bookmarkEnd w:id="75"/>
      <w:r>
        <w:rPr/>
        <w:t>4</w:t>
      </w:r>
      <w:r>
        <w:rPr>
          <w:rtl w:val="true"/>
        </w:rPr>
        <w:t>-</w:t>
      </w:r>
      <w:r>
        <w:rPr>
          <w:rtl w:val="true"/>
        </w:rPr>
        <w:t>استقراء النّصوص</w:t>
      </w:r>
      <w:r>
        <w:rPr>
          <w:rtl w:val="true"/>
        </w:rPr>
        <w:t>:</w:t>
      </w:r>
      <w:bookmarkEnd w:id="7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الظّواهر اللاّفتة للنّظر في تعامل المؤلّف مع النّصوص،أنّه طالما يدعم أدلّته الّتي يعرضها بمشابه لها من النّصوص المرتبطة بمختلف أبواب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ما يمكن ملاحظته في </w:t>
      </w:r>
    </w:p>
    <w:p>
      <w:pPr>
        <w:pStyle w:val="BookText"/>
        <w:rPr/>
      </w:pPr>
      <w:r>
        <w:rPr>
          <w:rFonts w:ascii="IRNazanin" w:hAnsi="IRNazanin" w:eastAsia="IRNazanin"/>
          <w:color w:val="111111"/>
          <w:sz w:val="28"/>
          <w:sz w:val="28"/>
          <w:szCs w:val="28"/>
          <w:rtl w:val="true"/>
          <w:lang w:bidi="fa-IR"/>
        </w:rPr>
        <w:t>عشرات الممارسات،من نحو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إلى وجوب الطّلب عند فقدان الماء،علّق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لمّا أمر بالإعتاق في كفّارة الظّهار،ثمَّ بصيام الشّهرين إن لم يجد،كان الطّلب واجبا،ثمَّ حتّى أنّه قبل الطّلب لا يعد أنّه غير واجد،فكذا ها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علّق أيضا على الموضوع 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سبب للطّهارة،فيلزمه الاجتهاد في تحصيله بالطّلب و البحث عند الإعواز،كالقبلة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لعدم وجوب قضاء الصّوم عن الميّت الّذي حجزه المرض عن الصّوم، علّق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مات من يجب عليه قبل إمكان فعله،فسقط إلى غير بدل،كالحج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لاستحباب التّأخير إلى آخر الوقت برجاء الحصول على الماء،و علّق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ضرورة قبل التّضييق،و لأنّه يمكن وصول الماء إليه،فكان التّأخير أولى،فإنّه قد استحبّ تأخيرها لإدراك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للتّدليل على جواز تأخير الصّلاة بالتّيمّم دون وجوبه،علّق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لو وجب التّأخير لرجاء حصول الطّهارة،لوجب على أصحاب الأعذار ذلك، كالمستحاضة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إلى إجزاء غسل الجنابة عن الوضوء،علّق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لأنّهما عبادات من جنس واحد،فتدخل الصّغرى في الكبرى،كالعمرة و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علّق أيضا على الرّوايات الآمرة بالتّيمّم لكلّ 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 ذلك على الاستحباب،كما في تجديد 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إلى تقديم زكاة الفطر قبل وقتها،علّق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سبب الصّدقة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و الفطر،فاذا وجد أحد السّببين،جاز التّقديم،كزكاة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لمن ظنّ الغروب أو الطّلوع،فأكل ثمَّ شكّ،علّق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قضاء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فأشبه ما لو صلّى ثمَّ شكّ في الإصابة بعد صلاته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الأمثلة و عشرات سواها تظلّ نموذجا لمنهج المؤلّف في تعامله مع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يتوكّأ عليها في دعم أدلّته الشّرعيّة و العقليّة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شكّ أنّ أمثلة هذه الأداة الاستدلاليّة تحمل قيمة ذات أهمّيّة ملحوظة،طالما تظلّ الاستعانة بالأحكام الّتي تفرزها النّصوص الأخرى،تجسّد إثراء لعمليّة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الإقناع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بالدّليل،بخاصّة أنّ المؤلّف يورد أمثلة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الاستقراءات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بمثابة دعم لمختلف الأدلة،فضلا عن أنّه في بعض الحالات،قد </w:t>
      </w:r>
    </w:p>
    <w:p>
      <w:pPr>
        <w:pStyle w:val="BookText"/>
        <w:rPr/>
      </w:pPr>
      <w:r>
        <w:rPr>
          <w:rFonts w:ascii="Amiri" w:hAnsi="Amiri" w:eastAsia="Amiri" w:cs="Amiri"/>
          <w:color w:val="111111"/>
          <w:sz w:val="28"/>
          <w:sz w:val="28"/>
          <w:szCs w:val="28"/>
          <w:rtl w:val="true"/>
          <w:lang w:bidi="ar-SA"/>
        </w:rPr>
        <w:t>يستشهد بالرّواية الّتي تتضمّن عنصر التّشابه الّذي يورده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أنّ تعامل المؤلّف مع الدّليل الاستقرائيّ،تنتفي ضرورته عندما يتكفّل النّصّ بتحديد ذلك،و تعذّر القناعة به حينا آخر،عندما يقدّم استقراء ناقصا لا شاهد عليه من الموارد الأخرى،أو كون الشّاهد لا يتّضح مناطه في هذا الاستقراء،أو كونه مشكوكا على الأقل،حيث نلحظ التّشكيك عند المؤلّف أحيانا،من نحو ذهابه إلى أنّ 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صلاة العيدين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يردّ على الرّوايات الّتي ورد فيها غير السّورة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في سبّح الحثّ في زكاة الفطرة فاستحبّ قراءتها في يوم فضلها،كالجمعة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يعلّل قراءة سبّح في العيدين من خلال شباهتها لقراءة سورة الجمعة في يوم الجمعة من حيث التّجانس،مع أنّ صلاة الأضحى ليس فيها زكاة الفطر،فما هو وجه الشّبه أو المناط في ذلك؟مضافا إلى أنّ مناسبة قراءة السّورة في الجمعة لا تعني أنّها مأخوذة من الموارد الأخرى،كما هو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من نحو ممارسته الذّاهبة إلى أنّ المرأة لو طافت أكثر من النّصف تتمّ طوافها بعد الطّهر و إلاّ تستأنف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أنّ النّصوص الواردة في غير الحائض أشارت إلى هذا المعيار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تجاوز النّصف أو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 علّق المؤلّف على طواف المرأة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ثبت اعتبار مجاوزة النّصف في حقّ غير الحائض باعتبار أنّه المعظم،و إن كان هذا أصلا فليعتمد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 أنّ هناك رواية معتبرة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طافت ثلاثة أطواف أو أقلّ من ذلك ثمَّ رأت دما،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تحفظ مكانها،فإذا طهرت طافت منه و اعتدّت بما 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علّق المؤلّف على هذه الرّواية بأنّ ابن بابويه أفتى بمضمونها نظرا لإسنادها،بخلاف الرّوايات الّتي تشير إلى معيار مجاوزة النّصف</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أمثلة هذه الرّواية تزيل حكم الاستقراء،لأنّ مجرّد مجاوزة النّصف بالنّسبة لغير الحائض لا يعني تمريره على الموارد الأخرى حيث يجرّ مثل هذا المعيار الفقيه أحيانا إلى الوقوع في القياس المنهيّ عنه،لذلك يصعب الاقتناع بوجهة نظر المؤلّف في التماسه أمثلة هذه الاستقراءات،بخاصّة أنّه لا يعمل بالضّعيف الّذي أشار إلى مجاوزة النّصف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إلى أنّ بعض الموارد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أشرنا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يصعب فيها الاستقراء نظرا لعدم وجود مناط أو علاقة وثيقة بين المسألة المبحوث عنها و المسألة المقيس عليها،و هذا مثل ذهابه إلى أنّ غسل الجنابة مجز عن </w:t>
      </w:r>
      <w:bookmarkStart w:id="77" w:name="pg12666_159716"/>
    </w:p>
    <w:p>
      <w:pPr>
        <w:pStyle w:val="BookText"/>
        <w:rPr/>
      </w:pPr>
      <w:bookmarkEnd w:id="77"/>
      <w:r>
        <w:rPr>
          <w:rFonts w:ascii="Amiri" w:hAnsi="Amiri" w:eastAsia="Amiri" w:cs="Amiri"/>
          <w:color w:val="111111"/>
          <w:sz w:val="28"/>
          <w:sz w:val="28"/>
          <w:szCs w:val="28"/>
          <w:rtl w:val="true"/>
          <w:lang w:bidi="ar-SA"/>
        </w:rPr>
        <w:t>الوضوء حيث شبّهه بالحج المجزي عن العمرة المفردة،من حيث دخول الأصغر ضمن الأكبر،حيث يرد على هذا الاستقراء السّؤال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المعيار هو دخول الأصغر ضمن الأكبر،فلما ذا ينفرد غسل الجنابة دون غيره من الأغسال في الحكم المذكور؟لذلك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تصعب القناعة أحيانا بأمثلة هذه الاستقراءات لكن خارجا عن أمثلة هذه الموارد،يظلّ تعامل المؤلّف مع الأدلّة الاستقرائيّة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مبنى كلمات المصنّف في هذه الموارد ليس الاستقراء،بل مبناه الاستناد إلى قاعدة كلّيّة يكون مورد كلامه من صغريات تلك القاعدة،و يذكر موردا آخر يكون هو أيضا عنده من صغرياتها مع زيادة تسلّم حكم القاعدة في هذا المورد الآخر،فمثلا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وجوب طلب الماء في المسألة الأولى مستفاد من تعليق حكم التّيمّم على عدم وجدان الماء،فيدلّ على أنّه حكم ثانويّ اضطراريّ،فلذلك يجب طلب ما علّق الحكم الثّانويّ على عدم وجداني،لأنّه القاعدة العقلائيّة في تمام موارد الاضطرار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نظيره مسألة مقايسة وجوب التأخير لصاحب الأعذار عند احتمال ارتفاع العذر،فإنّه لا وجه له،إلاّ أنّ الواقع المحتمل واجب الرّعاية،و هو يقتضي مساواة جميع الموارد،و حيث لا يقتضي في مثل الاستحاضة،فلا بدّ و أن لا يقتضي في فاقد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مبنى كلامه الاستقراء الظّنّي الّذي لا حجّيّة له،بل مبناه الاستناد إلى قاعدة كلّيّة،و إن كان لنا أن نناقش أحيانا في بعض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،عملا له أهمّيّته و إمتاعه فقهيّا و فنّيّا</w:t>
      </w:r>
      <w:r>
        <w:rPr>
          <w:rFonts w:eastAsia="Amiri" w:cs="Amiri" w:ascii="Amiri" w:hAnsi="Amiri"/>
          <w:color w:val="111111"/>
          <w:sz w:val="28"/>
          <w:szCs w:val="28"/>
          <w:rtl w:val="true"/>
          <w:lang w:bidi="ar-SA"/>
        </w:rPr>
        <w:t>.</w:t>
      </w:r>
    </w:p>
    <w:p>
      <w:pPr>
        <w:pStyle w:val="Heading5"/>
        <w:numPr>
          <w:ilvl w:val="4"/>
          <w:numId w:val="1"/>
        </w:numPr>
        <w:rPr/>
      </w:pPr>
      <w:bookmarkStart w:id="78" w:name="__RefHeading___Toc746675_222507752"/>
      <w:bookmarkStart w:id="79" w:name="_Toc28"/>
      <w:bookmarkEnd w:id="78"/>
      <w:r>
        <w:rPr/>
        <w:t>5</w:t>
      </w:r>
      <w:r>
        <w:rPr>
          <w:rtl w:val="true"/>
        </w:rPr>
        <w:t>-</w:t>
      </w:r>
      <w:r>
        <w:rPr>
          <w:rtl w:val="true"/>
        </w:rPr>
        <w:t>تعليل النّصوص</w:t>
      </w:r>
      <w:r>
        <w:rPr>
          <w:rtl w:val="true"/>
        </w:rPr>
        <w:t>:</w:t>
      </w:r>
      <w:bookmarkEnd w:id="79"/>
    </w:p>
    <w:p>
      <w:pPr>
        <w:pStyle w:val="BookText"/>
        <w:rPr/>
      </w:pPr>
      <w:r>
        <w:rPr>
          <w:rFonts w:ascii="Amiri" w:hAnsi="Amiri" w:eastAsia="Amiri" w:cs="Amiri"/>
          <w:color w:val="111111"/>
          <w:sz w:val="28"/>
          <w:sz w:val="28"/>
          <w:szCs w:val="28"/>
          <w:rtl w:val="true"/>
          <w:lang w:bidi="ar-SA"/>
        </w:rPr>
        <w:t>هناك ظاهرة استدلاليّة تلفت النّظر حقّا،حتّى أنّه ليكاد المؤلّف يتفرّد فيها من حيث تضخيمها في ممارساته،ألا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يقدّمه في أدلّته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المؤلّف يضطلع بتقديم السّبب الكامن وراء النّصّ الّذي يتضمّن هذا الحكم الشّرعيّ أو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طبيعيّا،إنّ الأحكام لا تصاب بالعقول،و هي حقيقة لا يتجادل فيها اثنان 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الآن 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الشّرع نفسه،كما أنّ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الممكن أن يدركها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مسائل النّفس،و الاجتماع،و التّربية،و الاقتصاد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إلخ،بحيث يستخلص السّرّ الكامن وراء هذا الحكم الشّرعي أو ذاك،كما لو أدرك الطّبيب مثلا 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حيث المعطى الصّحّي له،أو سرّ التّحريم الّذي يكمن في </w:t>
      </w:r>
    </w:p>
    <w:p>
      <w:pPr>
        <w:pStyle w:val="BookText"/>
        <w:rPr/>
      </w:pPr>
      <w:r>
        <w:rPr>
          <w:rFonts w:ascii="Amiri" w:hAnsi="Amiri" w:eastAsia="Amiri" w:cs="Amiri"/>
          <w:color w:val="111111"/>
          <w:sz w:val="28"/>
          <w:sz w:val="28"/>
          <w:szCs w:val="28"/>
          <w:rtl w:val="true"/>
          <w:lang w:bidi="ar-SA"/>
        </w:rPr>
        <w:t>ظواهر مثل الخمر،أو لحم الخنزير،أو الميتة من حيث الخسارة الصّحّيّة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كما يدرك الخبير النّفسيّ و التّربويّ و الاجتماعيّ سرّ الحظر لظواهر مثل القمار و الغش و الغناء و سواها من حيث الأمراض النفسيّة و الاجتماعيّة الّتي تترتّب على ممارسة الظّواهر المنهيّ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من الممكن أن يدرك الفقيه بعض الأسرار المرتبطة بوجوب أو حرمة هذا الشّيء أو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يسوّغ الرّكون إلى ظاهرة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جانب من ممارسات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فمثلا،نجد أنّ المؤلّف قد عقّب على الأصناف الّتي لا تقصّر في صلاتها عند السّفر،قائلا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لأنّ الفعل المعتاد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ربّما يستفاد هذا التّعليل من نحو قولهم عليهم السّلام في مقام التّعليل بوجوب التّمام،بيوتهم معهم،منازلهم معهم،لأنّه عملهم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الوسائل،صلاة المسافر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يصير كالطّبيعيّ،و السّفر لهؤلاء معتاد،فلا مشقّة فيه عليهم، فلا يقصّر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نجده في تعقيبه على إتمام الصّلاة في الأماكن المقدّسة الأربعة،يقول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لأنّها </w:t>
      </w:r>
      <w:r>
        <w:rPr>
          <w:rStyle w:val="FootnoteAnchor"/>
          <w:rtl w:val="true"/>
        </w:rPr>
        <w:footnoteReference w:id="7"/>
      </w:r>
      <w:r>
        <w:rPr>
          <w:rFonts w:ascii="Amiri" w:hAnsi="Amiri" w:eastAsia="Amiri" w:cs="Amiri"/>
          <w:color w:val="111111"/>
          <w:sz w:val="28"/>
          <w:sz w:val="28"/>
          <w:szCs w:val="28"/>
          <w:rtl w:val="true"/>
          <w:lang w:bidi="ar-SA"/>
        </w:rPr>
        <w:t>مواضع اختصّت بزيادة شرف،فكان إتمام العبادة فيها مناسبا لتحصيل فضيلة العبادة فيها،فكان مشروعا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أمثلة هذا التّعليل تفرض مشروعيّتها لسبب واضح،هو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فهم الأحكام له دخل كبير في إقناع الشّخصيّة غير المؤمنة،كما أنّ له دخلا في تعميق القناعة لدى المؤمن،بيد أنّ هناك نمطين من البحث يمكن أن يتوفّر الباحث عليها في هذا الميدان،أحدهما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التّناول لهذه الظّواهر يختصّ بدراسة مستقلّة،كما لو تناول عالم النّفس،أو الاجتماع،أو الاقتصاد،مسائل نفسيّة،و اجتماعيّة،و اقتصادية،و درسها في ضوء الأحكام الّتي توجب،أو تحرّم،أو تبيح،أو تندب لهذا العمل أو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النّمط الآخر،هو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يبيّن الفقيه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الأحكام،على نحو التّعقيب و التّعليق عليها </w:t>
      </w:r>
      <w:r>
        <w:rPr>
          <w:rStyle w:val="FootnoteAnchor"/>
          <w:rtl w:val="true"/>
        </w:rPr>
        <w:footnoteReference w:id="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يبدو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أورد هذه التّعليلات ضمن الأدلّة و ليس ضمن التّعليق عليها،و هذا ما ينبغي أن </w:t>
      </w:r>
    </w:p>
    <w:p>
      <w:pPr>
        <w:pStyle w:val="BookText"/>
        <w:rPr/>
      </w:pPr>
      <w:r>
        <w:rPr>
          <w:rFonts w:ascii="Amiri" w:hAnsi="Amiri" w:eastAsia="Amiri" w:cs="Amiri"/>
          <w:color w:val="111111"/>
          <w:sz w:val="28"/>
          <w:sz w:val="28"/>
          <w:szCs w:val="28"/>
          <w:rtl w:val="true"/>
          <w:lang w:bidi="ar-SA"/>
        </w:rPr>
        <w:t>نتحفّظ حياله دون أدنى شكّ،نظرا لإمكانيّة أن تكون العلّة المستكشفة جزءا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اخرى مجهولة لدينا،فضلا عن إمكانيّة ألاّ تكون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المستكشفة صائبة أساسا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تصوّرنا أنّ حرص المؤلّف على تعدّد 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سنرى لا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يقتاده إلى عرض التّعليل ضمن سائر الأدلّة الّتي يعرضها،فهو في النّموذجين السّابقين أورد نصوصا للإتمام في الصّلاة سفرا بالنّسبة إلى الأصناف المشار إليها و الأماكن الأربعة،ثمَّ أضاف إليها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توحي هذه العبارة بأنّ دليلا آخر أضيف إلى النّصّ الشّرعيّ،حتّى أنّنا لنجده يعدّد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في صعيد التّعليل ذاته،مثل ممارسته التّالية بالنّسبة إلى جواز تقديم زكاة الفطر قبل العيد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سبب الصّدقة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و الفطر معا،فإذا وجد أحد السّببين،جاز التّقديم كزكاة المال،و لأنّ في تقديمه مسارعة إلى الثّواب و المغفرة،فيكون مأمورا به،و لأنّ خبر حال الفقراء على القطع،و مع التّأخير على الشّك لجواز موته أو فقره،فيكون مشروعا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سعة أن يعطيها في أوّل يوم يدخل في شهر رمضان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لأنّ جواز التّقديم يوما و يومين يقتضي جوازه من أوّل الشهر،إذ سببه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الصّوم،موجود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تقديمها على شهر رمضان فغير جائز،عملا بالأصل السّالم عن معارضته سبب الصّوم،و لأنّ تقديمها قبل الشّهر تقديم للزّكاة قبل السّببين،فيكون ممنوعا،كتقديم زكاة المال قبل الحول و النّصاب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الممارسة تكشف لنا عن جملة أمور،منها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تعدّد الأدلّة العقليّة حيث أنهاها إلى ثلاثة 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الصّوم المسارعة إلى الثّواب،اليقين بالفقر أوّل الشهر مقابل الشّك في آخره،و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عرضه لأقوال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الخاصّة و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نقل عن الخاصّة تجويزهم ذلك،و نقل عن ابن إدريس عدم الجواز لدليل عقليّ هو أنّ التّقديم إبراء للذّمّة قبل شغلها و هو باطل،و نقل عن العامّة تجويزهم ذلك قبل يومين و بعد انتصاف الشّهر،و أوّل الحول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هنا نحتمل أنّ عرض المؤلّف لأدلّته العقليّة من جانب و تقديمها على النّصّ من جانب آخر،نابع من كونه يقوم بعمليّة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مقارنة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تفرض عليه المقارنة أن يتعامل مع أدلّة المخالفين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الخاصّة و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داموا جميعا قد استندوا إلى دليل عقليّ في جواز التّقديم،حيث استند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دليل عدم البراءة، </w:t>
      </w:r>
    </w:p>
    <w:p>
      <w:pPr>
        <w:pStyle w:val="BookText"/>
        <w:rPr/>
      </w:pPr>
      <w:r>
        <w:rPr>
          <w:rFonts w:ascii="Amiri" w:hAnsi="Amiri" w:eastAsia="Amiri" w:cs="Amiri"/>
          <w:color w:val="111111"/>
          <w:sz w:val="28"/>
          <w:sz w:val="28"/>
          <w:szCs w:val="28"/>
          <w:rtl w:val="true"/>
          <w:lang w:bidi="ar-SA"/>
        </w:rPr>
        <w:t>و استندت العامّة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استقرائيّة مثل جواز الخروج من المزدلفة قبل منتصف اللّيل، و مثل المقايسة بزكاة المال بعد وجود النّصاب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حينئذ يتعيّن على المؤلّف أن يعرض دليله أو ردّه،مقرونا بما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استقرائيّ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لحظنا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 وجدناه يضيف دليلا 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إيراده للرّواية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جواز التّقديم يوما و يومين يقتضي جوازه من أوّل الشّهر،إذ سببه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الدّليل،جاء في سياق عرضه للاتّجاه المجوّز لتقديم الزّكاة قبل يومين،كما هو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لذلك،نجده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مرحلة ردّه على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يستند إلى الدّليل العقليّ نفسه في ردّه على أبي حنيفة المجوز تقديمها أوّل الحول،حيث ردّه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الفرق بين زكاة المال و زكاة الفطرة،لأنّ السّبب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النّصاب،و قد حصل في الحول،فجاز إخراجها فيه،و زكاة الفطر سببها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 بدليل إضافتها إليه،و لأنّ المقصود إغناء الفقراء هناك في الحول،و إغناؤهم هنا في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المسوّغ للتّعامل مع الأدلّة العقليّة أو الاستقرائيّة،يظلّ نابعا من طبيعة الموقف الّذي يفرض على المؤلّف مثل هذا التّعامل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أنّ هذا المسوّغ قد يفقد دلالته حينما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النّصّ،أو حينما يبتعد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جوهر النّصّ أو روح التّشريع أساسا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ما يمكن ملاحظته مثلا في ذهابه إلى جواز الجمع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إلى أهل الذّمّة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وضعها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علّل ذلك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الجزية غير مقدّرة في طرفي الزّيادة و النّقصان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هي موكولة إلى نظر الإمام،فجاز أن يأخذ من أراضيهم و رءوسهم،كما يجوز له أن يضعّف الجزية الّتي على رءوسهم في الحول الثّاني،و لأنّ ذلك أثبت للصّغار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فالمؤلّف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يماثل</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بل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مبنيّ على استفادة الإطلاق من كونها موكولة إلى نظر الإمام،لا على المماثلة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عدم تقدير الجزئية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وردت نصوص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الجمع بين الرأس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لا علاقة بينهما كما هو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أنّ هناك نصوصا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التّخيير لا الجمع،مثل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للإمام أكثر من الجزية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الإمام وضع على رءوسهم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على أموالهم شيء،و إن شاء ففي أموالهم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على</w:t>
      </w:r>
      <w:bookmarkStart w:id="80" w:name="pg12666_159720"/>
    </w:p>
    <w:p>
      <w:pPr>
        <w:pStyle w:val="BookText"/>
        <w:rPr/>
      </w:pPr>
      <w:bookmarkEnd w:id="80"/>
      <w:r>
        <w:rPr>
          <w:rFonts w:ascii="Amiri" w:hAnsi="Amiri" w:eastAsia="Amiri" w:cs="Amiri"/>
          <w:color w:val="111111"/>
          <w:sz w:val="28"/>
          <w:sz w:val="28"/>
          <w:szCs w:val="28"/>
          <w:rtl w:val="true"/>
          <w:lang w:bidi="ar-SA"/>
        </w:rPr>
        <w:t>رءوسهم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فبالرّغم من أنّ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تتنافى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التّخيير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عقّب على هذه الرّواية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نحملها على ما إذا صالحهم على قدر،فإن شاء أخذه من رءوسهم و لا شيء حينئذ على أراضيهم،و بالعكس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فيهما دلالة على المنع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واضح،أنّ هذا الحمل لا ينسجم مع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على أموالهم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رءوسهم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حتّى مع إمكان مثل هذا الحمل،فإنّ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العقليّ الّذي قدّمه المؤلّف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ذلك أثبت للصّغار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يمكن التّسليم به،لأنّ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يُعْطُوا الْجِزْيَةَ عَنْ يَدٍ وَ هُمْ صاغِرُونَ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يعني أنّ الوالي بمقدوره أن يحقّق كلّ المصاديق الّتي ينطبق عليها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بدّ من تقييد ذلك بالموارد الّتي تحدّدها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أمكن للوالي أن يصنع ما يشاء إمعانا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أمر يصعب التّسليم به،كما قلنا</w:t>
      </w:r>
      <w:r>
        <w:rPr>
          <w:rFonts w:eastAsia="Amiri" w:cs="Amiri" w:ascii="Amiri" w:hAnsi="Amiri"/>
          <w:color w:val="111111"/>
          <w:sz w:val="28"/>
          <w:szCs w:val="28"/>
          <w:rtl w:val="true"/>
          <w:lang w:bidi="ar-SA"/>
        </w:rPr>
        <w:t>.</w:t>
      </w:r>
    </w:p>
    <w:p>
      <w:pPr>
        <w:pStyle w:val="Heading5"/>
        <w:numPr>
          <w:ilvl w:val="4"/>
          <w:numId w:val="1"/>
        </w:numPr>
        <w:rPr/>
      </w:pPr>
      <w:bookmarkStart w:id="81" w:name="__RefHeading___Toc746677_222507752"/>
      <w:bookmarkStart w:id="82" w:name="_Toc29"/>
      <w:bookmarkEnd w:id="81"/>
      <w:r>
        <w:rPr/>
        <w:t>6</w:t>
      </w:r>
      <w:r>
        <w:rPr>
          <w:rtl w:val="true"/>
        </w:rPr>
        <w:t>-</w:t>
      </w:r>
      <w:r>
        <w:rPr>
          <w:rtl w:val="true"/>
        </w:rPr>
        <w:t>تفكيك النّصوص</w:t>
      </w:r>
      <w:r>
        <w:rPr>
          <w:rtl w:val="true"/>
        </w:rPr>
        <w:t>:</w:t>
      </w:r>
      <w:bookmarkEnd w:id="82"/>
    </w:p>
    <w:p>
      <w:pPr>
        <w:pStyle w:val="BookText"/>
        <w:rPr/>
      </w:pPr>
      <w:r>
        <w:rPr>
          <w:rFonts w:ascii="Amiri" w:hAnsi="Amiri" w:eastAsia="Amiri" w:cs="Amiri"/>
          <w:color w:val="111111"/>
          <w:sz w:val="28"/>
          <w:sz w:val="28"/>
          <w:szCs w:val="28"/>
          <w:rtl w:val="true"/>
          <w:lang w:bidi="ar-SA"/>
        </w:rPr>
        <w:t>من الظّواهر المألوفة في بعض النّصوص،أنّها تتضمّن أحكاما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شاهد لها في النّصوص الأخرى،كما لم يعمل بها الفقهاء عامّة،إلى جانب تضمّنها أحكاما اعتياديّة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إحدى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الكذب على اللّه تعالى و رسوله يفطّر الصّائم و ينقض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أمثلة هذه الرّواية المتضمّنة نوعين من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النّادر،و الاعتياديّ أو المقبول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يقف الفقهاء حيالها على نمطين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نمط يرفض العمل بها مطلقا نظرا لتضمّنها ما هو غير مقبول،و نمط يعمل بما هو مقبول منها و يرفض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إذا أخضعنا هذه الظّاهرة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 لا نجد مسوّغا لرفض الرّواية بجزئيها لمجرّد أنّ أحد جزئيها خاضع للإحالة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السّرّ في ذلك أنّ الرّاوي من الممكن جدّا أن يتوهّم في النّقل أو السّماع فيثبت إحدى الحقائق بصورة مغلوطة،و يثبت الحقائق الأخرى في صورها الصّائبة،و هذا ما يمكن ملاحظته في حياتنا اليوميّة الّتي نخبر فيها أمثلة هذا التّوهّم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 يبدو أنّه ينتسب إلى الفريق الثّاني الّذي يؤمن بإمكان تفكيك الرّواية و العمل بأحد أجزائها و الرّفض لأجزائها غير المقبولة،و هذا ما نلحظه بالنّسبة إلى موقفه من الرّواية المشار إليها،حيث ذهب إلى مفطّريّة الكذب دون نقضه للوضوء مستندا في ذلك إلى الرّواية ذاتها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الرّواية لأبي </w:t>
      </w:r>
    </w:p>
    <w:p>
      <w:pPr>
        <w:pStyle w:val="BookText"/>
        <w:rPr/>
      </w:pPr>
      <w:r>
        <w:rPr>
          <w:rFonts w:ascii="Amiri" w:hAnsi="Amiri" w:eastAsia="Amiri" w:cs="Amiri"/>
          <w:color w:val="111111"/>
          <w:sz w:val="28"/>
          <w:sz w:val="28"/>
          <w:szCs w:val="28"/>
          <w:rtl w:val="true"/>
          <w:lang w:bidi="ar-SA"/>
        </w:rPr>
        <w:t>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هناك رواية لسماعة تتضمّن نفس الحكمين،إلاّ أنّ المؤلّف رفضها لكون سماعة ضعيفا من جانب،و لكونها مضمرة لم يسندها إلى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جانب آخر،لذلك عقّب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الأقرب الإفساد،عملا بالرّواية الاولى،و بالاحتياط المعارض لأصل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في ذهابه إلى مفطّريّة الغبار،استند إلى رواية سليمان المروزي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تمضمض الصّائم في شهر رمضان أو استنشق متعمّدا أو شمّ رائحة غليظة أو كنس بيتا فدخل في أنفه و حلقه غبار،فعليه صوم شهرين متتابعين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تضمّنت الرّواية أحكاما لا قائل بها مثل مفطّريّة الرّائحة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قد اعتمدها بالنّسبة إلى الغبار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الرّواية مضمرة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لم يعقّب عليها،لأسباب نذكرها لا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كذلك،نجده قد اعتمد رواية عبد اللّه بن سنان الّتي تضمّنت حكمين،أحدهما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طهارة و مطهّريّة الماء المستعمل في رفع الحدث الأصغر،و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مطهّريّة المستعمل في رفع الحدث الأكبر،حيث عمل المؤلّف بجزئها الأوّل و رفض العمل بجزئها الآخر،علما بأنّ الرّواية في طريقها أحمد بن هلال المعروف بالضّعف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سنوضّح سرّ العمل بها في 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المهمّ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المؤلّف في هذه النّماذج الثّلاثة و في نماذج اخرى لا ضرورة للاستشهاد بها قد فكّك بين محتويات النّصّ،فعمل بأحد أجزائها دون الأجزاء الأخرى،انطلاقا من إدراكه لإمكانيّة مثل هذا التّفكيك بالرّواية،و هو موقف يدلّ على صواب وجهة نظره ما دمنا قد أشرنا إلى أنّ إمكان التّوهّم في شيء لا يستلزم التّوهّم في الأشياء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ثمّة ملاحظ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إلاّ أنّ هذه الملاحظة غير مرتبطة بمسألة تفكيك مضمون الحديث،فلبّ الملاحظة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استند في بعض الموارد إلى حديث أسنده إلى الضّعف في مورد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يوجد في كلامه حتّى في الأحاديث الغير المشتملة على ما لا قائل به،و هو بعهدة التّتبّع</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نمط تعامله مع أمثلة هذه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فالمؤلّف عندما عرض رواية ابن سنان،لم يعلّق على ضعفها مع أنّ دابة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لحظنا عند حديثنا عن منهجه المقارن في الخطوة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 إلى ضعف الخبر بالرّغم من كونه واردا ضمن أدلّته الشّخصيّة،و لكنّنا نجده بعد سطور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يدلّل على مطهّريّة الماء المستعمل في رفع الحدث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يردّ القائلين بعدم مطهّريّته فيما استندوا إلى الجزء الآخر من رواية ابن سنان</w:t>
      </w:r>
      <w:bookmarkStart w:id="83" w:name="pg12666_159722"/>
    </w:p>
    <w:p>
      <w:pPr>
        <w:pStyle w:val="BookText"/>
        <w:rPr/>
      </w:pPr>
      <w:bookmarkEnd w:id="83"/>
      <w:r>
        <w:rPr>
          <w:rFonts w:ascii="Amiri" w:hAnsi="Amiri" w:eastAsia="Amiri" w:cs="Amiri"/>
          <w:color w:val="111111"/>
          <w:sz w:val="28"/>
          <w:sz w:val="28"/>
          <w:szCs w:val="28"/>
          <w:rtl w:val="true"/>
          <w:lang w:bidi="ar-SA"/>
        </w:rPr>
        <w:t>نجده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طريقها ابن هلال،و هو ضعيف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 بأن المؤلّف قد عمل بهذه الرواية في جزئها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طبيعيّا،سوف نرى عند حديثنا عن تعامله مع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أمر لحظناه في تعامله مع روايات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المؤلّف يستهدف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إلزام المخالف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فحسب،لذلك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ما أمكن،و هو أمر له مشروعيته حقّا في حالة كون المؤلّف قد أورد الخبر بمثابة تكثير للأدلّة الّتي تعزّز صحّة الخبر الضّعيف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 أنّ الأمر الّذي تحدر ملاحظته في هذا الصّعيد،هو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المؤلّف عند ما ينفرد بدليل روائيّ واحد و يترتّب عليه الحكم حينئذ لا مجال المؤاخذة المخالف بالعمل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تدليله على عدم استلزام الكذب للكفّارة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المخالف على استدلاله بخبري أبي بصير و سماعة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الجواب عن الحديثين باشتمالهما على ما منعتم من العمل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في استدلاله برواية سليمان بالنّسبة إلى استلزام الغبار للكفّارة،عقّب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الاستدلال بهذه الرّواية ضعيف لوجهين،أحدهما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الاتّصال إلى 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اشتمال هذه الرّواية على أحكام لا تثبت على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فالملاحظ هنا أنّ استدلاله بكون رواية سليمان تشتمل على أحكام غير ثابتة، يتزامن مع كونه قد رتّب عليها أثرا و هو مفطّريّة الغبار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اشتمال رواية أبي بصير على ما منع به الآخرون العمل،يتضمّن نفس الشّيء حيث إنّ المؤلّف أيضا قد عمل بجزء من الرّواية و ترك العمل بما هو ممنوع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 نجد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ملحوظا في مثل هذه الممارسات لدى المؤلّف،ممّا يصعب التسليم بها في هذا المجال،إلاّ مع فرضيّة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إلزامه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المخالف ما دام قد عمل بجزء من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بدليل ذهابه إلى مفطّريّة الكذب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 لا مجال لإلزامه بالقول بأنّ الرّواية تضمّنت ما لم يعملوا بها من الأحكام</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746679_222507752"/>
      <w:bookmarkStart w:id="85" w:name="_Toc30"/>
      <w:bookmarkEnd w:id="84"/>
      <w:r>
        <w:rPr>
          <w:rtl w:val="true"/>
        </w:rPr>
        <w:t>التّعامل مع الأصول العمليّة و سواها</w:t>
      </w:r>
      <w:r>
        <w:rPr>
          <w:rtl w:val="true"/>
        </w:rPr>
        <w:t>:</w:t>
      </w:r>
      <w:bookmarkEnd w:id="8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النّماذج المتقدّمة،تجسّد تعامل المؤلّف مع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 و سنّة،كما تجسّد تعاملا مع الدّليل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الدّليل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لحظنا مستوياته عند عرضنا </w:t>
      </w:r>
    </w:p>
    <w:p>
      <w:pPr>
        <w:pStyle w:val="BookText"/>
        <w:rPr/>
      </w:pPr>
      <w:r>
        <w:rPr>
          <w:rFonts w:ascii="Amiri" w:hAnsi="Amiri" w:eastAsia="Amiri" w:cs="Amiri"/>
          <w:color w:val="111111"/>
          <w:sz w:val="28"/>
          <w:sz w:val="28"/>
          <w:szCs w:val="28"/>
          <w:rtl w:val="true"/>
          <w:lang w:bidi="ar-SA"/>
        </w:rPr>
        <w:t>لمنهجه في المقارنة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بالنّسبة للأصول العمليّة و سواها فبالرّغم من أنّنا لحظنا تعامله مع الأصول المذكورة في صعيد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المقارنة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ثمّة ملاحظات لا بدّ من عرضها في هذا الحقل الّذي نتحدّث عنه الآن،و لعلّ أهمّ ما ينبغي أن نلحظه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المؤلّف في التّعامل مع الأصول،حيث نعرف جميعا بأنّ الأصل العمليّ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الثّانوي الّذي يلجأ إليه الفقيه في حالة عدم الحصول على الدّليل المحرز،و هذا ما أشار المؤلّف إليه في مواقع متنوّعة من ردوده على المخالف،مثل ردّه على من اعتمد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طهارة المسكر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الاستصحاب إنّما يكون دليلا ما لم يظهر مناف،و الأدلّة الّتي ذكرناها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تزيل حكم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ردّه على القائل بعدم الكفّارة لمن فاته صيام رمضان في اعتماده أصل البراءة،قائلا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أصالة براءة الذّمّة لا يصار إليها مع وجود المزيل و هو ما تقدّم من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 المؤلّف هنا لا يحقّ له إلغاء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اعتمده المخالف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لم يعتمد هذا الفقيه الأخبار الّتي أوردها المؤلّف بل اعتبرها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سوّغ له الرّجوع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بغضّ النّظر عن ذلك،فإنّ المؤلّف انطلاقا من هذا المبدأ نجده يعتمد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بمختلف أقسامه و مستوياته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فقدان الدّليل،مثل ذهابه إلى عدم طهارة المياه بعد زوال تغيّرها بالنّجاسة،قائلا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لأنّها نجسة قبل الزّوال فيستصحب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ذهابه إلى عدم تكرّر الكفّارة لمن أخّر قضاء صومه لسنتين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فالمؤلّف حينما اعتمد الاستصحاب و البراءة في النّموذجين السّابقين إنّما اعتمدهما بناء على فقدان النّص،كما أنّه حينما ردّ المخالف على اعتماده دليلي الاستصحاب و البراءة و غيرهما،إنّما كان ردّه نابعا من وجود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يعني انتفاء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حالة وجود النّص،لكن يبدو أنّ المؤلّف ينطلق من قناعات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الكثير من فقهائنا قديما و حديثا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إلى اعتماده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حالة وجود النّصّ أيضا بالرّغم من كونه ينكر على الآخرين مثل هذا الاعتماد،كما لحظنا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فالملاحظ في ممارساته أنّه يعتمد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جانب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حالة توافق الدّليلين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و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أضاف إلى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من نحو ذهابه إلى </w:t>
      </w:r>
    </w:p>
    <w:p>
      <w:pPr>
        <w:pStyle w:val="BookText"/>
        <w:rPr/>
      </w:pPr>
      <w:r>
        <w:rPr>
          <w:rFonts w:ascii="Amiri" w:hAnsi="Amiri" w:eastAsia="Amiri" w:cs="Amiri"/>
          <w:color w:val="111111"/>
          <w:sz w:val="28"/>
          <w:sz w:val="28"/>
          <w:szCs w:val="28"/>
          <w:rtl w:val="true"/>
          <w:lang w:bidi="ar-SA"/>
        </w:rPr>
        <w:t>عدم نجاسة المذي حيث قدّم نصوصا على الطّهارة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الأصل الطّهارة فتستصحب إلى أنّ يقوم دليل المنافي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ذهابه إلى عدم 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أورد النّصّ أوّلا،ثمَّ عقّب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طاهر قبل الاستحالة فيستصحب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دام المؤلّف يحرص على عرض أكثر من دليل كما سنرى لا حقا،حينئذ فإنّ المسوّغ لتقديم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إضافة إلى النّصّ يتناسب مع المنهج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كنّا نتحفّظ في قيمة الأصل مقابل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 توفّر النّصوص الكثيرة الدّالّة على عدم نجاسة المذي،تنتفي مشروعيته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أورده المؤلّف،إلاّ في حالة عدم قناعة المخالف بالنّصوص الّتي استدلّ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تجدر ملاحظته هنا أنّ المؤلّف يقدّم 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النّصّ في غالبيّة ممارساته بحيث يعرض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يردفه بالنّصّ،و هذا من نحو ذهابه إلى عدم نجاسة عرق الجنب حيث قال مستدلاّ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الأصل الطّهارة،فتستصحب،و ما رواه الشيخ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نحو ذهابه إلى عدم جواز شهادة المرأة في الهلال،حيث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براءة الذّمّة و عدم التّكليف بالصّوم عند شهادتهنّ،و ما تقدّم في الحديث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هذه النّماذج و سواها،يقدّم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 ثمَّ يدعمه بالنّصّ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لا فاعليّة لمثل هذا التّقديم،لبداهة أنّ النّصّ هو المحرز لاكتشاف الحكم،فكيف يقدّم عليه ما هو غير محرز؟</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ليس من باب التّقديم،بل من باب أنّه القاعدة و الأصل الّتي يرجع إليها عند عدم تماميّة الأدلّة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أيضا،ثمّة مسوّغ آخر يمكن التّسليم به،و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إذا كان المؤلّف في صدد تقديم دليل يتوافق مع مبادي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مثلا،حينئذ يكون تقديم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متجانسا مع المنهج المقارن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 حالة 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ملاحظ مثلا في تعامل المؤلّف مع فقهاء الخاصّة الّذين أورد و جهات نظرهم حيال طهارة أو نجاسة عرق الجنب،ثمَّ استدلّ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bookmarkStart w:id="86" w:name="pg12666_159725"/>
    </w:p>
    <w:p>
      <w:pPr>
        <w:pStyle w:val="BookText"/>
        <w:rPr/>
      </w:pPr>
      <w:bookmarkEnd w:id="86"/>
      <w:r>
        <w:rPr>
          <w:rFonts w:ascii="Amiri" w:hAnsi="Amiri" w:eastAsia="Amiri" w:cs="Amiri"/>
          <w:color w:val="111111"/>
          <w:sz w:val="28"/>
          <w:sz w:val="28"/>
          <w:szCs w:val="28"/>
          <w:rtl w:val="true"/>
          <w:lang w:bidi="ar-SA"/>
        </w:rPr>
        <w:t>أوّلا ثمَّ أورد النّصوص،كما لحظنا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مثل هذه الحالة تفتقد الفاعلية لأمثلة هذا التّقديم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المهم،أنّ تعامل المؤلّف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يقترن حينا بما هو غير ضروري،و حينا آخر يقترن بما هو مسوّغ منهجيّا،كما هو الأمر بالنّسبة إلى عدم حجّيّة النّص لديه،كما لو كان الخبر ضعيفا أو كان حيال خبرين متعارضين حيث يسقطهما و يتمسّك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الاستشهاد في الحالة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سقوط الخبر لضعفه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بممارسته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إنّ التّحقيق و إن كان إنّه لا مجرى للأصل و لا مجال له مع النّصّ المعتبر السّند،لكونه واردا على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حاكما على بعض المباني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يرى كثيرا في كتب العلماء ممّن تقدّم على الشّيخ الأعظم الاستدلال بالأصل و بالنّصّ الموافق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عرض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 عن هذا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مسألة تقدّم ذكر الأصل على النّصّ،فيمكن توجيهه بأنّ الأصل لمّا كان موضوعه عدم العلم و هو أمر متقدّم بالطّبع على العلم الحاصل من النّصّ،فلذلك يقدّم عليه في الذّكر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 w:name="__RefHeading___Toc746681_222507752"/>
      <w:bookmarkStart w:id="88" w:name="_Toc31"/>
      <w:bookmarkEnd w:id="87"/>
      <w:r>
        <w:rPr>
          <w:rtl w:val="true"/>
        </w:rPr>
        <w:t>تعدّد الأدلّة</w:t>
      </w:r>
      <w:r>
        <w:rPr>
          <w:rtl w:val="true"/>
        </w:rPr>
        <w:t>:</w:t>
      </w:r>
      <w:bookmarkEnd w:id="88"/>
    </w:p>
    <w:p>
      <w:pPr>
        <w:pStyle w:val="BookText"/>
        <w:rPr/>
      </w:pPr>
      <w:r>
        <w:rPr>
          <w:rFonts w:ascii="Amiri" w:hAnsi="Amiri" w:eastAsia="Amiri" w:cs="Amiri"/>
          <w:color w:val="111111"/>
          <w:sz w:val="28"/>
          <w:sz w:val="28"/>
          <w:szCs w:val="28"/>
          <w:rtl w:val="true"/>
          <w:lang w:bidi="ar-SA"/>
        </w:rPr>
        <w:t>من الظّواهر الملحوظة في ممارسات المؤلّف،هي اللّجوء إلى أكثر من دليل واحد في تحريره للمسألة المبحوث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طبيعيّا،ثمّة مواقف تفرض تعدّد 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الكتاب ثمَّ النّصوص الحديثية مضافا إلى فعل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تقريره،حيث أنّ حشدها جميعا يعمّق من القناعة بصحّة الاستدلال،فمثلا في تدليله على عدم انفعال الماء الجاري بالنّجاسة، كان من الممكن أن يكتفي بدليل من السّنّة 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يبول في الماء الجاري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أورد ثلاثة أدلّة أخرى رئيسة و ثانويّة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الجاري قاهر للنّجاسة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الأصل الطّهارة،فتستصحب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أورد دليلا رئيسا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أورد دليلا ثانويّا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أورد دليلا استقرائيّا مستخلصا من نصوص اخرى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قاهرا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واحدا منها كاف في التّدليل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يظلّ تعدّد مثل هذه الأدلّة له ما يسوّغه في عمليّة الإقناع</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منهج المقارنة يفرض تنوّع الأدلّة حسب المعايير الّتي ينبغي الرّكون إليها بالنّسبة لأطراف المقارنة،سواء أ كانوا من العامّة أو الخاصّة،ما دام الفقهاء داخل المذهب الواحد </w:t>
      </w:r>
      <w:bookmarkStart w:id="89" w:name="pg12666_159726"/>
    </w:p>
    <w:p>
      <w:pPr>
        <w:pStyle w:val="BookText"/>
        <w:rPr/>
      </w:pPr>
      <w:bookmarkEnd w:id="89"/>
      <w:r>
        <w:rPr>
          <w:rFonts w:ascii="Amiri" w:hAnsi="Amiri" w:eastAsia="Amiri" w:cs="Amiri"/>
          <w:color w:val="111111"/>
          <w:sz w:val="28"/>
          <w:sz w:val="28"/>
          <w:szCs w:val="28"/>
          <w:rtl w:val="true"/>
          <w:lang w:bidi="ar-SA"/>
        </w:rPr>
        <w:t>يتمايزون فيما بينهم بالنّسبة للمباني الّتي يعتمدونها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أولئك يفسّر لنا مشروعيّة تعدّد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الحقّ،أنّنا لا نجدنا بحاجة إلى الاستشهاد بنماذج في هذا الصّدد،حيث أنّ وقوفنا على منهجه المقارن و الاستدلالي أبرز لنا طبيعة التّعدّد أو التّنوّع في كتبهم الاستدلالية للأدلّة الّتي يعتمدها المؤلّف،فيما تفصح مستوياتها عن مدى الثّراء و العمق و الجدّيّة و السّعة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المهم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حرص المؤلّف على تعدّد الأدلّة ما دام نابعا من كونه يقوم بعمليّة مقارنة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جانب،و عرض الأدلّة بما يحقّق الإقناع للقارئ من جانب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طبيعة المناقشة أو البرهنة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جانب ثالث،تفرض عليه أن يعتمد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تعدّد 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لو خضعت لما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الأدلّة،ما دام الهدف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إلزام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المخالف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إقناعه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بصواب ما يذهب إليه المؤلّف،و بخطإ ما يذهب إليه المخالف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فمثلا،عند ردّه لرواية خاصّة تحدّد عدم انفعال الماء إذا كان قدر قلّتين،يردّه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مرسل،و لأنّه مناف لعمل الأصحاب،و لأنّه ورد للتّقيّة،و لأنّه يحتمل أن تكون القلّة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فالإرسال، و عدم العمل به،و وروده تقيّة،أو احتمال بلوغ القلّة قدر الكرّ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واحد من هذه الفرضيّات الأربع،كاف في الرّدّ على الرّواية،إلاّ أنّ المؤلّف أخضع ذلك لافتراضات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سند الرّواية و دلالتها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المخالف بوجهة النّظر،سليمة من الإشكالات أيّا كان نمطها</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746683_222507752"/>
      <w:bookmarkStart w:id="91" w:name="_Toc32"/>
      <w:bookmarkEnd w:id="90"/>
      <w:r>
        <w:rPr>
          <w:rtl w:val="true"/>
        </w:rPr>
        <w:t>التّعامل مع السّند</w:t>
      </w:r>
      <w:r>
        <w:rPr>
          <w:rtl w:val="true"/>
        </w:rPr>
        <w:t>:</w:t>
      </w:r>
      <w:bookmarkEnd w:id="91"/>
    </w:p>
    <w:p>
      <w:pPr>
        <w:pStyle w:val="BookText"/>
        <w:rPr/>
      </w:pPr>
      <w:r>
        <w:rPr>
          <w:rFonts w:ascii="Amiri" w:hAnsi="Amiri" w:eastAsia="Amiri" w:cs="Amiri"/>
          <w:color w:val="111111"/>
          <w:sz w:val="28"/>
          <w:sz w:val="28"/>
          <w:szCs w:val="28"/>
          <w:rtl w:val="true"/>
          <w:lang w:bidi="ar-SA"/>
        </w:rPr>
        <w:t>ما تقدّم،يمثّل تعامل المؤلّف مع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الآن،فنعرض لتعامله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سلفا،ينبغي التّأكيد على حقيقة ملحوظة في منهج المؤلّف بالنّسبة إلى تعامله مع السّند،و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يرتّب أثرا على الرّواية من حيث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مبدأ عام في ممارساته،حيث يظلّ مثل هذا التّعامل أمرا له أهمّيّته العمليّة دون أدنى شك،لبداهة أنّ تحقيق النّصّ و تصحيح نسبته إلى قائله،يظلّ واحدا من أهمّ معالم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المنهج التّاريخيّ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البحوث القديمة و المعاصرة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بخاصّة إذا كان النّصّ المبحوث عنه ينتسب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الموروث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الممتد إلى أزمنة 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شكّ أنّ البحث الفقهيّ سبق البحوث العلميّة الأخرى في منهجه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مضافا إلى أنّ إثبات الحكم الشّرعي و إسناده إلى الشّارع لا يجوز قطعا إلاّ بعد اعتبار سند النّصّ،و هو أمر واضح منصوص عليه في كتب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التاريخيّ الّذي تبلورت معالمه في أزمنتنا 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المهم أيضا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أعار اهتماما أكثر من سواه بالنّسبة إلى تصحيح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صدوره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يشير مؤرّخوه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حرص على تصنيف الأحاديث إلى أقسامها المعروفة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يكشف ذلك عن مدى اهتمامه بهذا الجانب،حيث ينبغي لنا أن نثمّنه كلّ التّثمين،ما دام الحكم الشّرعيّ يتوقّف على مدى صحّة النّصّ و عدمها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انطلاقا من هذه الحقيقة نجد المؤلّف يرتّب الأثر على هذا الجانب،فيقبل الرّواية المستجمعة لشرائط الصّحّة،و يرفض الرّواية الفاقدة للشّروط المذكورة،بحيث يرتّب على ذلك أثرا في استخلاص الحكم الشّرعيّ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معالجته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سبيل الاستشهاد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لقضيّة المسافر في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تقييد إفطاره بتبييت النّيّة ليلا أو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رفض هذا القيد،و أسقط جميع الرّوايات المقيّدة،قائلا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 عن الحديث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 طريقه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الحديث الثّاني في طريقه ابن فضّال،و هو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الثّالث في طريقه ابن فضّال،و هو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الرّابع 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رتّب على هذا الرّفض للرّوايات حكما شرعيّا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المعيار هو السفر قبل الزوال و بعده،حيث يفطر إذا كان السّفر قبل الزوال،و يتمّ إذا كان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أنّ هذا المبدأ العام يظلّ خاضعا للاستثناء،شأنه شأن سائر المبادي أو القوانين الخاضعة للاستثناءات،إذ أنّ لكلّ قاعدة استثناء،كما هو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 نجده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سياقات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 بالخبر الضّعيف،و بالمقابل قد يرفض ما هو صحيح في حالة معارضته بمثله،فيسقطهما و يرجع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 حالة معارضته للقرآن الكريم مثلا، أو في حالة ندرته قبالة ما هو مشهور،أو في حالة عدم عمل الأصحاب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عمله بالخبر الضّعيف،فيأخذ مستويات متنوّعة،منها</w:t>
      </w:r>
      <w:r>
        <w:rPr>
          <w:rFonts w:eastAsia="Amiri" w:cs="Amiri" w:ascii="Amiri" w:hAnsi="Amiri"/>
          <w:color w:val="111111"/>
          <w:sz w:val="28"/>
          <w:szCs w:val="28"/>
          <w:rtl w:val="true"/>
          <w:lang w:bidi="ar-SA"/>
        </w:rPr>
        <w:t xml:space="preserve">: </w:t>
      </w:r>
      <w:bookmarkStart w:id="92" w:name="pg12666_159728"/>
    </w:p>
    <w:p>
      <w:pPr>
        <w:pStyle w:val="Heading4"/>
        <w:numPr>
          <w:ilvl w:val="3"/>
          <w:numId w:val="1"/>
        </w:numPr>
        <w:rPr/>
      </w:pPr>
      <w:bookmarkStart w:id="93" w:name="__RefHeading___Toc746685_222507752"/>
      <w:bookmarkStart w:id="94" w:name="_Toc33"/>
      <w:bookmarkEnd w:id="92"/>
      <w:bookmarkEnd w:id="93"/>
      <w:r>
        <w:rPr>
          <w:rtl w:val="true"/>
        </w:rPr>
        <w:t>عمل الأصحاب</w:t>
      </w:r>
      <w:r>
        <w:rPr>
          <w:rtl w:val="true"/>
        </w:rPr>
        <w:t>:</w:t>
      </w:r>
      <w:bookmarkEnd w:id="94"/>
    </w:p>
    <w:p>
      <w:pPr>
        <w:pStyle w:val="BookText"/>
        <w:rPr/>
      </w:pPr>
      <w:r>
        <w:rPr>
          <w:rFonts w:ascii="Amiri" w:hAnsi="Amiri" w:eastAsia="Amiri" w:cs="Amiri"/>
          <w:color w:val="111111"/>
          <w:sz w:val="28"/>
          <w:sz w:val="28"/>
          <w:szCs w:val="28"/>
          <w:rtl w:val="true"/>
          <w:lang w:bidi="ar-SA"/>
        </w:rPr>
        <w:t>و هذا المبدأ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كنّا نتحفّظ في أهمّيّته الّتي يؤكّدها كثير من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يظلّ واحدا من المبادي الّتي يعتمدها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ممارساته،بصفة أنّ عمل القدماء بالخبر الضّعيف يكشف عن وجود قرائن على صحّته،ما دامت البيئة الّتي يحياها القدماء تساعد على كشف مثل تلكم القرائن المحتفّة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المهم،أنّ المؤلّف يرتّب أثرا على هذا المبدأ و إن كان في نماذج من ممارساته يخالف المبدأ المذكور،كما لحظنا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أيّا كان،بمقدورنا أن نستشهد بنماذج من ممارساته في هذا الميدان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من نحو عمله بمرسلة ابن أبي عمير الواردة في تحديد الكرّ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وزنا،و برواية أبي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طريقها رأو واقفي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الواردة في تحديد الكرّ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مساحة،حيث عقّب على الاولى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عليها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عقّب على الأخرى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الرّواية عمل عليها أكثر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نحو تعقيبه على روايتي عمّار و سماعة الواردتين في إراقة الإناءين المشتبه أحدهما بالنّجاسة،قائلا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سماعة و عمّار و إن كانا ضعيفين،إلاّ أنّ الأصحاب تلقّت هذين الحديثين بالقبول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746687_222507752"/>
      <w:bookmarkStart w:id="96" w:name="_Toc34"/>
      <w:bookmarkEnd w:id="95"/>
      <w:r>
        <w:rPr>
          <w:rtl w:val="true"/>
        </w:rPr>
        <w:t>تصحيح الأصحاب</w:t>
      </w:r>
      <w:r>
        <w:rPr>
          <w:rtl w:val="true"/>
        </w:rPr>
        <w:t>:</w:t>
      </w:r>
      <w:bookmarkEnd w:id="96"/>
    </w:p>
    <w:p>
      <w:pPr>
        <w:pStyle w:val="BookText"/>
        <w:rPr/>
      </w:pPr>
      <w:r>
        <w:rPr>
          <w:rFonts w:ascii="Amiri" w:hAnsi="Amiri" w:eastAsia="Amiri" w:cs="Amiri"/>
          <w:color w:val="111111"/>
          <w:sz w:val="28"/>
          <w:sz w:val="28"/>
          <w:szCs w:val="28"/>
          <w:rtl w:val="true"/>
          <w:lang w:bidi="ar-SA"/>
        </w:rPr>
        <w:t>من الاستثناءات للعمل بالخبر الضّعيف لدى المؤلّف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بما أجمع الأصحاب على تصحيح ما يرويه نفر خاصّ من الرّواة،من أمثال مراسيل ابن أبي عمير و سواه،حيث عمل المؤلّف بمراسيل هذا الأخير،من نحو ذهابه إلى عدم جواز بيع العجين النّجس، مستدلاّ بمرسلة ابن أبي عمير القائلة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يدفن و لا يباع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قبل مراسيله بشكل عام،حينما علّق على مرسلة أخرى تتحدّث عن العجين النّجس،بأنّه يظهر بالنّار،قائلا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كانت مراسيل ابن أبي عمير معمولة بها،إلاّ أنّها معارضة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تكون مقبولة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bookmarkStart w:id="97" w:name="pg12666_159729"/>
    </w:p>
    <w:p>
      <w:pPr>
        <w:pStyle w:val="Heading4"/>
        <w:numPr>
          <w:ilvl w:val="3"/>
          <w:numId w:val="1"/>
        </w:numPr>
        <w:rPr/>
      </w:pPr>
      <w:bookmarkStart w:id="98" w:name="__RefHeading___Toc746689_222507752"/>
      <w:bookmarkStart w:id="99" w:name="_Toc35"/>
      <w:bookmarkEnd w:id="97"/>
      <w:bookmarkEnd w:id="98"/>
      <w:r>
        <w:rPr>
          <w:rtl w:val="true"/>
        </w:rPr>
        <w:t>مناسبة المذهب</w:t>
      </w:r>
      <w:r>
        <w:rPr>
          <w:rtl w:val="true"/>
        </w:rPr>
        <w:t>:</w:t>
      </w:r>
      <w:bookmarkEnd w:id="99"/>
    </w:p>
    <w:p>
      <w:pPr>
        <w:pStyle w:val="BookText"/>
        <w:rPr/>
      </w:pPr>
      <w:r>
        <w:rPr>
          <w:rFonts w:ascii="Amiri" w:hAnsi="Amiri" w:eastAsia="Amiri" w:cs="Amiri"/>
          <w:color w:val="111111"/>
          <w:sz w:val="28"/>
          <w:sz w:val="28"/>
          <w:szCs w:val="28"/>
          <w:rtl w:val="true"/>
          <w:lang w:bidi="ar-SA"/>
        </w:rPr>
        <w:t>و من الاستثناءات لدى المؤلّف في العمل بالخبر الضّعيف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مناسبته للمذهب أو للرّوايات الصّحيحة،و هذا مثل تعليقه على روايتين تتحدّثان عن طهارة الأسئار للسّباع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طريقهما واقفيّ و فطحيّ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حديث أبي بصير و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كانا ضعيفين،لأنّ في الأوّل عليّ بن أبي حمزة،و هو واقفيّ،و عمّار،و هو فطحيّ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مناسب للمذهب</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الحق،أنّ العمل بالخبر الضّعيف من حيث مناسبته للمذهب،و لا يكتسب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حالة فقدان النّصوص المعتبرة،أمّا مع وجود النّصوص المعتبرة فلا يزيد عن كونه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من حيث مجانسته لها،دون أن يأخذ صفة استقلاليّة،لذلك يتعذّر القول بأنّ المؤلّف قد عمل بالخبرين المذكورين،لأنّ العمل أساسا قد تمَّ من خلال النصوص المعتبرة الّتي جاء هذان الخبران في سياقهما،كما هو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على العكس ممّا لو اكتسب الخبر الضّعيف صفة استقلاليّة بحيث يصحّ أن يعتمده المؤلّف في حالة فقدان النّصوص المعتبرة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خلال مناسبته للمذهب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من نحو عمله بالرّواية الذّاهبة إلى أنّ الصّائم يقضي صومه في حالة إفطاره قبل المغرب لتوهّم الظّلمة و نحوها،حيث عقّب المؤلّف على ذلك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حديثنا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يرويه محمّد بن عيسى بن عبيد عن يونس بن عبد الرّحمن،و قد توقّف ابن بابويه فيما يرويه محمّد بن عيسى عن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اعتضد بأنّه تناول ما ينافي الصّوم عامدا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،فمناسبة هذا الخبر للمذهب تتجسّد في كونه قد تجانس مع الدّليل القائل بأنّ تناول ما ينافي الصّوم يستلزم إفساده،و لذلك جاء العمل بهذا الخبر الضّعيف مقرونا بالأهمّيّة من حيث تجانسه مع دليل عقليّ،على العكس من الحالة السّابقة الّتي جاء فيها الخبران الضّعيفان في سياق الأخبار المعتبرة،حيث لا فاعليّة لمفهوم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المناسبة للمذهب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فيهما،ما دام النّصّ المعتبر هو الدّليل،و ليس الدّليل العقليّ أو الاستقرائيّ،كما قلنا</w:t>
      </w:r>
      <w:r>
        <w:rPr>
          <w:rFonts w:eastAsia="Amiri" w:cs="Amiri" w:ascii="Amiri" w:hAnsi="Amiri"/>
          <w:color w:val="111111"/>
          <w:sz w:val="28"/>
          <w:szCs w:val="28"/>
          <w:rtl w:val="true"/>
          <w:lang w:bidi="ar-SA"/>
        </w:rPr>
        <w:t xml:space="preserve">. </w:t>
      </w:r>
      <w:bookmarkStart w:id="100" w:name="pg12666_159730"/>
    </w:p>
    <w:p>
      <w:pPr>
        <w:pStyle w:val="Heading4"/>
        <w:numPr>
          <w:ilvl w:val="3"/>
          <w:numId w:val="1"/>
        </w:numPr>
        <w:rPr/>
      </w:pPr>
      <w:bookmarkStart w:id="101" w:name="__RefHeading___Toc746691_222507752"/>
      <w:bookmarkStart w:id="102" w:name="_Toc36"/>
      <w:bookmarkEnd w:id="100"/>
      <w:bookmarkEnd w:id="101"/>
      <w:r>
        <w:rPr>
          <w:rtl w:val="true"/>
        </w:rPr>
        <w:t>تأييد و تقوية</w:t>
      </w:r>
      <w:r>
        <w:rPr>
          <w:rtl w:val="true"/>
        </w:rPr>
        <w:t>:</w:t>
      </w:r>
      <w:bookmarkEnd w:id="102"/>
    </w:p>
    <w:p>
      <w:pPr>
        <w:pStyle w:val="BookText"/>
        <w:rPr/>
      </w:pPr>
      <w:r>
        <w:rPr>
          <w:rFonts w:ascii="Amiri" w:hAnsi="Amiri" w:eastAsia="Amiri" w:cs="Amiri"/>
          <w:color w:val="111111"/>
          <w:sz w:val="28"/>
          <w:sz w:val="28"/>
          <w:szCs w:val="28"/>
          <w:rtl w:val="true"/>
          <w:lang w:bidi="ar-SA"/>
        </w:rPr>
        <w:t>و هذا النّمط من العمل بالخبر الضّعيف،سبق أنّ تحدّثنا عنه،و قلنا في حينه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إيراد الخبر الضّعيف في سياق الأخبار المعتبرة يكسب الضّعيف قوّة،و ليس العكس،و لذلك لا ضرورة لهذا النّمط من العمل بالضّعيف،طالما لا يترك أثره على عمليّة الاستدلال، حيث إنّ الضّعيف يكتسب قيمته الاستدلاليّة في حالة انفراده،كما هو بيّن</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746693_222507752"/>
      <w:bookmarkStart w:id="104" w:name="_Toc37"/>
      <w:bookmarkEnd w:id="103"/>
      <w:r>
        <w:rPr>
          <w:rtl w:val="true"/>
        </w:rPr>
        <w:t>إلزام المخالف</w:t>
      </w:r>
      <w:r>
        <w:rPr>
          <w:rtl w:val="true"/>
        </w:rPr>
        <w:t>:</w:t>
      </w:r>
      <w:bookmarkEnd w:id="104"/>
    </w:p>
    <w:p>
      <w:pPr>
        <w:pStyle w:val="BookText"/>
        <w:rPr/>
      </w:pPr>
      <w:r>
        <w:rPr>
          <w:rFonts w:ascii="Amiri" w:hAnsi="Amiri" w:eastAsia="Amiri" w:cs="Amiri"/>
          <w:color w:val="111111"/>
          <w:sz w:val="28"/>
          <w:sz w:val="28"/>
          <w:szCs w:val="28"/>
          <w:rtl w:val="true"/>
          <w:lang w:bidi="ar-SA"/>
        </w:rPr>
        <w:t>لعلّ العمل بالضّعيف لدى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حالة إيراده بمثابة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إلزام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للمخالف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يظلّ عرضة لإثارة أكثر من إشكال حيال هذا التّعامل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التّعامل يأخذ لدى المؤلّف أكثر من أسلوب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حينا يعمل به في سياق عرض أدلّته الشّخصيّة،و حينا آخر يعمل به في سياق أدلّة المخالف و الرّدّ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العمل في صعيد عرض الأدلّة المخالفة،فأمر يحمل مسوّغاته دون أدنى شك،فما دام المخالف مقتنعا بالخبر الضّعيف،فحينئذ يجيء إلزامه بالخبر المذكور مناسبا للموقف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حتّى في صعيد عرض الأدلّة الشّخصيّة يكون العمل بالضّعيف مشروعا في حالة كونه مرتبطا بروايات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 هدف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إلزامهم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بوجهة نظره الّتي يلتمس لها أدلّة معزّزة بروايات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الجمهور</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حالة كونه مرتبطا بروايات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المسوّغ للعمل به ينحصر في حالة الّذي يناقشه كون الفقيه المؤلّف مقتنعا بحجّيّة هذه الرّواية الضّعيفة أو تلك،كما قلنا،و خارجا عن ذلك،لا نجد مسوّغا للعمل بالخبر الضّعيف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لذلك،فإنّ المؤلّف يتعامل بصورة ذكيّة جدّا في كثير من ممارساته القائمة على مناقشة الآخرين،فهو يورد الأدلّة الرّوائية المعتبرة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هي المرحلة المعبّرة عن وجهة نظره الّتي هي حجّة بينه و بين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ذلك يورد الخبر الضّعيف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إلزاما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يناقشه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فمثلا،لحظنا أنّ المؤلّف قد أسقط جميع الرّوايات الواردة بالنّسبة إلى تبييت النّيّة لمن يسافر في رمضان،لكنّه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w:t>
      </w:r>
    </w:p>
    <w:p>
      <w:pPr>
        <w:pStyle w:val="BookText"/>
        <w:rPr/>
      </w:pPr>
      <w:r>
        <w:rPr>
          <w:rFonts w:ascii="Amiri" w:hAnsi="Amiri" w:eastAsia="Amiri" w:cs="Amiri"/>
          <w:color w:val="111111"/>
          <w:sz w:val="28"/>
          <w:sz w:val="28"/>
          <w:szCs w:val="28"/>
          <w:rtl w:val="true"/>
          <w:lang w:bidi="ar-SA"/>
        </w:rPr>
        <w:t>ذلك،لأجل الإلزام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رتّب عليها أثرا،فحملها على أكثر من محمل،مثل قوله عن أحد الأخبار الضّعيفة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ضعيف،و محمول على من سافر بعد الزّوال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عن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ذلك،يحتمل 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مع سائر روايات المسألة المشار إليها، حيث أوّلها بما لا يتنافى مع وجهة نظره الذّاهبة إلى أنّ ميزان الإفطار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السّفر قبل الزّوال و ليس تبييت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يلاحظ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 المؤلّف حينا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الرّواية،ثمَّ العمل بها حينا آخر،حيث يصرّح في الحالة الأولى بسبب ذلك،و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 الرّاوي،كما لو كان فطحيّا أو واقفيّا أو غيرهما من أمثال سماعة و عمّار و ابن فضّال و ابن بكير و سواهم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الحالة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يصرّح بأنّ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الرّاوي هو نفسه في الحالتين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بسبب من كون أولئك الرّواة قد تأرجح القول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وثاقتهم و عدمها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وثّقهم البعض،و قدح فيهم بعض آخر، حينئذ نجده عند التّأييد لوجهة نظره يصرّح بوثاقتهم من قبل أهل التّعديل و الجرح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في كتابه الرّجاليّ المعروف يحسم الموقف حينا،فيميل إلى التّرجيح بوثاقتهم،و يتردّد بالنّسبة إلى 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في حالة اخرى نجده يقدح بهم،و هذا ما يمكن ملاحظته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سبيل الاستشهاد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نجده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ذهابه إلى عدم إجزاء الغسل عن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يسقط رواية ابن فضّال القاضية بالإجزاء،قائلا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بالنّسبة لإسقاطه روايتين لحظنا هما عند حديثنا عن روايات تبييت النّيّة في سفر رمضان، حيث أسقطهما لمكان ابن فضّال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بالنّسبة لحكم الحائض المبتدئة،مثلا يعلّق على رواية في طريقها ابن فضّال نفسه،قائلا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فطحيّ،إلاّ أنّ الأصحاب شهدوا له بالثّقة و 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نجده في إيراده لرواية أخرى لابن فضّال تتعلّق بوجوب الغسل في صحّة الصّوم بالنّسبة إلى الحائض،يستشهد بقول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فضّال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 أصحابنا بالكوفة،و وجههم،و ثقتهم،و عارفهم بالحديث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الأمر كذلك بالنّسبة إلى رواه آخرين مثل عمر و إسحاق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يسقط رواياتهم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يضفي عليهم طابع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الوثاقة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عندما يعزّز برواياتهم وجهة نظره،مشيرا إلى أنّ الأصحاب </w:t>
      </w:r>
      <w:bookmarkStart w:id="105" w:name="pg12666_159732"/>
    </w:p>
    <w:p>
      <w:pPr>
        <w:pStyle w:val="BookText"/>
        <w:rPr/>
      </w:pPr>
      <w:bookmarkEnd w:id="105"/>
      <w:r>
        <w:rPr>
          <w:rFonts w:ascii="Amiri" w:hAnsi="Amiri" w:eastAsia="Amiri" w:cs="Amiri"/>
          <w:color w:val="111111"/>
          <w:sz w:val="28"/>
          <w:sz w:val="28"/>
          <w:szCs w:val="28"/>
          <w:rtl w:val="true"/>
          <w:lang w:bidi="ar-SA"/>
        </w:rPr>
        <w:t>شهدوا بالثّقة لهذا الرّاوي أو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من الممكن أن نقول بأنّ المؤلّف حينما سكت عن عمّار،أو سماعة،أو ابن فضّال،أو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مناقشيه يعتمدون رواياتهم مثلا،و أنّه لا يعتمدهم في حالة تقديمه لأدلّته الخاصّة،لكن حينما يؤكّد على أنّ الأصحاب شهدوا لهم بالثّقة،حينئذ كيف يسوّغ له أن يرفض رواياتهم الّتي لا تتّسق مع وجهة نظره،و بكلمة جديدة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المؤلّف إمّا أن يكون مقتنعا بوثاقتهم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الصّحيح،بدليل أنّه قد وثّقهم كما لحظنا في النّماذج السّابقة،فضلا عمّا أوضحه أيضا في كتابه الرّجاليّ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أن يقتنع بعدم وثاقتهم،فحينئذ لا معنى للاعتماد على رواياتهم إلاّ في 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الإلزام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ما لا ينطبق على حالة الرّواة المشار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طبيعيّا،لو كان المؤلّف مقتنعا بعدم وثاقتهم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الحال بالنّسبة إلى رأو مثل أحمد بن هلال مثلا،فحينئذ عندما يسكت عن الطّعن به،نفسّر ذلك بأنّه يستهدف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 بروايته كما حدث بالنّسبة إلى استدلاله على مطهّريّة المستعمل في رفع الحدث الأصغر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بالرّواية 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حدث بالنّسبة إلى استدلاله على مطهّريّة المستعمل في رفع الحدث الأكبر،حيث نفت الرّواية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 نفسّر موقفه بأنّ قناعته الحقيقيّة بعدم وثاقة الرّاوي المذكور تفرض عليه ذلك،و أنّ عدم طعنه إنّما 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إلزاما للمخالف فحسب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 حالة كونه قد اقتنع بوثاقة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الحال بالنّسبة لبعض الفطحيّين و الواقفيّين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 فإن رفض رواياتهم يظلّ محلّ تساؤل</w:t>
      </w:r>
    </w:p>
    <w:p>
      <w:pPr>
        <w:pStyle w:val="Heading4"/>
        <w:numPr>
          <w:ilvl w:val="3"/>
          <w:numId w:val="1"/>
        </w:numPr>
        <w:rPr/>
      </w:pPr>
      <w:bookmarkStart w:id="106" w:name="__RefHeading___Toc746695_222507752"/>
      <w:bookmarkStart w:id="107" w:name="_Toc38"/>
      <w:bookmarkEnd w:id="106"/>
      <w:r>
        <w:rPr>
          <w:rtl w:val="true"/>
        </w:rPr>
        <w:t>العمل أولى من الطّرح</w:t>
      </w:r>
      <w:r>
        <w:rPr>
          <w:rtl w:val="true"/>
        </w:rPr>
        <w:t>:</w:t>
      </w:r>
      <w:bookmarkEnd w:id="107"/>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الموارد الّتي لوحظ فيها أنّ المؤلّف يعمل بالخبر الضّعيف فيها،هو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ذهابه إلى أنّ العمل بالرواية أولى من طرحها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لاحظنا ذلك بشكل عام في حقل 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يرتبط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الرّوايات،فإنّ العمل بها،يظلّ نادرا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من نحو ممارسته الذّاهبة إلى إمكان العمل برواية سبق أن رفضها عندما استدلّ على عدم الاعتماد في ثبوت رمضان </w:t>
      </w:r>
      <w:bookmarkStart w:id="108" w:name="pg12666_159733"/>
    </w:p>
    <w:p>
      <w:pPr>
        <w:pStyle w:val="BookText"/>
        <w:rPr/>
      </w:pPr>
      <w:bookmarkEnd w:id="108"/>
      <w:r>
        <w:rPr>
          <w:rFonts w:ascii="Amiri" w:hAnsi="Amiri" w:eastAsia="Amiri" w:cs="Amiri"/>
          <w:color w:val="111111"/>
          <w:sz w:val="28"/>
          <w:sz w:val="28"/>
          <w:szCs w:val="28"/>
          <w:rtl w:val="true"/>
          <w:lang w:bidi="ar-SA"/>
        </w:rPr>
        <w:t>المبارك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حالة غيمومة الهلال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الرّواية القائلة بأن ينظر إلى اليوم الّذي كان الصّوم فيه من العام الماضي،و عدّ خمسة أيّام منه،ثمَّ الصّوم في اليوم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الرّواية الّتي رفضها في هذا المورد بسبب ضعفها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صرّح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قبلها المؤلّف في مورد آخر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حالة ما إذا غامت الأهلّة جميعا،حيث علّق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الاعتبار برواية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العادة قاضية متواترة على نقصان بعض الشّهور في السّنة بعدد الخمس أو أزيد أو أنقص،فيحمل على الأغلب للرّواية الدّالّة على الخمسة،فإنّها معتبرة هاهنا،و إلاّ لزم إسقاطها بالكلّيّة،إذ لا يعمل بها في غير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المؤلّف ذكر روايتين عن الخمسة و رماهما بالإرسال و الضّعف،حيث رفضهما في غيمومة الهلال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مورد غيمومة الأهلّة جميعا،كما أشرنا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الملاحظ هنا جهتان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عدّهما معتبرتين من حيث السّند،أو من حيث الدّلالة،فإذا سقطتا سندا فلا مسوّغ للعمل بهما في بعض الموارد دون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لوحظت دلالتهما،فيمكن العمل بهما،كما أشار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 أنّ رفضهما في غيمومة رمضان المبارك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 من الضّعف و الإرسال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يتناسب مع اعتبارهما في غيمومة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رحمه اللّه حين رأى عمل المشهور بالرّواية في تلك المسألة عدّه معتبرا بخلاف المسألة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الشّهور</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746697_222507752"/>
      <w:bookmarkStart w:id="110" w:name="_Toc39"/>
      <w:bookmarkEnd w:id="109"/>
      <w:r>
        <w:rPr>
          <w:rtl w:val="true"/>
        </w:rPr>
        <w:t>العمل بالضّعيف مطلقا</w:t>
      </w:r>
      <w:r>
        <w:rPr>
          <w:rtl w:val="true"/>
        </w:rPr>
        <w:t>:</w:t>
      </w:r>
      <w:bookmarkEnd w:id="11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بالرّغم من أنّ غالبيّة ممارسات المؤلّف تقوم على رفض العمل بالرّواية الضّعيفة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لحظنا، عدا الموارد الاستثنائية المتقدّمة،إلاّ أنّنا نجده حينا يعمل بالخبر الضّعيف مطلقا،دون أن يعلّل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التّعامل مع الخبر الضّعيف أحيانا،ينطوي على تقدير صائب للموقف،دون أدنى شكّ،فما دام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المطعون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يعني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الحالات جميعها،و ما دام خبره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جانب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يتوافق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مثلا،أو غير معارض بخبر آخر، مضافا إلى خضوع البعض منها لقاعدة ما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التّسامح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غير موارد الوجوب أو الحرمة، </w:t>
      </w:r>
    </w:p>
    <w:p>
      <w:pPr>
        <w:pStyle w:val="BookText"/>
        <w:rPr/>
      </w:pP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العمل بها يحمل مسوّغاته،بخاصّة إذا اقترنت بالقناعة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مرفوضة من حيث الخضوع لقواعد الحجّيّة،إلاّ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ملاحظة القرائن المحتفّة بها،تحمل الفقيه على الظّنّ المعتدّ بصحّة مثل هذه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المهم،أنّ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أمثلة هذه المواقف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 بالخبر الضّعيف،كما قلنا،و هذا من نحو عمله بالرّوايات المانعة من أخذ الرّشاء في الحكم مثلا،حيث استشهد بالرّوايات الضّعيفة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نحو عمله برواية ضعيفة تحرّم الحجّ بمال غير حلال،فيما يعزّزها 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القاعدة الشرعيّة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حتّى في حالة عدم تأييدها بحكم عقليّ أو بعدم خلاف بين الفقهاء،حيث إنّه في حالة عدم الخلاف من الممكن أن يكون العمل بالضّعيف مستندا إلى عمل الأصحاب،يظلّ العمل بالضّعيف أمرا ملحوظا لدى المؤلّف،مثل ذهابه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يحتمل فيها الاستناد إلى قاعدة التّسامح في أدلّة السّنن،فإنّه قد قال بها جمع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استحباب المقام على تجارة معيّنة إذا ربح فيها،و استحباب التّحوّل عنها إذا خسر فيها، و استحباب قلّة الرّبح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إلخ،حيث اعتمد المؤلّف على روايات ضعيفة في المسائل المشار إليها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فيما يتّصل بمطلق التّعامل مع الرّوايات الضّعيفة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حالة التّضارب بين خبرين ضعيفين،نجد أنّ المؤلّف يعمل بهما أيضا ما دام الخبران المتضاربان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يعارضهما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معتبر من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من نحو عمله بروايتين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مرسلة، و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معتبرة،لمكان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فيها،حيث جمع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حديثه عن صفق الوجه بالماء أو صبّه على نحو التّفريق،مستندا إلى وجهة نظر الفقهاء،قائلا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جمع بينهما بأنّ الأوّل محمول على إباحته و لا يجب خلافه و الثّاني محمول على أولويّة غيره،فلا ينافي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حتّى في حالة كون أحدهما ضعيفا و الآخر معتبرا،فإنّ المؤلّف يعمل بهما في صعيد التّضارب أيضا،و هذا من نحو جمعه بين روايات بعضها معتبر و بعضها غير معتبر، تمنع الدائن من أخذ حقّه إذا أودع المدين لديه مالا،و بين روايات ضعيفة تبيح ذلك </w:t>
      </w:r>
      <w:r>
        <w:rPr>
          <w:rStyle w:val="FootnoteAnchor"/>
          <w:rtl w:val="true"/>
        </w:rPr>
        <w:footnoteReference w:id="16"/>
      </w:r>
      <w:r>
        <w:rPr>
          <w:rFonts w:ascii="IRNazanin" w:hAnsi="IRNazanin" w:eastAsia="IRNazanin"/>
          <w:color w:val="111111"/>
          <w:sz w:val="28"/>
          <w:sz w:val="28"/>
          <w:szCs w:val="28"/>
          <w:rtl w:val="true"/>
          <w:lang w:bidi="fa-IR"/>
        </w:rPr>
        <w:t xml:space="preserve">، </w:t>
      </w:r>
      <w:bookmarkStart w:id="111" w:name="pg12666_159735"/>
    </w:p>
    <w:p>
      <w:pPr>
        <w:pStyle w:val="BookText"/>
        <w:rPr/>
      </w:pPr>
      <w:bookmarkEnd w:id="111"/>
      <w:r>
        <w:rPr>
          <w:rFonts w:ascii="Amiri" w:hAnsi="Amiri" w:eastAsia="Amiri" w:cs="Amiri"/>
          <w:color w:val="111111"/>
          <w:sz w:val="28"/>
          <w:sz w:val="28"/>
          <w:szCs w:val="28"/>
          <w:rtl w:val="true"/>
          <w:lang w:bidi="ar-SA"/>
        </w:rPr>
        <w:t>حيث جمع بين الطّائفتين بحمل الرّوايات المانعة على ما لو أنكر المدين،فاستحلفه على ذلك فحلف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أنّ الملاحظ أنّ سكوت المؤلّف عن خدش الرّواية،يتضخّم بنحو ملحوظ في أبواب التّجارة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ذلك يتساوق مع ما قلناه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مقدّمة هذه الصّفحات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المؤلّف يتخلّى عن المنهج المفصّل في الأبواب الأخيرة من الكتاب،لاحتمالات متنوّعة،أشرنا إليها في حينه</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746699_222507752"/>
      <w:bookmarkStart w:id="113" w:name="_Toc40"/>
      <w:bookmarkEnd w:id="112"/>
      <w:r>
        <w:rPr>
          <w:rtl w:val="true"/>
        </w:rPr>
        <w:t>التّوقّف أو التّردّد</w:t>
      </w:r>
      <w:r>
        <w:rPr>
          <w:rtl w:val="true"/>
        </w:rPr>
        <w:t>:</w:t>
      </w:r>
      <w:bookmarkEnd w:id="113"/>
    </w:p>
    <w:p>
      <w:pPr>
        <w:pStyle w:val="BookText"/>
        <w:rPr/>
      </w:pPr>
      <w:r>
        <w:rPr>
          <w:rFonts w:ascii="Amiri" w:hAnsi="Amiri" w:eastAsia="Amiri" w:cs="Amiri"/>
          <w:color w:val="111111"/>
          <w:sz w:val="28"/>
          <w:sz w:val="28"/>
          <w:szCs w:val="28"/>
          <w:rtl w:val="true"/>
          <w:lang w:bidi="ar-SA"/>
        </w:rPr>
        <w:t>يظلّ استخلاص الحكم هو النّتيجة النّهائية لأيّة ممارسة فقهيّة،و إذا كانت الممارسة تعنى بعرض الآراء و الأدلّة و مناقشتها و الرّدّ عليها،فلأنّها مقدّمات لا بدّ أن تقضي إلى ما هو نهائيّ من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الاستخلاص للحكم يأخذ عند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طابعا حاسما لإمكان فيه للافتراض أو التأرجح أو التّوقّف،و إمّا أن يخضع لافتراضات متنوّعة تتطلّبها طبيعة مناقشة الآخرين،و هذان النمطان من استخلاص الحكم لحظناهما بوضوح لدى المؤلّف،فهو يفتي حاسما من خلال دليله الشّخصي الّذي يقدّمه أوّلا ثمَّ يفترض إمكان خضوع هذا النّصّ أو الدّليل إلى حكم آخر كالاستحباب أو الكراهة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إلخ،لكن هناك من الممارسات ما يقف المؤلّف عندها متأرجحا بين هذا الحكم أو ذاك،و من ثمَّ يتوقّف عن إصدار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شكّ أنّ كلاّ من التّأرجح و التّوقّف له مسوّغاته الّتي ينبغي أن نثمّنها لدى المؤلّف ما دامت طبيعة الدّليل لا تسمح له إلاّ بالتّأرجح أو 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يمكننا ملاحظة المستوي الأوّل من إصدار الحكم،أي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التّأرجح،فمثلا في ممارسته الذّاهبة إلى جواز الاقتصار على جزء من السّورة أو قراءة السّورة كاملة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قيل فيه روايتان،إحداهما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الاقتصار على البعض،و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المنع،كان وجها،و يحمل المنع على كمال الفضيلة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سبب هذا التّأرجح أنّ المؤلّف استدلّ أوّلا على وجوب السّورة كاملة،إلاّ أنّه عرض نصوصا معتبرة تجوّز ذلك،ممّا اقتاده إلى التّأرجح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في ممارسته الذّاهبة إلى </w:t>
      </w:r>
    </w:p>
    <w:p>
      <w:pPr>
        <w:pStyle w:val="BookText"/>
        <w:rPr/>
      </w:pPr>
      <w:r>
        <w:rPr>
          <w:rFonts w:ascii="Amiri" w:hAnsi="Amiri" w:eastAsia="Amiri" w:cs="Amiri"/>
          <w:color w:val="111111"/>
          <w:sz w:val="28"/>
          <w:sz w:val="28"/>
          <w:szCs w:val="28"/>
          <w:rtl w:val="true"/>
          <w:lang w:bidi="ar-SA"/>
        </w:rPr>
        <w:t xml:space="preserve">أنّ من استمرّ به المرض إلى رمضان آخر،لا قضاء عليه بل يتصدّق مستدلاّ على ذلك بنصوص لزرارة و ابن مسلم و سواهما،لكنّه نقل قولا لابن بابويه بوجوب القضاء حيث استند هذا الأخير إلى عموم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مَرِيضاً أَوْ عَلى سَفَرٍ فَعِدَّةٌ مِنْ أَيّامٍ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شمولها لمن استمرّ فيه المرض أو عدم استمراره،حيث عقّب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ابن بابويه عندي قويّ،لا يعارض الآية الّتي استدلّ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الأحاديث المرويّة بطريق الآحاد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التّأرجح هنا واضح من خلال ذهابه إلى عدم وجوب القضاء في استناده للنّصوص المشار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استدلّ بها في مسألة سابقة تتعلّق بقضاء السّنة الماضية دون أن يشير إلى أنّها أخبار آحاد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ذهابه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الرّأي الّذي ذهب إليه ابن بابويه،حيث يجسّد هذان النّمطان من الحكم تأرجحا بينهما،كما هو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 أنّ ذهاب المؤلّف إلى أنّ النّصوص المشار إليها أخبار آحاد ممّا يلفت النّظر حقّا،بصفة أنّه عمل بهذه الأخبار من جانب،و بصفة أنّها لا تتضارب مع الآية الكريمة من جانب آخر،بل إنّها تفصّل إجمالها أو تخصّص عمومها،فلا مسوّغ حينئذ للقول بأنّها تطرح،لمخالفتها الكتاب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يمكننا الاستشهاد بنموذج ثالث من ممارساته الّتي يرجّح فيها أحد الجانبين إلاّ انّه يتوقّف في النّهاية،ما نلحظه في ممارسته الذّاهبة إلى عدم 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سورتين في الفريضة حيث استدلّ على ذلك بنصوص مانعة،و بالمقابل قدّم أدلّة المخالف الّتي تجوّز ذلك</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بالرّغم من أنّه ردّ أدلّة المخالف بكون أدلّته الشّخصيّة أصحّ سندا و أوفق للاحتياط، إلاّ أنّه في النّهاية صرّح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المتردّدين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نموذج 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ممارسته الذّاهبة إلى عدم طهارة فضلات ما لا يؤكل لحمه،استند إلى جملة من النّصوص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 ثوبك من أبوال ما لا يؤكل لحمه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بما أنّ هناك رواية لأبي بصير تستثنى عضويّة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يطير فلا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 عقّب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الرّواية مشكلة،و هي معارضة الرواية ابن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القائل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غير مصرّحة بالتّنجيس،أقصى ما في الباب أنّه أمر بالغسل منه،و هذا غير دالّ على النّجاسة إلاّ من حيث المفهوم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وجه تردّده هو أنّ المؤلّف قد استند إلى رواية ابن سنان في تنجيسها لفضلات ما لا يؤكل لحمه،و هنا تردّد في تصريحها بالتّنجيس،مضافا إلى أنّ رواية أبي بصير الذّاهبة إلى عدم نجاسة عضويّة الطّير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رأي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معارضة لرواية ابن سنان،لأنّ الالتزام بأحدهما يلغي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طبيعيّا،يمكن أن تقيّد رواية ابن سنان بالطير فتكون النّتيجة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لا يؤكل لحمه نجس إلاّ الطّير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الممكن أن تقيّد رواية أبي بصير برواية ابن سنان فتكون النّتيجة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لا يؤكل لحمه من الطّير 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الحمل الأخير لا وجه له،لاستلزامه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القيد،و إذا كنّا نعرف بأنّ كلام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 أن يتضمّن قيدا عبثا،حينئذ نستخلص بسهولة أنّ 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مدخليّة في الحكم،و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مستثنى من 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يؤكل لحمه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لا نرى وجها لتردّد المؤلّف في هذه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ملاحظة نمط آخر من التّردّد المقترن بالتّرجيح،يتمثّل في الممارسة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الاستنشاق حكم المضمضة في ذلك،على تردّد،لعدم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فالمؤلّف هنا يرجّح أن يلحق الاستنشاق بالمضمضة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عدم مفطّريّته إذا كان في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لعدم وجود النّص،يتردّد في الإلحاق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واضح، فالملاحظ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النّماذج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من جانب أو فقدانه من جانب آخر، دفع المؤلّف إلى التّردد في إصدار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أيّا كان،فإنّ النّماذج المتقدّمة من تردّد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نابع من كونه يستند إلى أدلّة مرجّحة في نظره،و لكنّه يتوقّف في النّهاية من إصدار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هناك نموذج من الممارسات الّتي لا ترجيح فيها لأحد الأدلّة،حيث يتكافأ الدّليلان ممّا يحمله ذلك على التّردّد أو التّوقّف في إصدار الحكم،و هذا من نحو ممارسته التّالية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 الّذي يخشى المرض بالصّيام هل يباح له الفطر؟فيه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تردّد ينشأ من وجوب الصّوم بالعموم و سلامته عن معارضة المرض،و من كون المرض إنّما يبيح له الفطر لأجل الضّرر به،و هو حاصل هنا،لأنّ الخوف من تجدّد المرض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معنى الخوف من زيادته و تطاوله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يمكن ملاحظة تردّده النّابع من تكافؤ الدّليلين،في ممارسته الآتية</w:t>
      </w:r>
      <w:r>
        <w:rPr>
          <w:rFonts w:eastAsia="Amiri" w:cs="Amiri" w:ascii="Amiri" w:hAnsi="Amiri"/>
          <w:color w:val="111111"/>
          <w:sz w:val="28"/>
          <w:szCs w:val="28"/>
          <w:rtl w:val="true"/>
          <w:lang w:bidi="ar-SA"/>
        </w:rPr>
        <w:t xml:space="preserve">: </w:t>
      </w:r>
      <w:bookmarkStart w:id="114" w:name="pg12666_159738"/>
    </w:p>
    <w:p>
      <w:pPr>
        <w:pStyle w:val="BookText"/>
        <w:rPr/>
      </w:pPr>
      <w:bookmarkEnd w:id="11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فكّر،ففي الإفساد تردّد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ينشأ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عفى لأمّتي الخطأ و النّسيان و ما حدّثت به أنفسها ما لم يعلم أو تعلم،و من كونه متمكّنا من فعله و تركه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فالملاحظ في هذه النّماذج هو تكافؤ الأدلّة الّتي تستاقه إلى التّردّد،في حين كانت النّماذج الّتي سبقتها مطبوعة بتردّد يترجّح فيها أحد الدّليلين،و لكنّه لا يصل إلى اليقين و الظّنّ الّذي يسمح للمؤلّف بأن يحسم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الحالين ثمّة مسوّغات تدفع المؤلّف إلى أمثلة هذا التّردّد الّذي ينبغي تثمينه،دون أدنى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المؤلّف في النّماذج المتقدّمة يتوقّف عن إصدار الحكم،فهناك نمط من التّعامل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على مجرّد الافتراض في مشروعيّة الآراء المخالفة الّتي يتردّد فيها أو يحسم المسألة فيها على خلاف وجهة نظرهم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ما ندرجه ضمن عنوان</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746701_222507752"/>
      <w:bookmarkStart w:id="116" w:name="_Toc41"/>
      <w:bookmarkEnd w:id="115"/>
      <w:r>
        <w:rPr>
          <w:rtl w:val="true"/>
        </w:rPr>
        <w:t>الافتراضات و الحكم</w:t>
      </w:r>
      <w:r>
        <w:rPr>
          <w:rtl w:val="true"/>
        </w:rPr>
        <w:t>:</w:t>
      </w:r>
      <w:bookmarkEnd w:id="116"/>
    </w:p>
    <w:p>
      <w:pPr>
        <w:pStyle w:val="BookText"/>
        <w:rPr/>
      </w:pPr>
      <w:r>
        <w:rPr>
          <w:rFonts w:ascii="Amiri" w:hAnsi="Amiri" w:eastAsia="Amiri" w:cs="Amiri"/>
          <w:color w:val="111111"/>
          <w:sz w:val="28"/>
          <w:sz w:val="28"/>
          <w:szCs w:val="28"/>
          <w:rtl w:val="true"/>
          <w:lang w:bidi="ar-SA"/>
        </w:rPr>
        <w:t>هناك نمط من التّعامل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استخلاص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 على مجرّد الفرضيّة بصحّة ما يحكم به الآخرون،حيث يرتّب المؤلّف على هذا الافتراض آثارا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طبيعيّا،ثمّة فارق بين فرضيّة تقوم على مجرّد التّسليم بما يقوله الآخرون،كما لو اقتنع المؤلّف بدليل خاص لديه،و لكنّه حكم بحكم آخر لإلزام المخالف بفساد وجهة نظر الأخير،حيث لحظنا أمثلة هذا المنحى في سياق ردّه على أدلّة المخالفين،و بين فرضية تسلّم بوجهة نظر المخالف ثمَّ ترتّب عليه الأثر الشّرعيّ،و هذا ما يتمثّل في منهج خاص من الاستدلال يقوم على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بجواز أو حرمة هذا الشّيء أو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إلخ،حيث لا يقتنع المؤلّف بالحكم المذكور،و لكنّه يفرض إمكان صحّته،فيتناوله بالدّراسة مثل سائر المسائل المطروحة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ما يمكن ملاحظته في ممارسات من 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قلنا بجواز الاقتصار على بعض السّورة فلا فرق بين أوّلها و آخرها و أوسطها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يستدلّ على ذلك بروايات في هذا الصّدد</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نحو افتراضه 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الماء النّجس المتمّم كرّا حيث حكم سابقا بعدم تطهّره </w:t>
      </w:r>
    </w:p>
    <w:p>
      <w:pPr>
        <w:pStyle w:val="BookText"/>
        <w:rPr/>
      </w:pPr>
      <w:r>
        <w:rPr>
          <w:rFonts w:ascii="Amiri" w:hAnsi="Amiri" w:eastAsia="Amiri" w:cs="Amiri"/>
          <w:color w:val="111111"/>
          <w:sz w:val="28"/>
          <w:sz w:val="28"/>
          <w:szCs w:val="28"/>
          <w:rtl w:val="true"/>
          <w:lang w:bidi="ar-SA"/>
        </w:rPr>
        <w:t>بإتمامه 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قلنا بالطّهارة،لم يشترط خلوّه من نجاسة عينيّة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نعم،يشترط خلوّه عن 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نحو افتراضه الآتي عن تحريم نقل الزّكاة من بلد المالك إلى غيره حيث حكم سابقا بجواز النّقل،و لكنّه ما دام قد نقل قولا بعدم الجواز،حينئذ فقد افترض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قلنا بتحريم النّقل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الزّكاة إلى بلد آخر تجزئ إذا وصلت إلى الفقراء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يستدرك على ذلك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دفع المالك إلى مستحقّه فيخرج عن العهدة،كما لو أخرجها من 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النّموذج الأوّل افترض المؤلّف جواز الاقتصار على بعض السّورة،مع أنّه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متردّدا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فيها،كما لحظنا في نموذج أسبق من ممارساته،و في النّموذج الثّاني و الثّالث افترض طهارة المتمّم كرّا و تحريم نقل الزّكاة إلى بلد آخر مع أنّه لا يرى طهارة الأوّل و لا تحريم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المهم هو ملاحظة هذا المنحى من الاستدلال من حيث مسوّغاته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تصوّرنا،ثمّة مسوّغ علميّ من النّمط الأوّل من الممارسة،و هو النّمط القائم على تردّده في الحكم،فبما أنّه لم يحسم المسألة،حينئذ فإنّ افتراضه الذّاهب إلى جواز الاقتصار على أوّل السّورة أو وسطها أو آخرها يتناسب مع تردّده طالما يظلّ هناك احتمال بجواز الاقتصار على بعض السّورة يتكافأ مع الاحتمال الآخر،و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الجواز،حيث يترتّب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احتمال الجواز في تبعيض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إمكانيّة أن يكون التّبعيض في أوّلها أو وسطها أو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الاستدلال على إمكانيّة ذلك يتناسب مع الاحتمال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عندما نتّجه إلى النّمط الآخر من عرض المسألة الّتي لم يقتنع بها المؤلّف،حينئذ يثأر السّؤال عن ضرورة أن يستدلّ المؤلّف على إتمام المنجّس كرّا ما دام مقتنعا بأنّ الماء القليل لا يطهر بإتمامه كرّا سواء أ كان مصحوبا بالنّجاسة العينيّة أو غير مصحوب</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نعم،في النّموذج الثّالث من الممارسة يمكن أن نجد مسوّغا للطّرح و هو نقل الزّكاة إلى بلد غير المالك،فبالرّغم من أنّ المؤلّف يرى جواز النّقل،إلاّ أنّ عرضه للمسألة جاء في سياق الإجزاء أو عدمه،حيث أنّه مع القول بالتّحريم حينئذ فإنّ المالك إذا دفعها فقد أبرأ ذمّته </w:t>
      </w:r>
      <w:bookmarkStart w:id="117" w:name="pg12666_159740"/>
    </w:p>
    <w:p>
      <w:pPr>
        <w:pStyle w:val="BookText"/>
        <w:rPr/>
      </w:pPr>
      <w:bookmarkEnd w:id="117"/>
      <w:r>
        <w:rPr>
          <w:rFonts w:ascii="Amiri" w:hAnsi="Amiri" w:eastAsia="Amiri" w:cs="Amiri"/>
          <w:color w:val="111111"/>
          <w:sz w:val="28"/>
          <w:sz w:val="28"/>
          <w:szCs w:val="28"/>
          <w:rtl w:val="true"/>
          <w:lang w:bidi="ar-SA"/>
        </w:rPr>
        <w:t>و إن كان قد عمل محرّما من حيث النّقل،و هذا من نحو الصّلاة في المكان المغصوب أو البيع في يوم الجمعة عند النّداء مثلا،حيث تترتّب آثار الإبراء للذّمّة و تحقّق الملكيّة بالرّغم من ممارسته ممّا هو 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لذلك،فإنّ المسوّغ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النّموذج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يظلّ فارضا فاعليّته في هذا الصّعيد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أمر ينطوي على فائدتين في ميدان البحث،أولاهما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الفائدة العلميّة المتمثّلة في رحابة صدر المؤلّف لأن يفترض إمكانيّة الصّواب لوجهة النّظر المفترضة، و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الفائدة المصحوبة بالإمتاع العلميّ،حيث انّ تناول المسألة في شتّى صورها تحقّق إمتاعا علميّا له إسهامه في إثراء تجربة القارئ و تحريك ذهنه على المحاكمات العقليّة،و هذا ما توفّر عليه فقيهنا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عرضه الممتع لكثير من افتراضاته الّتي تفصح عن إسهامه العلميّ الضّخم في هذا الميدان و في سائر الميادين الّتي طبعت شخصيّة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بسمات فائقة جعلت منه شخصيّة علميّة متفرّدة في تأريخنا الفقهيّ الموروث و المعاصر</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746703_222507752"/>
      <w:bookmarkStart w:id="119" w:name="_Toc42"/>
      <w:bookmarkEnd w:id="118"/>
      <w:r>
        <w:rPr>
          <w:rtl w:val="true"/>
        </w:rPr>
        <w:t>عنصر التّطوير الفقهيّ</w:t>
      </w:r>
      <w:r>
        <w:rPr>
          <w:rtl w:val="true"/>
        </w:rPr>
        <w:t>:</w:t>
      </w:r>
      <w:bookmarkEnd w:id="119"/>
    </w:p>
    <w:p>
      <w:pPr>
        <w:pStyle w:val="BookText"/>
        <w:rPr/>
      </w:pPr>
      <w:r>
        <w:rPr>
          <w:rFonts w:ascii="Amiri" w:hAnsi="Amiri" w:eastAsia="Amiri" w:cs="Amiri"/>
          <w:color w:val="111111"/>
          <w:sz w:val="28"/>
          <w:sz w:val="28"/>
          <w:szCs w:val="28"/>
          <w:rtl w:val="true"/>
          <w:lang w:bidi="ar-SA"/>
        </w:rPr>
        <w:t xml:space="preserve">و الآن،خارجا عن الملاحظات الّتي طرحناها في سياق تقويمنا لممارسات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ملاحظات قد لا يوافقنا القرّاء عليها،بخاصّة أنّ طبيعة الممارسة الاستدلاليّة الشّاملة الّتي لا تقتصر على صياغة الدّليل العابر،تتطلّب منهجا يقوم على تثبيت وجهة النّظر أو إلزام المخالف من الخاصّة و العامّة من خلال طرائق متنوّعة،مثل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افتراض صحّة الرّواية حينا،و الطّعن بها في موقع آخر،و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الاستدلال على مسألة لم يقتنع الفقهاء بها،ثمَّ ترتيب الآثار عليها على نحو الافتراض،و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 الأصل على الأمارة،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إلخ،أولئك جميعا قد تفرضها طبيعة الممارسة الفقهيّة الّتي لم تقتصر على فقيهنا الكبير،بل انسحبت على المتأخّرين أيضا،بحيث أصبحت جزءا من الصّناعة الفقهيّة الّتي اكتسبت طابعا مشروعا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لذلك،فإنّ إبداء الملاحظات على هذه الصّناعة لا يعني أنّها تقلّل من ضخامة و إحكام و متانة العمارة الفقهيّة الضّخمة الّتي خطّط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ما يدفعنا إلى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نختم حديثنا عن فقيهنا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بأنّنا نواجه فقيها عملاقا قد انفرد بين السّابقين عليه بكونه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الممارسة الفقهيّة،و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المستويات جميعا،سواء أ كان ذلك في صعيد الأداة الأصوليّة الّتي طرح مفرداتها الضّخمة في كتابه المخطوط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الوصول إلى علم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سلك فيه نفس المنهج الفقهيّ المقارن من حيث تتّبعه المدهش لآراء الأصوليّين و مناقشتها و الرّدّ عليها و إبداء وجهة نظر جديد حيالها،أو كان ذلك في صعيد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الأداة الرّجاليّة و الحديثيّة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اختطّ حيالها منحى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أدنى شك،أو كان ذلك في صعيد الممارسة الفقهيّة بعامّة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منهجا و استدلالا،حيث نلاحظ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الجدّة أو التّطوير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فيها يتجاوز طرح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المبادئ إلى طرح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أيضا،و هو ما لحظناه خلال هذه السّطور الّتي كتبناها عن فقيهنا الفذّ،حيث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طوابع علميّة لهذا الفقيه لم يكد لسواه أن يتوفّر عليها بنفس الحجم الّذي لحظناه عند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سبقت الإشارة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يرصد آلاف الآراء لمذاهب و تيّارات و أشخاص،في كلّ العصور،و في كلّ الأمكنة،داخل المذهب و خارجه،و هو يلتمس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و ليس مجرّد رصدها،بما تستتبعها من منهجيّة جديدة بالنّحو الّذي يضفي على بحثه حيويّة لافتة للنّظر تجعلك منبهرا و مندهشا حيال قابليّته الفذّة الّتي وهبها اللّه تعالى لفقيهنا الكبير،حتّى ليكاد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آخرين لا يتجاوزون عدد الأصابع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عصور التّأريخ الفقهيّ</w:t>
      </w:r>
      <w:r>
        <w:rPr>
          <w:rFonts w:eastAsia="Amiri" w:cs="Amiri" w:ascii="Amiri" w:hAnsi="Amiri"/>
          <w:color w:val="111111"/>
          <w:sz w:val="28"/>
          <w:szCs w:val="28"/>
          <w:rtl w:val="true"/>
          <w:lang w:bidi="ar-SA"/>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كلمة القسم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 w:name="pg12666_159745"/>
      <w:bookmarkStart w:id="121" w:name="pg12666_159745"/>
      <w:bookmarkEnd w:id="121"/>
    </w:p>
    <w:p>
      <w:pPr>
        <w:pStyle w:val="Heading3"/>
        <w:numPr>
          <w:ilvl w:val="2"/>
          <w:numId w:val="1"/>
        </w:numPr>
        <w:rPr/>
      </w:pPr>
      <w:bookmarkStart w:id="122" w:name="pg12666_159745"/>
      <w:bookmarkStart w:id="123" w:name="__RefHeading___Toc746705_222507752"/>
      <w:bookmarkStart w:id="124" w:name="_Toc43"/>
      <w:bookmarkEnd w:id="122"/>
      <w:bookmarkEnd w:id="123"/>
      <w:r>
        <w:rPr>
          <w:rtl w:val="true"/>
        </w:rPr>
        <w:t>كلمة القسم</w:t>
      </w:r>
      <w:bookmarkEnd w:id="124"/>
    </w:p>
    <w:p>
      <w:pPr>
        <w:pStyle w:val="Heading4"/>
        <w:numPr>
          <w:ilvl w:val="3"/>
          <w:numId w:val="1"/>
        </w:numPr>
        <w:rPr/>
      </w:pPr>
      <w:bookmarkStart w:id="125" w:name="__RefHeading___Toc746707_222507752"/>
      <w:bookmarkStart w:id="126" w:name="_Toc44"/>
      <w:bookmarkEnd w:id="125"/>
      <w:r>
        <w:rPr>
          <w:rtl w:val="true"/>
        </w:rPr>
        <w:t>النّسخ المخطوطة المعتمدة في تحقيق الكتاب</w:t>
      </w:r>
      <w:r>
        <w:rPr>
          <w:rtl w:val="true"/>
        </w:rPr>
        <w:t>:</w:t>
      </w:r>
      <w:bookmarkEnd w:id="126"/>
    </w:p>
    <w:p>
      <w:pPr>
        <w:pStyle w:val="Heading5"/>
        <w:numPr>
          <w:ilvl w:val="4"/>
          <w:numId w:val="1"/>
        </w:numPr>
        <w:rPr/>
      </w:pPr>
      <w:bookmarkStart w:id="127" w:name="__RefHeading___Toc746709_222507752"/>
      <w:bookmarkStart w:id="128" w:name="_Toc45"/>
      <w:bookmarkEnd w:id="127"/>
      <w:r>
        <w:rPr>
          <w:rtl w:val="true"/>
        </w:rPr>
        <w:t>اشارة</w:t>
      </w:r>
      <w:bookmarkEnd w:id="128"/>
    </w:p>
    <w:p>
      <w:pPr>
        <w:pStyle w:val="BookText"/>
        <w:rPr/>
      </w:pPr>
      <w:r>
        <w:rPr>
          <w:rFonts w:ascii="Amiri" w:hAnsi="Amiri" w:eastAsia="Amiri" w:cs="Amiri"/>
          <w:color w:val="111111"/>
          <w:sz w:val="28"/>
          <w:sz w:val="28"/>
          <w:szCs w:val="28"/>
          <w:rtl w:val="true"/>
          <w:lang w:bidi="ar-SA"/>
        </w:rPr>
        <w:t>لمّا كان هدفنا في تحقيق الكتاب هو إخراج نصّه صحيحا مفهوما لا يشوبه إبهام،خاليا من التّعقيد و الالتواء،بعيدا عن المظاهر الشّكليّة الّتي يقتصر عليها بعض المحقّقين في عملهم،فقد اعتمدنا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عملنا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تسع نسخ مخطوطة،هي كما يلي</w:t>
      </w:r>
      <w:r>
        <w:rPr>
          <w:rFonts w:eastAsia="Amiri" w:cs="Amiri" w:ascii="Amiri" w:hAnsi="Amiri"/>
          <w:color w:val="111111"/>
          <w:sz w:val="28"/>
          <w:szCs w:val="28"/>
          <w:rtl w:val="true"/>
          <w:lang w:bidi="ar-SA"/>
        </w:rPr>
        <w:t>:</w:t>
      </w:r>
    </w:p>
    <w:p>
      <w:pPr>
        <w:pStyle w:val="Heading5"/>
        <w:numPr>
          <w:ilvl w:val="4"/>
          <w:numId w:val="1"/>
        </w:numPr>
        <w:rPr/>
      </w:pPr>
      <w:bookmarkStart w:id="129" w:name="__RefHeading___Toc746711_222507752"/>
      <w:bookmarkStart w:id="130" w:name="_Toc46"/>
      <w:bookmarkEnd w:id="129"/>
      <w:r>
        <w:rPr/>
        <w:t>1</w:t>
      </w:r>
      <w:r>
        <w:rPr>
          <w:rtl w:val="true"/>
        </w:rPr>
        <w:t>-</w:t>
      </w:r>
      <w:r>
        <w:rPr>
          <w:rtl w:val="true"/>
        </w:rPr>
        <w:t>النّسخة الموقوفة لخان بابا مشار،</w:t>
      </w:r>
      <w:bookmarkEnd w:id="130"/>
    </w:p>
    <w:p>
      <w:pPr>
        <w:pStyle w:val="BookText"/>
        <w:rPr/>
      </w:pPr>
      <w:r>
        <w:rPr>
          <w:rFonts w:ascii="Amiri" w:hAnsi="Amiri" w:eastAsia="Amiri" w:cs="Amiri"/>
          <w:color w:val="111111"/>
          <w:sz w:val="28"/>
          <w:sz w:val="28"/>
          <w:szCs w:val="28"/>
          <w:rtl w:val="true"/>
          <w:lang w:bidi="ar-SA"/>
        </w:rPr>
        <w:t xml:space="preserve">المحفوظة في مكتبة الآستانة الرّضويّة المقدّسة في مشهد، تحت رقم </w:t>
      </w:r>
      <w:r>
        <w:rPr>
          <w:rFonts w:eastAsia="Amiri" w:cs="Amiri" w:ascii="Amiri" w:hAnsi="Amiri"/>
          <w:color w:val="111111"/>
          <w:sz w:val="28"/>
          <w:szCs w:val="28"/>
          <w:lang w:bidi="ar-SA"/>
        </w:rPr>
        <w:t>9548</w:t>
      </w:r>
      <w:r>
        <w:rPr>
          <w:rFonts w:ascii="Amiri" w:hAnsi="Amiri" w:eastAsia="Amiri" w:cs="Amiri"/>
          <w:color w:val="111111"/>
          <w:sz w:val="28"/>
          <w:sz w:val="28"/>
          <w:szCs w:val="28"/>
          <w:rtl w:val="true"/>
          <w:lang w:bidi="ar-SA"/>
        </w:rPr>
        <w:t>،و هي تشتمل على كتاب الطّهارة فقط،جاء في آخرها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آخر هذا الكتاب على يد أقلّ خلق اللّه و أحوجهم إلى رحمة ربّه الغنيّ محمّد بن محمّد الجزائريّ،السّاكن في بلدة شيراز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الفراغ من كتابته في بلدة بغداد في شهر صفر،ختم بالخير و الظّفر سنة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تقع في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ورقة،تحتوي كلّ صفحة منها على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سطرا،بحجم </w:t>
      </w:r>
      <w:r>
        <w:rPr>
          <w:rFonts w:eastAsia="Amiri" w:cs="Amiri" w:ascii="Amiri" w:hAnsi="Amiri"/>
          <w:color w:val="111111"/>
          <w:sz w:val="28"/>
          <w:szCs w:val="28"/>
          <w:lang w:bidi="ar-SA"/>
        </w:rPr>
        <w:t>20</w:t>
      </w:r>
      <w:r>
        <w:rPr>
          <w:rFonts w:eastAsia="Times New Roman" w:cs="Times New Roman" w:ascii="Times New Roman" w:hAnsi="Times New Roman"/>
          <w:color w:val="111111"/>
          <w:sz w:val="28"/>
          <w:szCs w:val="28"/>
          <w:lang w:val="en-US" w:bidi="en-US"/>
        </w:rPr>
        <w:t>x13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سم،و قد رمزنا لها في الهامش بالحرف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p>
    <w:p>
      <w:pPr>
        <w:pStyle w:val="Heading5"/>
        <w:numPr>
          <w:ilvl w:val="4"/>
          <w:numId w:val="1"/>
        </w:numPr>
        <w:rPr/>
      </w:pPr>
      <w:bookmarkStart w:id="131" w:name="__RefHeading___Toc746713_222507752"/>
      <w:bookmarkStart w:id="132" w:name="_Toc47"/>
      <w:bookmarkEnd w:id="131"/>
      <w:r>
        <w:rPr/>
        <w:t>2</w:t>
      </w:r>
      <w:r>
        <w:rPr>
          <w:rtl w:val="true"/>
        </w:rPr>
        <w:t>-</w:t>
      </w:r>
      <w:r>
        <w:rPr>
          <w:rtl w:val="true"/>
        </w:rPr>
        <w:t>النّسخة المحفوظة في مكتبة الآستانة الرّضويّة المقدّسة في مشهد،</w:t>
      </w:r>
      <w:bookmarkEnd w:id="132"/>
    </w:p>
    <w:p>
      <w:pPr>
        <w:pStyle w:val="BookText"/>
        <w:rPr/>
      </w:pP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lang w:bidi="ar-SA"/>
        </w:rPr>
        <w:t>10597</w:t>
      </w:r>
      <w:r>
        <w:rPr>
          <w:rFonts w:ascii="Amiri" w:hAnsi="Amiri" w:eastAsia="Amiri" w:cs="Amiri"/>
          <w:color w:val="111111"/>
          <w:sz w:val="28"/>
          <w:sz w:val="28"/>
          <w:szCs w:val="28"/>
          <w:rtl w:val="true"/>
          <w:lang w:bidi="ar-SA"/>
        </w:rPr>
        <w:t>،و هي تشتمل على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الطّهارة،الصّلاة،الزّكاة،الخمس،و بعض من كتاب 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آخر كتاب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فرغ من نسخة نسختها من نسخة الأصل العبد المذنب الرّاجي إلى رحمة اللّه تعالى يوسف بن يعقوب طالقانيّ،و جاء في آخر كتاب صلاة الخوف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كتبه العبد الفقير إلى اللّه تعالى محمّد بن شاه منصور التّبريزيّ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في 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عشرين من شهر شعبان المعظّم من سنة ثلاث و سبعين و تسعمائة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تقع في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ورقة،تحتوي كلّ صفحة منها على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سطرا،بحجم </w:t>
      </w:r>
      <w:r>
        <w:rPr>
          <w:rFonts w:eastAsia="Amiri" w:cs="Amiri" w:ascii="Amiri" w:hAnsi="Amiri"/>
          <w:color w:val="111111"/>
          <w:sz w:val="28"/>
          <w:szCs w:val="28"/>
          <w:lang w:bidi="ar-SA"/>
        </w:rPr>
        <w:t>20</w:t>
      </w:r>
      <w:r>
        <w:rPr>
          <w:rFonts w:eastAsia="Times New Roman" w:cs="Times New Roman" w:ascii="Times New Roman" w:hAnsi="Times New Roman"/>
          <w:color w:val="111111"/>
          <w:sz w:val="28"/>
          <w:szCs w:val="28"/>
          <w:lang w:val="en-US" w:bidi="en-US"/>
        </w:rPr>
        <w:t>x12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سم،و قد رمزنا لها في الهامش بالحرف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Heading5"/>
        <w:numPr>
          <w:ilvl w:val="4"/>
          <w:numId w:val="1"/>
        </w:numPr>
        <w:rPr/>
      </w:pPr>
      <w:bookmarkStart w:id="133" w:name="__RefHeading___Toc746715_222507752"/>
      <w:bookmarkStart w:id="134" w:name="_Toc48"/>
      <w:bookmarkEnd w:id="133"/>
      <w:r>
        <w:rPr/>
        <w:t>3</w:t>
      </w:r>
      <w:r>
        <w:rPr>
          <w:rtl w:val="true"/>
        </w:rPr>
        <w:t>-</w:t>
      </w:r>
      <w:r>
        <w:rPr>
          <w:rtl w:val="true"/>
        </w:rPr>
        <w:t>النّسخة المحفوظة في مكتبة ملك الوطنيّة</w:t>
      </w:r>
      <w:r>
        <w:rPr>
          <w:rtl w:val="true"/>
        </w:rPr>
        <w:t>(</w:t>
      </w:r>
      <w:r>
        <w:rPr>
          <w:rtl w:val="true"/>
        </w:rPr>
        <w:t>كتابخانه ملّى ملك</w:t>
      </w:r>
      <w:r>
        <w:rPr>
          <w:rtl w:val="true"/>
        </w:rPr>
        <w:t>)</w:t>
      </w:r>
      <w:bookmarkEnd w:id="134"/>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lang w:bidi="ar-SA"/>
        </w:rPr>
        <w:t>1228</w:t>
      </w:r>
      <w:r>
        <w:rPr>
          <w:rFonts w:ascii="Amiri" w:hAnsi="Amiri" w:eastAsia="Amiri" w:cs="Amiri"/>
          <w:color w:val="111111"/>
          <w:sz w:val="28"/>
          <w:sz w:val="28"/>
          <w:szCs w:val="28"/>
          <w:rtl w:val="true"/>
          <w:lang w:bidi="ar-SA"/>
        </w:rPr>
        <w:t xml:space="preserve">،و هي </w:t>
      </w:r>
      <w:bookmarkStart w:id="135" w:name="pg12666_159746"/>
    </w:p>
    <w:p>
      <w:pPr>
        <w:pStyle w:val="BookText"/>
        <w:rPr/>
      </w:pPr>
      <w:bookmarkEnd w:id="135"/>
      <w:r>
        <w:rPr>
          <w:rFonts w:ascii="Amiri" w:hAnsi="Amiri" w:eastAsia="Amiri" w:cs="Amiri"/>
          <w:color w:val="111111"/>
          <w:sz w:val="28"/>
          <w:sz w:val="28"/>
          <w:szCs w:val="28"/>
          <w:rtl w:val="true"/>
          <w:lang w:bidi="ar-SA"/>
        </w:rPr>
        <w:t>تشتمل على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الطّهارة،الصّلاة،الزّكاة،الخمس،و بعض من كتاب الصّوم،كتبها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هادي ميرزا عرب شيرازي في يوم الثّلاثاء الخامس من شهر شعبان المعظّم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يذكر سنة كتابتها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تقع في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ورقة،كلّ صفحة منها تحتوي على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سطرا،بحجم </w:t>
      </w:r>
      <w:r>
        <w:rPr>
          <w:rFonts w:eastAsia="Amiri" w:cs="Amiri" w:ascii="Amiri" w:hAnsi="Amiri"/>
          <w:color w:val="111111"/>
          <w:sz w:val="28"/>
          <w:szCs w:val="28"/>
          <w:lang w:bidi="ar-SA"/>
        </w:rPr>
        <w:t>21</w:t>
      </w:r>
      <w:r>
        <w:rPr>
          <w:rFonts w:eastAsia="Times New Roman" w:cs="Times New Roman" w:ascii="Times New Roman" w:hAnsi="Times New Roman"/>
          <w:color w:val="111111"/>
          <w:sz w:val="28"/>
          <w:szCs w:val="28"/>
          <w:lang w:val="en-US" w:bidi="en-US"/>
        </w:rPr>
        <w:t>x11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سم،و قد رمزنا لها في هامش الكتاب بالحرف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5"/>
        <w:numPr>
          <w:ilvl w:val="4"/>
          <w:numId w:val="1"/>
        </w:numPr>
        <w:rPr/>
      </w:pPr>
      <w:bookmarkStart w:id="136" w:name="__RefHeading___Toc746717_222507752"/>
      <w:bookmarkStart w:id="137" w:name="_Toc49"/>
      <w:bookmarkEnd w:id="136"/>
      <w:r>
        <w:rPr/>
        <w:t>4</w:t>
      </w:r>
      <w:r>
        <w:rPr>
          <w:rtl w:val="true"/>
        </w:rPr>
        <w:t>-</w:t>
      </w:r>
      <w:r>
        <w:rPr>
          <w:rtl w:val="true"/>
        </w:rPr>
        <w:t>النّسخة المحفوظة في مكتبة الآستانة الرّضويّة المقدّسة في مشهد،</w:t>
      </w:r>
      <w:bookmarkEnd w:id="137"/>
    </w:p>
    <w:p>
      <w:pPr>
        <w:pStyle w:val="BookText"/>
        <w:rPr/>
      </w:pP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lang w:bidi="ar-SA"/>
        </w:rPr>
        <w:t>1012</w:t>
      </w:r>
      <w:r>
        <w:rPr>
          <w:rFonts w:ascii="Amiri" w:hAnsi="Amiri" w:eastAsia="Amiri" w:cs="Amiri"/>
          <w:color w:val="111111"/>
          <w:sz w:val="28"/>
          <w:sz w:val="28"/>
          <w:szCs w:val="28"/>
          <w:rtl w:val="true"/>
          <w:lang w:bidi="ar-SA"/>
        </w:rPr>
        <w:t>،و هي تشتمل على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الصّلاة،الزّكاة،الخمس،و بعض من كتاب الصّوم،كتبها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شمس بن عليّ بن حسن بن أبي الحسن بن جعفر بن الغسّانيّ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آخر كتاب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الفراغ من نسخها عصريّة يوم الاثنين لخمس خلون من شهر ربيع الأوّل من شهور أحد و ثمانين و تسعمائة من الهجرة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مهاجرها الصّلاة و السّلام و التّحيّة و الإكرام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تقع في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تحتوي كلّ صفحة منها على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سطرا،بحجم </w:t>
      </w:r>
      <w:r>
        <w:rPr>
          <w:rFonts w:eastAsia="Amiri" w:cs="Amiri" w:ascii="Amiri" w:hAnsi="Amiri"/>
          <w:color w:val="111111"/>
          <w:sz w:val="28"/>
          <w:szCs w:val="28"/>
          <w:lang w:bidi="ar-SA"/>
        </w:rPr>
        <w:t>22</w:t>
      </w:r>
      <w:r>
        <w:rPr>
          <w:rFonts w:eastAsia="Times New Roman" w:cs="Times New Roman" w:ascii="Times New Roman" w:hAnsi="Times New Roman"/>
          <w:color w:val="111111"/>
          <w:sz w:val="28"/>
          <w:szCs w:val="28"/>
          <w:lang w:val="en-US" w:bidi="en-US"/>
        </w:rPr>
        <w:t>x13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سم،و قد رمزنا لها في الهامش بالحرف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Heading5"/>
        <w:numPr>
          <w:ilvl w:val="4"/>
          <w:numId w:val="1"/>
        </w:numPr>
        <w:rPr/>
      </w:pPr>
      <w:bookmarkStart w:id="138" w:name="__RefHeading___Toc746719_222507752"/>
      <w:bookmarkStart w:id="139" w:name="_Toc50"/>
      <w:bookmarkEnd w:id="138"/>
      <w:r>
        <w:rPr/>
        <w:t>5</w:t>
      </w:r>
      <w:r>
        <w:rPr>
          <w:rtl w:val="true"/>
        </w:rPr>
        <w:t>-</w:t>
      </w:r>
      <w:r>
        <w:rPr>
          <w:rtl w:val="true"/>
        </w:rPr>
        <w:t>النّسخة المحفوظة في مكتبة الآستانة الرّضويّة المقدّسة في مشهد،</w:t>
      </w:r>
      <w:bookmarkEnd w:id="139"/>
    </w:p>
    <w:p>
      <w:pPr>
        <w:pStyle w:val="BookText"/>
        <w:rPr/>
      </w:pP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lang w:bidi="ar-SA"/>
        </w:rPr>
        <w:t>2850</w:t>
      </w:r>
      <w:r>
        <w:rPr>
          <w:rFonts w:ascii="Amiri" w:hAnsi="Amiri" w:eastAsia="Amiri" w:cs="Amiri"/>
          <w:color w:val="111111"/>
          <w:sz w:val="28"/>
          <w:sz w:val="28"/>
          <w:szCs w:val="28"/>
          <w:rtl w:val="true"/>
          <w:lang w:bidi="ar-SA"/>
        </w:rPr>
        <w:t>،و هي تشتمل على القسم الأخير من كتاب الصّوم،و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الحج،الجهاد،و بعض من كتاب التّجارة، قال في آخرها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فرغ من نسخته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عباد اللّه و أحوجهم إلى غفرانه،العبد الفقير،كثير الخطايا و الزّلل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الحاج قوام الدّين بن محمود العاقوليّ اللّيثيّ أصلا،النّجفيّ مولدا،الحلّي منشأ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في غرّة ذي القعدة سنة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مهاجرها أفضل الصّلوات و أكمل التّحيّات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تقع في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ورقة،تحتوي كلّ صفحة منها على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سطرا،بحجم </w:t>
      </w:r>
      <w:r>
        <w:rPr>
          <w:rFonts w:eastAsia="Amiri" w:cs="Amiri" w:ascii="Amiri" w:hAnsi="Amiri"/>
          <w:color w:val="111111"/>
          <w:sz w:val="28"/>
          <w:szCs w:val="28"/>
          <w:lang w:bidi="ar-SA"/>
        </w:rPr>
        <w:t>23</w:t>
      </w:r>
      <w:r>
        <w:rPr>
          <w:rFonts w:eastAsia="Times New Roman" w:cs="Times New Roman" w:ascii="Times New Roman" w:hAnsi="Times New Roman"/>
          <w:color w:val="111111"/>
          <w:sz w:val="28"/>
          <w:szCs w:val="28"/>
          <w:lang w:val="en-US" w:bidi="en-US"/>
        </w:rPr>
        <w:t>x14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سم،و قد رمزنا لها في الهامش بالحرف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Heading5"/>
        <w:numPr>
          <w:ilvl w:val="4"/>
          <w:numId w:val="1"/>
        </w:numPr>
        <w:rPr/>
      </w:pPr>
      <w:bookmarkStart w:id="140" w:name="__RefHeading___Toc746721_222507752"/>
      <w:bookmarkStart w:id="141" w:name="_Toc51"/>
      <w:bookmarkEnd w:id="140"/>
      <w:r>
        <w:rPr/>
        <w:t>6</w:t>
      </w:r>
      <w:r>
        <w:rPr>
          <w:rtl w:val="true"/>
        </w:rPr>
        <w:t>-</w:t>
      </w:r>
      <w:r>
        <w:rPr>
          <w:rtl w:val="true"/>
        </w:rPr>
        <w:t>النّسخة المحفوظة في مكتبة مسجد جامع گوهرشاد في مشهد،</w:t>
      </w:r>
      <w:bookmarkEnd w:id="141"/>
    </w:p>
    <w:p>
      <w:pPr>
        <w:pStyle w:val="BookText"/>
        <w:rPr/>
      </w:pP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،و هي تشتمل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الثّامن و التّاسع من كتاب الصّوم،و تمام كتاب الاعتكاف،و القسم الأكبر من كتاب الحج إلى أواسط الصّنف الثّالث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آخر الفصل السّادس في الحلق و التّقصير من كتاب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الفراغ من تسويده على يدي العبد الفقير إلى اللّه تعالى حسن بن يوسف بن المطهّر مصنّف الكتاب في ثاني عشر ربيع الأوّل من سنة سبع و ثمانين و ستّمائة،وفّق اللّه تعالى إتمام الكتاب بمنّه و كرمه و الحمد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يذكر اسم ناسخها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تقع في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ورقة،بخطّ النّسخ القديم،و صفحاتها مختلفة من حيث السّطور،فصفحة فيها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سطرا،و أخرى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سطرا،بحجم </w:t>
      </w:r>
      <w:r>
        <w:rPr>
          <w:rFonts w:eastAsia="Amiri" w:cs="Amiri" w:ascii="Amiri" w:hAnsi="Amiri"/>
          <w:color w:val="111111"/>
          <w:sz w:val="28"/>
          <w:szCs w:val="28"/>
          <w:lang w:bidi="ar-SA"/>
        </w:rPr>
        <w:t>16</w:t>
      </w:r>
      <w:r>
        <w:rPr>
          <w:rFonts w:eastAsia="Times New Roman" w:cs="Times New Roman" w:ascii="Times New Roman" w:hAnsi="Times New Roman"/>
          <w:color w:val="111111"/>
          <w:sz w:val="28"/>
          <w:szCs w:val="28"/>
          <w:lang w:val="en-US" w:bidi="en-US"/>
        </w:rPr>
        <w:t>x11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سم،و قد رمزنا لها في الهامش بالحرف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Heading5"/>
        <w:numPr>
          <w:ilvl w:val="4"/>
          <w:numId w:val="1"/>
        </w:numPr>
        <w:rPr/>
      </w:pPr>
      <w:bookmarkStart w:id="142" w:name="__RefHeading___Toc746723_222507752"/>
      <w:bookmarkStart w:id="143" w:name="_Toc52"/>
      <w:bookmarkEnd w:id="142"/>
      <w:r>
        <w:rPr/>
        <w:t>7</w:t>
      </w:r>
      <w:r>
        <w:rPr>
          <w:rtl w:val="true"/>
        </w:rPr>
        <w:t>-</w:t>
      </w:r>
      <w:r>
        <w:rPr>
          <w:rtl w:val="true"/>
        </w:rPr>
        <w:t>النّسخة الموقوفة في مكتبة مسجد جامع گوهرشاد في مشهد،</w:t>
      </w:r>
      <w:bookmarkEnd w:id="14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lang w:bidi="ar-SA"/>
        </w:rPr>
        <w:t>1326</w:t>
      </w:r>
      <w:r>
        <w:rPr>
          <w:rFonts w:ascii="Amiri" w:hAnsi="Amiri" w:eastAsia="Amiri" w:cs="Amiri"/>
          <w:color w:val="111111"/>
          <w:sz w:val="28"/>
          <w:sz w:val="28"/>
          <w:szCs w:val="28"/>
          <w:rtl w:val="true"/>
          <w:lang w:bidi="ar-SA"/>
        </w:rPr>
        <w:t xml:space="preserve">،و هي </w:t>
      </w:r>
      <w:bookmarkStart w:id="144" w:name="pg12666_159747"/>
    </w:p>
    <w:p>
      <w:pPr>
        <w:pStyle w:val="BookText"/>
        <w:rPr/>
      </w:pPr>
      <w:bookmarkEnd w:id="144"/>
      <w:r>
        <w:rPr>
          <w:rFonts w:ascii="Amiri" w:hAnsi="Amiri" w:eastAsia="Amiri" w:cs="Amiri"/>
          <w:color w:val="111111"/>
          <w:sz w:val="28"/>
          <w:sz w:val="28"/>
          <w:szCs w:val="28"/>
          <w:rtl w:val="true"/>
          <w:lang w:bidi="ar-SA"/>
        </w:rPr>
        <w:t>تشتمل على بعض من كتاب الصّلاة حيث تبدأ من المقصد الثّامن في الخلل الواقع في الصّلاة، و كتاب الزّكاة و الخمس،و بعض من كتاب الصّوم،إلى البحث الثّامن في بقيّة أقسام 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يعلم اسم كاتبها و لا تأريخ كتابتها،حيث جاء في آخرها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الجزء الثّالث 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المطلب في تحقيق المذهب،و الحمد للّه وحده،و يتلوه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كتب في هامش الصّفحة الأخيرة بخطّ مغاير للأصل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متملّكات أفقر الطّلبة إلى ربّه المجيد محمّد مكّي بن محمّد بن شمس الدّين بن الحسن بن زين الدّين عليّ بن خير الدّين من سلالة أبي عبد اللّه الشّريف الشّهيد ابن مكّي بن أحمد بن حامد المطّلبيّ الحارثيّ الهمدانيّ الخزرجيّ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مكتوب فوق هذه العبارات بخطّ أخضر بالفارسيّة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 نوه 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 حفيد الشّهيد،و النّسخة مختومة في عدّة أماكن منها بمهر حفيد الشّهيد و ختمه،حيث جاء في الختم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 الشّريف أبي عبد اللّه الشّهيد محمّد بن مكّي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تقع في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ورقة،تحتوي كلّ صفحة منها على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سطرا،بحجم </w:t>
      </w:r>
      <w:r>
        <w:rPr>
          <w:rFonts w:eastAsia="Amiri" w:cs="Amiri" w:ascii="Amiri" w:hAnsi="Amiri"/>
          <w:color w:val="111111"/>
          <w:sz w:val="28"/>
          <w:szCs w:val="28"/>
          <w:lang w:bidi="ar-SA"/>
        </w:rPr>
        <w:t>16</w:t>
      </w:r>
      <w:r>
        <w:rPr>
          <w:rFonts w:eastAsia="Times New Roman" w:cs="Times New Roman" w:ascii="Times New Roman" w:hAnsi="Times New Roman"/>
          <w:color w:val="111111"/>
          <w:sz w:val="28"/>
          <w:szCs w:val="28"/>
          <w:lang w:val="en-US" w:bidi="en-US"/>
        </w:rPr>
        <w:t>x10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سم، و قد رمزنا لها في الهامش بالحرف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Heading5"/>
        <w:numPr>
          <w:ilvl w:val="4"/>
          <w:numId w:val="1"/>
        </w:numPr>
        <w:rPr/>
      </w:pPr>
      <w:bookmarkStart w:id="145" w:name="__RefHeading___Toc746725_222507752"/>
      <w:bookmarkStart w:id="146" w:name="_Toc53"/>
      <w:bookmarkEnd w:id="145"/>
      <w:r>
        <w:rPr/>
        <w:t>8</w:t>
      </w:r>
      <w:r>
        <w:rPr>
          <w:rtl w:val="true"/>
        </w:rPr>
        <w:t>-</w:t>
      </w:r>
      <w:r>
        <w:rPr>
          <w:rtl w:val="true"/>
        </w:rPr>
        <w:t>النّسخة المحفوظة في مكتبة الآستانة الرّضويّة المقدّسة في مشهد،</w:t>
      </w:r>
      <w:bookmarkEnd w:id="146"/>
    </w:p>
    <w:p>
      <w:pPr>
        <w:pStyle w:val="BookText"/>
        <w:rPr/>
      </w:pP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lang w:bidi="ar-SA"/>
        </w:rPr>
        <w:t>12314</w:t>
      </w:r>
      <w:r>
        <w:rPr>
          <w:rFonts w:ascii="Amiri" w:hAnsi="Amiri" w:eastAsia="Amiri" w:cs="Amiri"/>
          <w:color w:val="111111"/>
          <w:sz w:val="28"/>
          <w:sz w:val="28"/>
          <w:szCs w:val="28"/>
          <w:rtl w:val="true"/>
          <w:lang w:bidi="ar-SA"/>
        </w:rPr>
        <w:t>،و هي تشتمل على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الطّهارة،الصّلاة،الزّكاة،الخمس،الصّوم،الحجّ،الجهاد،و بعض من كتاب التّجارة جاء في آخر كتاب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فرغ من كتابة هذا الجزء محمّد حسين بن حاجي حسين الرّويدشتي من أعمال أصفهان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يوم الاثنين الثّاني عشر من شهر ربيع الأوّل سنة </w:t>
      </w: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تقع في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ورقة،تحتوي كلّ صفحة منها على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سطرا،بحجم </w:t>
      </w:r>
      <w:r>
        <w:rPr>
          <w:rFonts w:eastAsia="Amiri" w:cs="Amiri" w:ascii="Amiri" w:hAnsi="Amiri"/>
          <w:color w:val="111111"/>
          <w:sz w:val="28"/>
          <w:szCs w:val="28"/>
          <w:lang w:bidi="ar-SA"/>
        </w:rPr>
        <w:t>21</w:t>
      </w:r>
      <w:r>
        <w:rPr>
          <w:rFonts w:eastAsia="Times New Roman" w:cs="Times New Roman" w:ascii="Times New Roman" w:hAnsi="Times New Roman"/>
          <w:color w:val="111111"/>
          <w:sz w:val="28"/>
          <w:szCs w:val="28"/>
          <w:lang w:val="en-US" w:bidi="en-US"/>
        </w:rPr>
        <w:t>x12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سم،و قد رمزنا لها في الهامش بالحرف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Heading5"/>
        <w:numPr>
          <w:ilvl w:val="4"/>
          <w:numId w:val="1"/>
        </w:numPr>
        <w:rPr/>
      </w:pPr>
      <w:bookmarkStart w:id="147" w:name="__RefHeading___Toc746727_222507752"/>
      <w:bookmarkStart w:id="148" w:name="_Toc54"/>
      <w:bookmarkEnd w:id="147"/>
      <w:r>
        <w:rPr/>
        <w:t>9</w:t>
      </w:r>
      <w:r>
        <w:rPr>
          <w:rtl w:val="true"/>
        </w:rPr>
        <w:t>-</w:t>
      </w:r>
      <w:r>
        <w:rPr>
          <w:rtl w:val="true"/>
        </w:rPr>
        <w:t>النّسخة المحفوظة عند السّيّد جعفر مير داماد،في طهران،</w:t>
      </w:r>
      <w:bookmarkEnd w:id="148"/>
    </w:p>
    <w:p>
      <w:pPr>
        <w:pStyle w:val="BookText"/>
        <w:rPr/>
      </w:pPr>
      <w:r>
        <w:rPr>
          <w:rFonts w:ascii="Amiri" w:hAnsi="Amiri" w:eastAsia="Amiri" w:cs="Amiri"/>
          <w:color w:val="111111"/>
          <w:sz w:val="28"/>
          <w:sz w:val="28"/>
          <w:szCs w:val="28"/>
          <w:rtl w:val="true"/>
          <w:lang w:bidi="ar-SA"/>
        </w:rPr>
        <w:t>و هي تشتمل على كتاب الطّهارة،جاء في آخرها،فرغ من نسخة و تعليقه الفقير إلى عفو ربّه الغنيّ عليّ بن محمّد بن هلال، صدر نهار السّبت آخر يوم من صفر سنة خمسة و ثمانين و تسعمائة هجريّة نبويّة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جاء في هامش آخرها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وقعت المقابلة لهذه النّسخة الشّريفة مع نسخة الأصل طابق النّعل بالنّعل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تقع في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ورقة،بخط النّسخ القديم،تحتوي كلّ صفحة منها على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سطرا،بحجم </w:t>
      </w:r>
      <w:r>
        <w:rPr>
          <w:rFonts w:eastAsia="Amiri" w:cs="Amiri" w:ascii="Amiri" w:hAnsi="Amiri"/>
          <w:color w:val="111111"/>
          <w:sz w:val="28"/>
          <w:szCs w:val="28"/>
          <w:lang w:bidi="ar-SA"/>
        </w:rPr>
        <w:t>30</w:t>
      </w:r>
      <w:r>
        <w:rPr>
          <w:rFonts w:eastAsia="Times New Roman" w:cs="Times New Roman" w:ascii="Times New Roman" w:hAnsi="Times New Roman"/>
          <w:color w:val="111111"/>
          <w:sz w:val="28"/>
          <w:szCs w:val="28"/>
          <w:lang w:val="en-US" w:bidi="en-US"/>
        </w:rPr>
        <w:t>x20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سم،و قد رمزنا لها في الهامش بالحرف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أنّنا عثرنا عليها متأخّرا،أي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طبع حروف الجزء الأوّل و ترتيب فصوله و إخراجه الفنّيّ،لذلك لم يكن لنا مجال لإثبات اختلافاتها في الهامش،إلاّ أنّنا قابلناها مع فصول هذا الجزء بأجمعه،و أخذنا باختلافاتها مع بقيّة النّسخ،و قد كانت مفيدة للغاية،و سيأتي تثبيت اختلافاتها في الهامش عند تحقيق الأجزاء اللاّحقة من كتاب الطّهارة</w:t>
      </w:r>
      <w:r>
        <w:rPr>
          <w:rFonts w:eastAsia="Amiri" w:cs="Amiri" w:ascii="Amiri" w:hAnsi="Amiri"/>
          <w:color w:val="111111"/>
          <w:sz w:val="28"/>
          <w:szCs w:val="28"/>
          <w:rtl w:val="true"/>
          <w:lang w:bidi="ar-SA"/>
        </w:rPr>
        <w:t xml:space="preserve">. </w:t>
      </w:r>
      <w:bookmarkStart w:id="149" w:name="pg12666_159748"/>
    </w:p>
    <w:p>
      <w:pPr>
        <w:pStyle w:val="Heading4"/>
        <w:numPr>
          <w:ilvl w:val="3"/>
          <w:numId w:val="1"/>
        </w:numPr>
        <w:rPr/>
      </w:pPr>
      <w:bookmarkStart w:id="150" w:name="__RefHeading___Toc746729_222507752"/>
      <w:bookmarkStart w:id="151" w:name="_Toc55"/>
      <w:bookmarkEnd w:id="149"/>
      <w:bookmarkEnd w:id="150"/>
      <w:r>
        <w:rPr>
          <w:rtl w:val="true"/>
        </w:rPr>
        <w:t>منهجيّة تحقيق الكتاب</w:t>
      </w:r>
      <w:r>
        <w:rPr>
          <w:rtl w:val="true"/>
        </w:rPr>
        <w:t>:</w:t>
      </w:r>
      <w:bookmarkEnd w:id="151"/>
    </w:p>
    <w:p>
      <w:pPr>
        <w:pStyle w:val="BookText"/>
        <w:rPr/>
      </w:pPr>
      <w:r>
        <w:rPr>
          <w:rFonts w:ascii="Amiri" w:hAnsi="Amiri" w:eastAsia="Amiri" w:cs="Amiri"/>
          <w:color w:val="111111"/>
          <w:sz w:val="28"/>
          <w:sz w:val="28"/>
          <w:szCs w:val="28"/>
          <w:rtl w:val="true"/>
          <w:lang w:bidi="ar-SA"/>
        </w:rPr>
        <w:t>إنّ كتاب المنتهى هو من أجمع الكتب الفقهيّة المقارنة،و أضخمها في بابها،و أكثرها جمعا، و أغزرها علما،و أحسنها تفصيلا و تفريعا،و أجودها تقسيما و تنويعا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حوى جلّ أمّهات المسائل الخلافيّة في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داخل المذهب و خارجه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حقيقا بأن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أشار العلاّمة نفسه إلى أهمّيّته و عظمته علميّا في تقديمه له،و في مواضع متعدّدة من بقيّة كتبه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 أشاد بفضله جمع كثير من علمائنا المتأخّرين،و جعلوه في عداد أفضل ما كتب في هذا الباب على الإطلاق،لما جاء فيه من متانة في المقارنة العلميّة،و روعة في الاستدلال الفقهيّ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يمثّله من عطاء فقهيّ زاخر،و تراث علميّ 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إخراجه محقّقا، مصحّحا بالشّكل الّذي يتناسب و مستواه يحتاج إلى جهود جادّة و طاقات مخلصة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أن سعى الإخوة المحقّقون في قسم الفقه في مجمع البحوث الإسلاميّة بكلّ ما أوتوا من عزم و همّة إلى تفجير طاقاتهم،و صبّ جهودهم بشكل جدّيّ و متواصل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 إخراج هذا السّفر الجليل بكيفيّة تناسب محتواه العلميّ،آخذين بنظر الاعتبار و عاملين وفق أحدث القواعد العلميّة و الفنيّة في موضوع تحقيق و تصحيح التّراث الإسلاميّ الخالد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أن شمّر هؤلاء بأجمعهم عن ساعد الجدّ و توزّعوا إلى ستّ لجان تحقيقيّة،كلّ حسب اختصاصه العلميّ و الثّقافيّ،كما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لجنة المقابلة،و عملها مقابلة النّسخ المخطوطة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الآنفة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بعضها الآخر،و ضبط الاختلافات الواقعة بينها،و تثبيتها على 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لجنة التّخريجات،و عملها تخريج الآيات القرآنيّة،و الأحاديث النّبويّة الشّريفة الواردة عن طريق الجمهور،و الأحاديث و الرّوايات الواردة عن أئمّة أهل البيت عليهم السّلام،و كذا تخريج الأقوال الفقهيّة الّتي أوردها المصنّف و استدلّ بها أو ناقشها أثناء بحثه و خوضه في مسائل الكتاب،و إرجاعها إلى مصادرها الأصليّة،و الإشارة إلى ذلك في الهامش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لجنة التّرجمة،و عملها ترجمة جميع الأعلام و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اختلاف طبقاتهم و مذاهبهم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ذكرهم في الكتاب،مع ترجمة مختلف المدارس الفقهيّة و الطّوائف و الفرق الإسلاميّة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لجنة تقويم النّصّ،و عملها تقطيع النّصّ و توزيع فقراته بحسب عناوينه و معنوناته،و جمله حسب ما تقتضيه العبارة،مع ملاحظة جميع الاختلافات الواردة بين النّسخ الخطّيّة و النّسخة </w:t>
      </w:r>
    </w:p>
    <w:p>
      <w:pPr>
        <w:pStyle w:val="BookText"/>
        <w:rPr/>
      </w:pPr>
      <w:r>
        <w:rPr>
          <w:rFonts w:ascii="Amiri" w:hAnsi="Amiri" w:eastAsia="Amiri" w:cs="Amiri"/>
          <w:color w:val="111111"/>
          <w:sz w:val="28"/>
          <w:sz w:val="28"/>
          <w:szCs w:val="28"/>
          <w:rtl w:val="true"/>
          <w:lang w:bidi="ar-SA"/>
        </w:rPr>
        <w:t>الحجريّة المطبوعة،و تثبيت ما ترجّح منها،و الإشارة إلى المرجوح عليه في الهامش عند اقتضاء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لجنة تنزيل الهامش،و عملها تنزيل هوامش الكتاب،بالاستفادة من كلّ ما أنجزته اللّجان المتقدّمة،في صياغة الهوامش النّهائيّة بخطّ واضح و جميل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مهمّة الإشراف النّهائيّ فنّيّا على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متنا و هامشا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ضبط الملاحظات النّهائيّة، مع مراعاة فنّيّة التّرقيم و التّنقيط و صياغة الكلمات الإملائيّة القديمة بقالب فنّيّ جديد،مع وضع فهارس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ملتمسين لهم التّوفيق و التّسديد في إخراج بقيّة الأجزاء الأخرى بالشّكل المطلوب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يفوتنا هنا أن نتقدّم بالشّكر و الامتنان إلى كلّ الإخوة المحقّقين،الّذين شاركوا في تحقيق و إخراج هذا الجزء من الكتاب،و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 الإسلام الشّيخ علي اعتمادي،و الشّيخ نوروز علي حاجي‌آبادي،و الشّيخ صفاء الدّين البصري،و الشّيخ عبّاس معلّمي،و الشّيخ محمّد بشيري، و الشّيخ هادي علي زاده،و السّيّد رضا سيادت،و الشّيخ أبو الحسن ملكي،و الشّيخ محمّد علي ملكي،و السّيّد طالب الموسوي،و الشّيخ محمّد أكبري،و السيد حسن الشريفي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نشكر سماحة الشّيخ إلهي الخراساني في إشرافه على التّحقيق،ملتمسين لهم جميعا التوفيق و التّسديد في إنجاز بقيّة أجزاء الكتاب،إن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ختاما نسأل اللّه العليّ القدير أن يعيننا على أنفسنا،و يأخذ بأيدينا إلى ما فيه الخير،و أن يتقبّل منّا هذا القليل خالصا لوجهه،و يجعلنا من محيي تراث مدرسة أهل البيت عليهم السّلام،و يجعلنا نعم خلف لأولئك الماضين من علمائنا العظماء الّذين كانوا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سلف لنا،ملتمسين بذلك القربة إليه و حسن الثّواب،إنّه وليّ النّعم،و آخر دعوانا أن الحمد للّه ربّ العالمين</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قسم الفقه في مجمع البحوث الإسلاميّة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2" w:name="pg12672_159751"/>
      <w:bookmarkStart w:id="153" w:name="pg12672_159751"/>
      <w:bookmarkEnd w:id="153"/>
    </w:p>
    <w:p>
      <w:pPr>
        <w:pStyle w:val="Heading2"/>
        <w:numPr>
          <w:ilvl w:val="1"/>
          <w:numId w:val="1"/>
        </w:numPr>
        <w:rPr/>
      </w:pPr>
      <w:bookmarkStart w:id="154" w:name="pg12672_159751"/>
      <w:bookmarkStart w:id="155" w:name="__RefHeading___Toc746731_222507752"/>
      <w:bookmarkStart w:id="156" w:name="_Toc56"/>
      <w:bookmarkEnd w:id="154"/>
      <w:bookmarkEnd w:id="155"/>
      <w:r>
        <w:rPr>
          <w:rtl w:val="true"/>
        </w:rPr>
        <w:t>اشارة</w:t>
      </w:r>
      <w:bookmarkEnd w:id="156"/>
    </w:p>
    <w:p>
      <w:pPr>
        <w:pStyle w:val="BookText"/>
        <w:rPr/>
      </w:pPr>
      <w:r>
        <w:rPr>
          <w:rFonts w:ascii="IRNazanin" w:hAnsi="IRNazanin" w:eastAsia="IRNazanin"/>
          <w:color w:val="111111"/>
          <w:sz w:val="28"/>
          <w:sz w:val="28"/>
          <w:szCs w:val="28"/>
          <w:rtl w:val="true"/>
          <w:lang w:bidi="fa-IR"/>
        </w:rPr>
        <w:t>منتهی‌المطلب فی تحقیق‌المذهب</w:t>
      </w:r>
    </w:p>
    <w:p>
      <w:pPr>
        <w:pStyle w:val="BookText"/>
        <w:rPr/>
      </w:pPr>
      <w:r>
        <w:rPr>
          <w:rFonts w:ascii="IRNazanin" w:hAnsi="IRNazanin" w:eastAsia="IRNazanin"/>
          <w:color w:val="111111"/>
          <w:sz w:val="28"/>
          <w:sz w:val="28"/>
          <w:szCs w:val="28"/>
          <w:rtl w:val="true"/>
          <w:lang w:bidi="fa-IR"/>
        </w:rPr>
        <w:t>للعلامه الحلی الحسن‌بن یوسف‌بن علی‌بن المطهر</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قسم الفقه فی مجمع البحوث الاسلامیه</w:t>
      </w:r>
      <w:r>
        <w:rPr>
          <w:rFonts w:eastAsia="IRNazanin" w:cs="IRNazanin"/>
          <w:color w:val="111111"/>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7" w:name="pg12672_159753"/>
      <w:bookmarkStart w:id="158" w:name="pg12672_159753"/>
      <w:bookmarkEnd w:id="158"/>
    </w:p>
    <w:p>
      <w:pPr>
        <w:pStyle w:val="Heading2"/>
        <w:numPr>
          <w:ilvl w:val="1"/>
          <w:numId w:val="1"/>
        </w:numPr>
        <w:rPr/>
      </w:pPr>
      <w:bookmarkStart w:id="159" w:name="pg12672_159753"/>
      <w:bookmarkStart w:id="160" w:name="__RefHeading___Toc746733_222507752"/>
      <w:bookmarkStart w:id="161" w:name="_Toc57"/>
      <w:bookmarkEnd w:id="159"/>
      <w:bookmarkEnd w:id="160"/>
      <w:r>
        <w:rPr>
          <w:rtl w:val="true"/>
        </w:rPr>
        <w:t>مقدمة المؤلف</w:t>
      </w:r>
      <w:bookmarkEnd w:id="161"/>
    </w:p>
    <w:p>
      <w:pPr>
        <w:pStyle w:val="Heading3"/>
        <w:numPr>
          <w:ilvl w:val="2"/>
          <w:numId w:val="1"/>
        </w:numPr>
        <w:rPr/>
      </w:pPr>
      <w:bookmarkStart w:id="162" w:name="__RefHeading___Toc746735_222507752"/>
      <w:bookmarkStart w:id="163" w:name="_Toc58"/>
      <w:bookmarkEnd w:id="162"/>
      <w:r>
        <w:rPr>
          <w:rtl w:val="true"/>
        </w:rPr>
        <w:t>اشارة</w:t>
      </w:r>
      <w:bookmarkEnd w:id="16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المتفضّل فلا يبلغ مدحته الحامدون،المنعم فلا يحصي نعمته </w:t>
      </w:r>
      <w:r>
        <w:rPr>
          <w:rStyle w:val="FootnoteAnchor"/>
          <w:rtl w:val="true"/>
        </w:rPr>
        <w:footnoteReference w:id="17"/>
      </w:r>
      <w:r>
        <w:rPr>
          <w:rFonts w:ascii="Amiri" w:hAnsi="Amiri" w:eastAsia="Amiri" w:cs="Amiri"/>
          <w:color w:val="111111"/>
          <w:sz w:val="28"/>
          <w:sz w:val="28"/>
          <w:szCs w:val="28"/>
          <w:rtl w:val="true"/>
          <w:lang w:bidi="ar-SA"/>
        </w:rPr>
        <w:t>العادّون، الكريم فلا يحصر مدى كرمه الحاصرون،الكامل في ذاته و صفاته فلا يقدر على إدراكه المجتهدون،القديم فلا أزليّ سواه،الباقي فكلّ شيء فان عداه،القادر فكلّ موجود منسوب إلى قدرته،العالم فكلّ مخلوق مندرج تحت عنايته،نحمده على إفضال أسداه إلينا، و نشكره على نوال تكرّم به علينا،و نستزيده من نعمه الجسام،و نسترفده من عطاياه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الصّلاة على أشرف النّفوس الزّكيّة،و أعظم الذّوات القدسيّة،خصوصا على سيّد البريّة،محمّد المصطفى و عترته المرضيّة،صلاة باقية إلى يوم الدّين،مستمرّة على مرّ الدّهور و السّنين،و سلّم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تعالى لمّا أوجد الأشياء بعد العدم بمقتضى إرادته،و ميّز بينها بحسب عنايته،جعلها متفاوتة في النّقصان و الكمال،و متباينة بالثّبات و الزّوال،و اقتضت الحكمة الإلهيّة و العناية الأزليّة تشريف الإنسان على غيره من الموجودات السّفليّة،و تفضيله على جميع المركّبات العنصريّة بما أودع فيه من العقل الدّرّاك الفارق بين متشابهات الأمور، و الباقي إدراكه على تعاقب الدّهور</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لمّا كان مقتضى الحكمة الأزليّة تتميم هذا التّكميل،و تحصيل هذا التّشريف على أبلغ تحصيل،و كان ذلك إنّما يتمّ بمعرفته،و يحصل بالعلم بكمال حقيقته،لا جرم،أمر </w:t>
      </w:r>
    </w:p>
    <w:p>
      <w:pPr>
        <w:pStyle w:val="BookText"/>
        <w:rPr/>
      </w:pPr>
      <w:r>
        <w:rPr>
          <w:rFonts w:ascii="Amiri" w:hAnsi="Amiri" w:eastAsia="Amiri" w:cs="Amiri"/>
          <w:color w:val="111111"/>
          <w:sz w:val="28"/>
          <w:sz w:val="28"/>
          <w:szCs w:val="28"/>
          <w:rtl w:val="true"/>
          <w:lang w:bidi="ar-SA"/>
        </w:rPr>
        <w:t>بالسّلوك في هذا الطّريق،و كلّف العلم به على وجه التّحقيق،و لمّا كان الإنسان مطبوعا على النّسيان،و مجبولا على النّقصان،كان من مقتضى الحكمة تكرير التّذكير المقرون بالانقياد،المشفوع بالاستعداد لتحصيل المراد،فأمر بالشّرائع على مقتضى حكمته،و سنّ السّنن بموجب لطفه بخليقته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لمّا كان الوصول إلى معرفة الشّرائع على كلّ واحد متعذّرا،و الوقوف على مقاصد السّنن متعسّرا،لا جرم،أوجب النّفور على بعض المكلّفين بقوله فَلَوْ لا نَفَرَ مِنْ كُلِّ فِرْقَةٍ مِنْهُمْ طائِفَةٌ لِيَتَفَقَّهُوا فِي الدِّينِ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لطف اللّه تعالى لنا بالبحث عن الشّريعة المحمّديّة و الملّة الأحمديّة على أحقّ الطّرائق و أصدقها و أكمل المسالك معرفة و أوثقها،و هي طريقة الإماميّة المتمسّكين بأقوال الأئمّة المعصومين من الزّلل في القول و العمل صلوات اللّه عليهم أجمعين،أحببنا أن نكتب دستورا في هذا الفنّ يحتوي على مقاصده،و يشتمل على فوائده،على وجه الإيجاز و الاختصار،متجنّبين الإطالة و الإكثار،مع ذكر الخلاف الواقع بين أصحابنا،و الإشارة إلى مذاهب المخالفين المشهورين،مع ذكر ما يمكن أن يكون حجّة لكلّ فريق على وجه التّحقيق و قد وسمناه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المطلب في تحقيق 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نرجو من لطف اللّه تعالى أن يكون هذا الكتاب بعد التّوفيق لإكماله أنفع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فبذكر الخلاف الواقع بين الأصحاب و المخالفين مع ذكر حججهم و الرّدّ على الفاسد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فباشتماله على المسائل الفقهيّة الأصليّة و الفرعيّة على وجه الاختصار،فكان هذا الكتاب متميّزا عن غيره من الكتب</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رتّبنا هذا الكتاب على أربع قواعد،و قبل الخوض في المقصود،لا بدّ من تقديم مقدّمات</w:t>
      </w:r>
      <w:r>
        <w:rPr>
          <w:rFonts w:eastAsia="Amiri" w:cs="Amiri" w:ascii="Amiri" w:hAnsi="Amiri"/>
          <w:color w:val="111111"/>
          <w:sz w:val="28"/>
          <w:szCs w:val="28"/>
          <w:rtl w:val="true"/>
          <w:lang w:bidi="ar-SA"/>
        </w:rPr>
        <w:t xml:space="preserve">: </w:t>
      </w:r>
      <w:bookmarkStart w:id="164" w:name="pg12672_159755"/>
    </w:p>
    <w:p>
      <w:pPr>
        <w:pStyle w:val="Heading3"/>
        <w:numPr>
          <w:ilvl w:val="2"/>
          <w:numId w:val="1"/>
        </w:numPr>
        <w:rPr/>
      </w:pPr>
      <w:bookmarkStart w:id="165" w:name="__RefHeading___Toc746737_222507752"/>
      <w:bookmarkStart w:id="166" w:name="_Toc59"/>
      <w:bookmarkEnd w:id="164"/>
      <w:bookmarkEnd w:id="165"/>
      <w:r>
        <w:rPr>
          <w:rtl w:val="true"/>
        </w:rPr>
        <w:t>المقدمة الاولى</w:t>
      </w:r>
      <w:r>
        <w:rPr>
          <w:rtl w:val="true"/>
        </w:rPr>
        <w:t>:</w:t>
      </w:r>
      <w:r>
        <w:rPr>
          <w:rtl w:val="true"/>
        </w:rPr>
        <w:t>في ذكر الغرض من هذا العلم،و وجه الحاجة إليه</w:t>
      </w:r>
      <w:bookmarkEnd w:id="166"/>
    </w:p>
    <w:p>
      <w:pPr>
        <w:pStyle w:val="BookText"/>
        <w:rPr/>
      </w:pPr>
      <w:r>
        <w:rPr>
          <w:rFonts w:ascii="Amiri" w:hAnsi="Amiri" w:eastAsia="Amiri" w:cs="Amiri"/>
          <w:color w:val="111111"/>
          <w:sz w:val="28"/>
          <w:sz w:val="28"/>
          <w:szCs w:val="28"/>
          <w:rtl w:val="true"/>
          <w:lang w:bidi="ar-SA"/>
        </w:rPr>
        <w:t>قد بيّنا في كتبنا العقليّة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تعالى إنّما فعل الأشياء المحكمة المتقنة لغرض و غاية، لا لمجرّد العبث و الاتّفاق </w:t>
      </w:r>
      <w:r>
        <w:rPr>
          <w:rStyle w:val="FootnoteAnchor"/>
          <w:rtl w:val="true"/>
        </w:rPr>
        <w:footnoteReference w:id="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قاله بعض من لا تحصيل له </w:t>
      </w:r>
      <w:r>
        <w:rPr>
          <w:rStyle w:val="FootnoteAnchor"/>
          <w:rtl w:val="true"/>
        </w:rPr>
        <w:footnoteReference w:id="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شكّ انّ أشرف الأجسام السّفليّة،هو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 الإنسان،فالغرض لازم في خلقه و لا يمكن أن يكون الغرض منه حصول ضرر له،فإنّ ذلك إنّما يقع من المحتاج أو الجاهل،تعالى اللّه عن ذلك علوّا كبيرا، فلا بدّ و أن يكون هو النّفع،و لا يجوز عوده إليه تعالى لاستغنائه،فلا بدّ و أن يكون عائدا إلى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بحثنا عن المنافع الدّنيويّة وجدناها في الحقيقة غير منافع،بل هي دفع آلام،فإن كان فيها شيء يستحقّ أن يطلق عليه اسم النّفع فهو يسير جدّا،و مثل هذا الغرض لا يمكن أن يكون غاية في حصول هذا المخلوق الشّريف،خصوصا مع انقطاعه و شوبه بالآلام المتضاعفة،فلا بدّ و أن يكون الغرض شيئا آخر ممّا يتعلّق بالمنافع الأخرويّة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كان ذلك النّفع من أعظم المطالب،و أنفس المقاصد،لم يكن مبذولا لكلّ أحد، بل إنّما يحصل بالاستحقاق،و ذلك لا يكون إلاّ بالعمل في هذه الدّار،المسبوق بتحصيل كيفيّة العمل المشتمل عليه هذا العلم،فكان ذلك من أعظم المنافع في هذا العلم،و الحاجة إليه ماسّة جدّا لتحصيل هذا النّفع و التّخلّص من العقاب الدّائم</w:t>
      </w:r>
      <w:r>
        <w:rPr>
          <w:rFonts w:eastAsia="Amiri" w:cs="Amiri" w:ascii="Amiri" w:hAnsi="Amiri"/>
          <w:color w:val="111111"/>
          <w:sz w:val="28"/>
          <w:szCs w:val="28"/>
          <w:rtl w:val="true"/>
          <w:lang w:bidi="ar-SA"/>
        </w:rPr>
        <w:t xml:space="preserve">. </w:t>
      </w:r>
      <w:bookmarkStart w:id="167" w:name="pg12672_159756"/>
    </w:p>
    <w:p>
      <w:pPr>
        <w:pStyle w:val="Heading3"/>
        <w:numPr>
          <w:ilvl w:val="2"/>
          <w:numId w:val="1"/>
        </w:numPr>
        <w:rPr/>
      </w:pPr>
      <w:bookmarkStart w:id="168" w:name="__RefHeading___Toc746739_222507752"/>
      <w:bookmarkStart w:id="169" w:name="_Toc60"/>
      <w:bookmarkEnd w:id="167"/>
      <w:bookmarkEnd w:id="168"/>
      <w:r>
        <w:rPr>
          <w:rtl w:val="true"/>
        </w:rPr>
        <w:t>المقدّمة الثّانية</w:t>
      </w:r>
      <w:r>
        <w:rPr>
          <w:rtl w:val="true"/>
        </w:rPr>
        <w:t>:</w:t>
      </w:r>
      <w:r>
        <w:rPr>
          <w:rtl w:val="true"/>
        </w:rPr>
        <w:t>في مرتبة هذا العلم</w:t>
      </w:r>
      <w:bookmarkEnd w:id="169"/>
    </w:p>
    <w:p>
      <w:pPr>
        <w:pStyle w:val="BookText"/>
        <w:rPr/>
      </w:pPr>
      <w:r>
        <w:rPr>
          <w:rFonts w:ascii="Amiri" w:hAnsi="Amiri" w:eastAsia="Amiri" w:cs="Amiri"/>
          <w:color w:val="111111"/>
          <w:sz w:val="28"/>
          <w:sz w:val="28"/>
          <w:szCs w:val="28"/>
          <w:rtl w:val="true"/>
          <w:lang w:bidi="ar-SA"/>
        </w:rPr>
        <w:t>اعلم انّ العلوم قد يتقدّم بعضها على بعض إمّا لتقدّم موضوعاتها،أو لتقدّم غاياتها،أو لاشتمالها على مبادئ العلوم المتأخّرة،أو لأمور أخر ليس هذا موضع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عندي انّ مرتبة هذا العلم متأخّرة عن غيره بالاعتبار الثّالث،و ذلك لافتقاره إلى سائر العلوم،و استغنائها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تأخّره عن علم الكلام فلأنّ هذا العلم باحث عن كيفيّة التّكليف،و هو لا شكّ مسبوق بالبحث عن معرفة التّكليف و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تأخّره عن علم أصول الفقه فظاهر،لأنّ هذا العلم ليس ضروريّا بل لا بدّ فيه من الاستدلال،و أصول الفقه متكفّل ببيان كيفيّة ذلك الاستدلال،و بهذا الاعتبار كان متأخّرا عن علم المنطق المتكفّل ببيان فساد الطّرق و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اللّغة و النّحو و التّصريف،فلأنّ مبادئ هذا العلم إنّما هو القرآن و السّنّة و غيرهما،و لا شكّ في انّ القرآن و السّنّة عربيّان فوجب تقديم البحث عن اللّغة و النّحو و التّصريف على البحث عن هذا العلم،فهذه العلوم الّتي يحتاج هذا العلم إلى تقدّم معرفتها </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746741_222507752"/>
      <w:bookmarkStart w:id="171" w:name="_Toc61"/>
      <w:bookmarkEnd w:id="170"/>
      <w:r>
        <w:rPr>
          <w:rtl w:val="true"/>
        </w:rPr>
        <w:t>المقدّمة الثّالثة</w:t>
      </w:r>
      <w:r>
        <w:rPr>
          <w:rtl w:val="true"/>
        </w:rPr>
        <w:t>:</w:t>
      </w:r>
      <w:r>
        <w:rPr>
          <w:rtl w:val="true"/>
        </w:rPr>
        <w:t>في موضوع هذا العلم و مبادئه و مسائله</w:t>
      </w:r>
      <w:bookmarkEnd w:id="17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انّ كلّ علم على الإطلاق لا بدّ و أن يكون باحثا عن أمور لا حقة لغيرها،و تسمّى تلك الأمور مسائل ذلك العلم،و ذلك الغير موضوعه،و لا بدّ له من مقدّمات يتوقّف الاستدلال عليها،و من تصوّرات للموضوع و أجزائه و جزئيّاته إن كانت،و يسمّى ذلك أجمع بالمبادي</w:t>
      </w:r>
      <w:r>
        <w:rPr>
          <w:rFonts w:eastAsia="Amiri" w:cs="Amiri" w:ascii="Amiri" w:hAnsi="Amiri"/>
          <w:color w:val="111111"/>
          <w:sz w:val="28"/>
          <w:szCs w:val="28"/>
          <w:rtl w:val="true"/>
          <w:lang w:bidi="ar-SA"/>
        </w:rPr>
        <w:t xml:space="preserve">. </w:t>
      </w:r>
      <w:bookmarkStart w:id="172" w:name="pg12672_159757"/>
    </w:p>
    <w:p>
      <w:pPr>
        <w:pStyle w:val="BookText"/>
        <w:rPr/>
      </w:pPr>
      <w:bookmarkEnd w:id="172"/>
      <w:r>
        <w:rPr>
          <w:rFonts w:ascii="Amiri" w:hAnsi="Amiri" w:eastAsia="Amiri" w:cs="Amiri"/>
          <w:color w:val="111111"/>
          <w:sz w:val="28"/>
          <w:sz w:val="28"/>
          <w:szCs w:val="28"/>
          <w:rtl w:val="true"/>
          <w:lang w:bidi="ar-SA"/>
        </w:rPr>
        <w:t>و لمّا كان الفقه باحثا عن الوجوب و النّدب و الإباحة و الكراهة و التّحريم و الصحّة و البطلان،لا من حيث هي،بل من حيث هي عوارض لأفعال المكلّفين،لا جرم،كان موضوع هذا العلم هو أفعال المكلّفين من حيث الاقتضاء و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مبادئه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المقدّمات الّتي يتوقّف عليها ذلك العلم كالقرآن،و الأخبار،و الإجماع، و التّصوّرات الّتي يتوقّف عليها ذلك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مسائله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المطالب الجزئيّة الّتي يشتمل عليها علم الفقه </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746743_222507752"/>
      <w:bookmarkStart w:id="174" w:name="_Toc62"/>
      <w:bookmarkEnd w:id="173"/>
      <w:r>
        <w:rPr>
          <w:rtl w:val="true"/>
        </w:rPr>
        <w:t>المقدّمة الرّابعة</w:t>
      </w:r>
      <w:r>
        <w:rPr>
          <w:rtl w:val="true"/>
        </w:rPr>
        <w:t>:</w:t>
      </w:r>
      <w:r>
        <w:rPr>
          <w:rtl w:val="true"/>
        </w:rPr>
        <w:t>في تحديد هذا العلم</w:t>
      </w:r>
      <w:bookmarkEnd w:id="174"/>
    </w:p>
    <w:p>
      <w:pPr>
        <w:pStyle w:val="BookText"/>
        <w:rPr/>
      </w:pPr>
      <w:r>
        <w:rPr>
          <w:rFonts w:ascii="Amiri" w:hAnsi="Amiri" w:eastAsia="Amiri" w:cs="Amiri"/>
          <w:color w:val="111111"/>
          <w:sz w:val="28"/>
          <w:sz w:val="28"/>
          <w:szCs w:val="28"/>
          <w:rtl w:val="true"/>
          <w:lang w:bidi="ar-SA"/>
        </w:rPr>
        <w:t xml:space="preserve">لا يمكن تحديد علم من العلوم إلاّ بالإضافة إلى متعلّقه،لدخول الإضافة فيه و كونها جزءا منه،و الفقه في اللّغة،هو الفهم،و أمّا في الاصطلاح،فهو عبارة عن العلم بالأحكام الشّرعيّة الفرعيّة،مستندا إلى الأدلّة التّفصيليّة،و قد بيّنا في أصول الفقه شرح هذا الحدّ على الاستقصاء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 w:name="__RefHeading___Toc746745_222507752"/>
      <w:bookmarkStart w:id="176" w:name="_Toc63"/>
      <w:bookmarkEnd w:id="175"/>
      <w:r>
        <w:rPr>
          <w:rtl w:val="true"/>
        </w:rPr>
        <w:t>المقدّمة الخامسة</w:t>
      </w:r>
      <w:r>
        <w:rPr>
          <w:rtl w:val="true"/>
        </w:rPr>
        <w:t>:</w:t>
      </w:r>
      <w:r>
        <w:rPr>
          <w:rtl w:val="true"/>
        </w:rPr>
        <w:t>في أنّ تحصيل هذا العلم واجب يدلّ عليه المعقول و المنقول</w:t>
      </w:r>
      <w:bookmarkEnd w:id="176"/>
    </w:p>
    <w:p>
      <w:pPr>
        <w:pStyle w:val="BookText"/>
        <w:rPr/>
      </w:pPr>
      <w:r>
        <w:rPr>
          <w:rFonts w:ascii="Amiri" w:hAnsi="Amiri" w:eastAsia="Amiri" w:cs="Amiri"/>
          <w:color w:val="111111"/>
          <w:sz w:val="28"/>
          <w:sz w:val="28"/>
          <w:szCs w:val="28"/>
          <w:rtl w:val="true"/>
          <w:lang w:bidi="ar-SA"/>
        </w:rPr>
        <w:t>أمّا المعقول،فهو انّ معرفة التّكليف واجبة،و إلاّ لزم تكليف ما لا يطاق،و لا يتمّ إلاّ بتحصيل هذا العلم قطعا،و ما لا يتمّ الواجب إلاّ به يكون واجبا،فيكون تحصيل هذا العلم واجبا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المنقول،فقوله تعالى</w:t>
      </w:r>
      <w:r>
        <w:rPr>
          <w:rFonts w:eastAsia="IRNazanin" w:cs="IRNazanin"/>
          <w:color w:val="111111"/>
          <w:sz w:val="28"/>
          <w:szCs w:val="28"/>
          <w:rtl w:val="true"/>
          <w:lang w:bidi="fa-IR"/>
        </w:rPr>
        <w:t xml:space="preserve">: </w:t>
      </w:r>
      <w:bookmarkStart w:id="177" w:name="pg12672_159758"/>
    </w:p>
    <w:p>
      <w:pPr>
        <w:pStyle w:val="BookText"/>
        <w:rPr/>
      </w:pPr>
      <w:bookmarkEnd w:id="177"/>
      <w:r>
        <w:rPr>
          <w:rFonts w:ascii="Amiri" w:hAnsi="Amiri" w:eastAsia="Amiri" w:cs="Amiri"/>
          <w:color w:val="111111"/>
          <w:sz w:val="28"/>
          <w:sz w:val="28"/>
          <w:szCs w:val="28"/>
          <w:rtl w:val="true"/>
          <w:lang w:bidi="ar-SA"/>
        </w:rPr>
        <w:t xml:space="preserve">فَلَوْ لا نَفَرَ مِنْ كُلِّ فِرْقَةٍ مِنْهُمْ طائِفَةٌ لِيَتَفَقَّهُوا فِي الدِّينِ وَ لِيُنْذِرُوا قَوْمَهُمْ إِذا رَجَعُوا إِلَيْهِمْ لَعَلَّهُمْ يَحْذَرُونَ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 w:name="__RefHeading___Toc746747_222507752"/>
      <w:bookmarkStart w:id="179" w:name="_Toc64"/>
      <w:bookmarkEnd w:id="178"/>
      <w:r>
        <w:rPr>
          <w:rtl w:val="true"/>
        </w:rPr>
        <w:t>المقدّمة السّادسة</w:t>
      </w:r>
      <w:r>
        <w:rPr>
          <w:rtl w:val="true"/>
        </w:rPr>
        <w:t>:</w:t>
      </w:r>
      <w:r>
        <w:rPr>
          <w:rtl w:val="true"/>
        </w:rPr>
        <w:t>في أنّ تحصيل هذا العلم واجب على الكفاية</w:t>
      </w:r>
      <w:bookmarkEnd w:id="179"/>
    </w:p>
    <w:p>
      <w:pPr>
        <w:pStyle w:val="BookText"/>
        <w:rPr/>
      </w:pPr>
      <w:r>
        <w:rPr>
          <w:rFonts w:ascii="Amiri" w:hAnsi="Amiri" w:eastAsia="Amiri" w:cs="Amiri"/>
          <w:color w:val="111111"/>
          <w:sz w:val="28"/>
          <w:sz w:val="28"/>
          <w:szCs w:val="28"/>
          <w:rtl w:val="true"/>
          <w:lang w:bidi="ar-SA"/>
        </w:rPr>
        <w:t>و يدلّ عليه ما تقدّم من القرآن،فإنّه دلّ على وجوب التّفقّه على الطّائفة من كلّ فرقة، و لو كان واجبا على الأعيان،لكان واجبا على كلّ 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الأصل عدم الوجوب،و الدّليل إنّما ينهض بالوجوب على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لأنّ الوجوب على الأعيان ضرر عظيم،و هو منفيّ اتّفاقا </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746749_222507752"/>
      <w:bookmarkStart w:id="181" w:name="_Toc65"/>
      <w:bookmarkEnd w:id="180"/>
      <w:r>
        <w:rPr>
          <w:rtl w:val="true"/>
        </w:rPr>
        <w:t>المقدّمة السّابعة</w:t>
      </w:r>
      <w:r>
        <w:rPr>
          <w:rtl w:val="true"/>
        </w:rPr>
        <w:t>:</w:t>
      </w:r>
      <w:bookmarkEnd w:id="181"/>
    </w:p>
    <w:p>
      <w:pPr>
        <w:pStyle w:val="BookText"/>
        <w:rPr/>
      </w:pPr>
      <w:r>
        <w:rPr>
          <w:rFonts w:ascii="Amiri" w:hAnsi="Amiri" w:eastAsia="Amiri" w:cs="Amiri"/>
          <w:color w:val="111111"/>
          <w:sz w:val="28"/>
          <w:sz w:val="28"/>
          <w:szCs w:val="28"/>
          <w:rtl w:val="true"/>
          <w:lang w:bidi="ar-SA"/>
        </w:rPr>
        <w:t>اعلم انّ النّاس على أقسام ثلاثة بالنّسبة إلى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الأصل،و المستنبط له،و المظهر لكنوزه،و الدّال على فوائده و كأنّه الخالق لذلك العلم و المبتدع له،و هذا القسم أشرف الأقسام و أعلاها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له مرتبة دون هذه المرتبة،و حظّه من العلم أنقص من حظّ الأوّل، و كان سعيه و كدّه فهم ما يرد عليه من العلوم المنقولة عن الأوّل،و تحصيل ما أراده الأوّل، و لهذا القسم أيضا شرف قاصر عن شرف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قصر عن هاتين المرتبتين و لم يفز بأحد هذين المقامين،و هم الغالب في زماننا،و هم في الحقيقة ينقسمون إلى قسمين</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تعاطى درجة العلم،و هم المتجاهلون،و غاية سعيهم،الرّدّ على أهل </w:t>
      </w:r>
      <w:bookmarkStart w:id="182" w:name="pg12672_159759"/>
    </w:p>
    <w:p>
      <w:pPr>
        <w:pStyle w:val="BookText"/>
        <w:rPr/>
      </w:pPr>
      <w:bookmarkEnd w:id="182"/>
      <w:r>
        <w:rPr>
          <w:rFonts w:ascii="Amiri" w:hAnsi="Amiri" w:eastAsia="Amiri" w:cs="Amiri"/>
          <w:color w:val="111111"/>
          <w:sz w:val="28"/>
          <w:sz w:val="28"/>
          <w:szCs w:val="28"/>
          <w:rtl w:val="true"/>
          <w:lang w:bidi="ar-SA"/>
        </w:rPr>
        <w:t xml:space="preserve">الحقّ،و التّخطئة لهم،و جبر نقصهم بذلك،و هم الحشويّة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تسم نفسه إلى ذلك،و هم الجاهلون،و هم أشرف من اولى هذه المرتبة، و إلى ذلك </w:t>
      </w:r>
      <w:r>
        <w:rPr>
          <w:rStyle w:val="FootnoteAnchor"/>
          <w:rtl w:val="true"/>
        </w:rPr>
        <w:footnoteReference w:id="24"/>
      </w:r>
      <w:r>
        <w:rPr>
          <w:rFonts w:ascii="Amiri" w:hAnsi="Amiri" w:eastAsia="Amiri" w:cs="Amiri"/>
          <w:color w:val="111111"/>
          <w:sz w:val="28"/>
          <w:sz w:val="28"/>
          <w:szCs w:val="28"/>
          <w:rtl w:val="true"/>
          <w:lang w:bidi="ar-SA"/>
        </w:rPr>
        <w:t>أشار مولانا أمير المؤمنين صلوات اللّه و سلامه عليه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عالم ربّانيّ،و متعلّم على سبيل نجاة،و همج رعاع أتباع كلّ ناعق، يميلون مع كلّ ريح،لم يستضيئوا بنور العلم،و لم يلجأوا إلى ركن وثيق</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 w:name="__RefHeading___Toc746751_222507752"/>
      <w:bookmarkStart w:id="184" w:name="_Toc66"/>
      <w:bookmarkEnd w:id="183"/>
      <w:r>
        <w:rPr>
          <w:rtl w:val="true"/>
        </w:rPr>
        <w:t>المقدّمة الثّامنة</w:t>
      </w:r>
      <w:r>
        <w:rPr>
          <w:rtl w:val="true"/>
        </w:rPr>
        <w:t>:</w:t>
      </w:r>
      <w:bookmarkEnd w:id="18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قد يأتي في كتابنا هذا إطلاق لفظ الشّيخ،و نعني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أبا جعفر محمّد بن الحسن الطّوسيّ </w:t>
      </w:r>
      <w:r>
        <w:rPr>
          <w:rStyle w:val="FootnoteAnchor"/>
          <w:rtl w:val="true"/>
        </w:rPr>
        <w:footnoteReference w:id="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المفيد،و نريد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محمّد بن محمّد بن النّعمان </w:t>
      </w:r>
      <w:r>
        <w:rPr>
          <w:rStyle w:val="FootnoteAnchor"/>
          <w:rtl w:val="true"/>
        </w:rPr>
        <w:footnoteReference w:id="27"/>
      </w:r>
      <w:r>
        <w:rPr>
          <w:rFonts w:ascii="Amiri" w:hAnsi="Amiri" w:eastAsia="Amiri" w:cs="Amiri"/>
          <w:color w:val="111111"/>
          <w:sz w:val="28"/>
          <w:sz w:val="28"/>
          <w:szCs w:val="28"/>
          <w:rtl w:val="true"/>
          <w:lang w:bidi="ar-SA"/>
        </w:rPr>
        <w:t>،و بالشّيخين،هما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يأتي في بعض الأخبار،انّه في الصّحيح،و نعني به</w:t>
      </w:r>
      <w:r>
        <w:rPr>
          <w:rFonts w:eastAsia="Amiri" w:cs="Amiri" w:ascii="Amiri" w:hAnsi="Amiri"/>
          <w:color w:val="111111"/>
          <w:sz w:val="28"/>
          <w:szCs w:val="28"/>
          <w:rtl w:val="true"/>
          <w:lang w:bidi="ar-SA"/>
        </w:rPr>
        <w:t xml:space="preserve">: </w:t>
      </w:r>
      <w:bookmarkStart w:id="185" w:name="pg12672_159760"/>
    </w:p>
    <w:p>
      <w:pPr>
        <w:pStyle w:val="BookText"/>
        <w:rPr/>
      </w:pPr>
      <w:bookmarkEnd w:id="185"/>
      <w:r>
        <w:rPr>
          <w:rFonts w:ascii="Amiri" w:hAnsi="Amiri" w:eastAsia="Amiri" w:cs="Amiri"/>
          <w:color w:val="111111"/>
          <w:sz w:val="28"/>
          <w:sz w:val="28"/>
          <w:szCs w:val="28"/>
          <w:rtl w:val="true"/>
          <w:lang w:bidi="ar-SA"/>
        </w:rPr>
        <w:t>ما كان رواته ثقاة عدولا،و في بعضها،في الحسن،و نريد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بعض رواته قد أثنى عليه الأصحاب و إن لم يصرّحوا بلفظ التّوثيق له،و في بعضها في الموثّق،و نعني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بعض رواته من غير الإماميّة كالفطحيّة </w:t>
      </w:r>
      <w:r>
        <w:rPr>
          <w:rStyle w:val="FootnoteAnchor"/>
          <w:rtl w:val="true"/>
        </w:rPr>
        <w:footnoteReference w:id="28"/>
      </w:r>
      <w:r>
        <w:rPr>
          <w:rFonts w:ascii="Amiri" w:hAnsi="Amiri" w:eastAsia="Amiri" w:cs="Amiri"/>
          <w:color w:val="111111"/>
          <w:sz w:val="28"/>
          <w:sz w:val="28"/>
          <w:szCs w:val="28"/>
          <w:rtl w:val="true"/>
          <w:lang w:bidi="ar-SA"/>
        </w:rPr>
        <w:t xml:space="preserve">،و الواقفيّة </w:t>
      </w:r>
      <w:r>
        <w:rPr>
          <w:rStyle w:val="FootnoteAnchor"/>
          <w:rtl w:val="true"/>
        </w:rPr>
        <w:footnoteReference w:id="29"/>
      </w:r>
      <w:r>
        <w:rPr>
          <w:rFonts w:ascii="Amiri" w:hAnsi="Amiri" w:eastAsia="Amiri" w:cs="Amiri"/>
          <w:color w:val="111111"/>
          <w:sz w:val="28"/>
          <w:sz w:val="28"/>
          <w:szCs w:val="28"/>
          <w:rtl w:val="true"/>
          <w:lang w:bidi="ar-SA"/>
        </w:rPr>
        <w:t xml:space="preserve">،و غيرهم،إلاّ انّ الأصحاب شهدوا بالتّوثيق له </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746753_222507752"/>
      <w:bookmarkStart w:id="187" w:name="_Toc67"/>
      <w:bookmarkEnd w:id="186"/>
      <w:r>
        <w:rPr>
          <w:rtl w:val="true"/>
        </w:rPr>
        <w:t>المقدّمة التّاسعة</w:t>
      </w:r>
      <w:r>
        <w:rPr>
          <w:rtl w:val="true"/>
        </w:rPr>
        <w:t>:</w:t>
      </w:r>
      <w:bookmarkEnd w:id="187"/>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رأينا انّ الغالب على النّاس في هذا الزّمان الجهل،و طاعة الشّهوة و الغضب و الرّفض،لإدراك المعاني القدسيّة،و ترك الوصول إلى أنفس المعارج العلويّة،و اقتنائهم لرذائل الأخلاق،و اتّصافهم بالاعتقادات الباطلة على الإطلاق،و التّشنيع على من سمت همّته </w:t>
      </w:r>
      <w:r>
        <w:rPr>
          <w:rStyle w:val="FootnoteAnchor"/>
          <w:rtl w:val="true"/>
        </w:rPr>
        <w:footnoteReference w:id="30"/>
      </w:r>
      <w:r>
        <w:rPr>
          <w:rFonts w:ascii="Amiri" w:hAnsi="Amiri" w:eastAsia="Amiri" w:cs="Amiri"/>
          <w:color w:val="111111"/>
          <w:sz w:val="28"/>
          <w:sz w:val="28"/>
          <w:szCs w:val="28"/>
          <w:rtl w:val="true"/>
          <w:lang w:bidi="ar-SA"/>
        </w:rPr>
        <w:t>عن درجتهم،و طلبت نفسه الصّعود عن منزلتهم،حتّى انّا في مدّة عمرنا هذا، و هو اثنان و ثلاثون سنة لم نشاهد من طلاّب الحقّ إلاّ من قلّ،و من القاصدين للصّواب إلاّ من جلّ، أحببنا إظهار شيء من فوائد هذا العلم عسى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 xml:space="preserve">يحصل لبعض النّاس مرتبة الاقتداء، و يرغب في الاقتفاء و ذلك من أشرف فوائد وضع هذا الكتاب،لما فيه من السّنّة المقتدى </w:t>
      </w:r>
    </w:p>
    <w:p>
      <w:pPr>
        <w:pStyle w:val="BookText"/>
        <w:rPr/>
      </w:pPr>
      <w:r>
        <w:rPr>
          <w:rFonts w:ascii="Amiri" w:hAnsi="Amiri" w:eastAsia="Amiri" w:cs="Amiri"/>
          <w:color w:val="111111"/>
          <w:sz w:val="28"/>
          <w:sz w:val="28"/>
          <w:szCs w:val="28"/>
          <w:rtl w:val="true"/>
          <w:lang w:bidi="ar-SA"/>
        </w:rPr>
        <w:t>بها،الفائز صاحبها بالسّهم المعلّى من السّعادة،و المتخلّص من مراتب الشّقاوة،فشرعنا في عمل هذا الكتاب المحتوي على المسائل اللّطيفة،و المباحث الدّقيقة الشّريفة،و إن كان أصحابنا المتقدّمون و علماؤنا السّابقون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أوضحوا سبيل كلّ خير و نهجوا طريق كلّ فائدة،خصوصا شيخنا الأقدم،و الإمام الأعظم،المستوجب للكرامة، و المستحقّ لمراتب الإمامة،أبو جعفر محمّد بن الحسن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الواصل بنظره الثّاقب إلى أعظم المطالب،و لمّا انتقل إلى جوار الرّحمن،و نزل بساحة الرّضوان،درس هذا العلم بعده،و طمست معالمه،و انمحت مراسمه،و لم يتعلّق المتأخّرون بعده إلاّ بفوائده،و لم يغترفوا إلاّ من بحر فرائده،و لم يستضيئوا إلاّ بأنواره،و لم يستخرجوا إلاّ درر نثاره،إلاّ انّ في أصحابنا المتأخّرين عنه زمانا،من استنبط بنظره ما لم يثبته في كتبه،و إن كان يسيرا لا اعتداد </w:t>
      </w:r>
      <w:r>
        <w:rPr>
          <w:rStyle w:val="FootnoteAnchor"/>
          <w:rtl w:val="true"/>
        </w:rPr>
        <w:footnoteReference w:id="32"/>
      </w:r>
      <w:r>
        <w:rPr>
          <w:rFonts w:ascii="Amiri" w:hAnsi="Amiri" w:eastAsia="Amiri" w:cs="Amiri"/>
          <w:color w:val="111111"/>
          <w:sz w:val="28"/>
          <w:sz w:val="28"/>
          <w:szCs w:val="28"/>
          <w:rtl w:val="true"/>
          <w:lang w:bidi="ar-SA"/>
        </w:rPr>
        <w:t>به،فوضعنا هذا الكتاب الجامع لتلك الفوائد، و الحاوي لتلك الفرائد</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انّ كتابنا هذا لا يخلو عن مطالب دقيقة،و مباحث عميقة،لم توجد في شيء من صحف الأوّلين،و لم تسطر في دفاتر الأقدمين،ممّا استنبطناه من فكرنا و نظرنا،و من اللّه تعالى نستمدّ المعونة و التّوفيق،و أن يجعل ذلك خالصا لوجهه،عليه توكّلت و إليه أنيب</w:t>
      </w:r>
      <w:r>
        <w:rPr>
          <w:rFonts w:eastAsia="Amiri" w:cs="Amiri" w:ascii="Amiri" w:hAnsi="Amiri"/>
          <w:color w:val="111111"/>
          <w:sz w:val="28"/>
          <w:szCs w:val="28"/>
          <w:rtl w:val="true"/>
          <w:lang w:bidi="ar-SA"/>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8" w:name="pg12672_159763"/>
      <w:bookmarkStart w:id="189" w:name="pg12672_159763"/>
      <w:bookmarkEnd w:id="189"/>
    </w:p>
    <w:p>
      <w:pPr>
        <w:pStyle w:val="Heading2"/>
        <w:numPr>
          <w:ilvl w:val="1"/>
          <w:numId w:val="1"/>
        </w:numPr>
        <w:rPr/>
      </w:pPr>
      <w:bookmarkStart w:id="190" w:name="pg12672_159763"/>
      <w:bookmarkStart w:id="191" w:name="__RefHeading___Toc746755_222507752"/>
      <w:bookmarkStart w:id="192" w:name="_Toc68"/>
      <w:bookmarkEnd w:id="190"/>
      <w:bookmarkEnd w:id="191"/>
      <w:r>
        <w:rPr>
          <w:rtl w:val="true"/>
        </w:rPr>
        <w:t>القاعدة الأولى</w:t>
      </w:r>
      <w:bookmarkEnd w:id="192"/>
    </w:p>
    <w:p>
      <w:pPr>
        <w:pStyle w:val="Heading3"/>
        <w:numPr>
          <w:ilvl w:val="2"/>
          <w:numId w:val="1"/>
        </w:numPr>
        <w:rPr/>
      </w:pPr>
      <w:bookmarkStart w:id="193" w:name="__RefHeading___Toc746757_222507752"/>
      <w:bookmarkStart w:id="194" w:name="_Toc69"/>
      <w:bookmarkEnd w:id="193"/>
      <w:r>
        <w:rPr>
          <w:rtl w:val="true"/>
        </w:rPr>
        <w:t>اشارة</w:t>
      </w:r>
      <w:bookmarkEnd w:id="194"/>
    </w:p>
    <w:p>
      <w:pPr>
        <w:pStyle w:val="BookText"/>
        <w:rPr/>
      </w:pPr>
      <w:r>
        <w:rPr>
          <w:rFonts w:ascii="Amiri" w:hAnsi="Amiri" w:eastAsia="Amiri" w:cs="Amiri"/>
          <w:color w:val="111111"/>
          <w:sz w:val="28"/>
          <w:sz w:val="28"/>
          <w:szCs w:val="28"/>
          <w:rtl w:val="true"/>
          <w:lang w:bidi="ar-SA"/>
        </w:rPr>
        <w:t>في العبادات،و تشتمل على عدّة كتب</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746759_222507752"/>
      <w:bookmarkStart w:id="196" w:name="_Toc70"/>
      <w:bookmarkEnd w:id="195"/>
      <w:r>
        <w:rPr>
          <w:rtl w:val="true"/>
        </w:rPr>
        <w:t>الكتاب الأوّل</w:t>
      </w:r>
      <w:r>
        <w:rPr>
          <w:rtl w:val="true"/>
        </w:rPr>
        <w:t>:</w:t>
      </w:r>
      <w:r>
        <w:rPr>
          <w:rtl w:val="true"/>
        </w:rPr>
        <w:t>في الطّهارة</w:t>
      </w:r>
      <w:bookmarkEnd w:id="196"/>
    </w:p>
    <w:p>
      <w:pPr>
        <w:pStyle w:val="Heading4"/>
        <w:numPr>
          <w:ilvl w:val="3"/>
          <w:numId w:val="1"/>
        </w:numPr>
        <w:rPr/>
      </w:pPr>
      <w:bookmarkStart w:id="197" w:name="__RefHeading___Toc746761_222507752"/>
      <w:bookmarkStart w:id="198" w:name="_Toc71"/>
      <w:bookmarkEnd w:id="197"/>
      <w:r>
        <w:rPr>
          <w:rtl w:val="true"/>
        </w:rPr>
        <w:t>اشارة</w:t>
      </w:r>
      <w:bookmarkEnd w:id="198"/>
    </w:p>
    <w:p>
      <w:pPr>
        <w:pStyle w:val="BookText"/>
        <w:rPr/>
      </w:pPr>
      <w:r>
        <w:rPr>
          <w:rFonts w:ascii="Amiri" w:hAnsi="Amiri" w:eastAsia="Amiri" w:cs="Amiri"/>
          <w:color w:val="111111"/>
          <w:sz w:val="28"/>
          <w:sz w:val="28"/>
          <w:szCs w:val="28"/>
          <w:rtl w:val="true"/>
          <w:lang w:bidi="ar-SA"/>
        </w:rPr>
        <w:t>و فيه مقدّمة و مقاصد</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746763_222507752"/>
      <w:bookmarkStart w:id="200" w:name="_Toc72"/>
      <w:bookmarkEnd w:id="199"/>
      <w:r>
        <w:rPr>
          <w:rtl w:val="true"/>
        </w:rPr>
        <w:t>أمّا المقدّمة،ففيها بحثان</w:t>
      </w:r>
      <w:r>
        <w:rPr>
          <w:rtl w:val="true"/>
        </w:rPr>
        <w:t>:</w:t>
      </w:r>
      <w:bookmarkEnd w:id="200"/>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01" w:name="__RefHeading___Toc746765_222507752"/>
      <w:bookmarkStart w:id="202" w:name="_Toc73"/>
      <w:bookmarkEnd w:id="201"/>
      <w:r>
        <w:rPr>
          <w:rtl w:val="true"/>
        </w:rPr>
        <w:t>اشارة</w:t>
      </w:r>
      <w:bookmarkEnd w:id="202"/>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3" w:name="pg12672_159765"/>
      <w:bookmarkStart w:id="204" w:name="pg12672_159765"/>
      <w:bookmarkEnd w:id="204"/>
    </w:p>
    <w:p>
      <w:pPr>
        <w:pStyle w:val="Heading5"/>
        <w:numPr>
          <w:ilvl w:val="4"/>
          <w:numId w:val="1"/>
        </w:numPr>
        <w:rPr/>
      </w:pPr>
      <w:bookmarkStart w:id="205" w:name="pg12672_159765"/>
      <w:bookmarkStart w:id="206" w:name="__RefHeading___Toc746767_222507752"/>
      <w:bookmarkStart w:id="207" w:name="_Toc74"/>
      <w:bookmarkEnd w:id="205"/>
      <w:bookmarkEnd w:id="206"/>
      <w:r>
        <w:rPr>
          <w:rtl w:val="true"/>
        </w:rPr>
        <w:t>البحث الأوّل</w:t>
      </w:r>
      <w:r>
        <w:rPr>
          <w:rtl w:val="true"/>
        </w:rPr>
        <w:t>:</w:t>
      </w:r>
      <w:r>
        <w:rPr>
          <w:rtl w:val="true"/>
        </w:rPr>
        <w:t>في تعريفها</w:t>
      </w:r>
      <w:bookmarkEnd w:id="207"/>
    </w:p>
    <w:p>
      <w:pPr>
        <w:pStyle w:val="BookText"/>
        <w:rPr/>
      </w:pPr>
      <w:r>
        <w:rPr>
          <w:rFonts w:ascii="Amiri" w:hAnsi="Amiri" w:eastAsia="Amiri" w:cs="Amiri"/>
          <w:color w:val="111111"/>
          <w:sz w:val="28"/>
          <w:sz w:val="28"/>
          <w:szCs w:val="28"/>
          <w:rtl w:val="true"/>
          <w:lang w:bidi="ar-SA"/>
        </w:rPr>
        <w:t>الطّهارة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النّظافة،و شرعا 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يستباح به الدّخول في الصّلاة </w:t>
      </w:r>
      <w:r>
        <w:rPr>
          <w:rStyle w:val="FootnoteAnchor"/>
          <w:rtl w:val="true"/>
        </w:rPr>
        <w:footnoteReference w:id="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أورد على طرده إزالة النّجاسة،و على عكسه وضوء الحائض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ما يستباح به الدّخول على سبيل الاستقلال في وقت ما، فيخرج الإزالة بخلاف الطّهارة الّتي يستباح بها إذا كانت الحال حال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بالمنع من تسميته طهارة،و قد رواه محمّد بن مسلم </w:t>
      </w:r>
      <w:r>
        <w:rPr>
          <w:rStyle w:val="FootnoteAnchor"/>
          <w:rtl w:val="true"/>
        </w:rPr>
        <w:footnoteReference w:id="35"/>
      </w:r>
      <w:r>
        <w:rPr>
          <w:rFonts w:ascii="Amiri" w:hAnsi="Amiri" w:eastAsia="Amiri" w:cs="Amiri"/>
          <w:color w:val="111111"/>
          <w:sz w:val="28"/>
          <w:sz w:val="28"/>
          <w:szCs w:val="28"/>
          <w:rtl w:val="true"/>
          <w:lang w:bidi="ar-SA"/>
        </w:rPr>
        <w:t>عن الصّادق عليه السّلام،قلت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الحائض تتطهّر يوم الجمعة و تذكر اللّه تعالى؟قال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الطّهر فلا و لكن تتوضّأ</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في صدق الوضوء عليه،و هو نوع من الطّهارة،فيستلزم صدق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لفظة النّوع يقال عليه لا لوجوده فيه،بل بالاشتراك</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الحدّ بحسب الغاية،و للشّيخ حدّ آخر بالنّظر إلى نفس الماهيّة </w:t>
      </w:r>
      <w:r>
        <w:rPr>
          <w:rStyle w:val="FootnoteAnchor"/>
          <w:rtl w:val="true"/>
        </w:rPr>
        <w:footnoteReference w:id="37"/>
      </w:r>
      <w:r>
        <w:rPr>
          <w:rFonts w:ascii="Amiri" w:hAnsi="Amiri" w:eastAsia="Amiri" w:cs="Amiri"/>
          <w:color w:val="111111"/>
          <w:sz w:val="28"/>
          <w:sz w:val="28"/>
          <w:szCs w:val="28"/>
          <w:rtl w:val="true"/>
          <w:lang w:bidi="ar-SA"/>
        </w:rPr>
        <w:t>،و ذلك انّه لمّا نظرنا إلى الأنواع وجدناها مشتركة في كونها أفعالا،و انّها واقعة في البدن،مقترنة بالنّيّة و التّرتيب،يراد لأجل الصّلاة،و انّ ما عدا هذه أمور مخصّصة لكلّ نوع،فأخذنا الأوّل في حدّ المشترك،فقلنا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أفعال مخصوصة في البدن على وجه مخصوص يستباح بها عبادة مخصوصة</w:t>
      </w:r>
      <w:r>
        <w:rPr>
          <w:rFonts w:eastAsia="Amiri" w:cs="Amiri" w:ascii="Amiri" w:hAnsi="Amiri"/>
          <w:color w:val="111111"/>
          <w:sz w:val="28"/>
          <w:szCs w:val="28"/>
          <w:rtl w:val="true"/>
          <w:lang w:bidi="ar-SA"/>
        </w:rPr>
        <w:t xml:space="preserve">. </w:t>
      </w:r>
      <w:bookmarkStart w:id="208" w:name="pg12672_159766"/>
    </w:p>
    <w:p>
      <w:pPr>
        <w:pStyle w:val="BookText"/>
        <w:rPr/>
      </w:pPr>
      <w:bookmarkEnd w:id="208"/>
      <w:r>
        <w:rPr>
          <w:rFonts w:ascii="Amiri" w:hAnsi="Amiri" w:eastAsia="Amiri" w:cs="Amiri"/>
          <w:color w:val="111111"/>
          <w:sz w:val="28"/>
          <w:sz w:val="28"/>
          <w:szCs w:val="28"/>
          <w:rtl w:val="true"/>
          <w:lang w:bidi="ar-SA"/>
        </w:rPr>
        <w:t>إذا عرفت هذا،فنقول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انّ لفظة الطّهارة بالنّسبة إلى المعنى الشّرعيّ حقيقة شرعيّة،مجاز 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فللسّبق إلى الفهم بالنّسبة إلى عادة الشّرع،و ذلك دليل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فظاهر،لعدم فهم أهل اللّغة ذلك،و منه يظهر عدم اشتراط التّوقيف فيه، و إذا نظر إلى الموضوعين كان مشتركا،و إذا ظهر ذلك ثبت انّها من المنقولات،و هكذا حكم سائر الألفاظ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لفظ الطّهارة واقعا على أنواعها الثّلاثة بالتّواطؤ لاشتراكها فيما ذكرناه أولى من جعلها مشتركة و مجازا في أحدها </w:t>
      </w:r>
      <w:r>
        <w:rPr>
          <w:rFonts w:eastAsia="Amiri" w:cs="Amiri" w:ascii="Amiri" w:hAnsi="Amiri"/>
          <w:color w:val="111111"/>
          <w:sz w:val="28"/>
          <w:szCs w:val="28"/>
          <w:rtl w:val="true"/>
          <w:lang w:bidi="ar-SA"/>
        </w:rPr>
        <w:t>.</w:t>
      </w:r>
    </w:p>
    <w:p>
      <w:pPr>
        <w:pStyle w:val="Heading5"/>
        <w:numPr>
          <w:ilvl w:val="4"/>
          <w:numId w:val="1"/>
        </w:numPr>
        <w:rPr/>
      </w:pPr>
      <w:bookmarkStart w:id="209" w:name="__RefHeading___Toc746769_222507752"/>
      <w:bookmarkStart w:id="210" w:name="_Toc75"/>
      <w:bookmarkEnd w:id="209"/>
      <w:r>
        <w:rPr>
          <w:rtl w:val="true"/>
        </w:rPr>
        <w:t>البحث الثّاني</w:t>
      </w:r>
      <w:r>
        <w:rPr>
          <w:rtl w:val="true"/>
        </w:rPr>
        <w:t>:</w:t>
      </w:r>
      <w:r>
        <w:rPr>
          <w:rtl w:val="true"/>
        </w:rPr>
        <w:t>في تقسيمها،و ذلك على نوعين</w:t>
      </w:r>
      <w:r>
        <w:rPr>
          <w:rtl w:val="true"/>
        </w:rPr>
        <w:t>:</w:t>
      </w:r>
      <w:bookmarkEnd w:id="210"/>
    </w:p>
    <w:p>
      <w:pPr>
        <w:pStyle w:val="Heading6"/>
        <w:numPr>
          <w:ilvl w:val="5"/>
          <w:numId w:val="1"/>
        </w:numPr>
        <w:rPr/>
      </w:pPr>
      <w:bookmarkStart w:id="211" w:name="__RefHeading___Toc746771_222507752"/>
      <w:bookmarkStart w:id="212" w:name="_Toc76"/>
      <w:bookmarkEnd w:id="211"/>
      <w:r>
        <w:rPr>
          <w:rtl w:val="true"/>
        </w:rPr>
        <w:t>النوع الأوّل</w:t>
      </w:r>
      <w:r>
        <w:rPr>
          <w:rtl w:val="true"/>
        </w:rPr>
        <w:t>:</w:t>
      </w:r>
      <w:bookmarkEnd w:id="212"/>
    </w:p>
    <w:p>
      <w:pPr>
        <w:pStyle w:val="BookText"/>
        <w:rPr/>
      </w:pPr>
      <w:r>
        <w:rPr>
          <w:rFonts w:ascii="Amiri" w:hAnsi="Amiri" w:eastAsia="Amiri" w:cs="Amiri"/>
          <w:color w:val="111111"/>
          <w:sz w:val="28"/>
          <w:sz w:val="28"/>
          <w:szCs w:val="28"/>
          <w:rtl w:val="true"/>
          <w:lang w:bidi="ar-SA"/>
        </w:rPr>
        <w:t>الطّهارة،إمّا أن تكون صغرى أو كبرى،و الصّغرى قسمان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وضوء و تيمّم، و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الغسل،و الشّيخ في نهايته قسّمها إلى وضوء و تيمّم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وجه الاعتذار انّه ذكر أقسام الطّهارة بالنّسبة إلى الضّرورة و الاختيار،و الطّهارة الضّرورية هي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أغلب الطّهارة في الاختيار الوضوء،ذكره و أعرض عن ذكر الغسل الّذي هو نادر،أو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الوضوء شامل للغسل بالنّظر إلى الاعتبار اللّغويّ و هو التّحسين</w:t>
      </w:r>
      <w:r>
        <w:rPr>
          <w:rFonts w:eastAsia="Amiri" w:cs="Amiri" w:ascii="Amiri" w:hAnsi="Amiri"/>
          <w:color w:val="111111"/>
          <w:sz w:val="28"/>
          <w:szCs w:val="28"/>
          <w:rtl w:val="true"/>
          <w:lang w:bidi="ar-SA"/>
        </w:rPr>
        <w:t>.</w:t>
      </w:r>
    </w:p>
    <w:p>
      <w:pPr>
        <w:pStyle w:val="Heading6"/>
        <w:numPr>
          <w:ilvl w:val="5"/>
          <w:numId w:val="1"/>
        </w:numPr>
        <w:rPr/>
      </w:pPr>
      <w:bookmarkStart w:id="213" w:name="__RefHeading___Toc746773_222507752"/>
      <w:bookmarkStart w:id="214" w:name="_Toc77"/>
      <w:bookmarkEnd w:id="213"/>
      <w:r>
        <w:rPr>
          <w:rtl w:val="true"/>
        </w:rPr>
        <w:t>النوع الثّاني</w:t>
      </w:r>
      <w:r>
        <w:rPr>
          <w:rtl w:val="true"/>
        </w:rPr>
        <w:t>:</w:t>
      </w:r>
      <w:bookmarkEnd w:id="214"/>
    </w:p>
    <w:p>
      <w:pPr>
        <w:pStyle w:val="BookText"/>
        <w:rPr/>
      </w:pPr>
      <w:r>
        <w:rPr>
          <w:rFonts w:ascii="Amiri" w:hAnsi="Amiri" w:eastAsia="Amiri" w:cs="Amiri"/>
          <w:color w:val="111111"/>
          <w:sz w:val="28"/>
          <w:sz w:val="28"/>
          <w:szCs w:val="28"/>
          <w:rtl w:val="true"/>
          <w:lang w:bidi="ar-SA"/>
        </w:rPr>
        <w:t>الطّهارة إمّا أن تكون واجبة،أو مندوبة،و لمّا كانت الطّهارة غير مقصودة لذاتها بل لغيرها،لا جرم،كان وجوبها و ندبها تابعين لوجوب ذلك الغير و ندبيّته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فالوضوء،إنّما يجب لوجوب الصّلاة أو الطّواف،أو لمسّ كتابة القرآن إن وجب بنذر و شبهه على رأي </w:t>
      </w:r>
      <w:r>
        <w:rPr>
          <w:rStyle w:val="FootnoteAnchor"/>
          <w:rtl w:val="true"/>
        </w:rPr>
        <w:footnoteReference w:id="39"/>
      </w:r>
      <w:r>
        <w:rPr>
          <w:rFonts w:ascii="IRNazanin" w:hAnsi="IRNazanin" w:eastAsia="IRNazanin"/>
          <w:color w:val="111111"/>
          <w:sz w:val="28"/>
          <w:sz w:val="28"/>
          <w:szCs w:val="28"/>
          <w:rtl w:val="true"/>
          <w:lang w:bidi="fa-IR"/>
        </w:rPr>
        <w:t>،أو للنّذر و شبهه</w:t>
      </w:r>
      <w:r>
        <w:rPr>
          <w:rFonts w:eastAsia="IRNazanin" w:cs="IRNazanin"/>
          <w:color w:val="111111"/>
          <w:sz w:val="28"/>
          <w:szCs w:val="28"/>
          <w:rtl w:val="true"/>
          <w:lang w:bidi="fa-IR"/>
        </w:rPr>
        <w:t xml:space="preserve">. </w:t>
      </w:r>
      <w:bookmarkStart w:id="215" w:name="pg12672_159767"/>
    </w:p>
    <w:p>
      <w:pPr>
        <w:pStyle w:val="BookText"/>
        <w:rPr/>
      </w:pPr>
      <w:bookmarkEnd w:id="215"/>
      <w:r>
        <w:rPr>
          <w:rFonts w:ascii="Amiri" w:hAnsi="Amiri" w:eastAsia="Amiri" w:cs="Amiri"/>
          <w:color w:val="111111"/>
          <w:sz w:val="28"/>
          <w:sz w:val="28"/>
          <w:szCs w:val="28"/>
          <w:rtl w:val="true"/>
          <w:lang w:bidi="ar-SA"/>
        </w:rPr>
        <w:t>و الغسل،إنّما يجب لما ذكرنا،و للصّوم إذا بقي لطلوع الفجر مقدار الغسل،و لصوم المستحاضة مع انغماس القطنة،و لدخول المساجد،و قراءة العزائم إن وجبا بما ذكرناه، و للنّذر و 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التّيمّم،إنّما يجب للصّلاة الواجبة مع الشّروط الآتية،و للخروج عن المسجدين إذا أجنب فيهما،و للنّذر و 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المندوب لما عدا ذلك،و قد يأتي مفصّلا في أبوابه </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746775_222507752"/>
      <w:bookmarkStart w:id="217" w:name="_Toc78"/>
      <w:bookmarkEnd w:id="216"/>
      <w:r>
        <w:rPr>
          <w:rtl w:val="true"/>
        </w:rPr>
        <w:t>و أما المقاصد فهي</w:t>
      </w:r>
      <w:r>
        <w:rPr>
          <w:rtl w:val="true"/>
        </w:rPr>
        <w:t>:</w:t>
      </w:r>
      <w:bookmarkEnd w:id="217"/>
    </w:p>
    <w:p>
      <w:pPr>
        <w:pStyle w:val="Heading5"/>
        <w:numPr>
          <w:ilvl w:val="4"/>
          <w:numId w:val="1"/>
        </w:numPr>
        <w:rPr/>
      </w:pPr>
      <w:bookmarkStart w:id="218" w:name="__RefHeading___Toc746777_222507752"/>
      <w:bookmarkStart w:id="219" w:name="_Toc79"/>
      <w:bookmarkEnd w:id="218"/>
      <w:r>
        <w:rPr>
          <w:rtl w:val="true"/>
        </w:rPr>
        <w:t>المقصد الأول</w:t>
      </w:r>
      <w:r>
        <w:rPr>
          <w:rtl w:val="true"/>
        </w:rPr>
        <w:t>:</w:t>
      </w:r>
      <w:r>
        <w:rPr>
          <w:rtl w:val="true"/>
        </w:rPr>
        <w:t>فيما يتطهّر به من المياه،و فيه مباحث</w:t>
      </w:r>
      <w:r>
        <w:rPr>
          <w:rtl w:val="true"/>
        </w:rPr>
        <w:t>:</w:t>
      </w:r>
      <w:bookmarkEnd w:id="219"/>
    </w:p>
    <w:p>
      <w:pPr>
        <w:pStyle w:val="Heading6"/>
        <w:numPr>
          <w:ilvl w:val="5"/>
          <w:numId w:val="1"/>
        </w:numPr>
        <w:rPr/>
      </w:pPr>
      <w:bookmarkStart w:id="220" w:name="__RefHeading___Toc746779_222507752"/>
      <w:bookmarkStart w:id="221" w:name="_Toc80"/>
      <w:bookmarkEnd w:id="220"/>
      <w:r>
        <w:rPr>
          <w:rtl w:val="true"/>
        </w:rPr>
        <w:t>البحث الأوّل</w:t>
      </w:r>
      <w:r>
        <w:rPr>
          <w:rtl w:val="true"/>
        </w:rPr>
        <w:t>:</w:t>
      </w:r>
      <w:r>
        <w:rPr>
          <w:rtl w:val="true"/>
        </w:rPr>
        <w:t>في الماء المطلق</w:t>
      </w:r>
      <w:r>
        <w:rPr>
          <w:rtl w:val="true"/>
        </w:rPr>
        <w:t>:</w:t>
      </w:r>
      <w:bookmarkEnd w:id="221"/>
    </w:p>
    <w:p>
      <w:pPr>
        <w:pStyle w:val="BookText"/>
        <w:rPr/>
      </w:pPr>
      <w:r>
        <w:rPr>
          <w:rFonts w:ascii="Amiri" w:hAnsi="Amiri" w:eastAsia="Amiri" w:cs="Amiri"/>
          <w:color w:val="111111"/>
          <w:sz w:val="28"/>
          <w:sz w:val="28"/>
          <w:szCs w:val="28"/>
          <w:rtl w:val="true"/>
          <w:lang w:bidi="ar-SA"/>
        </w:rPr>
        <w:t>الماء على ضربين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 و مضاف،و المراد من المطلق،هو الّذي يصحّ عليه السلام بانفراده مع امتناع سلبه عنه أو الباقي على أوصاف الخلقة،و يقع عليه السلام الماء من غير إضافة،و ليس المراد من أوصاف الخلقة الجميع،كالحرارة و ضدّها،بل الأوصاف الّتي هي مدار الطّهوريّة،و من المضاف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المطلق على ضربين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جار،و راكد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الرّاكد على ضربين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البئر،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ماء البئر</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غير ماء البئر على ضربين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 و كثير،و الفقهاء بحثوا عن أحكام هذه الأقسام لاختلافها بالنّسبة إلى وقوع النّجاسة فيها</w:t>
      </w:r>
      <w:r>
        <w:rPr>
          <w:rFonts w:eastAsia="Amiri" w:cs="Amiri" w:ascii="Amiri" w:hAnsi="Amiri"/>
          <w:color w:val="111111"/>
          <w:sz w:val="28"/>
          <w:szCs w:val="28"/>
          <w:rtl w:val="true"/>
          <w:lang w:bidi="ar-SA"/>
        </w:rPr>
        <w:t>.</w:t>
      </w:r>
    </w:p>
    <w:p>
      <w:pPr>
        <w:pStyle w:val="Heading6"/>
        <w:numPr>
          <w:ilvl w:val="5"/>
          <w:numId w:val="1"/>
        </w:numPr>
        <w:rPr/>
      </w:pPr>
      <w:bookmarkStart w:id="222" w:name="__RefHeading___Toc746781_222507752"/>
      <w:bookmarkStart w:id="223" w:name="_Toc81"/>
      <w:bookmarkEnd w:id="222"/>
      <w:r>
        <w:rPr>
          <w:rtl w:val="true"/>
        </w:rPr>
        <w:t>مسألة</w:t>
      </w:r>
      <w:r>
        <w:rPr>
          <w:rtl w:val="true"/>
        </w:rPr>
        <w:t>:</w:t>
      </w:r>
      <w:r>
        <w:rPr>
          <w:rtl w:val="true"/>
        </w:rPr>
        <w:t>الماء المطلق طاهر في نفسه،و مطهّر لغيره</w:t>
      </w:r>
      <w:bookmarkEnd w:id="223"/>
    </w:p>
    <w:p>
      <w:pPr>
        <w:pStyle w:val="BookText"/>
        <w:rPr/>
      </w:pPr>
      <w:r>
        <w:rPr>
          <w:rFonts w:ascii="Amiri" w:hAnsi="Amiri" w:eastAsia="Amiri" w:cs="Amiri"/>
          <w:color w:val="111111"/>
          <w:sz w:val="28"/>
          <w:sz w:val="28"/>
          <w:szCs w:val="28"/>
          <w:rtl w:val="true"/>
          <w:lang w:bidi="ar-SA"/>
        </w:rPr>
        <w:t xml:space="preserve">،سواء نزل من السّماء أو نبع من الأرض،أو اذيب من الثّلج و البرد </w:t>
      </w:r>
      <w:r>
        <w:rPr>
          <w:rStyle w:val="FootnoteAnchor"/>
          <w:rtl w:val="true"/>
        </w:rPr>
        <w:footnoteReference w:id="41"/>
      </w:r>
      <w:r>
        <w:rPr>
          <w:rFonts w:ascii="Amiri" w:hAnsi="Amiri" w:eastAsia="Amiri" w:cs="Amiri"/>
          <w:color w:val="111111"/>
          <w:sz w:val="28"/>
          <w:sz w:val="28"/>
          <w:szCs w:val="28"/>
          <w:rtl w:val="true"/>
          <w:lang w:bidi="ar-SA"/>
        </w:rPr>
        <w:t>،أو كان ماء بحر و غيره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الحكم الأوّل،فبالنّصّ و الإجماع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النّص،فقوله تعالى وَ يُنَزِّلُ عَلَيْكُمْ مِنَ السَّماءِ ماءً لِيُطَهِّرَكُمْ بِهِ </w:t>
      </w:r>
      <w:r>
        <w:rPr>
          <w:rStyle w:val="FootnoteAnchor"/>
          <w:rtl w:val="true"/>
        </w:rPr>
        <w:footnoteReference w:id="42"/>
      </w:r>
      <w:r>
        <w:rPr>
          <w:rFonts w:ascii="Amiri" w:hAnsi="Amiri" w:eastAsia="Amiri" w:cs="Amiri"/>
          <w:color w:val="111111"/>
          <w:sz w:val="28"/>
          <w:sz w:val="28"/>
          <w:szCs w:val="28"/>
          <w:rtl w:val="true"/>
          <w:lang w:bidi="ar-SA"/>
        </w:rPr>
        <w:t xml:space="preserve">و قوله وَ أَنْزَلْنا مِنَ السَّماءِ ماءً طَهُوراً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الجمهور من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طهور لا ينجّسه شيء</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جعل التّراب طهورا كما جعل الماء طهورا</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الإجماع،فلأنّ أحدا لم يخالف في انّ الماء المطلق طاهر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المعقول،فلأنّ النّجاسة حكم طارئ على المحل،و الأصل عدم الطّريان،و لأنّ تنجّس الماء يلزم منه الحرج المنفيّ إجماعا</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الثّاني،فللنّصّ 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النّص،فقوله تعالى وَ يُنَزِّلُ عَلَيْكُمْ مِنَ السَّماءِ ماءً لِيُطَهِّرَكُمْ بِهِ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ورد في النّصوص المتقدّمة من انّه طهور </w:t>
      </w:r>
      <w:r>
        <w:rPr>
          <w:rStyle w:val="FootnoteAnchor"/>
          <w:rtl w:val="true"/>
        </w:rPr>
        <w:footnoteReference w:id="48"/>
      </w:r>
      <w:r>
        <w:rPr>
          <w:rFonts w:ascii="Amiri" w:hAnsi="Amiri" w:eastAsia="Amiri" w:cs="Amiri"/>
          <w:color w:val="111111"/>
          <w:sz w:val="28"/>
          <w:sz w:val="28"/>
          <w:szCs w:val="28"/>
          <w:rtl w:val="true"/>
          <w:lang w:bidi="ar-SA"/>
        </w:rPr>
        <w:t xml:space="preserve">،و الطّهور من صيغ المبالغة و الطّهارة لا تقبل الشدّة و الضّعف،فتحمل المبالغة على التّعدّي عن المحلّ بأن يكون طاهرا في نفسه مطهّرا لغيره،و قد نصّ الجوهريّ </w:t>
      </w:r>
      <w:r>
        <w:rPr>
          <w:rStyle w:val="FootnoteAnchor"/>
          <w:rtl w:val="true"/>
        </w:rPr>
        <w:footnoteReference w:id="49"/>
      </w:r>
      <w:r>
        <w:rPr>
          <w:rFonts w:ascii="Amiri" w:hAnsi="Amiri" w:eastAsia="Amiri" w:cs="Amiri"/>
          <w:color w:val="111111"/>
          <w:sz w:val="28"/>
          <w:sz w:val="28"/>
          <w:szCs w:val="28"/>
          <w:rtl w:val="true"/>
          <w:lang w:bidi="ar-SA"/>
        </w:rPr>
        <w:t xml:space="preserve">على انّ الطّهور هو الّذي يتطهّر به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قول أبي حنيفة </w:t>
      </w:r>
      <w:r>
        <w:rPr>
          <w:rStyle w:val="FootnoteAnchor"/>
          <w:rtl w:val="true"/>
        </w:rPr>
        <w:footnoteReference w:id="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الطّهور هو الطّاهر </w:t>
      </w:r>
      <w:r>
        <w:rPr>
          <w:rStyle w:val="FootnoteAnchor"/>
          <w:rtl w:val="true"/>
        </w:rPr>
        <w:footnoteReference w:id="52"/>
      </w:r>
      <w:r>
        <w:rPr>
          <w:rFonts w:ascii="Amiri" w:hAnsi="Amiri" w:eastAsia="Amiri" w:cs="Amiri"/>
          <w:color w:val="111111"/>
          <w:sz w:val="28"/>
          <w:sz w:val="28"/>
          <w:szCs w:val="28"/>
          <w:rtl w:val="true"/>
          <w:lang w:bidi="ar-SA"/>
        </w:rPr>
        <w:t xml:space="preserve">،و قول مالك </w:t>
      </w:r>
      <w:r>
        <w:rPr>
          <w:rStyle w:val="FootnoteAnchor"/>
          <w:rtl w:val="true"/>
        </w:rPr>
        <w:footnoteReference w:id="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الطّهور ما يتكرّر به الطّهارة </w:t>
      </w:r>
      <w:r>
        <w:rPr>
          <w:rStyle w:val="FootnoteAnchor"/>
          <w:rtl w:val="true"/>
        </w:rPr>
        <w:footnoteReference w:id="54"/>
      </w:r>
      <w:r>
        <w:rPr>
          <w:rFonts w:ascii="Amiri" w:hAnsi="Amiri" w:eastAsia="Amiri" w:cs="Amiri"/>
          <w:color w:val="111111"/>
          <w:sz w:val="28"/>
          <w:sz w:val="28"/>
          <w:szCs w:val="28"/>
          <w:rtl w:val="true"/>
          <w:lang w:bidi="ar-SA"/>
        </w:rPr>
        <w:t>،ضعيفان لما تقدّم،و 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طهور إناء أحدكم إذا ولغ فيه الكلب أن يغسله سبعا</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و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مطهّر إناء أحدكم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لي الأرض مسجدا و ترابها طهورا</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و لو أراد الطّاهر،لم يثبت المزيّة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لقوله عليه السّلام عن ماء البحر و قد سئل عن الطّهارة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الطّهور ماؤه</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و لو أراد الطّاهر،لم يحصل الجواب</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الإجماع،فلأنّ أحدا لم يخالف فيه سوى ما نقل عن </w:t>
      </w:r>
      <w:bookmarkStart w:id="224" w:name="pg12672_159770"/>
    </w:p>
    <w:p>
      <w:pPr>
        <w:pStyle w:val="BookText"/>
        <w:rPr/>
      </w:pPr>
      <w:bookmarkEnd w:id="224"/>
      <w:r>
        <w:rPr>
          <w:rFonts w:ascii="Amiri" w:hAnsi="Amiri" w:eastAsia="Amiri" w:cs="Amiri"/>
          <w:color w:val="111111"/>
          <w:sz w:val="28"/>
          <w:sz w:val="28"/>
          <w:szCs w:val="28"/>
          <w:rtl w:val="true"/>
          <w:lang w:bidi="ar-SA"/>
        </w:rPr>
        <w:t xml:space="preserve">سعيد بن المسيّب </w:t>
      </w:r>
      <w:r>
        <w:rPr>
          <w:rStyle w:val="FootnoteAnchor"/>
          <w:rtl w:val="true"/>
        </w:rPr>
        <w:footnoteReference w:id="58"/>
      </w:r>
      <w:r>
        <w:rPr>
          <w:rFonts w:ascii="IRNazanin" w:hAnsi="IRNazanin" w:eastAsia="IRNazanin"/>
          <w:color w:val="111111"/>
          <w:sz w:val="28"/>
          <w:sz w:val="28"/>
          <w:szCs w:val="28"/>
          <w:rtl w:val="true"/>
          <w:lang w:bidi="fa-IR"/>
        </w:rPr>
        <w:t xml:space="preserve">،و عبد اللّه بن عمرو بن العاص </w:t>
      </w:r>
      <w:r>
        <w:rPr>
          <w:rStyle w:val="FootnoteAnchor"/>
          <w:rtl w:val="true"/>
        </w:rPr>
        <w:footnoteReference w:id="59"/>
      </w:r>
      <w:r>
        <w:rPr>
          <w:rFonts w:ascii="Amiri" w:hAnsi="Amiri" w:eastAsia="Amiri" w:cs="Amiri"/>
          <w:color w:val="111111"/>
          <w:sz w:val="28"/>
          <w:sz w:val="28"/>
          <w:szCs w:val="28"/>
          <w:rtl w:val="true"/>
          <w:lang w:bidi="ar-SA"/>
        </w:rPr>
        <w:t xml:space="preserve">،انّه لا يجوز التّوضّؤ بماء البحر مع وجود غيره </w:t>
      </w:r>
      <w:r>
        <w:rPr>
          <w:rStyle w:val="FootnoteAnchor"/>
          <w:rtl w:val="true"/>
        </w:rPr>
        <w:footnoteReference w:id="60"/>
      </w:r>
      <w:r>
        <w:rPr>
          <w:rFonts w:ascii="Amiri" w:hAnsi="Amiri" w:eastAsia="Amiri" w:cs="Amiri"/>
          <w:color w:val="111111"/>
          <w:sz w:val="28"/>
          <w:sz w:val="28"/>
          <w:szCs w:val="28"/>
          <w:rtl w:val="true"/>
          <w:lang w:bidi="ar-SA"/>
        </w:rPr>
        <w:t>،و هو محجوج بالإجماع،و بما رواه الجمهور عن النّبيّ صلّى اللّه عليه و آله انّه سئل عن التّوضّؤ بماء البحر؟فقال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الطّهور ماؤه،الحلّ ميتته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 في الصّحيح،عن عبد اللّه بن سنان </w:t>
      </w:r>
      <w:r>
        <w:rPr>
          <w:rStyle w:val="FootnoteAnchor"/>
          <w:rtl w:val="true"/>
        </w:rPr>
        <w:footnoteReference w:id="6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عبد اللّه عليه السّلام عن ماء البحر أ طهور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احتجّا بأنّه نار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أرادا به انّه في الحال كذلك،فهو تكذيب للحسّ،و إن أرادا صيرورته كذلك،فلا يمنع الطّهوريّة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5" w:name="__RefHeading___Toc746783_222507752"/>
      <w:bookmarkStart w:id="226" w:name="_Toc82"/>
      <w:bookmarkEnd w:id="225"/>
      <w:r>
        <w:rPr>
          <w:rtl w:val="true"/>
        </w:rPr>
        <w:t>مسألة</w:t>
      </w:r>
      <w:r>
        <w:rPr>
          <w:rtl w:val="true"/>
        </w:rPr>
        <w:t>:</w:t>
      </w:r>
      <w:r>
        <w:rPr>
          <w:rtl w:val="true"/>
        </w:rPr>
        <w:t>إذا تغيّر أحد أوصاف الماء المطلق</w:t>
      </w:r>
      <w:r>
        <w:rPr>
          <w:rtl w:val="true"/>
        </w:rPr>
        <w:t>:</w:t>
      </w:r>
      <w:bookmarkEnd w:id="226"/>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اللّون،أو الطّعم،أو الرّائحة،فإن كان تغيّره بالنّجاسة،نجس سواء كان قليلا أو كثيرا،جاريا أو راكدا،و هو قول كلّ من يحفظ عنه العلم،و يدلّ عليه الإجماع،فإنّي لا أعرف فيه مخالفا،و ما رواه الجمهور،عن النّبيّ صلّى </w:t>
      </w:r>
    </w:p>
    <w:p>
      <w:pPr>
        <w:pStyle w:val="BookText"/>
        <w:rPr/>
      </w:pPr>
      <w:r>
        <w:rPr>
          <w:rFonts w:ascii="Amiri" w:hAnsi="Amiri" w:eastAsia="Amiri" w:cs="Amiri"/>
          <w:color w:val="111111"/>
          <w:sz w:val="28"/>
          <w:sz w:val="28"/>
          <w:szCs w:val="28"/>
          <w:rtl w:val="true"/>
          <w:lang w:bidi="ar-SA"/>
        </w:rPr>
        <w:t>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الماء طهورا لا ينجّسه إلاّ ما غيّر لونه أو طعمه أو ريحه</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 ما رواه الشّيخ في الصّحيح،عن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غلب الماء على ريح الجيفة فتوضّأ من الماء و اشرب،فإذا تغيّر الماء و تغيّر الطّعم فلا توضّأ منه و لا تشرب</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انفعاله بالنّجاسة و تغير أوصافه بها يدلّ على قهرها له، و إزالة قوّة الماء الّتي باعتبارها كان مطهّرا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تغيّره بمرور رائحة النّجاسة عليه لم ينجس،لأنّ الرّائحة ليست 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تغيّره بملاقاة جسم طاهر،فإن لم يسلبه التّغيّر إطلاق الاسم فهو باق على طهارته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يصحّ التّطهّر به إجماعا إن لم يمكن التّحرّز منه كالطّحلب،و ما ينبت في الماء، و ما يتساقط من ورق الشّجر النّابت فيه،أو يحمله الرّيح،و كالتّراب الّذي أصله مطهّر، و كالملح الّذي أصله الماء،كالبحريّ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ما تغيّر الماء بمجاورته من غير ممازجته كالعود و الدّهن،لأنّ الموجب للتّطهير هو كونه ماء طاهرا و هو موجود مع 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امتزج بما يمكن التّحرّز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كقليل الزّعفران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باق على أصله في الطّهوريّة إجماعا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أبو حنيفة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مالك </w:t>
      </w:r>
      <w:r>
        <w:rPr>
          <w:rStyle w:val="FootnoteAnchor"/>
          <w:rtl w:val="true"/>
        </w:rPr>
        <w:footnoteReference w:id="68"/>
      </w:r>
      <w:r>
        <w:rPr>
          <w:rFonts w:ascii="Amiri" w:hAnsi="Amiri" w:eastAsia="Amiri" w:cs="Amiri"/>
          <w:color w:val="111111"/>
          <w:sz w:val="28"/>
          <w:sz w:val="28"/>
          <w:szCs w:val="28"/>
          <w:rtl w:val="true"/>
          <w:lang w:bidi="ar-SA"/>
        </w:rPr>
        <w:t xml:space="preserve">و الشّافعيّ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bookmarkStart w:id="227" w:name="pg12672_159772"/>
    </w:p>
    <w:p>
      <w:pPr>
        <w:pStyle w:val="BookText"/>
        <w:rPr/>
      </w:pPr>
      <w:bookmarkEnd w:id="227"/>
      <w:r>
        <w:rPr>
          <w:rFonts w:ascii="Amiri" w:hAnsi="Amiri" w:eastAsia="Amiri" w:cs="Amiri"/>
          <w:color w:val="111111"/>
          <w:sz w:val="28"/>
          <w:sz w:val="28"/>
          <w:szCs w:val="28"/>
          <w:rtl w:val="true"/>
          <w:lang w:bidi="ar-SA"/>
        </w:rPr>
        <w:t xml:space="preserve">لا يجوز الطّهارة به </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أحمد </w:t>
      </w:r>
      <w:r>
        <w:rPr>
          <w:rStyle w:val="FootnoteAnchor"/>
          <w:rtl w:val="true"/>
        </w:rPr>
        <w:footnoteReference w:id="71"/>
      </w:r>
      <w:r>
        <w:rPr>
          <w:rFonts w:ascii="Amiri" w:hAnsi="Amiri" w:eastAsia="Amiri" w:cs="Amiri"/>
          <w:color w:val="111111"/>
          <w:sz w:val="28"/>
          <w:sz w:val="28"/>
          <w:szCs w:val="28"/>
          <w:rtl w:val="true"/>
          <w:lang w:bidi="ar-SA"/>
        </w:rPr>
        <w:t xml:space="preserve">روايتان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عموم الآية،و قوله تعالى فَلَمْ تَجِدُوا ماءً فَتَيَمَّمُوا </w:t>
      </w:r>
      <w:r>
        <w:rPr>
          <w:rStyle w:val="FootnoteAnchor"/>
          <w:rtl w:val="true"/>
        </w:rPr>
        <w:footnoteReference w:id="73"/>
      </w:r>
      <w:r>
        <w:rPr>
          <w:rFonts w:ascii="Amiri" w:hAnsi="Amiri" w:eastAsia="Amiri" w:cs="Amiri"/>
          <w:color w:val="111111"/>
          <w:sz w:val="28"/>
          <w:sz w:val="28"/>
          <w:szCs w:val="28"/>
          <w:rtl w:val="true"/>
          <w:lang w:bidi="ar-SA"/>
        </w:rPr>
        <w:t xml:space="preserve">و النكرة في سياق النّفي للعموم،فلا يجوز التّيمّم مع وجود هذا الماء،و لقوله عليه السّلام لأبي ذر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التّراب كافيك ما لم تجد الماء</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و لأنّ الصّحابة كانوا يسافرون و غالب أسقيتهم الأدم، و هي تغيّر الماء غالبا،و لأنّه طهور خالطه طاهر و لم تغيّر جنسه و لا جريانه،فأشبه المتغيّر بالدّهن</w:t>
      </w:r>
      <w:r>
        <w:rPr>
          <w:rFonts w:eastAsia="Amiri" w:cs="Amiri" w:ascii="Amiri" w:hAnsi="Amiri"/>
          <w:color w:val="111111"/>
          <w:sz w:val="28"/>
          <w:szCs w:val="28"/>
          <w:rtl w:val="true"/>
          <w:lang w:bidi="ar-SA"/>
        </w:rPr>
        <w:t>.</w:t>
      </w:r>
    </w:p>
    <w:p>
      <w:pPr>
        <w:pStyle w:val="Heading6"/>
        <w:numPr>
          <w:ilvl w:val="5"/>
          <w:numId w:val="1"/>
        </w:numPr>
        <w:rPr/>
      </w:pPr>
      <w:bookmarkStart w:id="228" w:name="__RefHeading___Toc746785_222507752"/>
      <w:bookmarkStart w:id="229" w:name="_Toc83"/>
      <w:bookmarkEnd w:id="228"/>
      <w:r>
        <w:rPr>
          <w:rtl w:val="true"/>
        </w:rPr>
        <w:t>فروع</w:t>
      </w:r>
      <w:r>
        <w:rPr>
          <w:rtl w:val="true"/>
        </w:rPr>
        <w:t>:</w:t>
      </w:r>
      <w:bookmarkEnd w:id="229"/>
    </w:p>
    <w:p>
      <w:pPr>
        <w:pStyle w:val="Heading6"/>
        <w:numPr>
          <w:ilvl w:val="5"/>
          <w:numId w:val="1"/>
        </w:numPr>
        <w:rPr/>
      </w:pPr>
      <w:bookmarkStart w:id="230" w:name="__RefHeading___Toc746787_222507752"/>
      <w:bookmarkStart w:id="231" w:name="_Toc84"/>
      <w:bookmarkEnd w:id="230"/>
      <w:r>
        <w:rPr>
          <w:rtl w:val="true"/>
        </w:rPr>
        <w:t>الأوّل</w:t>
      </w:r>
      <w:r>
        <w:rPr>
          <w:rtl w:val="true"/>
        </w:rPr>
        <w:t>:</w:t>
      </w:r>
      <w:r>
        <w:rPr>
          <w:rtl w:val="true"/>
        </w:rPr>
        <w:t>لو امتزج الماء بما يشابهه كماء الورد المنقطع الرّائحة،</w:t>
      </w:r>
      <w:bookmarkEnd w:id="23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اعتبر بما يوجد فيه الرّائحة،فإن كان بحيث لو امتزج به مثله في المقدار سلبه الاسم،منع ها هنا </w:t>
      </w:r>
      <w:bookmarkStart w:id="232" w:name="pg12672_159773"/>
    </w:p>
    <w:p>
      <w:pPr>
        <w:pStyle w:val="BookText"/>
        <w:rPr/>
      </w:pPr>
      <w:bookmarkEnd w:id="232"/>
      <w:r>
        <w:rPr>
          <w:rFonts w:ascii="Amiri" w:hAnsi="Amiri" w:eastAsia="Amiri" w:cs="Amiri"/>
          <w:color w:val="111111"/>
          <w:sz w:val="28"/>
          <w:sz w:val="28"/>
          <w:szCs w:val="28"/>
          <w:rtl w:val="true"/>
          <w:lang w:bidi="ar-SA"/>
        </w:rPr>
        <w:t xml:space="preserve">من الطّهوريّة،و إلاّ فلا </w:t>
      </w:r>
      <w:r>
        <w:rPr>
          <w:rFonts w:eastAsia="Amiri" w:cs="Amiri" w:ascii="Amiri" w:hAnsi="Amiri"/>
          <w:color w:val="111111"/>
          <w:sz w:val="28"/>
          <w:szCs w:val="28"/>
          <w:rtl w:val="true"/>
          <w:lang w:bidi="ar-SA"/>
        </w:rPr>
        <w:t>.</w:t>
      </w:r>
    </w:p>
    <w:p>
      <w:pPr>
        <w:pStyle w:val="Heading6"/>
        <w:numPr>
          <w:ilvl w:val="5"/>
          <w:numId w:val="1"/>
        </w:numPr>
        <w:rPr/>
      </w:pPr>
      <w:bookmarkStart w:id="233" w:name="__RefHeading___Toc746789_222507752"/>
      <w:bookmarkStart w:id="234" w:name="_Toc85"/>
      <w:bookmarkEnd w:id="233"/>
      <w:r>
        <w:rPr>
          <w:rtl w:val="true"/>
        </w:rPr>
        <w:t>الثّاني</w:t>
      </w:r>
      <w:r>
        <w:rPr>
          <w:rtl w:val="true"/>
        </w:rPr>
        <w:t>:</w:t>
      </w:r>
      <w:r>
        <w:rPr>
          <w:rtl w:val="true"/>
        </w:rPr>
        <w:t>الذّائب من الثّلج و البرد يجوز التّطهّر به،</w:t>
      </w:r>
      <w:bookmarkEnd w:id="234"/>
    </w:p>
    <w:p>
      <w:pPr>
        <w:pStyle w:val="BookText"/>
        <w:rPr/>
      </w:pPr>
      <w:r>
        <w:rPr>
          <w:rFonts w:ascii="Amiri" w:hAnsi="Amiri" w:eastAsia="Amiri" w:cs="Amiri"/>
          <w:color w:val="111111"/>
          <w:sz w:val="28"/>
          <w:sz w:val="28"/>
          <w:szCs w:val="28"/>
          <w:rtl w:val="true"/>
          <w:lang w:bidi="ar-SA"/>
        </w:rPr>
        <w:t xml:space="preserve">و كذا بالثّلج نفسه إن جرى على العضو المغسول،أمّا الملح الذّائب إذا كان أصله السّبخ،فلا </w:t>
      </w:r>
      <w:r>
        <w:rPr>
          <w:rFonts w:eastAsia="Amiri" w:cs="Amiri" w:ascii="Amiri" w:hAnsi="Amiri"/>
          <w:color w:val="111111"/>
          <w:sz w:val="28"/>
          <w:szCs w:val="28"/>
          <w:rtl w:val="true"/>
          <w:lang w:bidi="ar-SA"/>
        </w:rPr>
        <w:t>.</w:t>
      </w:r>
    </w:p>
    <w:p>
      <w:pPr>
        <w:pStyle w:val="Heading6"/>
        <w:numPr>
          <w:ilvl w:val="5"/>
          <w:numId w:val="1"/>
        </w:numPr>
        <w:rPr/>
      </w:pPr>
      <w:bookmarkStart w:id="235" w:name="__RefHeading___Toc746791_222507752"/>
      <w:bookmarkStart w:id="236" w:name="_Toc86"/>
      <w:bookmarkEnd w:id="235"/>
      <w:r>
        <w:rPr>
          <w:rtl w:val="true"/>
        </w:rPr>
        <w:t>الثّالث</w:t>
      </w:r>
      <w:r>
        <w:rPr>
          <w:rtl w:val="true"/>
        </w:rPr>
        <w:t>:</w:t>
      </w:r>
      <w:r>
        <w:rPr>
          <w:rtl w:val="true"/>
        </w:rPr>
        <w:t>لو كان معه ماء قليل لا يكفيه للطّهارة،</w:t>
      </w:r>
      <w:bookmarkEnd w:id="236"/>
    </w:p>
    <w:p>
      <w:pPr>
        <w:pStyle w:val="BookText"/>
        <w:rPr/>
      </w:pPr>
      <w:r>
        <w:rPr>
          <w:rFonts w:ascii="Amiri" w:hAnsi="Amiri" w:eastAsia="Amiri" w:cs="Amiri"/>
          <w:color w:val="111111"/>
          <w:sz w:val="28"/>
          <w:sz w:val="28"/>
          <w:szCs w:val="28"/>
          <w:rtl w:val="true"/>
          <w:lang w:bidi="ar-SA"/>
        </w:rPr>
        <w:t>و ماء ورد لا يتغيّر إطلاق الاسم بامتزاجه به فمزجه،جازت الطّهارة به لأنّه حينئذ 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إحدى الرّوايتين عن أحمد </w:t>
      </w:r>
      <w:r>
        <w:rPr>
          <w:rStyle w:val="FootnoteAnchor"/>
          <w:rtl w:val="true"/>
        </w:rPr>
        <w:footnoteReference w:id="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w:t>
      </w:r>
      <w:r>
        <w:rPr>
          <w:rStyle w:val="FootnoteAnchor"/>
          <w:rtl w:val="true"/>
        </w:rPr>
        <w:footnoteReference w:id="77"/>
      </w:r>
      <w:r>
        <w:rPr>
          <w:rFonts w:ascii="Amiri" w:hAnsi="Amiri" w:eastAsia="Amiri" w:cs="Amiri"/>
          <w:color w:val="111111"/>
          <w:sz w:val="28"/>
          <w:sz w:val="28"/>
          <w:szCs w:val="28"/>
          <w:rtl w:val="true"/>
          <w:lang w:bidi="ar-SA"/>
        </w:rPr>
        <w:t>،للعلم بأنّه استعمل المضاف في الوضوء،و يبطل بأنّه لمّا لم تظهر صفة المائع،بقي الاعتبار بالماء،كما لو مزج ما يكفيه لطهارته بمضاف ثمَّ استعمله و بقي قدر المضاف فإنّه وافق على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هل يجب عليه المزج للطّهارة أم لا؟ نصّ الشّيخ في المبسوط على عدم الوجوب </w:t>
      </w:r>
      <w:r>
        <w:rPr>
          <w:rStyle w:val="FootnoteAnchor"/>
          <w:rtl w:val="true"/>
        </w:rPr>
        <w:footnoteReference w:id="78"/>
      </w:r>
      <w:r>
        <w:rPr>
          <w:rFonts w:ascii="Amiri" w:hAnsi="Amiri" w:eastAsia="Amiri" w:cs="Amiri"/>
          <w:color w:val="111111"/>
          <w:sz w:val="28"/>
          <w:sz w:val="28"/>
          <w:szCs w:val="28"/>
          <w:rtl w:val="true"/>
          <w:lang w:bidi="ar-SA"/>
        </w:rPr>
        <w:t>،و وجهه انّه غير واجد للماء المطلق،فحصل شرط التّيمّم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عندي فيه نظر،فإنّه بعد المزج يجب عليه الوضوء به،لكونه واجدا للماء المطلق،فقبل المزج هو متمكّن من الماء المطلق،فلا يجوز له التّيمّم </w:t>
      </w:r>
      <w:r>
        <w:rPr>
          <w:rFonts w:eastAsia="Amiri" w:cs="Amiri" w:ascii="Amiri" w:hAnsi="Amiri"/>
          <w:color w:val="111111"/>
          <w:sz w:val="28"/>
          <w:szCs w:val="28"/>
          <w:rtl w:val="true"/>
          <w:lang w:bidi="ar-SA"/>
        </w:rPr>
        <w:t>.</w:t>
      </w:r>
    </w:p>
    <w:p>
      <w:pPr>
        <w:pStyle w:val="Heading6"/>
        <w:numPr>
          <w:ilvl w:val="5"/>
          <w:numId w:val="1"/>
        </w:numPr>
        <w:rPr/>
      </w:pPr>
      <w:bookmarkStart w:id="237" w:name="__RefHeading___Toc746793_222507752"/>
      <w:bookmarkStart w:id="238" w:name="_Toc87"/>
      <w:bookmarkEnd w:id="237"/>
      <w:r>
        <w:rPr>
          <w:rtl w:val="true"/>
        </w:rPr>
        <w:t>الرّابع</w:t>
      </w:r>
      <w:r>
        <w:rPr>
          <w:rtl w:val="true"/>
        </w:rPr>
        <w:t>:</w:t>
      </w:r>
      <w:r>
        <w:rPr>
          <w:rtl w:val="true"/>
        </w:rPr>
        <w:t>لو كان تغيّره لطول بقائه،</w:t>
      </w:r>
      <w:bookmarkEnd w:id="238"/>
    </w:p>
    <w:p>
      <w:pPr>
        <w:pStyle w:val="BookText"/>
        <w:rPr/>
      </w:pPr>
      <w:r>
        <w:rPr>
          <w:rFonts w:ascii="Amiri" w:hAnsi="Amiri" w:eastAsia="Amiri" w:cs="Amiri"/>
          <w:color w:val="111111"/>
          <w:sz w:val="28"/>
          <w:sz w:val="28"/>
          <w:szCs w:val="28"/>
          <w:rtl w:val="true"/>
          <w:lang w:bidi="ar-SA"/>
        </w:rPr>
        <w:t>فإن سلبه إطلاق الاسم لم يجز الطّهور به،و لا يخرج عن كونه طاهرا،و إلاّ فلا بأس و لكنّه مكروه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خلاف بين عامّة أهل العلم في جواز الطّهارة به إلاّ ابن سيرين </w:t>
      </w:r>
      <w:r>
        <w:rPr>
          <w:rStyle w:val="FootnoteAnchor"/>
          <w:rtl w:val="true"/>
        </w:rPr>
        <w:footnoteReference w:id="79"/>
      </w:r>
      <w:r>
        <w:rPr>
          <w:rFonts w:ascii="IRNazanin" w:hAnsi="IRNazanin" w:eastAsia="IRNazanin"/>
          <w:color w:val="111111"/>
          <w:sz w:val="28"/>
          <w:sz w:val="28"/>
          <w:szCs w:val="28"/>
          <w:rtl w:val="true"/>
          <w:lang w:bidi="fa-IR"/>
        </w:rPr>
        <w:t xml:space="preserve">و </w:t>
      </w:r>
      <w:r>
        <w:rPr>
          <w:rStyle w:val="FootnoteAnchor"/>
          <w:rtl w:val="true"/>
        </w:rPr>
        <w:footnoteReference w:id="80"/>
      </w:r>
      <w:r>
        <w:rPr>
          <w:rFonts w:ascii="Amiri" w:hAnsi="Amiri" w:eastAsia="Amiri" w:cs="Amiri"/>
          <w:color w:val="111111"/>
          <w:sz w:val="28"/>
          <w:sz w:val="28"/>
          <w:szCs w:val="28"/>
          <w:rtl w:val="true"/>
          <w:lang w:bidi="ar-SA"/>
        </w:rPr>
        <w:t xml:space="preserve">لما رواه الجمهور انّه عليه السّلام توضّأ من بئر بضاعة و كان ماؤها نقاعة الحنّاء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 في الصّحيح،عن أبي عبد اللّه عليه السّلام في الماء </w:t>
      </w:r>
      <w:bookmarkStart w:id="239" w:name="pg12672_159774"/>
    </w:p>
    <w:p>
      <w:pPr>
        <w:pStyle w:val="BookText"/>
        <w:rPr/>
      </w:pPr>
      <w:bookmarkEnd w:id="239"/>
      <w:r>
        <w:rPr>
          <w:rFonts w:ascii="Amiri" w:hAnsi="Amiri" w:eastAsia="Amiri" w:cs="Amiri"/>
          <w:color w:val="111111"/>
          <w:sz w:val="28"/>
          <w:sz w:val="28"/>
          <w:szCs w:val="28"/>
          <w:rtl w:val="true"/>
          <w:lang w:bidi="ar-SA"/>
        </w:rPr>
        <w:t xml:space="preserve">الآجن يتوضّأ منه إلاّ أن يجد غيره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0" w:name="__RefHeading___Toc746795_222507752"/>
      <w:bookmarkStart w:id="241" w:name="_Toc88"/>
      <w:bookmarkEnd w:id="240"/>
      <w:r>
        <w:rPr>
          <w:rtl w:val="true"/>
        </w:rPr>
        <w:t>الخامس</w:t>
      </w:r>
      <w:r>
        <w:rPr>
          <w:rtl w:val="true"/>
        </w:rPr>
        <w:t>:</w:t>
      </w:r>
      <w:r>
        <w:rPr>
          <w:rtl w:val="true"/>
        </w:rPr>
        <w:t>لو كان على العضو المغسول طاهر كالزّعفران فيتغيّر به الماء وقت غسله،</w:t>
      </w:r>
      <w:bookmarkEnd w:id="241"/>
    </w:p>
    <w:p>
      <w:pPr>
        <w:pStyle w:val="BookText"/>
        <w:rPr/>
      </w:pPr>
      <w:r>
        <w:rPr>
          <w:rFonts w:ascii="Amiri" w:hAnsi="Amiri" w:eastAsia="Amiri" w:cs="Amiri"/>
          <w:color w:val="111111"/>
          <w:sz w:val="28"/>
          <w:sz w:val="28"/>
          <w:szCs w:val="28"/>
          <w:rtl w:val="true"/>
          <w:lang w:bidi="ar-SA"/>
        </w:rPr>
        <w:t>فإن سلبه إطلاق الاسم لم يجز،و إلاّ صحّ الوضوء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لمّا كانت هذه الكيفيّات الثّلاث إنّما تحصل غالبا بالممازجة للنّجاسة،لا جرم،كانت مؤثّرة في زوال الوصف السّابق من حصول الطّهارة،أمّا غيرها من الكيفيّات فلا اعتبار به،لأنّه قد يحصل و إن لم يقع امتزاج</w:t>
      </w:r>
      <w:r>
        <w:rPr>
          <w:rFonts w:eastAsia="Amiri" w:cs="Amiri" w:ascii="Amiri" w:hAnsi="Amiri"/>
          <w:color w:val="111111"/>
          <w:sz w:val="28"/>
          <w:szCs w:val="28"/>
          <w:rtl w:val="true"/>
          <w:lang w:bidi="ar-SA"/>
        </w:rPr>
        <w:t>.</w:t>
      </w:r>
    </w:p>
    <w:p>
      <w:pPr>
        <w:pStyle w:val="Heading6"/>
        <w:numPr>
          <w:ilvl w:val="5"/>
          <w:numId w:val="1"/>
        </w:numPr>
        <w:rPr/>
      </w:pPr>
      <w:bookmarkStart w:id="242" w:name="__RefHeading___Toc746797_222507752"/>
      <w:bookmarkStart w:id="243" w:name="_Toc89"/>
      <w:bookmarkEnd w:id="242"/>
      <w:r>
        <w:rPr>
          <w:rtl w:val="true"/>
        </w:rPr>
        <w:t>مسألة</w:t>
      </w:r>
      <w:r>
        <w:rPr>
          <w:rtl w:val="true"/>
        </w:rPr>
        <w:t>:</w:t>
      </w:r>
      <w:r>
        <w:rPr>
          <w:rtl w:val="true"/>
        </w:rPr>
        <w:t>يكره استعمال ماء أسخنته الشّمس في الآنية في الطّهارة</w:t>
      </w:r>
      <w:bookmarkEnd w:id="2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w:t>
      </w:r>
      <w:r>
        <w:rPr>
          <w:rStyle w:val="FootnoteAnchor"/>
          <w:rtl w:val="true"/>
        </w:rPr>
        <w:footnoteReference w:id="83"/>
      </w:r>
      <w:r>
        <w:rPr>
          <w:rFonts w:ascii="Amiri" w:hAnsi="Amiri" w:eastAsia="Amiri" w:cs="Amiri"/>
          <w:color w:val="111111"/>
          <w:sz w:val="28"/>
          <w:sz w:val="28"/>
          <w:szCs w:val="28"/>
          <w:rtl w:val="true"/>
          <w:lang w:bidi="ar-SA"/>
        </w:rPr>
        <w:t>و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يكره </w:t>
      </w:r>
      <w:r>
        <w:rPr>
          <w:rStyle w:val="FootnoteAnchor"/>
          <w:rtl w:val="true"/>
        </w:rPr>
        <w:footnoteReference w:id="84"/>
      </w:r>
      <w:r>
        <w:rPr>
          <w:rFonts w:ascii="Amiri" w:hAnsi="Amiri" w:eastAsia="Amiri" w:cs="Amiri"/>
          <w:color w:val="111111"/>
          <w:sz w:val="28"/>
          <w:sz w:val="28"/>
          <w:szCs w:val="28"/>
          <w:rtl w:val="true"/>
          <w:lang w:bidi="ar-SA"/>
        </w:rPr>
        <w:t xml:space="preserve">،و للشّافعيّ قولان </w:t>
      </w:r>
      <w:r>
        <w:rPr>
          <w:rStyle w:val="FootnoteAnchor"/>
          <w:rtl w:val="true"/>
        </w:rPr>
        <w:footnoteReference w:id="85"/>
      </w:r>
      <w:r>
        <w:rPr>
          <w:rFonts w:ascii="Amiri" w:hAnsi="Amiri" w:eastAsia="Amiri" w:cs="Amiri"/>
          <w:color w:val="111111"/>
          <w:sz w:val="28"/>
          <w:sz w:val="28"/>
          <w:szCs w:val="28"/>
          <w:rtl w:val="true"/>
          <w:lang w:bidi="ar-SA"/>
        </w:rPr>
        <w:t xml:space="preserve">،و عن أحمد روايتان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الجمهور،عن النّبيّ صلّى اللّه عليه و آله،انّه نهى عائشة </w:t>
      </w:r>
      <w:r>
        <w:rPr>
          <w:rStyle w:val="FootnoteAnchor"/>
          <w:rtl w:val="true"/>
        </w:rPr>
        <w:footnoteReference w:id="87"/>
      </w:r>
      <w:r>
        <w:rPr>
          <w:rFonts w:ascii="Amiri" w:hAnsi="Amiri" w:eastAsia="Amiri" w:cs="Amiri"/>
          <w:color w:val="111111"/>
          <w:sz w:val="28"/>
          <w:sz w:val="28"/>
          <w:szCs w:val="28"/>
          <w:rtl w:val="true"/>
          <w:lang w:bidi="ar-SA"/>
        </w:rPr>
        <w:t>عن استعمال الشّمس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يورث البرص</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أبي الحسن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رسول اللّه صلّى اللّه عليه و آله على عائشة و قد وضعت قمقمتها </w:t>
      </w:r>
      <w:r>
        <w:rPr>
          <w:rStyle w:val="FootnoteAnchor"/>
          <w:rtl w:val="true"/>
        </w:rPr>
        <w:footnoteReference w:id="89"/>
      </w:r>
      <w:r>
        <w:rPr>
          <w:rFonts w:ascii="Amiri" w:hAnsi="Amiri" w:eastAsia="Amiri" w:cs="Amiri"/>
          <w:color w:val="111111"/>
          <w:sz w:val="28"/>
          <w:sz w:val="28"/>
          <w:szCs w:val="28"/>
          <w:rtl w:val="true"/>
          <w:lang w:bidi="ar-SA"/>
        </w:rPr>
        <w:t>في الشّمس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حميراء،ما </w:t>
      </w:r>
      <w:bookmarkStart w:id="244" w:name="pg12672_159775"/>
    </w:p>
    <w:p>
      <w:pPr>
        <w:pStyle w:val="BookText"/>
        <w:rPr/>
      </w:pPr>
      <w:bookmarkEnd w:id="244"/>
      <w:r>
        <w:rPr>
          <w:rFonts w:ascii="Amiri" w:hAnsi="Amiri" w:eastAsia="Amiri" w:cs="Amiri"/>
          <w:color w:val="111111"/>
          <w:sz w:val="28"/>
          <w:sz w:val="28"/>
          <w:szCs w:val="28"/>
          <w:rtl w:val="true"/>
          <w:lang w:bidi="ar-SA"/>
        </w:rPr>
        <w:t>هذا؟قالت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أغسل رأسي و جسدي،قال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تعودي فإنّه يورث البرص</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الّذي يسخن بالشّمس لا توضّأوا به،و لا تغتسلوا به،و لا تعجنوا به،فإنّه يورث البرص</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الشّيخ في حديث مرسل،عن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يتوضّأ بالماء الّذي يوضع في الشّمس</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طريق هذا الحديث محمّد بن سنان </w:t>
      </w:r>
      <w:r>
        <w:rPr>
          <w:rStyle w:val="FootnoteAnchor"/>
          <w:rtl w:val="true"/>
        </w:rPr>
        <w:footnoteReference w:id="93"/>
      </w:r>
      <w:r>
        <w:rPr>
          <w:rFonts w:ascii="Amiri" w:hAnsi="Amiri" w:eastAsia="Amiri" w:cs="Amiri"/>
          <w:color w:val="111111"/>
          <w:sz w:val="28"/>
          <w:sz w:val="28"/>
          <w:szCs w:val="28"/>
          <w:rtl w:val="true"/>
          <w:lang w:bidi="ar-SA"/>
        </w:rPr>
        <w:t>،و فيه قول،و الجمع بين الأحاديث بعد تسليمها،حمل النّهي على التّنزيه و الكراهة،و يدلّ عليه العلّة الّتي أومأ إليها صلّى اللّه عليه و آله الدّالّة على المصلحة العائدة إلى المنافع الدّنيويّة</w:t>
      </w:r>
      <w:r>
        <w:rPr>
          <w:rFonts w:eastAsia="Amiri" w:cs="Amiri" w:ascii="Amiri" w:hAnsi="Amiri"/>
          <w:color w:val="111111"/>
          <w:sz w:val="28"/>
          <w:szCs w:val="28"/>
          <w:rtl w:val="true"/>
          <w:lang w:bidi="ar-SA"/>
        </w:rPr>
        <w:t>.</w:t>
      </w:r>
    </w:p>
    <w:p>
      <w:pPr>
        <w:pStyle w:val="Heading6"/>
        <w:numPr>
          <w:ilvl w:val="5"/>
          <w:numId w:val="1"/>
        </w:numPr>
        <w:rPr/>
      </w:pPr>
      <w:bookmarkStart w:id="245" w:name="__RefHeading___Toc746799_222507752"/>
      <w:bookmarkStart w:id="246" w:name="_Toc90"/>
      <w:bookmarkEnd w:id="245"/>
      <w:r>
        <w:rPr>
          <w:rtl w:val="true"/>
        </w:rPr>
        <w:t>فرعان</w:t>
      </w:r>
      <w:r>
        <w:rPr>
          <w:rtl w:val="true"/>
        </w:rPr>
        <w:t>:</w:t>
      </w:r>
      <w:bookmarkEnd w:id="246"/>
    </w:p>
    <w:p>
      <w:pPr>
        <w:pStyle w:val="Heading6"/>
        <w:numPr>
          <w:ilvl w:val="5"/>
          <w:numId w:val="1"/>
        </w:numPr>
        <w:rPr/>
      </w:pPr>
      <w:bookmarkStart w:id="247" w:name="__RefHeading___Toc746801_222507752"/>
      <w:bookmarkStart w:id="248" w:name="_Toc91"/>
      <w:bookmarkEnd w:id="247"/>
      <w:r>
        <w:rPr>
          <w:rtl w:val="true"/>
        </w:rPr>
        <w:t>الأوّل</w:t>
      </w:r>
      <w:r>
        <w:rPr>
          <w:rtl w:val="true"/>
        </w:rPr>
        <w:t>:</w:t>
      </w:r>
      <w:r>
        <w:rPr>
          <w:rtl w:val="true"/>
        </w:rPr>
        <w:t>الظّاهر عموم النّهي،</w:t>
      </w:r>
      <w:bookmarkEnd w:id="248"/>
    </w:p>
    <w:p>
      <w:pPr>
        <w:pStyle w:val="BookText"/>
        <w:rPr/>
      </w:pPr>
      <w:r>
        <w:rPr>
          <w:rFonts w:ascii="Amiri" w:hAnsi="Amiri" w:eastAsia="Amiri" w:cs="Amiri"/>
          <w:color w:val="111111"/>
          <w:sz w:val="28"/>
          <w:sz w:val="28"/>
          <w:szCs w:val="28"/>
          <w:rtl w:val="true"/>
          <w:lang w:bidi="ar-SA"/>
        </w:rPr>
        <w:t xml:space="preserve">و يحتمل عدمه و اختصاصه بما يخاف منه المحذور كالشمس في البلاد الحارّة دون المعتدلة،أو فيما يشبه آنية الحديد و الرّصاص دون الذّهب و الفضّة لصفاء جوهرهما </w:t>
      </w:r>
      <w:r>
        <w:rPr>
          <w:rFonts w:eastAsia="Amiri" w:cs="Amiri" w:ascii="Amiri" w:hAnsi="Amiri"/>
          <w:color w:val="111111"/>
          <w:sz w:val="28"/>
          <w:szCs w:val="28"/>
          <w:rtl w:val="true"/>
          <w:lang w:bidi="ar-SA"/>
        </w:rPr>
        <w:t>.</w:t>
      </w:r>
    </w:p>
    <w:p>
      <w:pPr>
        <w:pStyle w:val="Heading6"/>
        <w:numPr>
          <w:ilvl w:val="5"/>
          <w:numId w:val="1"/>
        </w:numPr>
        <w:rPr/>
      </w:pPr>
      <w:bookmarkStart w:id="249" w:name="__RefHeading___Toc746803_222507752"/>
      <w:bookmarkStart w:id="250" w:name="_Toc92"/>
      <w:bookmarkEnd w:id="249"/>
      <w:r>
        <w:rPr>
          <w:rtl w:val="true"/>
        </w:rPr>
        <w:t>الثّاني</w:t>
      </w:r>
      <w:r>
        <w:rPr>
          <w:rtl w:val="true"/>
        </w:rPr>
        <w:t>:</w:t>
      </w:r>
      <w:r>
        <w:rPr>
          <w:rtl w:val="true"/>
        </w:rPr>
        <w:t>لو زالت حرارة المشمّس</w:t>
      </w:r>
      <w:bookmarkEnd w:id="250"/>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فالأقرب بقاء الكراهة،لعدم خروجه عن كونه مشمّسا</w:t>
      </w:r>
      <w:r>
        <w:rPr>
          <w:rFonts w:eastAsia="Amiri" w:cs="Amiri" w:ascii="Amiri" w:hAnsi="Amiri"/>
          <w:color w:val="111111"/>
          <w:sz w:val="28"/>
          <w:szCs w:val="28"/>
          <w:rtl w:val="true"/>
          <w:lang w:bidi="ar-SA"/>
        </w:rPr>
        <w:t xml:space="preserve">. </w:t>
      </w:r>
      <w:bookmarkStart w:id="251" w:name="pg12672_159776"/>
    </w:p>
    <w:p>
      <w:pPr>
        <w:pStyle w:val="Heading6"/>
        <w:numPr>
          <w:ilvl w:val="5"/>
          <w:numId w:val="1"/>
        </w:numPr>
        <w:rPr/>
      </w:pPr>
      <w:bookmarkStart w:id="252" w:name="__RefHeading___Toc746805_222507752"/>
      <w:bookmarkStart w:id="253" w:name="_Toc93"/>
      <w:bookmarkEnd w:id="251"/>
      <w:bookmarkEnd w:id="252"/>
      <w:r>
        <w:rPr>
          <w:rtl w:val="true"/>
        </w:rPr>
        <w:t>مسألة</w:t>
      </w:r>
      <w:r>
        <w:rPr>
          <w:rtl w:val="true"/>
        </w:rPr>
        <w:t>:</w:t>
      </w:r>
      <w:r>
        <w:rPr>
          <w:rtl w:val="true"/>
        </w:rPr>
        <w:t>الماء المسخن بالنّار لا بأس باستعماله</w:t>
      </w:r>
      <w:bookmarkEnd w:id="253"/>
    </w:p>
    <w:p>
      <w:pPr>
        <w:pStyle w:val="BookText"/>
        <w:rPr/>
      </w:pPr>
      <w:r>
        <w:rPr>
          <w:rFonts w:ascii="IRNazanin" w:hAnsi="IRNazanin" w:eastAsia="IRNazanin"/>
          <w:color w:val="111111"/>
          <w:sz w:val="28"/>
          <w:sz w:val="28"/>
          <w:szCs w:val="28"/>
          <w:rtl w:val="true"/>
          <w:lang w:bidi="fa-IR"/>
        </w:rPr>
        <w:t xml:space="preserve">،لبقاء الاسم خلافا لمجاهد </w:t>
      </w:r>
      <w:r>
        <w:rPr>
          <w:rStyle w:val="FootnoteAnchor"/>
          <w:rtl w:val="true"/>
        </w:rPr>
        <w:footnoteReference w:id="94"/>
      </w:r>
      <w:r>
        <w:rPr>
          <w:rFonts w:ascii="IRNazanin" w:hAnsi="IRNazanin" w:eastAsia="IRNazanin"/>
          <w:color w:val="111111"/>
          <w:sz w:val="28"/>
          <w:sz w:val="28"/>
          <w:szCs w:val="28"/>
          <w:rtl w:val="true"/>
          <w:lang w:bidi="fa-IR"/>
        </w:rPr>
        <w:t xml:space="preserve">و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ما كان مسخنا من منبعه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الجمهور،عن شريك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أجنبت و أنا مع رسول اللّه صلّى اللّه عليه و آله، فجمعت حطبا و أحميت الماء فاغتسلت فأخبرت النّبيّ صلّى اللّه عليه و آله فلم ينكر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الشّيخ في الصّحيح،عن أبي عبد اللّه عليه السّلام،انّه اضطرّ إليه و هو مريض فأتوه به مسخنا فاغتسل </w:t>
      </w:r>
      <w:r>
        <w:rPr>
          <w:rStyle w:val="FootnoteAnchor"/>
          <w:rtl w:val="true"/>
        </w:rPr>
        <w:footnoteReference w:id="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يكره تغسيل الميّت منه،لما رواه الشّيخ في الصّحيح،عن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يسخن الماء للميّت</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و لأنّ فيه أجزاء ناريّة،فلا تعجّل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نصّ أبو عبد اللّه عليه السّلام على هذه العلّة فيما رواه الشّيخ عنه عليه السّلام قال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يسخن للميّت الماء،لا تعجّل له النّار</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 xml:space="preserve">و في الطّريق ضعف،فإن خاف الغاسل من </w:t>
      </w:r>
      <w:bookmarkStart w:id="254" w:name="pg12672_159777"/>
    </w:p>
    <w:p>
      <w:pPr>
        <w:pStyle w:val="BookText"/>
        <w:rPr/>
      </w:pPr>
      <w:bookmarkEnd w:id="254"/>
      <w:r>
        <w:rPr>
          <w:rFonts w:ascii="Amiri" w:hAnsi="Amiri" w:eastAsia="Amiri" w:cs="Amiri"/>
          <w:color w:val="111111"/>
          <w:sz w:val="28"/>
          <w:sz w:val="28"/>
          <w:szCs w:val="28"/>
          <w:rtl w:val="true"/>
          <w:lang w:bidi="ar-SA"/>
        </w:rPr>
        <w:t xml:space="preserve">البرد زالت الكراهة على ما ذكره الشّيخ رحمه اللّه </w:t>
      </w:r>
      <w:r>
        <w:rPr>
          <w:rStyle w:val="FootnoteAnchor"/>
          <w:rtl w:val="true"/>
        </w:rPr>
        <w:footnoteReference w:id="100"/>
      </w:r>
      <w:r>
        <w:rPr>
          <w:rFonts w:ascii="Amiri" w:hAnsi="Amiri" w:eastAsia="Amiri" w:cs="Amiri"/>
          <w:color w:val="111111"/>
          <w:sz w:val="28"/>
          <w:sz w:val="28"/>
          <w:szCs w:val="28"/>
          <w:rtl w:val="true"/>
          <w:lang w:bidi="ar-SA"/>
        </w:rPr>
        <w:t xml:space="preserve">و المفيد </w:t>
      </w:r>
      <w:r>
        <w:rPr>
          <w:rStyle w:val="FootnoteAnchor"/>
          <w:rtl w:val="true"/>
        </w:rPr>
        <w:footnoteReference w:id="101"/>
      </w:r>
      <w:r>
        <w:rPr>
          <w:rFonts w:ascii="Amiri" w:hAnsi="Amiri" w:eastAsia="Amiri" w:cs="Amiri"/>
          <w:color w:val="111111"/>
          <w:sz w:val="28"/>
          <w:sz w:val="28"/>
          <w:szCs w:val="28"/>
          <w:rtl w:val="true"/>
          <w:lang w:bidi="ar-SA"/>
        </w:rPr>
        <w:t>،لأنّ فيه دفعا للضّرر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يكره التّداوي بالمياه الحارّة من الجبال الّتي يشمّ منها رائحة الكبريت،ذكره ابن بابويه رحمه اللّه </w:t>
      </w:r>
      <w:r>
        <w:rPr>
          <w:rStyle w:val="FootnoteAnchor"/>
          <w:rtl w:val="true"/>
        </w:rPr>
        <w:footnoteReference w:id="102"/>
      </w:r>
      <w:r>
        <w:rPr>
          <w:rFonts w:ascii="IRNazanin" w:hAnsi="IRNazanin" w:eastAsia="IRNazanin"/>
          <w:color w:val="111111"/>
          <w:sz w:val="28"/>
          <w:sz w:val="28"/>
          <w:szCs w:val="28"/>
          <w:rtl w:val="true"/>
          <w:lang w:bidi="fa-IR"/>
        </w:rPr>
        <w:t xml:space="preserve">، </w:t>
      </w:r>
      <w:r>
        <w:rPr>
          <w:rStyle w:val="FootnoteAnchor"/>
          <w:rtl w:val="true"/>
        </w:rPr>
        <w:footnoteReference w:id="103"/>
      </w:r>
      <w:r>
        <w:rPr>
          <w:rFonts w:ascii="Amiri" w:hAnsi="Amiri" w:eastAsia="Amiri" w:cs="Amiri"/>
          <w:color w:val="111111"/>
          <w:sz w:val="28"/>
          <w:sz w:val="28"/>
          <w:szCs w:val="28"/>
          <w:rtl w:val="true"/>
          <w:lang w:bidi="ar-SA"/>
        </w:rPr>
        <w:t xml:space="preserve">،لأنّها من فوح جهنّم على ما روي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فرق بين أن يكون مسخنا بالنّجاسة أو لا،إذا لم يعلم وصول أجزاء النّجاسة إليه، عملا بالأصل السّالم عن ممازجة النّجاسة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أحمد في كراهيّة الطّهارة بالمسخن بالنّجاسة روايتان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5" w:name="__RefHeading___Toc746807_222507752"/>
      <w:bookmarkStart w:id="256" w:name="_Toc94"/>
      <w:bookmarkEnd w:id="255"/>
      <w:r>
        <w:rPr>
          <w:rtl w:val="true"/>
        </w:rPr>
        <w:t>فرع</w:t>
      </w:r>
      <w:r>
        <w:rPr>
          <w:rtl w:val="true"/>
        </w:rPr>
        <w:t>:</w:t>
      </w:r>
      <w:r>
        <w:rPr>
          <w:rtl w:val="true"/>
        </w:rPr>
        <w:t>النّجس من الجاري إنّما هو المتغيّر دون ما عداه</w:t>
      </w:r>
      <w:r>
        <w:rPr>
          <w:rtl w:val="true"/>
        </w:rPr>
        <w:t>.</w:t>
      </w:r>
      <w:bookmarkEnd w:id="256"/>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فبالإجماع،و بالنّصوص الدّالّة على نجاسة المتغيّر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فبالأصل الدّالّ على الطّهارة،السّليم عن المعارض و هو المتغيّر،و الملاقاة لا توجب التّنجيس له لما يأتي،و كذلك البحث في الواقف الزّائد على الكرّ،فإنّ ما عدا المتغيّر إن بلغ كرّا فهو على الأصل،و إلاّ لحقه الحكم،لحصول الملاقاة الموجب للتّنجيس السّالم عن بلوغ الكرّيّة</w:t>
      </w:r>
      <w:r>
        <w:rPr>
          <w:rFonts w:eastAsia="Amiri" w:cs="Amiri" w:ascii="Amiri" w:hAnsi="Amiri"/>
          <w:color w:val="111111"/>
          <w:sz w:val="28"/>
          <w:szCs w:val="28"/>
          <w:rtl w:val="true"/>
          <w:lang w:bidi="ar-SA"/>
        </w:rPr>
        <w:t>.</w:t>
      </w:r>
    </w:p>
    <w:p>
      <w:pPr>
        <w:pStyle w:val="Heading6"/>
        <w:numPr>
          <w:ilvl w:val="5"/>
          <w:numId w:val="1"/>
        </w:numPr>
        <w:rPr/>
      </w:pPr>
      <w:bookmarkStart w:id="257" w:name="__RefHeading___Toc746809_222507752"/>
      <w:bookmarkStart w:id="258" w:name="_Toc95"/>
      <w:bookmarkEnd w:id="257"/>
      <w:r>
        <w:rPr>
          <w:rtl w:val="true"/>
        </w:rPr>
        <w:t>مسألة</w:t>
      </w:r>
      <w:r>
        <w:rPr>
          <w:rtl w:val="true"/>
        </w:rPr>
        <w:t>:</w:t>
      </w:r>
      <w:r>
        <w:rPr>
          <w:rtl w:val="true"/>
        </w:rPr>
        <w:t>اتّفق علماؤنا على انّ الماء الجاري لا ينجس بالملاقاة</w:t>
      </w:r>
      <w:bookmarkEnd w:id="258"/>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أكثر المخالفين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bookmarkStart w:id="259" w:name="pg12672_159778"/>
    </w:p>
    <w:p>
      <w:pPr>
        <w:pStyle w:val="BookText"/>
        <w:rPr/>
      </w:pPr>
      <w:bookmarkEnd w:id="259"/>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النّجاسة تجري مع الماء،فما فوقها و ما تحتها طاهران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الجرية الّتي فيها النّجاسة فحكمها كالرّاكد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عنى بالجرية،القدر الّذي بين حافتي النّهر عرضا عن يمين النّجاسة و شمالها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أقلّ من قلّتين فهو نجس و إلاّ فلا، و إن كانت النّجاسة واقفة و الماء يجري عليها،فلكلّ جرية حكم نفسها إن كانت أقلّ من قلّتين نجست و إلاّ فلا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من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كلّه طاهر لا ينجّسه شيء إلاّ ما غيّر لونه أو طعمه أو رائحته</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و ذلك عامّ إلاّ ما أخرجه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الشّيخ،عن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يبول الرّجل في الماء الجاري</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و لأنّ الماء الجاري قاهر للنّجاسة غالب عليها و هي غير ثابتة،و لأنّ الأصل الطّهارة،فيستصحب حتّى تظهر دلالة تنافيه،و لأنّه إجماع</w:t>
      </w:r>
      <w:r>
        <w:rPr>
          <w:rFonts w:eastAsia="Amiri" w:cs="Amiri" w:ascii="Amiri" w:hAnsi="Amiri"/>
          <w:color w:val="111111"/>
          <w:sz w:val="28"/>
          <w:szCs w:val="28"/>
          <w:rtl w:val="true"/>
          <w:lang w:bidi="ar-SA"/>
        </w:rPr>
        <w:t>.</w:t>
      </w:r>
    </w:p>
    <w:p>
      <w:pPr>
        <w:pStyle w:val="Heading6"/>
        <w:numPr>
          <w:ilvl w:val="5"/>
          <w:numId w:val="1"/>
        </w:numPr>
        <w:rPr/>
      </w:pPr>
      <w:bookmarkStart w:id="260" w:name="__RefHeading___Toc746811_222507752"/>
      <w:bookmarkStart w:id="261" w:name="_Toc96"/>
      <w:bookmarkEnd w:id="260"/>
      <w:r>
        <w:rPr>
          <w:rtl w:val="true"/>
        </w:rPr>
        <w:t>فروع</w:t>
      </w:r>
      <w:r>
        <w:rPr>
          <w:rtl w:val="true"/>
        </w:rPr>
        <w:t>:</w:t>
      </w:r>
      <w:bookmarkEnd w:id="261"/>
    </w:p>
    <w:p>
      <w:pPr>
        <w:pStyle w:val="Heading6"/>
        <w:numPr>
          <w:ilvl w:val="5"/>
          <w:numId w:val="1"/>
        </w:numPr>
        <w:rPr/>
      </w:pPr>
      <w:bookmarkStart w:id="262" w:name="__RefHeading___Toc746813_222507752"/>
      <w:bookmarkStart w:id="263" w:name="_Toc97"/>
      <w:bookmarkEnd w:id="262"/>
      <w:r>
        <w:rPr>
          <w:rtl w:val="true"/>
        </w:rPr>
        <w:t>الأوّل</w:t>
      </w:r>
      <w:r>
        <w:rPr>
          <w:rtl w:val="true"/>
        </w:rPr>
        <w:t>:</w:t>
      </w:r>
      <w:r>
        <w:rPr>
          <w:rtl w:val="true"/>
        </w:rPr>
        <w:t>الجريات في الماء الجاري متّحدة</w:t>
      </w:r>
      <w:bookmarkEnd w:id="263"/>
    </w:p>
    <w:p>
      <w:pPr>
        <w:pStyle w:val="BookText"/>
        <w:rPr/>
      </w:pPr>
      <w:r>
        <w:rPr>
          <w:rFonts w:ascii="Amiri" w:hAnsi="Amiri" w:eastAsia="Amiri" w:cs="Amiri"/>
          <w:color w:val="111111"/>
          <w:sz w:val="28"/>
          <w:sz w:val="28"/>
          <w:szCs w:val="28"/>
          <w:rtl w:val="true"/>
          <w:lang w:bidi="ar-SA"/>
        </w:rPr>
        <w:t xml:space="preserve">فلا تعتبر الجرية الّتي فيها النّجاسة بانفرادها،خلافا لبعض الشّافعيّة حيث حكموا بنجاستها إن كانت دون القلّتين </w:t>
      </w:r>
      <w:r>
        <w:rPr>
          <w:rStyle w:val="FootnoteAnchor"/>
          <w:rtl w:val="true"/>
        </w:rPr>
        <w:footnoteReference w:id="111"/>
      </w:r>
      <w:r>
        <w:rPr>
          <w:rFonts w:ascii="Amiri" w:hAnsi="Amiri" w:eastAsia="Amiri" w:cs="Amiri"/>
          <w:color w:val="111111"/>
          <w:sz w:val="28"/>
          <w:sz w:val="28"/>
          <w:szCs w:val="28"/>
          <w:rtl w:val="true"/>
          <w:lang w:bidi="ar-SA"/>
        </w:rPr>
        <w:t xml:space="preserve">،لأنّه ماء متّصل متدافع،فيمنع استقرار الجرية </w:t>
      </w:r>
      <w:r>
        <w:rPr>
          <w:rFonts w:eastAsia="Amiri" w:cs="Amiri" w:ascii="Amiri" w:hAnsi="Amiri"/>
          <w:color w:val="111111"/>
          <w:sz w:val="28"/>
          <w:szCs w:val="28"/>
          <w:rtl w:val="true"/>
          <w:lang w:bidi="ar-SA"/>
        </w:rPr>
        <w:t>.</w:t>
      </w:r>
    </w:p>
    <w:p>
      <w:pPr>
        <w:pStyle w:val="Heading6"/>
        <w:numPr>
          <w:ilvl w:val="5"/>
          <w:numId w:val="1"/>
        </w:numPr>
        <w:rPr/>
      </w:pPr>
      <w:bookmarkStart w:id="264" w:name="__RefHeading___Toc746815_222507752"/>
      <w:bookmarkStart w:id="265" w:name="_Toc98"/>
      <w:bookmarkEnd w:id="264"/>
      <w:r>
        <w:rPr>
          <w:rtl w:val="true"/>
        </w:rPr>
        <w:t>الثّاني</w:t>
      </w:r>
      <w:r>
        <w:rPr>
          <w:rtl w:val="true"/>
        </w:rPr>
        <w:t>:</w:t>
      </w:r>
      <w:r>
        <w:rPr>
          <w:rtl w:val="true"/>
        </w:rPr>
        <w:t>لو جرى الماء على نجاسة واقفة،</w:t>
      </w:r>
      <w:bookmarkEnd w:id="265"/>
    </w:p>
    <w:p>
      <w:pPr>
        <w:pStyle w:val="BookText"/>
        <w:rPr/>
      </w:pPr>
      <w:r>
        <w:rPr>
          <w:rFonts w:ascii="Amiri" w:hAnsi="Amiri" w:eastAsia="Amiri" w:cs="Amiri"/>
          <w:color w:val="111111"/>
          <w:sz w:val="28"/>
          <w:sz w:val="28"/>
          <w:szCs w:val="28"/>
          <w:rtl w:val="true"/>
          <w:lang w:bidi="ar-SA"/>
        </w:rPr>
        <w:t>لم يلحقه حكم التّنجيس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 الشّافعيّة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بلغت الجرية قلّتين لم تنجس،و إلاّ كانت نجسة </w:t>
      </w:r>
      <w:r>
        <w:rPr>
          <w:rStyle w:val="FootnoteAnchor"/>
          <w:rtl w:val="true"/>
        </w:rPr>
        <w:footnoteReference w:id="1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بجيّد،لما تقدّم </w:t>
      </w:r>
      <w:r>
        <w:rPr>
          <w:rFonts w:eastAsia="Amiri" w:cs="Amiri" w:ascii="Amiri" w:hAnsi="Amiri"/>
          <w:color w:val="111111"/>
          <w:sz w:val="28"/>
          <w:szCs w:val="28"/>
          <w:rtl w:val="true"/>
          <w:lang w:bidi="ar-SA"/>
        </w:rPr>
        <w:t>.</w:t>
      </w:r>
    </w:p>
    <w:p>
      <w:pPr>
        <w:pStyle w:val="Heading6"/>
        <w:numPr>
          <w:ilvl w:val="5"/>
          <w:numId w:val="1"/>
        </w:numPr>
        <w:rPr/>
      </w:pPr>
      <w:bookmarkStart w:id="266" w:name="__RefHeading___Toc746817_222507752"/>
      <w:bookmarkStart w:id="267" w:name="_Toc99"/>
      <w:bookmarkEnd w:id="266"/>
      <w:r>
        <w:rPr>
          <w:rtl w:val="true"/>
        </w:rPr>
        <w:t>الثّالث</w:t>
      </w:r>
      <w:r>
        <w:rPr>
          <w:rtl w:val="true"/>
        </w:rPr>
        <w:t>:</w:t>
      </w:r>
      <w:r>
        <w:rPr>
          <w:rtl w:val="true"/>
        </w:rPr>
        <w:t>لا فرق بين الأنهار الكبار و الصّغار</w:t>
      </w:r>
      <w:r>
        <w:rPr>
          <w:rtl w:val="true"/>
        </w:rPr>
        <w:t>.</w:t>
      </w:r>
      <w:bookmarkEnd w:id="267"/>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نعم،الأقرب اشتراط الكرّيّة،لانفعال </w:t>
      </w:r>
      <w:bookmarkStart w:id="268" w:name="pg12672_159779"/>
    </w:p>
    <w:p>
      <w:pPr>
        <w:pStyle w:val="BookText"/>
        <w:rPr/>
      </w:pPr>
      <w:bookmarkEnd w:id="268"/>
      <w:r>
        <w:rPr>
          <w:rFonts w:ascii="IRNazanin" w:hAnsi="IRNazanin" w:eastAsia="IRNazanin"/>
          <w:color w:val="111111"/>
          <w:sz w:val="28"/>
          <w:sz w:val="28"/>
          <w:szCs w:val="28"/>
          <w:rtl w:val="true"/>
          <w:lang w:bidi="fa-IR"/>
        </w:rPr>
        <w:t>النّاقص عنها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كان القليل يجري على أرض منحدرة،كان ما فوق النّجاسة طاهرا </w:t>
      </w:r>
      <w:r>
        <w:rPr>
          <w:rFonts w:eastAsia="Amiri" w:cs="Amiri" w:ascii="Amiri" w:hAnsi="Amiri"/>
          <w:color w:val="111111"/>
          <w:sz w:val="28"/>
          <w:szCs w:val="28"/>
          <w:rtl w:val="true"/>
          <w:lang w:bidi="ar-SA"/>
        </w:rPr>
        <w:t>.</w:t>
      </w:r>
    </w:p>
    <w:p>
      <w:pPr>
        <w:pStyle w:val="Heading6"/>
        <w:numPr>
          <w:ilvl w:val="5"/>
          <w:numId w:val="1"/>
        </w:numPr>
        <w:rPr/>
      </w:pPr>
      <w:bookmarkStart w:id="269" w:name="__RefHeading___Toc746819_222507752"/>
      <w:bookmarkStart w:id="270" w:name="_Toc100"/>
      <w:bookmarkEnd w:id="269"/>
      <w:r>
        <w:rPr>
          <w:rtl w:val="true"/>
        </w:rPr>
        <w:t>الرّابع</w:t>
      </w:r>
      <w:r>
        <w:rPr>
          <w:rtl w:val="true"/>
        </w:rPr>
        <w:t>:</w:t>
      </w:r>
      <w:r>
        <w:rPr>
          <w:rtl w:val="true"/>
        </w:rPr>
        <w:t>الواقف في جانب النّهر المتّصل بالجاري،حكمه حكمه،</w:t>
      </w:r>
      <w:bookmarkEnd w:id="270"/>
    </w:p>
    <w:p>
      <w:pPr>
        <w:pStyle w:val="BookText"/>
        <w:rPr/>
      </w:pPr>
      <w:r>
        <w:rPr>
          <w:rFonts w:ascii="Amiri" w:hAnsi="Amiri" w:eastAsia="Amiri" w:cs="Amiri"/>
          <w:color w:val="111111"/>
          <w:sz w:val="28"/>
          <w:sz w:val="28"/>
          <w:szCs w:val="28"/>
          <w:rtl w:val="true"/>
          <w:lang w:bidi="ar-SA"/>
        </w:rPr>
        <w:t xml:space="preserve">لاتّحاده بالاتّصال،فتتناوله الأدلّة،و لو كان الجاري متغيّرا،اعتبر في الواقف الكرّيّة </w:t>
      </w:r>
      <w:r>
        <w:rPr>
          <w:rFonts w:eastAsia="Amiri" w:cs="Amiri" w:ascii="Amiri" w:hAnsi="Amiri"/>
          <w:color w:val="111111"/>
          <w:sz w:val="28"/>
          <w:szCs w:val="28"/>
          <w:rtl w:val="true"/>
          <w:lang w:bidi="ar-SA"/>
        </w:rPr>
        <w:t>.</w:t>
      </w:r>
    </w:p>
    <w:p>
      <w:pPr>
        <w:pStyle w:val="Heading6"/>
        <w:numPr>
          <w:ilvl w:val="5"/>
          <w:numId w:val="1"/>
        </w:numPr>
        <w:rPr/>
      </w:pPr>
      <w:bookmarkStart w:id="271" w:name="__RefHeading___Toc746821_222507752"/>
      <w:bookmarkStart w:id="272" w:name="_Toc101"/>
      <w:bookmarkEnd w:id="271"/>
      <w:r>
        <w:rPr>
          <w:rtl w:val="true"/>
        </w:rPr>
        <w:t>الخامس</w:t>
      </w:r>
      <w:r>
        <w:rPr>
          <w:rtl w:val="true"/>
        </w:rPr>
        <w:t>:</w:t>
      </w:r>
      <w:r>
        <w:rPr>
          <w:rtl w:val="true"/>
        </w:rPr>
        <w:t>ماء الغيث حال نزوله يحلق بالجاري،</w:t>
      </w:r>
      <w:bookmarkEnd w:id="272"/>
    </w:p>
    <w:p>
      <w:pPr>
        <w:pStyle w:val="BookText"/>
        <w:rPr/>
      </w:pPr>
      <w:r>
        <w:rPr>
          <w:rFonts w:ascii="Amiri" w:hAnsi="Amiri" w:eastAsia="Amiri" w:cs="Amiri"/>
          <w:color w:val="111111"/>
          <w:sz w:val="28"/>
          <w:sz w:val="28"/>
          <w:szCs w:val="28"/>
          <w:rtl w:val="true"/>
          <w:lang w:bidi="ar-SA"/>
        </w:rPr>
        <w:t xml:space="preserve">و يلوح من كلام الشّيخ في التّهذيب و المبسوط،اشتراط الجريان من الميزاب </w:t>
      </w:r>
      <w:r>
        <w:rPr>
          <w:rStyle w:val="FootnoteAnchor"/>
          <w:rtl w:val="true"/>
        </w:rPr>
        <w:footnoteReference w:id="113"/>
      </w:r>
      <w:r>
        <w:rPr>
          <w:rFonts w:ascii="Amiri" w:hAnsi="Amiri" w:eastAsia="Amiri" w:cs="Amiri"/>
          <w:color w:val="111111"/>
          <w:sz w:val="28"/>
          <w:sz w:val="28"/>
          <w:szCs w:val="28"/>
          <w:rtl w:val="true"/>
          <w:lang w:bidi="ar-SA"/>
        </w:rPr>
        <w:t xml:space="preserve">،لما رواه الشّيخ في الصّحيح،عن أبي عبد اللّه في ميزابين سالا،أحدهما بول،و الآخر ماء المطر،فاختلطا فأصاب ثوب رجل لم يضرّ ذلك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استدلّ الشّيخ على الاشتراط بما رواه في الصّحيح،عن عليّ بن جعفر </w:t>
      </w:r>
      <w:r>
        <w:rPr>
          <w:rStyle w:val="FootnoteAnchor"/>
          <w:rtl w:val="true"/>
        </w:rPr>
        <w:footnoteReference w:id="115"/>
      </w:r>
      <w:r>
        <w:rPr>
          <w:rFonts w:ascii="Amiri" w:hAnsi="Amiri" w:eastAsia="Amiri" w:cs="Amiri"/>
          <w:color w:val="111111"/>
          <w:sz w:val="28"/>
          <w:sz w:val="28"/>
          <w:szCs w:val="28"/>
          <w:rtl w:val="true"/>
          <w:lang w:bidi="ar-SA"/>
        </w:rPr>
        <w:t>،عن أخيه موسى بن جعفر عليه السّلام،عن البيت يبال على ظهره و يغتسل من الجنابة ثمَّ يصيبه المطر،أ يؤخذ من مائه و يتوضّأ للصّلاة؟فقال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جرى فلا بأس</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نمنع هذا الشّرط و نحمل الجريان على النّزول من السّماء لعدم التّقييد في الخبر، و لما رواه الشّيخ في الصّحيح،عن عليّ بن جعفر،عن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يمرّ في ماء المطر و قد صبّ فيه خمر فأصاب ثوبه هل يصلّي فيه،قبل أن يغسله؟فقال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يغسل ثوبه و لا رجله و يصلّي فيه فلا بأس</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bookmarkStart w:id="273" w:name="pg12672_159780"/>
    </w:p>
    <w:p>
      <w:pPr>
        <w:pStyle w:val="BookText"/>
        <w:rPr/>
      </w:pPr>
      <w:bookmarkEnd w:id="273"/>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يتناول حال الانقطاع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نحمله على غير تلك الحالة عملا بما رويناه أوّلا،و لما رواه ابن يعقوب </w:t>
      </w:r>
      <w:r>
        <w:rPr>
          <w:rStyle w:val="FootnoteAnchor"/>
          <w:rtl w:val="true"/>
        </w:rPr>
        <w:footnoteReference w:id="118"/>
      </w:r>
      <w:r>
        <w:rPr>
          <w:rFonts w:ascii="Amiri" w:hAnsi="Amiri" w:eastAsia="Amiri" w:cs="Amiri"/>
          <w:color w:val="111111"/>
          <w:sz w:val="28"/>
          <w:sz w:val="28"/>
          <w:szCs w:val="28"/>
          <w:rtl w:val="true"/>
          <w:lang w:bidi="ar-SA"/>
        </w:rPr>
        <w:t>، عن أبي عبد اللّه عليه السّلام في حديث،قلت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يسيل عليّ من ماء المطر أرى فيه التّغيير و أرى فيه آثار القذر فتقطر القطرات عليّ و ينتضح منه عليّ،و البيت يتوضّأ على سطحه، فيكف </w:t>
      </w:r>
      <w:r>
        <w:rPr>
          <w:rStyle w:val="FootnoteAnchor"/>
          <w:rtl w:val="true"/>
        </w:rPr>
        <w:footnoteReference w:id="119"/>
      </w:r>
      <w:r>
        <w:rPr>
          <w:rFonts w:ascii="Amiri" w:hAnsi="Amiri" w:eastAsia="Amiri" w:cs="Amiri"/>
          <w:color w:val="111111"/>
          <w:sz w:val="28"/>
          <w:sz w:val="28"/>
          <w:szCs w:val="28"/>
          <w:rtl w:val="true"/>
          <w:lang w:bidi="ar-SA"/>
        </w:rPr>
        <w:t>على ثيابنا،فقال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بذا بأس،لا تغسله،كلّ شيء يراه ماء المطر فقد طهر</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رواه ابن بابويه،عن أبي عبد اللّه عليه السّلام،عن السّطح يبال عليه فتصيبه السّماء فيكف فيصيب الثّوب،فقال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به،ما أصابه من الماء أكثر منه</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بتقاطره يشبه الجاري،فيلحقه حكمه،و لأنّ الاحتراز منه يشقّ،و بالتّخفيف تندفع المشقّة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استقرّ على الأرض،و انقطع التّقاطر ثمَّ لاقته نجاسة،اعتبر فيه ما يعتبر في الواقف،لانتفاء العلّة الّتي هي الجريان</w:t>
      </w:r>
      <w:r>
        <w:rPr>
          <w:rFonts w:eastAsia="Amiri" w:cs="Amiri" w:ascii="Amiri" w:hAnsi="Amiri"/>
          <w:color w:val="111111"/>
          <w:sz w:val="28"/>
          <w:szCs w:val="28"/>
          <w:rtl w:val="true"/>
          <w:lang w:bidi="ar-SA"/>
        </w:rPr>
        <w:t>.</w:t>
      </w:r>
    </w:p>
    <w:p>
      <w:pPr>
        <w:pStyle w:val="Heading6"/>
        <w:numPr>
          <w:ilvl w:val="5"/>
          <w:numId w:val="1"/>
        </w:numPr>
        <w:rPr/>
      </w:pPr>
      <w:bookmarkStart w:id="274" w:name="__RefHeading___Toc746823_222507752"/>
      <w:bookmarkStart w:id="275" w:name="_Toc102"/>
      <w:bookmarkEnd w:id="274"/>
      <w:r>
        <w:rPr>
          <w:rtl w:val="true"/>
        </w:rPr>
        <w:t>مسألة</w:t>
      </w:r>
      <w:r>
        <w:rPr>
          <w:rtl w:val="true"/>
        </w:rPr>
        <w:t>:</w:t>
      </w:r>
      <w:r>
        <w:rPr>
          <w:rtl w:val="true"/>
        </w:rPr>
        <w:t>ماء الحمّام في حياضه الصّغار كالجاري إذا كان له مادّة تجري إليها</w:t>
      </w:r>
      <w:bookmarkEnd w:id="2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محكيّ عن أبي حنيفة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أحمد بن حنبل انّه قال </w:t>
      </w:r>
      <w:r>
        <w:rPr>
          <w:rStyle w:val="FootnoteAnchor"/>
          <w:rtl w:val="true"/>
        </w:rPr>
        <w:footnoteReference w:id="1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بمنزلة الجاري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بمنزلة الماء الجاري</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 xml:space="preserve">و لأنّ الضّرورة داعية إليه،و الاحتراز عنه حرج عظيم،فيكون منفيّا،و لأنّه </w:t>
      </w:r>
    </w:p>
    <w:p>
      <w:pPr>
        <w:pStyle w:val="BookText"/>
        <w:rPr/>
      </w:pPr>
      <w:r>
        <w:rPr>
          <w:rFonts w:ascii="Amiri" w:hAnsi="Amiri" w:eastAsia="Amiri" w:cs="Amiri"/>
          <w:color w:val="111111"/>
          <w:sz w:val="28"/>
          <w:sz w:val="28"/>
          <w:szCs w:val="28"/>
          <w:rtl w:val="true"/>
          <w:lang w:bidi="ar-SA"/>
        </w:rPr>
        <w:t>بجريانه من المادّة يشبه الجاري فيلحقه حكمه،و أمّا اشتراط المادّة،فلما رواه الشّيخ،عن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الحمّام لا بأس به إذا كان له مادّة</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و لأنّه بوجودها يقهر النّجاسة،فلا يساوي حال عدمها،و يشترط عدم العلم بالنّجاسة في المادّة،لا العلم بعدمها،فإنّ بينهما فرقا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النّجس لا يطهر بالجريان</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فللعموم،و لأنّه متعذّر،و لأنّه حرج</w:t>
      </w:r>
      <w:r>
        <w:rPr>
          <w:rFonts w:eastAsia="Amiri" w:cs="Amiri" w:ascii="Amiri" w:hAnsi="Amiri"/>
          <w:color w:val="111111"/>
          <w:sz w:val="28"/>
          <w:szCs w:val="28"/>
          <w:rtl w:val="true"/>
          <w:lang w:bidi="ar-SA"/>
        </w:rPr>
        <w:t xml:space="preserve">. </w:t>
      </w:r>
      <w:bookmarkStart w:id="276" w:name="pg12672_159782"/>
    </w:p>
    <w:p>
      <w:pPr>
        <w:pStyle w:val="Heading6"/>
        <w:numPr>
          <w:ilvl w:val="5"/>
          <w:numId w:val="1"/>
        </w:numPr>
        <w:rPr/>
      </w:pPr>
      <w:bookmarkStart w:id="277" w:name="__RefHeading___Toc746825_222507752"/>
      <w:bookmarkStart w:id="278" w:name="_Toc103"/>
      <w:bookmarkEnd w:id="276"/>
      <w:bookmarkEnd w:id="277"/>
      <w:r>
        <w:rPr>
          <w:rtl w:val="true"/>
        </w:rPr>
        <w:t>فروع</w:t>
      </w:r>
      <w:r>
        <w:rPr>
          <w:rtl w:val="true"/>
        </w:rPr>
        <w:t>:</w:t>
      </w:r>
      <w:bookmarkEnd w:id="278"/>
    </w:p>
    <w:p>
      <w:pPr>
        <w:pStyle w:val="Heading6"/>
        <w:numPr>
          <w:ilvl w:val="5"/>
          <w:numId w:val="1"/>
        </w:numPr>
        <w:rPr/>
      </w:pPr>
      <w:bookmarkStart w:id="279" w:name="__RefHeading___Toc746827_222507752"/>
      <w:bookmarkStart w:id="280" w:name="_Toc104"/>
      <w:bookmarkEnd w:id="279"/>
      <w:r>
        <w:rPr>
          <w:rtl w:val="true"/>
        </w:rPr>
        <w:t>الأوّل</w:t>
      </w:r>
      <w:r>
        <w:rPr>
          <w:rtl w:val="true"/>
        </w:rPr>
        <w:t>:</w:t>
      </w:r>
      <w:r>
        <w:rPr>
          <w:rtl w:val="true"/>
        </w:rPr>
        <w:t>هل يشترط الكرّيّة في المادّة؟</w:t>
      </w:r>
      <w:bookmarkEnd w:id="280"/>
    </w:p>
    <w:p>
      <w:pPr>
        <w:pStyle w:val="BookText"/>
        <w:rPr/>
      </w:pPr>
      <w:r>
        <w:rPr>
          <w:rFonts w:ascii="Amiri" w:hAnsi="Amiri" w:eastAsia="Amiri" w:cs="Amiri"/>
          <w:color w:val="111111"/>
          <w:sz w:val="28"/>
          <w:sz w:val="28"/>
          <w:szCs w:val="28"/>
          <w:rtl w:val="true"/>
          <w:lang w:bidi="ar-SA"/>
        </w:rPr>
        <w:t xml:space="preserve">الوجه ذلك،لأنّ ما قصر عنه مساو له،فلا يفيد حكما ليس له </w:t>
      </w:r>
      <w:r>
        <w:rPr>
          <w:rFonts w:eastAsia="Amiri" w:cs="Amiri" w:ascii="Amiri" w:hAnsi="Amiri"/>
          <w:color w:val="111111"/>
          <w:sz w:val="28"/>
          <w:szCs w:val="28"/>
          <w:rtl w:val="true"/>
          <w:lang w:bidi="ar-SA"/>
        </w:rPr>
        <w:t>.</w:t>
      </w:r>
    </w:p>
    <w:p>
      <w:pPr>
        <w:pStyle w:val="Heading6"/>
        <w:numPr>
          <w:ilvl w:val="5"/>
          <w:numId w:val="1"/>
        </w:numPr>
        <w:rPr/>
      </w:pPr>
      <w:bookmarkStart w:id="281" w:name="__RefHeading___Toc746829_222507752"/>
      <w:bookmarkStart w:id="282" w:name="_Toc105"/>
      <w:bookmarkEnd w:id="281"/>
      <w:r>
        <w:rPr>
          <w:rtl w:val="true"/>
        </w:rPr>
        <w:t>الثّاني</w:t>
      </w:r>
      <w:r>
        <w:rPr>
          <w:rtl w:val="true"/>
        </w:rPr>
        <w:t>:</w:t>
      </w:r>
      <w:r>
        <w:rPr>
          <w:rtl w:val="true"/>
        </w:rPr>
        <w:t>المادّة إنّما تؤثّر في تسوية الصّغير بالجاري</w:t>
      </w:r>
      <w:bookmarkEnd w:id="282"/>
    </w:p>
    <w:p>
      <w:pPr>
        <w:pStyle w:val="BookText"/>
        <w:rPr/>
      </w:pPr>
      <w:r>
        <w:rPr>
          <w:rFonts w:ascii="Amiri" w:hAnsi="Amiri" w:eastAsia="Amiri" w:cs="Amiri"/>
          <w:color w:val="111111"/>
          <w:sz w:val="28"/>
          <w:sz w:val="28"/>
          <w:szCs w:val="28"/>
          <w:rtl w:val="true"/>
          <w:lang w:bidi="ar-SA"/>
        </w:rPr>
        <w:t xml:space="preserve">لو اتّصلت به بانبوبة أو شبهها،لا حال انقطاعها عنه </w:t>
      </w:r>
      <w:r>
        <w:rPr>
          <w:rFonts w:eastAsia="Amiri" w:cs="Amiri" w:ascii="Amiri" w:hAnsi="Amiri"/>
          <w:color w:val="111111"/>
          <w:sz w:val="28"/>
          <w:szCs w:val="28"/>
          <w:rtl w:val="true"/>
          <w:lang w:bidi="ar-SA"/>
        </w:rPr>
        <w:t>.</w:t>
      </w:r>
    </w:p>
    <w:p>
      <w:pPr>
        <w:pStyle w:val="Heading6"/>
        <w:numPr>
          <w:ilvl w:val="5"/>
          <w:numId w:val="1"/>
        </w:numPr>
        <w:rPr/>
      </w:pPr>
      <w:bookmarkStart w:id="283" w:name="__RefHeading___Toc746831_222507752"/>
      <w:bookmarkStart w:id="284" w:name="_Toc106"/>
      <w:bookmarkEnd w:id="283"/>
      <w:r>
        <w:rPr>
          <w:rtl w:val="true"/>
        </w:rPr>
        <w:t>الثّالث</w:t>
      </w:r>
      <w:r>
        <w:rPr>
          <w:rtl w:val="true"/>
        </w:rPr>
        <w:t>:</w:t>
      </w:r>
      <w:r>
        <w:rPr>
          <w:rtl w:val="true"/>
        </w:rPr>
        <w:t>لو كان الحوض الصّغير في غير الحمّام و له مادّة،</w:t>
      </w:r>
      <w:bookmarkEnd w:id="284"/>
    </w:p>
    <w:p>
      <w:pPr>
        <w:pStyle w:val="BookText"/>
        <w:rPr/>
      </w:pPr>
      <w:r>
        <w:rPr>
          <w:rFonts w:ascii="Amiri" w:hAnsi="Amiri" w:eastAsia="Amiri" w:cs="Amiri"/>
          <w:color w:val="111111"/>
          <w:sz w:val="28"/>
          <w:sz w:val="28"/>
          <w:szCs w:val="28"/>
          <w:rtl w:val="true"/>
          <w:lang w:bidi="ar-SA"/>
        </w:rPr>
        <w:t xml:space="preserve">ففي إلحاقه بماء الحمّام نظر </w:t>
      </w:r>
      <w:r>
        <w:rPr>
          <w:rFonts w:eastAsia="Amiri" w:cs="Amiri" w:ascii="Amiri" w:hAnsi="Amiri"/>
          <w:color w:val="111111"/>
          <w:sz w:val="28"/>
          <w:szCs w:val="28"/>
          <w:rtl w:val="true"/>
          <w:lang w:bidi="ar-SA"/>
        </w:rPr>
        <w:t>.</w:t>
      </w:r>
    </w:p>
    <w:p>
      <w:pPr>
        <w:pStyle w:val="Heading6"/>
        <w:numPr>
          <w:ilvl w:val="5"/>
          <w:numId w:val="1"/>
        </w:numPr>
        <w:rPr/>
      </w:pPr>
      <w:bookmarkStart w:id="285" w:name="__RefHeading___Toc746833_222507752"/>
      <w:bookmarkStart w:id="286" w:name="_Toc107"/>
      <w:bookmarkEnd w:id="285"/>
      <w:r>
        <w:rPr>
          <w:rtl w:val="true"/>
        </w:rPr>
        <w:t>الرّابع</w:t>
      </w:r>
      <w:r>
        <w:rPr>
          <w:rtl w:val="true"/>
        </w:rPr>
        <w:t>:</w:t>
      </w:r>
      <w:r>
        <w:rPr>
          <w:rtl w:val="true"/>
        </w:rPr>
        <w:t>الحوض الصّغير من الحمّام إذا نجس لم يطهر بإجراء المادّة إليه</w:t>
      </w:r>
      <w:bookmarkEnd w:id="286"/>
    </w:p>
    <w:p>
      <w:pPr>
        <w:pStyle w:val="BookText"/>
        <w:rPr/>
      </w:pPr>
      <w:r>
        <w:rPr>
          <w:rFonts w:ascii="Amiri" w:hAnsi="Amiri" w:eastAsia="Amiri" w:cs="Amiri"/>
          <w:color w:val="111111"/>
          <w:sz w:val="28"/>
          <w:sz w:val="28"/>
          <w:szCs w:val="28"/>
          <w:rtl w:val="true"/>
          <w:lang w:bidi="ar-SA"/>
        </w:rPr>
        <w:t xml:space="preserve">ما لم يغلب عليه بحيث يستولي عليه،لأنّ الصّادق عليه السّلام حكم بأنّه بمنزلة الجاري </w:t>
      </w:r>
      <w:r>
        <w:rPr>
          <w:rStyle w:val="FootnoteAnchor"/>
          <w:rtl w:val="true"/>
        </w:rPr>
        <w:footnoteReference w:id="127"/>
      </w:r>
      <w:r>
        <w:rPr>
          <w:rFonts w:ascii="Amiri" w:hAnsi="Amiri" w:eastAsia="Amiri" w:cs="Amiri"/>
          <w:color w:val="111111"/>
          <w:sz w:val="28"/>
          <w:sz w:val="28"/>
          <w:szCs w:val="28"/>
          <w:rtl w:val="true"/>
          <w:lang w:bidi="ar-SA"/>
        </w:rPr>
        <w:t>،و لو تنجّس الجاري،لم يطهر إلاّ باستيلاء الماء عليه بحيث يزيل انفعاله</w:t>
      </w:r>
      <w:r>
        <w:rPr>
          <w:rFonts w:eastAsia="Amiri" w:cs="Amiri" w:ascii="Amiri" w:hAnsi="Amiri"/>
          <w:color w:val="111111"/>
          <w:sz w:val="28"/>
          <w:szCs w:val="28"/>
          <w:rtl w:val="true"/>
          <w:lang w:bidi="ar-SA"/>
        </w:rPr>
        <w:t>.</w:t>
      </w:r>
    </w:p>
    <w:p>
      <w:pPr>
        <w:pStyle w:val="Heading6"/>
        <w:numPr>
          <w:ilvl w:val="5"/>
          <w:numId w:val="1"/>
        </w:numPr>
        <w:rPr/>
      </w:pPr>
      <w:bookmarkStart w:id="287" w:name="__RefHeading___Toc746835_222507752"/>
      <w:bookmarkStart w:id="288" w:name="_Toc108"/>
      <w:bookmarkEnd w:id="287"/>
      <w:r>
        <w:rPr>
          <w:rtl w:val="true"/>
        </w:rPr>
        <w:t>مسألة</w:t>
      </w:r>
      <w:r>
        <w:rPr>
          <w:rtl w:val="true"/>
        </w:rPr>
        <w:t>:</w:t>
      </w:r>
      <w:r>
        <w:rPr>
          <w:rtl w:val="true"/>
        </w:rPr>
        <w:t>قال علماؤنا</w:t>
      </w:r>
      <w:r>
        <w:rPr>
          <w:rtl w:val="true"/>
        </w:rPr>
        <w:t>:</w:t>
      </w:r>
      <w:r>
        <w:rPr>
          <w:rtl w:val="true"/>
        </w:rPr>
        <w:t>الماء الكثير الواقف لا ينجس بالملاقاة</w:t>
      </w:r>
      <w:bookmarkEnd w:id="28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عملا بالأصل،و لأنّه 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مذهب علماء الإسلام كافّة،و إنّما الخلاف في تقدير الكثرة،فذهب الشّيخان </w:t>
      </w:r>
      <w:r>
        <w:rPr>
          <w:rStyle w:val="FootnoteAnchor"/>
          <w:rtl w:val="true"/>
        </w:rPr>
        <w:footnoteReference w:id="128"/>
      </w:r>
      <w:r>
        <w:rPr>
          <w:rFonts w:ascii="Amiri" w:hAnsi="Amiri" w:eastAsia="Amiri" w:cs="Amiri"/>
          <w:color w:val="111111"/>
          <w:sz w:val="28"/>
          <w:sz w:val="28"/>
          <w:szCs w:val="28"/>
          <w:rtl w:val="true"/>
          <w:lang w:bidi="ar-SA"/>
        </w:rPr>
        <w:t xml:space="preserve">،و السيّد المرتضى </w:t>
      </w:r>
      <w:r>
        <w:rPr>
          <w:rStyle w:val="FootnoteAnchor"/>
          <w:rtl w:val="true"/>
        </w:rPr>
        <w:footnoteReference w:id="129"/>
      </w:r>
      <w:r>
        <w:rPr>
          <w:rFonts w:ascii="IRNazanin" w:hAnsi="IRNazanin" w:eastAsia="IRNazanin"/>
          <w:color w:val="111111"/>
          <w:sz w:val="28"/>
          <w:sz w:val="28"/>
          <w:szCs w:val="28"/>
          <w:rtl w:val="true"/>
          <w:lang w:bidi="fa-IR"/>
        </w:rPr>
        <w:t xml:space="preserve">، </w:t>
      </w:r>
      <w:r>
        <w:rPr>
          <w:rStyle w:val="FootnoteAnchor"/>
          <w:rtl w:val="true"/>
        </w:rPr>
        <w:footnoteReference w:id="130"/>
      </w:r>
      <w:r>
        <w:rPr>
          <w:rFonts w:ascii="Amiri" w:hAnsi="Amiri" w:eastAsia="Amiri" w:cs="Amiri"/>
          <w:color w:val="111111"/>
          <w:sz w:val="28"/>
          <w:sz w:val="28"/>
          <w:szCs w:val="28"/>
          <w:rtl w:val="true"/>
          <w:lang w:bidi="ar-SA"/>
        </w:rPr>
        <w:t xml:space="preserve">و أتباعهم إلى التّقدير بالكرّ </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مذهب الحسن </w:t>
      </w:r>
    </w:p>
    <w:p>
      <w:pPr>
        <w:pStyle w:val="BookText"/>
        <w:rPr/>
      </w:pPr>
      <w:r>
        <w:rPr>
          <w:rFonts w:ascii="Amiri" w:hAnsi="Amiri" w:eastAsia="Amiri" w:cs="Amiri"/>
          <w:color w:val="111111"/>
          <w:sz w:val="28"/>
          <w:sz w:val="28"/>
          <w:szCs w:val="28"/>
          <w:rtl w:val="true"/>
          <w:lang w:bidi="ar-SA"/>
        </w:rPr>
        <w:t xml:space="preserve">بن صالح بن حيّ </w:t>
      </w:r>
      <w:r>
        <w:rPr>
          <w:rStyle w:val="FootnoteAnchor"/>
          <w:rtl w:val="true"/>
        </w:rPr>
        <w:footnoteReference w:id="132"/>
      </w:r>
      <w:r>
        <w:rPr>
          <w:rFonts w:ascii="Amiri" w:hAnsi="Amiri" w:eastAsia="Amiri" w:cs="Amiri"/>
          <w:color w:val="111111"/>
          <w:sz w:val="28"/>
          <w:sz w:val="28"/>
          <w:szCs w:val="28"/>
          <w:rtl w:val="true"/>
          <w:lang w:bidi="ar-SA"/>
        </w:rPr>
        <w:t xml:space="preserve">،حكاه الطّحاويّ </w:t>
      </w:r>
      <w:r>
        <w:rPr>
          <w:rStyle w:val="FootnoteAnchor"/>
          <w:rtl w:val="true"/>
        </w:rPr>
        <w:footnoteReference w:id="133"/>
      </w:r>
      <w:r>
        <w:rPr>
          <w:rFonts w:ascii="IRNazanin" w:hAnsi="IRNazanin" w:eastAsia="IRNazanin"/>
          <w:color w:val="111111"/>
          <w:sz w:val="28"/>
          <w:sz w:val="28"/>
          <w:szCs w:val="28"/>
          <w:rtl w:val="true"/>
          <w:lang w:bidi="fa-IR"/>
        </w:rPr>
        <w:t xml:space="preserve">، </w:t>
      </w:r>
      <w:r>
        <w:rPr>
          <w:rStyle w:val="FootnoteAnchor"/>
          <w:rtl w:val="true"/>
        </w:rPr>
        <w:footnoteReference w:id="134"/>
      </w:r>
      <w:r>
        <w:rPr>
          <w:rFonts w:ascii="Amiri" w:hAnsi="Amiri" w:eastAsia="Amiri" w:cs="Amiri"/>
          <w:color w:val="111111"/>
          <w:sz w:val="28"/>
          <w:sz w:val="28"/>
          <w:szCs w:val="28"/>
          <w:rtl w:val="true"/>
          <w:lang w:bidi="ar-SA"/>
        </w:rPr>
        <w:t xml:space="preserve">،و روي التّقدير بالقلّتين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ذهب الشّافعيّ و أحمد إلى التّقدير بالقلّتين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الماء يصل بعضه إلى بعض نجس بحصول النّجاسة فيه،و إلاّ فلا </w:t>
      </w:r>
      <w:r>
        <w:rPr>
          <w:rStyle w:val="FootnoteAnchor"/>
          <w:rtl w:val="true"/>
        </w:rPr>
        <w:footnoteReference w:id="1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فسّره أبو يوسف </w:t>
      </w:r>
      <w:r>
        <w:rPr>
          <w:rStyle w:val="FootnoteAnchor"/>
          <w:rtl w:val="true"/>
        </w:rPr>
        <w:footnoteReference w:id="138"/>
      </w:r>
      <w:r>
        <w:rPr>
          <w:rFonts w:ascii="IRNazanin" w:hAnsi="IRNazanin" w:eastAsia="IRNazanin"/>
          <w:color w:val="111111"/>
          <w:sz w:val="28"/>
          <w:sz w:val="28"/>
          <w:szCs w:val="28"/>
          <w:rtl w:val="true"/>
          <w:lang w:bidi="fa-IR"/>
        </w:rPr>
        <w:t xml:space="preserve">، </w:t>
      </w:r>
      <w:r>
        <w:rPr>
          <w:rStyle w:val="FootnoteAnchor"/>
          <w:rtl w:val="true"/>
        </w:rPr>
        <w:footnoteReference w:id="139"/>
      </w:r>
      <w:r>
        <w:rPr>
          <w:rFonts w:ascii="Amiri" w:hAnsi="Amiri" w:eastAsia="Amiri" w:cs="Amiri"/>
          <w:color w:val="111111"/>
          <w:sz w:val="28"/>
          <w:sz w:val="28"/>
          <w:szCs w:val="28"/>
          <w:rtl w:val="true"/>
          <w:lang w:bidi="ar-SA"/>
        </w:rPr>
        <w:t xml:space="preserve">،و الطّحاويّ بحركة أحد الجانبين عند حركة الآخر </w:t>
      </w:r>
    </w:p>
    <w:p>
      <w:pPr>
        <w:pStyle w:val="BookText"/>
        <w:rPr/>
      </w:pPr>
      <w:r>
        <w:rPr>
          <w:rFonts w:ascii="Amiri" w:hAnsi="Amiri" w:eastAsia="Amiri" w:cs="Amiri"/>
          <w:color w:val="111111"/>
          <w:sz w:val="28"/>
          <w:sz w:val="28"/>
          <w:szCs w:val="28"/>
          <w:rtl w:val="true"/>
          <w:lang w:bidi="ar-SA"/>
        </w:rPr>
        <w:t>و عدمها،فالموضع الّذي لم يبلغ التّحرّك إليه لم ينجس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كلّ من طوله و عرضه عشرة أذرع في عمق شبر لم ينجس،و إن كان أقلّ نجس بالملاقاة للنّجاسة،و إن بلغ ألف قلّة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المتأخّرون من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الاعتبار بحصول النّجاسة علما أو ظنّا،و الحركة اعتبرت للظّنّ،فإن غلب ظنّ الخلاف،حكم بالطّهارة </w:t>
      </w:r>
      <w:r>
        <w:rPr>
          <w:rStyle w:val="FootnoteAnchor"/>
          <w:rtl w:val="true"/>
        </w:rPr>
        <w:footnoteReference w:id="141"/>
      </w:r>
      <w:r>
        <w:rPr>
          <w:rFonts w:ascii="IRNazanin" w:hAnsi="IRNazanin" w:eastAsia="IRNazanin"/>
          <w:color w:val="111111"/>
          <w:sz w:val="28"/>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يحمل خبثا</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 في الصّحيح،عن معاوية بن عمّار </w:t>
      </w:r>
      <w:r>
        <w:rPr>
          <w:rStyle w:val="FootnoteAnchor"/>
          <w:rtl w:val="true"/>
        </w:rPr>
        <w:footnoteReference w:id="145"/>
      </w:r>
      <w:r>
        <w:rPr>
          <w:rFonts w:ascii="Amiri" w:hAnsi="Amiri" w:eastAsia="Amiri" w:cs="Amiri"/>
          <w:color w:val="111111"/>
          <w:sz w:val="28"/>
          <w:sz w:val="28"/>
          <w:szCs w:val="28"/>
          <w:rtl w:val="true"/>
          <w:lang w:bidi="ar-SA"/>
        </w:rPr>
        <w:t>،عن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و لأنّ الأصل الطّهارة،خرج ما دون الكرّ بما نذكره،فيبقى الباقي على الأصل إلى أن يظهر مناف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الإجماع واقع على التّقدير،و القول بالقلّتين باطل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فللمنع من الحديث الّذي استدلّ به الشّافعيّ </w:t>
      </w:r>
      <w:r>
        <w:rPr>
          <w:rStyle w:val="FootnoteAnchor"/>
          <w:rtl w:val="true"/>
        </w:rPr>
        <w:footnoteReference w:id="147"/>
      </w:r>
      <w:r>
        <w:rPr>
          <w:rFonts w:ascii="Amiri" w:hAnsi="Amiri" w:eastAsia="Amiri" w:cs="Amiri"/>
          <w:color w:val="111111"/>
          <w:sz w:val="28"/>
          <w:sz w:val="28"/>
          <w:szCs w:val="28"/>
          <w:rtl w:val="true"/>
          <w:lang w:bidi="ar-SA"/>
        </w:rPr>
        <w:t>،و هو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الماء قلّتين لم يحمل خبثا</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فإنّ الحنفيّة قد طعنوا فيه،حتّى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مدنيّ </w:t>
      </w:r>
      <w:r>
        <w:rPr>
          <w:rStyle w:val="FootnoteAnchor"/>
          <w:rtl w:val="true"/>
        </w:rPr>
        <w:footnoteReference w:id="149"/>
      </w:r>
      <w:r>
        <w:rPr>
          <w:rFonts w:ascii="Amiri" w:hAnsi="Amiri" w:eastAsia="Amiri" w:cs="Amiri"/>
          <w:color w:val="111111"/>
          <w:sz w:val="28"/>
          <w:sz w:val="28"/>
          <w:szCs w:val="28"/>
          <w:rtl w:val="true"/>
          <w:lang w:bidi="ar-SA"/>
        </w:rPr>
        <w:t xml:space="preserve">،فلو كان صحيحا لعرفه مالك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فلأنّ القلّة مجهولة،و قد </w:t>
      </w:r>
      <w:r>
        <w:rPr>
          <w:rStyle w:val="FootnoteAnchor"/>
          <w:rtl w:val="true"/>
        </w:rPr>
        <w:footnoteReference w:id="151"/>
      </w:r>
      <w:r>
        <w:rPr>
          <w:rFonts w:ascii="Amiri" w:hAnsi="Amiri" w:eastAsia="Amiri" w:cs="Amiri"/>
          <w:color w:val="111111"/>
          <w:sz w:val="28"/>
          <w:sz w:val="28"/>
          <w:szCs w:val="28"/>
          <w:rtl w:val="true"/>
          <w:lang w:bidi="ar-SA"/>
        </w:rPr>
        <w:t xml:space="preserve">فسّرها أهل اللّغة بالجرّة </w:t>
      </w:r>
      <w:r>
        <w:rPr>
          <w:rStyle w:val="FootnoteAnchor"/>
          <w:rtl w:val="true"/>
        </w:rPr>
        <w:footnoteReference w:id="152"/>
      </w:r>
      <w:r>
        <w:rPr>
          <w:rFonts w:ascii="Amiri" w:hAnsi="Amiri" w:eastAsia="Amiri" w:cs="Amiri"/>
          <w:color w:val="111111"/>
          <w:sz w:val="28"/>
          <w:sz w:val="28"/>
          <w:szCs w:val="28"/>
          <w:rtl w:val="true"/>
          <w:lang w:bidi="ar-SA"/>
        </w:rPr>
        <w:t>،و هي أيضا مجهولة،فالحوالة فيما يعمّ به البلوى،و ما تمسّ الحاجة إليه على مثل هذا الخفيّ مناف للحكمة،و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ابن دريد </w:t>
      </w:r>
      <w:r>
        <w:rPr>
          <w:rStyle w:val="FootnoteAnchor"/>
          <w:rtl w:val="true"/>
        </w:rPr>
        <w:footnoteReference w:id="1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القلّة من قلال هجر عظيمة تسع خمس قرب </w:t>
      </w:r>
      <w:r>
        <w:rPr>
          <w:rStyle w:val="FootnoteAnchor"/>
          <w:rtl w:val="true"/>
        </w:rPr>
        <w:footnoteReference w:id="154"/>
      </w:r>
      <w:r>
        <w:rPr>
          <w:rFonts w:ascii="Amiri" w:hAnsi="Amiri" w:eastAsia="Amiri" w:cs="Amiri"/>
          <w:color w:val="111111"/>
          <w:sz w:val="28"/>
          <w:sz w:val="28"/>
          <w:szCs w:val="28"/>
          <w:rtl w:val="true"/>
          <w:lang w:bidi="ar-SA"/>
        </w:rPr>
        <w:t>، فلا يكون منافيا لما ذهبنا إليه من الكرّ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القول بمذهب أبي حنيفة باطل،لأنّه تقدير غير شرعيّ،و لأنّه مجهول،فإنّ الحركة قابلة للشّدّة و الضّعف،و التّعليق للطّهارة و النّجاسة بذلك إحالة على ما لا يعلم،و التّقدير بعشرة أذرع مجرّد استحسان من غير دليل،مع انّ الحديث الصّحيح عندهم يبطل ذلك كلّه،و هو انّ النّبيّ صلّى اللّه عليه و آله أتاه أهل الماء،فقالوا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حياضنا ترده السّباع،و الكلاب،و البهائم؟قال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ما أخذت بأفواهها و لنا ما غبر</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الحوض غالبا يتحرّك طرفاه بحركة بعضه و لا يبلغ هذا التّقدير،و لأنّ التّقدير بالحركة يؤدّي إلى الحكم بالطّهارة و النّجاسة في ماء واحد على تقدير اختلاف أوضاعه،و 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أبو حنيفة </w:t>
      </w:r>
      <w:r>
        <w:rPr>
          <w:rStyle w:val="FootnoteAnchor"/>
          <w:rtl w:val="true"/>
        </w:rPr>
        <w:footnoteReference w:id="156"/>
      </w:r>
      <w:r>
        <w:rPr>
          <w:rFonts w:ascii="Amiri" w:hAnsi="Amiri" w:eastAsia="Amiri" w:cs="Amiri"/>
          <w:color w:val="111111"/>
          <w:sz w:val="28"/>
          <w:sz w:val="28"/>
          <w:szCs w:val="28"/>
          <w:rtl w:val="true"/>
          <w:lang w:bidi="ar-SA"/>
        </w:rPr>
        <w:t>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يبولنّ أحدكم في الماء الدّائم و لا يغتسلنّ فيه من جنابة</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أراد بالدّائم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الواقف،فلو لم يكن البول مؤثّرا في تنجيسه،لم يكن للنّهي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نحمله على القليل جمعا بين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المنع من حصر الفوائد فيما ذكرتم،فإنّه قد نهي عن البول في الجاري </w:t>
      </w:r>
      <w:r>
        <w:rPr>
          <w:rStyle w:val="FootnoteAnchor"/>
          <w:rtl w:val="true"/>
        </w:rPr>
        <w:footnoteReference w:id="158"/>
      </w:r>
      <w:r>
        <w:rPr>
          <w:rFonts w:ascii="Amiri" w:hAnsi="Amiri" w:eastAsia="Amiri" w:cs="Amiri"/>
          <w:color w:val="111111"/>
          <w:sz w:val="28"/>
          <w:sz w:val="28"/>
          <w:szCs w:val="28"/>
          <w:rtl w:val="true"/>
          <w:lang w:bidi="ar-SA"/>
        </w:rPr>
        <w:t>، و النّهي فيهما نهي تنزيه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ينتقض ما ذكرتموه بما رواه الشّيخ،عن عبد اللّه بن المغيرة </w:t>
      </w:r>
      <w:r>
        <w:rPr>
          <w:rStyle w:val="FootnoteAnchor"/>
          <w:rtl w:val="true"/>
        </w:rPr>
        <w:footnoteReference w:id="159"/>
      </w:r>
      <w:r>
        <w:rPr>
          <w:rFonts w:ascii="Amiri" w:hAnsi="Amiri" w:eastAsia="Amiri" w:cs="Amiri"/>
          <w:color w:val="111111"/>
          <w:sz w:val="28"/>
          <w:sz w:val="28"/>
          <w:szCs w:val="28"/>
          <w:rtl w:val="true"/>
          <w:lang w:bidi="ar-SA"/>
        </w:rPr>
        <w:t>،عن بعض أصحابه،عن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الماء قدر قلّتين لم ينجّسه شيء و القلّتان جرّتان</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بما رواه في الصّحيح،عن صفوان </w:t>
      </w:r>
      <w:r>
        <w:rPr>
          <w:rStyle w:val="FootnoteAnchor"/>
          <w:rtl w:val="true"/>
        </w:rPr>
        <w:footnoteReference w:id="1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الحياض الّتي بين مكّة إلى المدينة تردها السّباع،و يلغ فيها الكلب،و تشرب منها الحمير، </w:t>
      </w:r>
      <w:bookmarkStart w:id="289" w:name="pg12672_159787"/>
    </w:p>
    <w:p>
      <w:pPr>
        <w:pStyle w:val="BookText"/>
        <w:rPr/>
      </w:pPr>
      <w:bookmarkEnd w:id="289"/>
      <w:r>
        <w:rPr>
          <w:rFonts w:ascii="Amiri" w:hAnsi="Amiri" w:eastAsia="Amiri" w:cs="Amiri"/>
          <w:color w:val="111111"/>
          <w:sz w:val="28"/>
          <w:sz w:val="28"/>
          <w:szCs w:val="28"/>
          <w:rtl w:val="true"/>
          <w:lang w:bidi="ar-SA"/>
        </w:rPr>
        <w:t xml:space="preserve">و يغتسل منها الجنب و يتوضّأ منه </w:t>
      </w:r>
      <w:r>
        <w:rPr>
          <w:rStyle w:val="FootnoteAnchor"/>
          <w:rtl w:val="true"/>
        </w:rPr>
        <w:footnoteReference w:id="16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قدر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نصف السّاق و إلى الرّكبة،فقال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توضّأ منه</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لأنّا نجيب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مرسل،و لأنّه مناف لعمل الأصحاب،و لأنّه ورد للتّقيّة، و لأنّه يحتمل أن يكون القلّة تسع ستّمائة رطل،و قد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مناف لإجماع المسلمين،لأنّ القائل بالتّقدير لم يقدّره بذلك، 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فيحتمل انّ الإمام فهم من ذلك بلوغ الماء قدر كرّ جمعا بين الأدلّة </w:t>
      </w:r>
      <w:r>
        <w:rPr>
          <w:rFonts w:eastAsia="Amiri" w:cs="Amiri" w:ascii="Amiri" w:hAnsi="Amiri"/>
          <w:color w:val="111111"/>
          <w:sz w:val="28"/>
          <w:szCs w:val="28"/>
          <w:rtl w:val="true"/>
          <w:lang w:bidi="ar-SA"/>
        </w:rPr>
        <w:t>.</w:t>
      </w:r>
    </w:p>
    <w:p>
      <w:pPr>
        <w:pStyle w:val="Heading6"/>
        <w:numPr>
          <w:ilvl w:val="5"/>
          <w:numId w:val="1"/>
        </w:numPr>
        <w:rPr/>
      </w:pPr>
      <w:bookmarkStart w:id="290" w:name="__RefHeading___Toc746837_222507752"/>
      <w:bookmarkStart w:id="291" w:name="_Toc109"/>
      <w:bookmarkEnd w:id="290"/>
      <w:r>
        <w:rPr>
          <w:rtl w:val="true"/>
        </w:rPr>
        <w:t>مسألة</w:t>
      </w:r>
      <w:r>
        <w:rPr>
          <w:rtl w:val="true"/>
        </w:rPr>
        <w:t>:</w:t>
      </w:r>
      <w:r>
        <w:rPr>
          <w:rtl w:val="true"/>
        </w:rPr>
        <w:t>اختلفت الرّواية في كمّيّة الكرّ</w:t>
      </w:r>
      <w:bookmarkEnd w:id="291"/>
    </w:p>
    <w:p>
      <w:pPr>
        <w:pStyle w:val="BookText"/>
        <w:rPr/>
      </w:pPr>
      <w:r>
        <w:rPr>
          <w:rFonts w:ascii="Amiri" w:hAnsi="Amiri" w:eastAsia="Amiri" w:cs="Amiri"/>
          <w:color w:val="111111"/>
          <w:sz w:val="28"/>
          <w:sz w:val="28"/>
          <w:szCs w:val="28"/>
          <w:rtl w:val="true"/>
          <w:lang w:bidi="ar-SA"/>
        </w:rPr>
        <w:t xml:space="preserve">،فالمشهور بين الأصحاب ما رواه ابن أبي عمير </w:t>
      </w:r>
      <w:r>
        <w:rPr>
          <w:rStyle w:val="FootnoteAnchor"/>
          <w:rtl w:val="true"/>
        </w:rPr>
        <w:footnoteReference w:id="164"/>
      </w:r>
      <w:r>
        <w:rPr>
          <w:rFonts w:ascii="Amiri" w:hAnsi="Amiri" w:eastAsia="Amiri" w:cs="Amiri"/>
          <w:color w:val="111111"/>
          <w:sz w:val="28"/>
          <w:sz w:val="28"/>
          <w:szCs w:val="28"/>
          <w:rtl w:val="true"/>
          <w:lang w:bidi="ar-SA"/>
        </w:rPr>
        <w:t>،عن بعض أصحابنا،عن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 من الماء الّذي لا ينجّسه شيء ألف و مائتا رطل</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 xml:space="preserve">و هي حسنة عمل عليها الأصحاب،لكن اختلف الأصحاب في تعيين الرّطل،فقال الشّيخ </w:t>
      </w:r>
      <w:r>
        <w:rPr>
          <w:rStyle w:val="FootnoteAnchor"/>
          <w:rtl w:val="true"/>
        </w:rPr>
        <w:footnoteReference w:id="166"/>
      </w:r>
      <w:r>
        <w:rPr>
          <w:rFonts w:ascii="Amiri" w:hAnsi="Amiri" w:eastAsia="Amiri" w:cs="Amiri"/>
          <w:color w:val="111111"/>
          <w:sz w:val="28"/>
          <w:sz w:val="28"/>
          <w:szCs w:val="28"/>
          <w:rtl w:val="true"/>
          <w:lang w:bidi="ar-SA"/>
        </w:rPr>
        <w:t>و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عراقيّ،و قدره مائة و ثلاثون درهما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المرتضى </w:t>
      </w:r>
      <w:r>
        <w:rPr>
          <w:rStyle w:val="FootnoteAnchor"/>
          <w:rtl w:val="true"/>
        </w:rPr>
        <w:footnoteReference w:id="168"/>
      </w:r>
      <w:r>
        <w:rPr>
          <w:rFonts w:ascii="Amiri" w:hAnsi="Amiri" w:eastAsia="Amiri" w:cs="Amiri"/>
          <w:color w:val="111111"/>
          <w:sz w:val="28"/>
          <w:sz w:val="28"/>
          <w:szCs w:val="28"/>
          <w:rtl w:val="true"/>
          <w:lang w:bidi="ar-SA"/>
        </w:rPr>
        <w:t>و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مدنيّ،و قدره مائة و خمسة و تسعون درهما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روى الشّيخ في الصّحيح،عن إسماعيل بن جابر </w:t>
      </w:r>
      <w:r>
        <w:rPr>
          <w:rStyle w:val="FootnoteAnchor"/>
          <w:rtl w:val="true"/>
        </w:rPr>
        <w:footnoteReference w:id="1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الّذي لا ينجّسه شيء؟قال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ذراعان عمقه في ذراع و شبر سعته</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 xml:space="preserve">و تأوّلها الشّيخ على احتمال بلوغ الأرطال </w:t>
      </w:r>
      <w:r>
        <w:rPr>
          <w:rStyle w:val="FootnoteAnchor"/>
          <w:rtl w:val="true"/>
        </w:rPr>
        <w:footnoteReference w:id="1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حسن،لأنّه لم يعتبر أحد من أصحابنا هذا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في الصّحيح،عن إسماعيل بن جابر،قال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الماء الّذي لا ينجّسه شيء؟قال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الكرّ؟قال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أشبار في ثلاثة أشبار</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 xml:space="preserve">و هي مدفوعة بمخالفة الأصحاب لها إلاّ ابن بابويه ذكر انّ الكرّ ثلاثة أشبار طولا في عرض في عمق </w:t>
      </w:r>
      <w:r>
        <w:rPr>
          <w:rStyle w:val="FootnoteAnchor"/>
          <w:rtl w:val="true"/>
        </w:rPr>
        <w:footnoteReference w:id="174"/>
      </w:r>
      <w:r>
        <w:rPr>
          <w:rFonts w:ascii="Amiri" w:hAnsi="Amiri" w:eastAsia="Amiri" w:cs="Amiri"/>
          <w:color w:val="111111"/>
          <w:sz w:val="28"/>
          <w:sz w:val="28"/>
          <w:szCs w:val="28"/>
          <w:rtl w:val="true"/>
          <w:lang w:bidi="ar-SA"/>
        </w:rPr>
        <w:t>،و لعلّه تعويل على هذه الرّواية،و هي قاصرة عن إفادة مطلوبه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الشّيخ،عن أبي بصير </w:t>
      </w:r>
      <w:r>
        <w:rPr>
          <w:rStyle w:val="FootnoteAnchor"/>
          <w:rtl w:val="true"/>
        </w:rPr>
        <w:footnoteReference w:id="1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الكرّ من </w:t>
      </w:r>
    </w:p>
    <w:p>
      <w:pPr>
        <w:pStyle w:val="BookText"/>
        <w:rPr/>
      </w:pPr>
      <w:r>
        <w:rPr>
          <w:rFonts w:ascii="Amiri" w:hAnsi="Amiri" w:eastAsia="Amiri" w:cs="Amiri"/>
          <w:color w:val="111111"/>
          <w:sz w:val="28"/>
          <w:sz w:val="28"/>
          <w:szCs w:val="28"/>
          <w:rtl w:val="true"/>
          <w:lang w:bidi="ar-SA"/>
        </w:rPr>
        <w:t>الماء كم يكون قدره؟قال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الماء ثلاثة أشبار و نصفا في مثله في ثلاثة أشبار و نصف في عمقه في الأرض فذلك الكرّ من الماء</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 xml:space="preserve">و هذه الرّواية عمل عليها أكثر الأصحاب </w:t>
      </w:r>
      <w:r>
        <w:rPr>
          <w:rStyle w:val="FootnoteAnchor"/>
          <w:rtl w:val="true"/>
        </w:rPr>
        <w:footnoteReference w:id="177"/>
      </w:r>
      <w:r>
        <w:rPr>
          <w:rFonts w:ascii="Amiri" w:hAnsi="Amiri" w:eastAsia="Amiri" w:cs="Amiri"/>
          <w:color w:val="111111"/>
          <w:sz w:val="28"/>
          <w:sz w:val="28"/>
          <w:szCs w:val="28"/>
          <w:rtl w:val="true"/>
          <w:lang w:bidi="ar-SA"/>
        </w:rPr>
        <w:t xml:space="preserve">إلاّ انّ في طريقها عثمان بن عيسى </w:t>
      </w:r>
      <w:r>
        <w:rPr>
          <w:rStyle w:val="FootnoteAnchor"/>
          <w:rtl w:val="true"/>
        </w:rPr>
        <w:footnoteReference w:id="178"/>
      </w:r>
      <w:r>
        <w:rPr>
          <w:rFonts w:ascii="Amiri" w:hAnsi="Amiri" w:eastAsia="Amiri" w:cs="Amiri"/>
          <w:color w:val="111111"/>
          <w:sz w:val="28"/>
          <w:sz w:val="28"/>
          <w:szCs w:val="28"/>
          <w:rtl w:val="true"/>
          <w:lang w:bidi="ar-SA"/>
        </w:rPr>
        <w:t>،و هو واقفيّ،لكنّ الشّهرة تعضدها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الشّيخ،عن محمّد بن مسلم،عن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 ستّمائة رطل</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 xml:space="preserve">و تأوّلها الشّيخ باحتمال كون الأرطال ضعف العراقيّ </w:t>
      </w:r>
      <w:r>
        <w:rPr>
          <w:rStyle w:val="FootnoteAnchor"/>
          <w:rtl w:val="true"/>
        </w:rPr>
        <w:footnoteReference w:id="180"/>
      </w:r>
      <w:r>
        <w:rPr>
          <w:rFonts w:ascii="Amiri" w:hAnsi="Amiri" w:eastAsia="Amiri" w:cs="Amiri"/>
          <w:color w:val="111111"/>
          <w:sz w:val="28"/>
          <w:sz w:val="28"/>
          <w:szCs w:val="28"/>
          <w:rtl w:val="true"/>
          <w:lang w:bidi="ar-SA"/>
        </w:rPr>
        <w:t>،و هو يقوّي ما فسّره الشّيخ في الرّطل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الشّيخ،عن عبد اللّه بن المغيرة،عن بعض أصحابنا،عن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 من الماء نحو حبّي هذا</w:t>
      </w:r>
      <w:r>
        <w:rPr>
          <w:rFonts w:eastAsia="Amiri" w:cs="Amiri" w:ascii="Amiri" w:hAnsi="Amiri"/>
          <w:color w:val="111111"/>
          <w:sz w:val="28"/>
          <w:szCs w:val="28"/>
          <w:rtl w:val="true"/>
          <w:lang w:bidi="ar-SA"/>
        </w:rPr>
        <w:t xml:space="preserve">) </w:t>
      </w:r>
      <w:r>
        <w:rPr>
          <w:rStyle w:val="FootnoteAnchor"/>
          <w:rtl w:val="true"/>
        </w:rPr>
        <w:footnoteReference w:id="181"/>
      </w:r>
      <w:r>
        <w:rPr>
          <w:rFonts w:ascii="Amiri" w:hAnsi="Amiri" w:eastAsia="Amiri" w:cs="Amiri"/>
          <w:color w:val="111111"/>
          <w:sz w:val="28"/>
          <w:sz w:val="28"/>
          <w:szCs w:val="28"/>
          <w:rtl w:val="true"/>
          <w:lang w:bidi="ar-SA"/>
        </w:rPr>
        <w:t>و أشار إلى حبّ من تلك الحباب الّتي تكون بالمدينة،فلا يمتنع أن يكون الحبّ يسع مقدار الكرّ</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الشّيخ في الصّحيح،عن زرارة </w:t>
      </w:r>
      <w:r>
        <w:rPr>
          <w:rStyle w:val="FootnoteAnchor"/>
          <w:rtl w:val="true"/>
        </w:rPr>
        <w:footnoteReference w:id="1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الماء أكثر من رواية لم </w:t>
      </w:r>
      <w:bookmarkStart w:id="292" w:name="pg12672_159790"/>
    </w:p>
    <w:p>
      <w:pPr>
        <w:pStyle w:val="BookText"/>
        <w:rPr/>
      </w:pPr>
      <w:bookmarkEnd w:id="292"/>
      <w:r>
        <w:rPr>
          <w:rFonts w:ascii="Amiri" w:hAnsi="Amiri" w:eastAsia="Amiri" w:cs="Amiri"/>
          <w:color w:val="111111"/>
          <w:sz w:val="28"/>
          <w:sz w:val="28"/>
          <w:szCs w:val="28"/>
          <w:rtl w:val="true"/>
          <w:lang w:bidi="ar-SA"/>
        </w:rPr>
        <w:t>ينجّسه شيء</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و ليس بمناف لما أصّلناه،لتعليق الحكم على الزّيادة،فيحمل على بلوغ المقدّر،جمعا بين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محمّد بن يعقوب،عن الحسن بن الصّالح الثّوريّ </w:t>
      </w:r>
      <w:r>
        <w:rPr>
          <w:rStyle w:val="FootnoteAnchor"/>
          <w:rtl w:val="true"/>
        </w:rPr>
        <w:footnoteReference w:id="184"/>
      </w:r>
      <w:r>
        <w:rPr>
          <w:rFonts w:ascii="Amiri" w:hAnsi="Amiri" w:eastAsia="Amiri" w:cs="Amiri"/>
          <w:color w:val="111111"/>
          <w:sz w:val="28"/>
          <w:sz w:val="28"/>
          <w:szCs w:val="28"/>
          <w:rtl w:val="true"/>
          <w:lang w:bidi="ar-SA"/>
        </w:rPr>
        <w:t>،عن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 ثلاثة أشبار و نصف عمقها في ثلاثة أشبار و نصف عرضها</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 xml:space="preserve">و ليس يحضرني الآن حال الحسن بن صالح و أمّا الحسن بن صالح بن حيّ، فإنّه قدّر الكرّ بثلاثة آلاف رطل </w:t>
      </w:r>
      <w:r>
        <w:rPr>
          <w:rStyle w:val="FootnoteAnchor"/>
          <w:rtl w:val="true"/>
        </w:rPr>
        <w:footnoteReference w:id="186"/>
      </w:r>
      <w:r>
        <w:rPr>
          <w:rFonts w:ascii="Amiri" w:hAnsi="Amiri" w:eastAsia="Amiri" w:cs="Amiri"/>
          <w:color w:val="111111"/>
          <w:sz w:val="28"/>
          <w:sz w:val="28"/>
          <w:szCs w:val="28"/>
          <w:rtl w:val="true"/>
          <w:lang w:bidi="ar-SA"/>
        </w:rPr>
        <w:t>،و هو مدفوع بما قدّمناه من الأحاديث،و بالإجماع، فإنّ أحدا لم يقدّره بذلك</w:t>
      </w:r>
      <w:r>
        <w:rPr>
          <w:rFonts w:eastAsia="Amiri" w:cs="Amiri" w:ascii="Amiri" w:hAnsi="Amiri"/>
          <w:color w:val="111111"/>
          <w:sz w:val="28"/>
          <w:szCs w:val="28"/>
          <w:rtl w:val="true"/>
          <w:lang w:bidi="ar-SA"/>
        </w:rPr>
        <w:t>.</w:t>
      </w:r>
    </w:p>
    <w:p>
      <w:pPr>
        <w:pStyle w:val="Heading6"/>
        <w:numPr>
          <w:ilvl w:val="5"/>
          <w:numId w:val="1"/>
        </w:numPr>
        <w:rPr/>
      </w:pPr>
      <w:bookmarkStart w:id="293" w:name="__RefHeading___Toc746839_222507752"/>
      <w:bookmarkStart w:id="294" w:name="_Toc110"/>
      <w:bookmarkEnd w:id="293"/>
      <w:r>
        <w:rPr>
          <w:rtl w:val="true"/>
        </w:rPr>
        <w:t>فروع</w:t>
      </w:r>
      <w:r>
        <w:rPr>
          <w:rtl w:val="true"/>
        </w:rPr>
        <w:t>:</w:t>
      </w:r>
      <w:bookmarkEnd w:id="294"/>
    </w:p>
    <w:p>
      <w:pPr>
        <w:pStyle w:val="Heading6"/>
        <w:numPr>
          <w:ilvl w:val="5"/>
          <w:numId w:val="1"/>
        </w:numPr>
        <w:rPr/>
      </w:pPr>
      <w:bookmarkStart w:id="295" w:name="__RefHeading___Toc746841_222507752"/>
      <w:bookmarkStart w:id="296" w:name="_Toc111"/>
      <w:bookmarkEnd w:id="295"/>
      <w:r>
        <w:rPr>
          <w:rtl w:val="true"/>
        </w:rPr>
        <w:t>الأوّل</w:t>
      </w:r>
      <w:r>
        <w:rPr>
          <w:rtl w:val="true"/>
        </w:rPr>
        <w:t>:</w:t>
      </w:r>
      <w:r>
        <w:rPr>
          <w:rtl w:val="true"/>
        </w:rPr>
        <w:t>الاعتبار في الأشبار إنّما هو بالغالب لا بالنّادر،</w:t>
      </w:r>
      <w:bookmarkEnd w:id="296"/>
    </w:p>
    <w:p>
      <w:pPr>
        <w:pStyle w:val="BookText"/>
        <w:rPr/>
      </w:pPr>
      <w:r>
        <w:rPr>
          <w:rFonts w:ascii="Amiri" w:hAnsi="Amiri" w:eastAsia="Amiri" w:cs="Amiri"/>
          <w:color w:val="111111"/>
          <w:sz w:val="28"/>
          <w:sz w:val="28"/>
          <w:szCs w:val="28"/>
          <w:rtl w:val="true"/>
          <w:lang w:bidi="ar-SA"/>
        </w:rPr>
        <w:t xml:space="preserve">لأنّ إحالة الشّرع في ذلك إنّما هو على المتعارف </w:t>
      </w:r>
      <w:r>
        <w:rPr>
          <w:rFonts w:eastAsia="Amiri" w:cs="Amiri" w:ascii="Amiri" w:hAnsi="Amiri"/>
          <w:color w:val="111111"/>
          <w:sz w:val="28"/>
          <w:szCs w:val="28"/>
          <w:rtl w:val="true"/>
          <w:lang w:bidi="ar-SA"/>
        </w:rPr>
        <w:t>.</w:t>
      </w:r>
    </w:p>
    <w:p>
      <w:pPr>
        <w:pStyle w:val="Heading6"/>
        <w:numPr>
          <w:ilvl w:val="5"/>
          <w:numId w:val="1"/>
        </w:numPr>
        <w:rPr/>
      </w:pPr>
      <w:bookmarkStart w:id="297" w:name="__RefHeading___Toc746843_222507752"/>
      <w:bookmarkStart w:id="298" w:name="_Toc112"/>
      <w:bookmarkEnd w:id="297"/>
      <w:r>
        <w:rPr>
          <w:rtl w:val="true"/>
        </w:rPr>
        <w:t>الثّاني</w:t>
      </w:r>
      <w:r>
        <w:rPr>
          <w:rtl w:val="true"/>
        </w:rPr>
        <w:t>:</w:t>
      </w:r>
      <w:r>
        <w:rPr>
          <w:rtl w:val="true"/>
        </w:rPr>
        <w:t>التّقدير الّذي ذكرناه تحقيق لا تقريب،</w:t>
      </w:r>
      <w:bookmarkEnd w:id="298"/>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تقدير شرعيّ تعلّق به حكم شرعيّ فيناط به،و مجموعه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تكسيرا</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اثنان و أربعون شبرا و سبعة أثمان شبر</w:t>
      </w:r>
      <w:r>
        <w:rPr>
          <w:rFonts w:eastAsia="Amiri" w:cs="Amiri" w:ascii="Amiri" w:hAnsi="Amiri"/>
          <w:color w:val="111111"/>
          <w:sz w:val="28"/>
          <w:szCs w:val="28"/>
          <w:rtl w:val="true"/>
          <w:lang w:bidi="ar-SA"/>
        </w:rPr>
        <w:t xml:space="preserve">. </w:t>
      </w:r>
      <w:bookmarkStart w:id="299" w:name="pg12672_159791"/>
    </w:p>
    <w:p>
      <w:pPr>
        <w:pStyle w:val="BookText"/>
        <w:rPr/>
      </w:pPr>
      <w:bookmarkEnd w:id="299"/>
      <w:r>
        <w:rPr>
          <w:rFonts w:ascii="Amiri" w:hAnsi="Amiri" w:eastAsia="Amiri" w:cs="Amiri"/>
          <w:color w:val="111111"/>
          <w:sz w:val="28"/>
          <w:sz w:val="28"/>
          <w:szCs w:val="28"/>
          <w:rtl w:val="true"/>
          <w:lang w:bidi="ar-SA"/>
        </w:rPr>
        <w:t xml:space="preserve">و قال القطب الرّاونديّ </w:t>
      </w:r>
      <w:r>
        <w:rPr>
          <w:rStyle w:val="FootnoteAnchor"/>
          <w:rtl w:val="true"/>
        </w:rPr>
        <w:footnoteReference w:id="1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مجموعه عشرة أشبار و نصف،لأنّ المراد ليس هو الضّرب، أمّا الشافعيّ فقد اختلف أصحابه في الرّواية عنه،فقال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تحقيق </w:t>
      </w:r>
      <w:r>
        <w:rPr>
          <w:rStyle w:val="FootnoteAnchor"/>
          <w:rtl w:val="true"/>
        </w:rPr>
        <w:footnoteReference w:id="1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تقريب </w:t>
      </w:r>
      <w:r>
        <w:rPr>
          <w:rStyle w:val="FootnoteAnchor"/>
          <w:rtl w:val="true"/>
        </w:rPr>
        <w:footnoteReference w:id="190"/>
      </w:r>
      <w:r>
        <w:rPr>
          <w:rFonts w:ascii="Amiri" w:hAnsi="Amiri" w:eastAsia="Amiri" w:cs="Amiri"/>
          <w:color w:val="111111"/>
          <w:sz w:val="28"/>
          <w:sz w:val="28"/>
          <w:szCs w:val="28"/>
          <w:rtl w:val="true"/>
          <w:lang w:bidi="ar-SA"/>
        </w:rPr>
        <w:t xml:space="preserve">،و عن الحنابلة وجهان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0" w:name="__RefHeading___Toc746845_222507752"/>
      <w:bookmarkStart w:id="301" w:name="_Toc113"/>
      <w:bookmarkEnd w:id="300"/>
      <w:r>
        <w:rPr>
          <w:rtl w:val="true"/>
        </w:rPr>
        <w:t>الثّالث</w:t>
      </w:r>
      <w:r>
        <w:rPr>
          <w:rtl w:val="true"/>
        </w:rPr>
        <w:t>:</w:t>
      </w:r>
      <w:r>
        <w:rPr>
          <w:rtl w:val="true"/>
        </w:rPr>
        <w:t>إذا وقعت النّجاسة المائعة في المقدّر الّذي لا يقبل التّنجيس و لم تغيّره،</w:t>
      </w:r>
      <w:bookmarkEnd w:id="301"/>
    </w:p>
    <w:p>
      <w:pPr>
        <w:pStyle w:val="BookText"/>
        <w:rPr/>
      </w:pP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استعمال جميعه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أكثر الشّافعيّة خلافا لبعضهم </w:t>
      </w:r>
      <w:r>
        <w:rPr>
          <w:rStyle w:val="FootnoteAnchor"/>
          <w:rtl w:val="true"/>
        </w:rPr>
        <w:footnoteReference w:id="193"/>
      </w:r>
      <w:r>
        <w:rPr>
          <w:rFonts w:ascii="Amiri" w:hAnsi="Amiri" w:eastAsia="Amiri" w:cs="Amiri"/>
          <w:color w:val="111111"/>
          <w:sz w:val="28"/>
          <w:sz w:val="28"/>
          <w:szCs w:val="28"/>
          <w:rtl w:val="true"/>
          <w:lang w:bidi="ar-SA"/>
        </w:rPr>
        <w:t>،لأنّ البلوغ موجب لعدم التّأثير،فيسقط حكم اعتبار النّجاسة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النّجاسة شائعة في أجزاء الماء،فتخصيص الباقي المساوي بالمنع ترجيح من غير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التّقدير سار في كلّ واقف سواء كان محويا </w:t>
      </w:r>
      <w:r>
        <w:rPr>
          <w:rStyle w:val="FootnoteAnchor"/>
          <w:rtl w:val="true"/>
        </w:rPr>
        <w:footnoteReference w:id="194"/>
      </w:r>
      <w:r>
        <w:rPr>
          <w:rFonts w:ascii="Amiri" w:hAnsi="Amiri" w:eastAsia="Amiri" w:cs="Amiri"/>
          <w:color w:val="111111"/>
          <w:sz w:val="28"/>
          <w:sz w:val="28"/>
          <w:szCs w:val="28"/>
          <w:rtl w:val="true"/>
          <w:lang w:bidi="ar-SA"/>
        </w:rPr>
        <w:t>في آنية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كانت النّجاسة متميّزة،جاز استعمال الماء المجاور لها،و لا يجب التّباعد حدّ الكثير </w:t>
      </w:r>
      <w:r>
        <w:rPr>
          <w:rStyle w:val="FootnoteAnchor"/>
          <w:rtl w:val="true"/>
        </w:rPr>
        <w:footnoteReference w:id="195"/>
      </w:r>
      <w:r>
        <w:rPr>
          <w:rFonts w:ascii="Amiri" w:hAnsi="Amiri" w:eastAsia="Amiri" w:cs="Amiri"/>
          <w:color w:val="111111"/>
          <w:sz w:val="28"/>
          <w:sz w:val="28"/>
          <w:szCs w:val="28"/>
          <w:rtl w:val="true"/>
          <w:lang w:bidi="ar-SA"/>
        </w:rPr>
        <w:t xml:space="preserve">،خلافا للشّافعيّ في الجديد </w:t>
      </w:r>
      <w:r>
        <w:rPr>
          <w:rStyle w:val="FootnoteAnchor"/>
          <w:rtl w:val="true"/>
        </w:rPr>
        <w:footnoteReference w:id="196"/>
      </w:r>
    </w:p>
    <w:p>
      <w:pPr>
        <w:pStyle w:val="Heading6"/>
        <w:numPr>
          <w:ilvl w:val="5"/>
          <w:numId w:val="1"/>
        </w:numPr>
        <w:rPr/>
      </w:pPr>
      <w:bookmarkStart w:id="302" w:name="__RefHeading___Toc746847_222507752"/>
      <w:bookmarkStart w:id="303" w:name="_Toc114"/>
      <w:bookmarkEnd w:id="302"/>
      <w:r>
        <w:rPr>
          <w:rtl w:val="true"/>
        </w:rPr>
        <w:t>الرّابع</w:t>
      </w:r>
      <w:r>
        <w:rPr>
          <w:rtl w:val="true"/>
        </w:rPr>
        <w:t>:</w:t>
      </w:r>
      <w:r>
        <w:rPr>
          <w:rtl w:val="true"/>
        </w:rPr>
        <w:t>بلوغ الكرّيّة حدّ</w:t>
      </w:r>
      <w:bookmarkEnd w:id="303"/>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لعدم قبول التّأثير عن الملاقي إلاّ مع التّغيّر،من حيث انّ التّغيّر قاهر للماء عن قوّته المؤثّرة في التّطهير،فهل التّغيّر علامة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الحكم يتبع الغلبة</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 xml:space="preserve">أم هو المعتبر؟الأولى الأوّل،فلو زال التّغيّر من قبل نفسه </w:t>
      </w:r>
      <w:bookmarkStart w:id="304" w:name="pg12672_159792"/>
    </w:p>
    <w:p>
      <w:pPr>
        <w:pStyle w:val="BookText"/>
        <w:rPr/>
      </w:pPr>
      <w:bookmarkEnd w:id="304"/>
      <w:r>
        <w:rPr>
          <w:rFonts w:ascii="Amiri" w:hAnsi="Amiri" w:eastAsia="Amiri" w:cs="Amiri"/>
          <w:color w:val="111111"/>
          <w:sz w:val="28"/>
          <w:sz w:val="28"/>
          <w:szCs w:val="28"/>
          <w:rtl w:val="true"/>
          <w:lang w:bidi="ar-SA"/>
        </w:rPr>
        <w:t xml:space="preserve">لم يزل حكم التّنجيس </w:t>
      </w:r>
      <w:r>
        <w:rPr>
          <w:rFonts w:eastAsia="Amiri" w:cs="Amiri" w:ascii="Amiri" w:hAnsi="Amiri"/>
          <w:color w:val="111111"/>
          <w:sz w:val="28"/>
          <w:szCs w:val="28"/>
          <w:rtl w:val="true"/>
          <w:lang w:bidi="ar-SA"/>
        </w:rPr>
        <w:t>.</w:t>
      </w:r>
    </w:p>
    <w:p>
      <w:pPr>
        <w:pStyle w:val="Heading6"/>
        <w:numPr>
          <w:ilvl w:val="5"/>
          <w:numId w:val="1"/>
        </w:numPr>
        <w:rPr/>
      </w:pPr>
      <w:bookmarkStart w:id="305" w:name="__RefHeading___Toc746849_222507752"/>
      <w:bookmarkStart w:id="306" w:name="_Toc115"/>
      <w:bookmarkEnd w:id="305"/>
      <w:r>
        <w:rPr>
          <w:rtl w:val="true"/>
        </w:rPr>
        <w:t>الخامس</w:t>
      </w:r>
      <w:r>
        <w:rPr>
          <w:rtl w:val="true"/>
        </w:rPr>
        <w:t>:</w:t>
      </w:r>
      <w:r>
        <w:rPr>
          <w:rtl w:val="true"/>
        </w:rPr>
        <w:t>لو وافقت النّجاسة الماء في صفاته،</w:t>
      </w:r>
      <w:bookmarkEnd w:id="306"/>
    </w:p>
    <w:p>
      <w:pPr>
        <w:pStyle w:val="BookText"/>
        <w:rPr/>
      </w:pPr>
      <w:r>
        <w:rPr>
          <w:rFonts w:ascii="Amiri" w:hAnsi="Amiri" w:eastAsia="Amiri" w:cs="Amiri"/>
          <w:color w:val="111111"/>
          <w:sz w:val="28"/>
          <w:sz w:val="28"/>
          <w:szCs w:val="28"/>
          <w:rtl w:val="true"/>
          <w:lang w:bidi="ar-SA"/>
        </w:rPr>
        <w:t xml:space="preserve">فالأقرب الحكم بنجاسة الماء إن كان </w:t>
      </w:r>
      <w:r>
        <w:rPr>
          <w:rStyle w:val="FootnoteAnchor"/>
          <w:rtl w:val="true"/>
        </w:rPr>
        <w:footnoteReference w:id="198"/>
      </w:r>
      <w:r>
        <w:rPr>
          <w:rFonts w:ascii="Amiri" w:hAnsi="Amiri" w:eastAsia="Amiri" w:cs="Amiri"/>
          <w:color w:val="111111"/>
          <w:sz w:val="28"/>
          <w:sz w:val="28"/>
          <w:szCs w:val="28"/>
          <w:rtl w:val="true"/>
          <w:lang w:bidi="ar-SA"/>
        </w:rPr>
        <w:t xml:space="preserve">يتغيّر بمثلها على تقدير المخالفة،و إلاّ فلا،و يحتمل عدم التّنجيس لانتفاء المقتضي و هو التّغيّر </w:t>
      </w:r>
      <w:r>
        <w:rPr>
          <w:rFonts w:eastAsia="Amiri" w:cs="Amiri" w:ascii="Amiri" w:hAnsi="Amiri"/>
          <w:color w:val="111111"/>
          <w:sz w:val="28"/>
          <w:szCs w:val="28"/>
          <w:rtl w:val="true"/>
          <w:lang w:bidi="ar-SA"/>
        </w:rPr>
        <w:t>.</w:t>
      </w:r>
    </w:p>
    <w:p>
      <w:pPr>
        <w:pStyle w:val="Heading6"/>
        <w:numPr>
          <w:ilvl w:val="5"/>
          <w:numId w:val="1"/>
        </w:numPr>
        <w:rPr/>
      </w:pPr>
      <w:bookmarkStart w:id="307" w:name="__RefHeading___Toc746851_222507752"/>
      <w:bookmarkStart w:id="308" w:name="_Toc116"/>
      <w:bookmarkEnd w:id="307"/>
      <w:r>
        <w:rPr>
          <w:rtl w:val="true"/>
        </w:rPr>
        <w:t>السّادس</w:t>
      </w:r>
      <w:r>
        <w:rPr>
          <w:rtl w:val="true"/>
        </w:rPr>
        <w:t>:</w:t>
      </w:r>
      <w:r>
        <w:rPr>
          <w:rtl w:val="true"/>
        </w:rPr>
        <w:t>لو تغيّر بعض الزّائد على الكرّ،</w:t>
      </w:r>
      <w:bookmarkEnd w:id="308"/>
    </w:p>
    <w:p>
      <w:pPr>
        <w:pStyle w:val="BookText"/>
        <w:rPr/>
      </w:pPr>
      <w:r>
        <w:rPr>
          <w:rFonts w:ascii="Amiri" w:hAnsi="Amiri" w:eastAsia="Amiri" w:cs="Amiri"/>
          <w:color w:val="111111"/>
          <w:sz w:val="28"/>
          <w:sz w:val="28"/>
          <w:szCs w:val="28"/>
          <w:rtl w:val="true"/>
          <w:lang w:bidi="ar-SA"/>
        </w:rPr>
        <w:t xml:space="preserve">فإن كان الباقي كرّا فصاعدا،اختصّ المتغيّر بالتّنجيس </w:t>
      </w:r>
      <w:r>
        <w:rPr>
          <w:rStyle w:val="FootnoteAnchor"/>
          <w:rtl w:val="true"/>
        </w:rPr>
        <w:footnoteReference w:id="199"/>
      </w:r>
      <w:r>
        <w:rPr>
          <w:rFonts w:ascii="Amiri" w:hAnsi="Amiri" w:eastAsia="Amiri" w:cs="Amiri"/>
          <w:color w:val="111111"/>
          <w:sz w:val="28"/>
          <w:sz w:val="28"/>
          <w:szCs w:val="28"/>
          <w:rtl w:val="true"/>
          <w:lang w:bidi="ar-SA"/>
        </w:rPr>
        <w:t>،و إلاّ نجس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الشّافعيّة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الجميع نجس و إن كثر و تباعدت أقطاره،لأنّ المتغيّر نجس، فينجس ما يلاقيه،ثمَّ ينجس ملاقي ملاقيه،و هكذا </w:t>
      </w:r>
      <w:r>
        <w:rPr>
          <w:rStyle w:val="FootnoteAnchor"/>
          <w:rtl w:val="true"/>
        </w:rPr>
        <w:footnoteReference w:id="2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غلط،لأنّ الباقي الكرّ لا ينجس بالملاقاة </w:t>
      </w:r>
      <w:r>
        <w:rPr>
          <w:rFonts w:eastAsia="Amiri" w:cs="Amiri" w:ascii="Amiri" w:hAnsi="Amiri"/>
          <w:color w:val="111111"/>
          <w:sz w:val="28"/>
          <w:szCs w:val="28"/>
          <w:rtl w:val="true"/>
          <w:lang w:bidi="ar-SA"/>
        </w:rPr>
        <w:t>.</w:t>
      </w:r>
    </w:p>
    <w:p>
      <w:pPr>
        <w:pStyle w:val="Heading6"/>
        <w:numPr>
          <w:ilvl w:val="5"/>
          <w:numId w:val="1"/>
        </w:numPr>
        <w:rPr/>
      </w:pPr>
      <w:bookmarkStart w:id="309" w:name="__RefHeading___Toc746853_222507752"/>
      <w:bookmarkStart w:id="310" w:name="_Toc117"/>
      <w:bookmarkEnd w:id="309"/>
      <w:r>
        <w:rPr>
          <w:rtl w:val="true"/>
        </w:rPr>
        <w:t>السّابع</w:t>
      </w:r>
      <w:r>
        <w:rPr>
          <w:rtl w:val="true"/>
        </w:rPr>
        <w:t>:</w:t>
      </w:r>
      <w:r>
        <w:rPr>
          <w:rtl w:val="true"/>
        </w:rPr>
        <w:t>لو اغترف من كرّ فيه نجاسة عينيّة متميّزة،</w:t>
      </w:r>
      <w:bookmarkEnd w:id="310"/>
    </w:p>
    <w:p>
      <w:pPr>
        <w:pStyle w:val="BookText"/>
        <w:rPr/>
      </w:pPr>
      <w:r>
        <w:rPr>
          <w:rFonts w:ascii="Amiri" w:hAnsi="Amiri" w:eastAsia="Amiri" w:cs="Amiri"/>
          <w:color w:val="111111"/>
          <w:sz w:val="28"/>
          <w:sz w:val="28"/>
          <w:szCs w:val="28"/>
          <w:rtl w:val="true"/>
          <w:lang w:bidi="ar-SA"/>
        </w:rPr>
        <w:t xml:space="preserve">كان المأخوذ طاهرا و الباقي نجسا،و لو كانت غير متميّزة،كان الباقي طاهرا،و على التّقدير الأوّل،لو دخلت النّجاسة في الآنية كان باطنها و ما فيه نجسين،و الماء و ظاهر الآنية طاهرين إن دخلت النّجاسة </w:t>
      </w:r>
      <w:r>
        <w:rPr>
          <w:rStyle w:val="FootnoteAnchor"/>
          <w:rtl w:val="true"/>
        </w:rPr>
        <w:footnoteReference w:id="201"/>
      </w:r>
      <w:r>
        <w:rPr>
          <w:rFonts w:ascii="Amiri" w:hAnsi="Amiri" w:eastAsia="Amiri" w:cs="Amiri"/>
          <w:color w:val="111111"/>
          <w:sz w:val="28"/>
          <w:sz w:val="28"/>
          <w:szCs w:val="28"/>
          <w:rtl w:val="true"/>
          <w:lang w:bidi="ar-SA"/>
        </w:rPr>
        <w:t xml:space="preserve">مع أوّل جزء من الماء،و إن دخلت آخرا فالجميع نجس،و لو لم تدخل النّجاسة في الآنية،فالماء الّذي فيها و باطنها طاهران،و ظاهرها و باقي الماء نجسان إن جعلت الآنية تحت الماء،و إلاّ فالجميع نجس،لأنّ الماء يدخل الآنية شيئا فشيئا و الّذي يدخل فيها آخرا نجس،فيصير ما في الإناء نجسا </w:t>
      </w:r>
      <w:r>
        <w:rPr>
          <w:rFonts w:eastAsia="Amiri" w:cs="Amiri" w:ascii="Amiri" w:hAnsi="Amiri"/>
          <w:color w:val="111111"/>
          <w:sz w:val="28"/>
          <w:szCs w:val="28"/>
          <w:rtl w:val="true"/>
          <w:lang w:bidi="ar-SA"/>
        </w:rPr>
        <w:t>.</w:t>
      </w:r>
    </w:p>
    <w:p>
      <w:pPr>
        <w:pStyle w:val="Heading6"/>
        <w:numPr>
          <w:ilvl w:val="5"/>
          <w:numId w:val="1"/>
        </w:numPr>
        <w:rPr/>
      </w:pPr>
      <w:bookmarkStart w:id="311" w:name="__RefHeading___Toc746855_222507752"/>
      <w:bookmarkStart w:id="312" w:name="_Toc118"/>
      <w:bookmarkEnd w:id="311"/>
      <w:r>
        <w:rPr>
          <w:rtl w:val="true"/>
        </w:rPr>
        <w:t>الثّامن</w:t>
      </w:r>
      <w:r>
        <w:rPr>
          <w:rtl w:val="true"/>
        </w:rPr>
        <w:t>:</w:t>
      </w:r>
      <w:r>
        <w:rPr>
          <w:rtl w:val="true"/>
        </w:rPr>
        <w:t xml:space="preserve">قال داود </w:t>
      </w:r>
      <w:r>
        <w:rPr>
          <w:rtl w:val="true"/>
        </w:rPr>
        <w:t>:</w:t>
      </w:r>
      <w:r>
        <w:rPr>
          <w:rtl w:val="true"/>
        </w:rPr>
        <w:t>إذا بال الرّجل في الماء الرّاكد و لم يتغيّر،</w:t>
      </w:r>
      <w:bookmarkEnd w:id="31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ينجس و لم يجز أن </w:t>
      </w:r>
      <w:bookmarkStart w:id="313" w:name="pg12672_159793"/>
    </w:p>
    <w:p>
      <w:pPr>
        <w:pStyle w:val="BookText"/>
        <w:rPr/>
      </w:pPr>
      <w:bookmarkEnd w:id="313"/>
      <w:r>
        <w:rPr>
          <w:rFonts w:ascii="Amiri" w:hAnsi="Amiri" w:eastAsia="Amiri" w:cs="Amiri"/>
          <w:color w:val="111111"/>
          <w:sz w:val="28"/>
          <w:sz w:val="28"/>
          <w:szCs w:val="28"/>
          <w:rtl w:val="true"/>
          <w:lang w:bidi="ar-SA"/>
        </w:rPr>
        <w:t xml:space="preserve">يتوضّأ منه،لأنّ النّبيّ صلّى اللّه عليه و آله نهى أن يبول الرّجل في الماء الدّائم ثمَّ يتوضّأ منه </w:t>
      </w:r>
      <w:r>
        <w:rPr>
          <w:rStyle w:val="FootnoteAnchor"/>
          <w:rtl w:val="true"/>
        </w:rPr>
        <w:footnoteReference w:id="2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يجوز لغيره،و إن تغوّط فيه و لم يتغيّر،لم ينجس و جاز له و لغيره الوضوء منه،و لو بال على الشّطّ و جرى في الماء،جاز أن يتوضّأ منه إذا لم يتغيّر،لأنّه لم يبل في الماء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عندنا أنّه يكره البول في الماء </w:t>
      </w:r>
      <w:r>
        <w:rPr>
          <w:rFonts w:eastAsia="Amiri" w:cs="Amiri" w:ascii="Amiri" w:hAnsi="Amiri"/>
          <w:color w:val="111111"/>
          <w:sz w:val="28"/>
          <w:szCs w:val="28"/>
          <w:rtl w:val="true"/>
          <w:lang w:bidi="ar-SA"/>
        </w:rPr>
        <w:t>.</w:t>
      </w:r>
    </w:p>
    <w:p>
      <w:pPr>
        <w:pStyle w:val="Heading6"/>
        <w:numPr>
          <w:ilvl w:val="5"/>
          <w:numId w:val="1"/>
        </w:numPr>
        <w:rPr/>
      </w:pPr>
      <w:bookmarkStart w:id="314" w:name="__RefHeading___Toc746857_222507752"/>
      <w:bookmarkStart w:id="315" w:name="_Toc119"/>
      <w:bookmarkEnd w:id="314"/>
      <w:r>
        <w:rPr>
          <w:rtl w:val="true"/>
        </w:rPr>
        <w:t>التّاسع</w:t>
      </w:r>
      <w:r>
        <w:rPr>
          <w:rtl w:val="true"/>
        </w:rPr>
        <w:t>:</w:t>
      </w:r>
      <w:r>
        <w:rPr>
          <w:rtl w:val="true"/>
        </w:rPr>
        <w:t>لا فرق في عدم تنجيس الكرّ بملاقاة النّجاسة مع عدم التغيّر بين جميع</w:t>
      </w:r>
      <w:bookmarkEnd w:id="315"/>
    </w:p>
    <w:p>
      <w:pPr>
        <w:pStyle w:val="BookText"/>
        <w:rPr/>
      </w:pPr>
      <w:r>
        <w:rPr>
          <w:rFonts w:ascii="Amiri" w:hAnsi="Amiri" w:eastAsia="Amiri" w:cs="Amiri"/>
          <w:color w:val="111111"/>
          <w:sz w:val="28"/>
          <w:sz w:val="28"/>
          <w:szCs w:val="28"/>
          <w:rtl w:val="true"/>
          <w:lang w:bidi="ar-SA"/>
        </w:rPr>
        <w:t>النّجاسات،</w:t>
      </w:r>
    </w:p>
    <w:p>
      <w:pPr>
        <w:pStyle w:val="BookText"/>
        <w:rPr/>
      </w:pP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الماء قدر كرّ،لم ينجّسه شيء</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الماء الكثير الواقف الّذي يمكن نزحه كالزّائد على القلّتين ينجس بوقوع بول الآدميّين أو عذرتهم الرّطبة خاصّة </w:t>
      </w:r>
      <w:r>
        <w:rPr>
          <w:rStyle w:val="FootnoteAnchor"/>
          <w:rtl w:val="true"/>
        </w:rPr>
        <w:footnoteReference w:id="207"/>
      </w:r>
      <w:r>
        <w:rPr>
          <w:rFonts w:ascii="Amiri" w:hAnsi="Amiri" w:eastAsia="Amiri" w:cs="Amiri"/>
          <w:color w:val="111111"/>
          <w:sz w:val="28"/>
          <w:sz w:val="28"/>
          <w:szCs w:val="28"/>
          <w:rtl w:val="true"/>
          <w:lang w:bidi="ar-SA"/>
        </w:rPr>
        <w:t>،لقوله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يبولنّ أحدكم في الماء الدّائم الّذي لا يجري ثمَّ يغتسل منه</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يتناول القليل و الكثير،و عامّة الفقهاء لم يفرّقوا بين البول و غيره،و النّهي لا يدلّ على النّجاسة،مع أنّه وافق على أنّ بول الكلب أزيد نجاسة من بول الآدميّ،و انّ القلّتين لا ينجس بوقوع بول الكلب،فأولى أن لا ينجس ببول الآدميّ</w:t>
      </w:r>
      <w:r>
        <w:rPr>
          <w:rFonts w:eastAsia="Amiri" w:cs="Amiri" w:ascii="Amiri" w:hAnsi="Amiri"/>
          <w:color w:val="111111"/>
          <w:sz w:val="28"/>
          <w:szCs w:val="28"/>
          <w:rtl w:val="true"/>
          <w:lang w:bidi="ar-SA"/>
        </w:rPr>
        <w:t>.</w:t>
      </w:r>
    </w:p>
    <w:p>
      <w:pPr>
        <w:pStyle w:val="Heading6"/>
        <w:numPr>
          <w:ilvl w:val="5"/>
          <w:numId w:val="1"/>
        </w:numPr>
        <w:rPr/>
      </w:pPr>
      <w:bookmarkStart w:id="316" w:name="__RefHeading___Toc746859_222507752"/>
      <w:bookmarkStart w:id="317" w:name="_Toc120"/>
      <w:bookmarkEnd w:id="316"/>
      <w:r>
        <w:rPr>
          <w:rtl w:val="true"/>
        </w:rPr>
        <w:t>مسألة</w:t>
      </w:r>
      <w:r>
        <w:rPr>
          <w:rtl w:val="true"/>
        </w:rPr>
        <w:t>:</w:t>
      </w:r>
      <w:r>
        <w:rPr>
          <w:rtl w:val="true"/>
        </w:rPr>
        <w:t>الماء القليل ينجس بملاقاة النّجاسة له</w:t>
      </w:r>
      <w:bookmarkEnd w:id="317"/>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،سواء غيّرت أحد أوصافه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w:t>
      </w:r>
    </w:p>
    <w:p>
      <w:pPr>
        <w:pStyle w:val="BookText"/>
        <w:rPr/>
      </w:pPr>
      <w:r>
        <w:rPr>
          <w:rFonts w:ascii="Amiri" w:hAnsi="Amiri" w:eastAsia="Amiri" w:cs="Amiri"/>
          <w:color w:val="111111"/>
          <w:sz w:val="28"/>
          <w:sz w:val="28"/>
          <w:szCs w:val="28"/>
          <w:rtl w:val="true"/>
          <w:lang w:bidi="ar-SA"/>
        </w:rPr>
        <w:t xml:space="preserve">إليه أكثر علمائنا </w:t>
      </w:r>
      <w:r>
        <w:rPr>
          <w:rStyle w:val="FootnoteAnchor"/>
          <w:rtl w:val="true"/>
        </w:rPr>
        <w:footnoteReference w:id="209"/>
      </w:r>
      <w:r>
        <w:rPr>
          <w:rFonts w:ascii="Amiri" w:hAnsi="Amiri" w:eastAsia="Amiri" w:cs="Amiri"/>
          <w:color w:val="111111"/>
          <w:sz w:val="28"/>
          <w:sz w:val="28"/>
          <w:szCs w:val="28"/>
          <w:rtl w:val="true"/>
          <w:lang w:bidi="ar-SA"/>
        </w:rPr>
        <w:t xml:space="preserve">،و به قال أبو حنيفة </w:t>
      </w:r>
      <w:r>
        <w:rPr>
          <w:rStyle w:val="FootnoteAnchor"/>
          <w:rtl w:val="true"/>
        </w:rPr>
        <w:footnoteReference w:id="210"/>
      </w:r>
      <w:r>
        <w:rPr>
          <w:rFonts w:ascii="Amiri" w:hAnsi="Amiri" w:eastAsia="Amiri" w:cs="Amiri"/>
          <w:color w:val="111111"/>
          <w:sz w:val="28"/>
          <w:sz w:val="28"/>
          <w:szCs w:val="28"/>
          <w:rtl w:val="true"/>
          <w:lang w:bidi="ar-SA"/>
        </w:rPr>
        <w:t xml:space="preserve">،و سعيد بن جبير </w:t>
      </w:r>
      <w:r>
        <w:rPr>
          <w:rStyle w:val="FootnoteAnchor"/>
          <w:rtl w:val="true"/>
        </w:rPr>
        <w:footnoteReference w:id="211"/>
      </w:r>
      <w:r>
        <w:rPr>
          <w:rFonts w:ascii="IRNazanin" w:hAnsi="IRNazanin" w:eastAsia="IRNazanin"/>
          <w:color w:val="111111"/>
          <w:sz w:val="28"/>
          <w:sz w:val="28"/>
          <w:szCs w:val="28"/>
          <w:rtl w:val="true"/>
          <w:lang w:bidi="fa-IR"/>
        </w:rPr>
        <w:t xml:space="preserve">،و ابن عمر </w:t>
      </w:r>
      <w:r>
        <w:rPr>
          <w:rStyle w:val="FootnoteAnchor"/>
          <w:rtl w:val="true"/>
        </w:rPr>
        <w:footnoteReference w:id="212"/>
      </w:r>
      <w:r>
        <w:rPr>
          <w:rFonts w:ascii="IRNazanin" w:hAnsi="IRNazanin" w:eastAsia="IRNazanin"/>
          <w:color w:val="111111"/>
          <w:sz w:val="28"/>
          <w:sz w:val="28"/>
          <w:szCs w:val="28"/>
          <w:rtl w:val="true"/>
          <w:lang w:bidi="fa-IR"/>
        </w:rPr>
        <w:t xml:space="preserve">، و مجاهد،و إسحاق </w:t>
      </w:r>
      <w:r>
        <w:rPr>
          <w:rStyle w:val="FootnoteAnchor"/>
          <w:rtl w:val="true"/>
        </w:rPr>
        <w:footnoteReference w:id="213"/>
      </w:r>
      <w:r>
        <w:rPr>
          <w:rFonts w:ascii="Amiri" w:hAnsi="Amiri" w:eastAsia="Amiri" w:cs="Amiri"/>
          <w:color w:val="111111"/>
          <w:sz w:val="28"/>
          <w:sz w:val="28"/>
          <w:szCs w:val="28"/>
          <w:rtl w:val="true"/>
          <w:lang w:bidi="ar-SA"/>
        </w:rPr>
        <w:t xml:space="preserve">،و أبو عبيد </w:t>
      </w:r>
      <w:r>
        <w:rPr>
          <w:rStyle w:val="FootnoteAnchor"/>
          <w:rtl w:val="true"/>
        </w:rPr>
        <w:footnoteReference w:id="214"/>
      </w:r>
      <w:r>
        <w:rPr>
          <w:rFonts w:ascii="IRNazanin" w:hAnsi="IRNazanin" w:eastAsia="IRNazanin"/>
          <w:color w:val="111111"/>
          <w:sz w:val="28"/>
          <w:sz w:val="28"/>
          <w:szCs w:val="28"/>
          <w:rtl w:val="true"/>
          <w:lang w:bidi="fa-IR"/>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ابن أبي عقيل </w:t>
      </w:r>
      <w:r>
        <w:rPr>
          <w:rStyle w:val="FootnoteAnchor"/>
          <w:rtl w:val="true"/>
        </w:rPr>
        <w:footnoteReference w:id="216"/>
      </w:r>
      <w:r>
        <w:rPr>
          <w:rFonts w:ascii="Amiri" w:hAnsi="Amiri" w:eastAsia="Amiri" w:cs="Amiri"/>
          <w:color w:val="111111"/>
          <w:sz w:val="28"/>
          <w:sz w:val="28"/>
          <w:szCs w:val="28"/>
          <w:rtl w:val="true"/>
          <w:lang w:bidi="ar-SA"/>
        </w:rPr>
        <w:t>من علمائنا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ينجس إلاّ بالتّغيّر كالكثير </w:t>
      </w:r>
      <w:r>
        <w:rPr>
          <w:rStyle w:val="FootnoteAnchor"/>
          <w:rtl w:val="true"/>
        </w:rPr>
        <w:footnoteReference w:id="217"/>
      </w:r>
      <w:r>
        <w:rPr>
          <w:rFonts w:ascii="Amiri" w:hAnsi="Amiri" w:eastAsia="Amiri" w:cs="Amiri"/>
          <w:color w:val="111111"/>
          <w:sz w:val="28"/>
          <w:sz w:val="28"/>
          <w:szCs w:val="28"/>
          <w:rtl w:val="true"/>
          <w:lang w:bidi="ar-SA"/>
        </w:rPr>
        <w:t xml:space="preserve">،و هو مرويّ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حذيفة </w:t>
      </w:r>
      <w:r>
        <w:rPr>
          <w:rStyle w:val="FootnoteAnchor"/>
          <w:rtl w:val="true"/>
        </w:rPr>
        <w:footnoteReference w:id="218"/>
      </w:r>
      <w:r>
        <w:rPr>
          <w:rFonts w:ascii="Amiri" w:hAnsi="Amiri" w:eastAsia="Amiri" w:cs="Amiri"/>
          <w:color w:val="111111"/>
          <w:sz w:val="28"/>
          <w:sz w:val="28"/>
          <w:szCs w:val="28"/>
          <w:rtl w:val="true"/>
          <w:lang w:bidi="ar-SA"/>
        </w:rPr>
        <w:t xml:space="preserve">،و أبي هريرة </w:t>
      </w:r>
      <w:r>
        <w:rPr>
          <w:rStyle w:val="FootnoteAnchor"/>
          <w:rtl w:val="true"/>
        </w:rPr>
        <w:footnoteReference w:id="219"/>
      </w:r>
      <w:r>
        <w:rPr>
          <w:rFonts w:ascii="Amiri" w:hAnsi="Amiri" w:eastAsia="Amiri" w:cs="Amiri"/>
          <w:color w:val="111111"/>
          <w:sz w:val="28"/>
          <w:sz w:val="28"/>
          <w:szCs w:val="28"/>
          <w:rtl w:val="true"/>
          <w:lang w:bidi="ar-SA"/>
        </w:rPr>
        <w:t xml:space="preserve">،و ابن عبّاس </w:t>
      </w:r>
      <w:r>
        <w:rPr>
          <w:rStyle w:val="FootnoteAnchor"/>
          <w:rtl w:val="true"/>
        </w:rPr>
        <w:footnoteReference w:id="220"/>
      </w:r>
      <w:r>
        <w:rPr>
          <w:rFonts w:ascii="Amiri" w:hAnsi="Amiri" w:eastAsia="Amiri" w:cs="Amiri"/>
          <w:color w:val="111111"/>
          <w:sz w:val="28"/>
          <w:sz w:val="28"/>
          <w:szCs w:val="28"/>
          <w:rtl w:val="true"/>
          <w:lang w:bidi="ar-SA"/>
        </w:rPr>
        <w:t xml:space="preserve">،و سعيد بن المسيّب،و الحسن </w:t>
      </w:r>
      <w:r>
        <w:rPr>
          <w:rStyle w:val="FootnoteAnchor"/>
          <w:rtl w:val="true"/>
        </w:rPr>
        <w:footnoteReference w:id="221"/>
      </w:r>
      <w:r>
        <w:rPr>
          <w:rFonts w:ascii="Amiri" w:hAnsi="Amiri" w:eastAsia="Amiri" w:cs="Amiri"/>
          <w:color w:val="111111"/>
          <w:sz w:val="28"/>
          <w:sz w:val="28"/>
          <w:szCs w:val="28"/>
          <w:rtl w:val="true"/>
          <w:lang w:bidi="ar-SA"/>
        </w:rPr>
        <w:t xml:space="preserve">،و عكرمة </w:t>
      </w:r>
      <w:r>
        <w:rPr>
          <w:rStyle w:val="FootnoteAnchor"/>
          <w:rtl w:val="true"/>
        </w:rPr>
        <w:footnoteReference w:id="222"/>
      </w:r>
      <w:r>
        <w:rPr>
          <w:rFonts w:ascii="IRNazanin" w:hAnsi="IRNazanin" w:eastAsia="IRNazanin"/>
          <w:color w:val="111111"/>
          <w:sz w:val="28"/>
          <w:sz w:val="28"/>
          <w:szCs w:val="28"/>
          <w:rtl w:val="true"/>
          <w:lang w:bidi="fa-IR"/>
        </w:rPr>
        <w:t xml:space="preserve">،و عطاء </w:t>
      </w:r>
      <w:r>
        <w:rPr>
          <w:rStyle w:val="FootnoteAnchor"/>
          <w:rtl w:val="true"/>
        </w:rPr>
        <w:footnoteReference w:id="223"/>
      </w:r>
      <w:r>
        <w:rPr>
          <w:rFonts w:ascii="IRNazanin" w:hAnsi="IRNazanin" w:eastAsia="IRNazanin"/>
          <w:color w:val="111111"/>
          <w:sz w:val="28"/>
          <w:sz w:val="28"/>
          <w:szCs w:val="28"/>
          <w:rtl w:val="true"/>
          <w:lang w:bidi="fa-IR"/>
        </w:rPr>
        <w:t xml:space="preserve">،و طاوس </w:t>
      </w:r>
      <w:r>
        <w:rPr>
          <w:rStyle w:val="FootnoteAnchor"/>
          <w:rtl w:val="true"/>
        </w:rPr>
        <w:footnoteReference w:id="22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جابر بن زيد </w:t>
      </w:r>
      <w:r>
        <w:rPr>
          <w:rStyle w:val="FootnoteAnchor"/>
          <w:rtl w:val="true"/>
        </w:rPr>
        <w:footnoteReference w:id="225"/>
      </w:r>
      <w:r>
        <w:rPr>
          <w:rFonts w:ascii="Amiri" w:hAnsi="Amiri" w:eastAsia="Amiri" w:cs="Amiri"/>
          <w:color w:val="111111"/>
          <w:sz w:val="28"/>
          <w:sz w:val="28"/>
          <w:szCs w:val="28"/>
          <w:rtl w:val="true"/>
          <w:lang w:bidi="ar-SA"/>
        </w:rPr>
        <w:t xml:space="preserve">،و ابن أبي ليلى </w:t>
      </w:r>
      <w:r>
        <w:rPr>
          <w:rStyle w:val="FootnoteAnchor"/>
          <w:rtl w:val="true"/>
        </w:rPr>
        <w:footnoteReference w:id="226"/>
      </w:r>
      <w:r>
        <w:rPr>
          <w:rFonts w:ascii="Amiri" w:hAnsi="Amiri" w:eastAsia="Amiri" w:cs="Amiri"/>
          <w:color w:val="111111"/>
          <w:sz w:val="28"/>
          <w:sz w:val="28"/>
          <w:szCs w:val="28"/>
          <w:rtl w:val="true"/>
          <w:lang w:bidi="ar-SA"/>
        </w:rPr>
        <w:t xml:space="preserve">،و مالك،و الأوزاعيّ </w:t>
      </w:r>
      <w:r>
        <w:rPr>
          <w:rStyle w:val="FootnoteAnchor"/>
          <w:rtl w:val="true"/>
        </w:rPr>
        <w:footnoteReference w:id="227"/>
      </w:r>
      <w:r>
        <w:rPr>
          <w:rFonts w:ascii="Amiri" w:hAnsi="Amiri" w:eastAsia="Amiri" w:cs="Amiri"/>
          <w:color w:val="111111"/>
          <w:sz w:val="28"/>
          <w:sz w:val="28"/>
          <w:szCs w:val="28"/>
          <w:rtl w:val="true"/>
          <w:lang w:bidi="ar-SA"/>
        </w:rPr>
        <w:t xml:space="preserve">،و الثّوريّ </w:t>
      </w:r>
      <w:r>
        <w:rPr>
          <w:rStyle w:val="FootnoteAnchor"/>
          <w:rtl w:val="true"/>
        </w:rPr>
        <w:footnoteReference w:id="228"/>
      </w:r>
      <w:r>
        <w:rPr>
          <w:rFonts w:ascii="IRNazanin" w:hAnsi="IRNazanin" w:eastAsia="IRNazanin"/>
          <w:color w:val="111111"/>
          <w:sz w:val="28"/>
          <w:sz w:val="28"/>
          <w:szCs w:val="28"/>
          <w:rtl w:val="true"/>
          <w:lang w:bidi="fa-IR"/>
        </w:rPr>
        <w:t xml:space="preserve">، و ابن المنذر </w:t>
      </w:r>
      <w:r>
        <w:rPr>
          <w:rStyle w:val="FootnoteAnchor"/>
          <w:rtl w:val="true"/>
        </w:rPr>
        <w:footnoteReference w:id="229"/>
      </w:r>
      <w:r>
        <w:rPr>
          <w:rFonts w:ascii="IRNazanin" w:hAnsi="IRNazanin" w:eastAsia="IRNazanin"/>
          <w:color w:val="111111"/>
          <w:sz w:val="28"/>
          <w:sz w:val="28"/>
          <w:szCs w:val="28"/>
          <w:rtl w:val="true"/>
          <w:lang w:bidi="fa-IR"/>
        </w:rPr>
        <w:t xml:space="preserve">، </w:t>
      </w:r>
      <w:r>
        <w:rPr>
          <w:rStyle w:val="FootnoteAnchor"/>
          <w:rtl w:val="true"/>
        </w:rPr>
        <w:footnoteReference w:id="230"/>
      </w:r>
      <w:r>
        <w:rPr>
          <w:rFonts w:ascii="Amiri" w:hAnsi="Amiri" w:eastAsia="Amiri" w:cs="Amiri"/>
          <w:color w:val="111111"/>
          <w:sz w:val="28"/>
          <w:sz w:val="28"/>
          <w:szCs w:val="28"/>
          <w:rtl w:val="true"/>
          <w:lang w:bidi="ar-SA"/>
        </w:rPr>
        <w:t xml:space="preserve">،و للشّافعيّ قولان </w:t>
      </w:r>
      <w:r>
        <w:rPr>
          <w:rStyle w:val="FootnoteAnchor"/>
          <w:rtl w:val="true"/>
        </w:rPr>
        <w:footnoteReference w:id="231"/>
      </w:r>
      <w:r>
        <w:rPr>
          <w:rFonts w:ascii="Amiri" w:hAnsi="Amiri" w:eastAsia="Amiri" w:cs="Amiri"/>
          <w:color w:val="111111"/>
          <w:sz w:val="28"/>
          <w:sz w:val="28"/>
          <w:szCs w:val="28"/>
          <w:rtl w:val="true"/>
          <w:lang w:bidi="ar-SA"/>
        </w:rPr>
        <w:t xml:space="preserve">،و عن أحمد روايتان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الماء قلّتين،لم ينجّسه شيء</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أبي بصير،عن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الجنب يجعل الرّكوة أو التّور فيدخل إصبعه فيه؟قال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كانت يده قذرة فأهرقه،و إن كان لم يصبها قذر فليغتسل منه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661</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الماء المطلق 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رواه في الصّحيح،عن أحمد بن محمّد بن أبي نصر </w:t>
      </w:r>
      <w:r>
        <w:rPr>
          <w:rStyle w:val="FootnoteAnchor"/>
          <w:rtl w:val="true"/>
        </w:rPr>
        <w:footnoteReference w:id="23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الرّجل يدخل يده في الإناء و هي قذرة؟قال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يكفئ </w:t>
      </w:r>
      <w:r>
        <w:rPr>
          <w:rStyle w:val="FootnoteAnchor"/>
          <w:rtl w:val="true"/>
        </w:rPr>
        <w:footnoteReference w:id="236"/>
      </w:r>
      <w:r>
        <w:rPr>
          <w:rFonts w:ascii="IRNazanin" w:hAnsi="IRNazanin" w:eastAsia="IRNazanin"/>
          <w:color w:val="111111"/>
          <w:sz w:val="28"/>
          <w:sz w:val="28"/>
          <w:szCs w:val="28"/>
          <w:rtl w:val="true"/>
          <w:lang w:bidi="fa-IR"/>
        </w:rPr>
        <w:t>الإناء</w:t>
      </w:r>
      <w:r>
        <w:rPr>
          <w:rFonts w:eastAsia="IRNazanin" w:cs="IRNazanin"/>
          <w:color w:val="111111"/>
          <w:sz w:val="28"/>
          <w:szCs w:val="28"/>
          <w:rtl w:val="true"/>
          <w:lang w:bidi="fa-IR"/>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رواه الشّيخ في الحسن،عن سعيد الأعرج </w:t>
      </w:r>
      <w:r>
        <w:rPr>
          <w:rStyle w:val="FootnoteAnchor"/>
          <w:rtl w:val="true"/>
        </w:rPr>
        <w:footnoteReference w:id="2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سؤر اليهوديّ و النّصرانيّ؟قال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في الصّحيح،عن عليّ بن جعفر،عن أخيه موسى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النّصرانيّ يغتسل مع المسلم في الحمّام؟قال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علم انّه نصرانيّ،اغتسل بغير ماء الحمّام</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ما رواه في الصّحيح عن محمّد بن مسلم،عن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الكلب يشرب من الإناء؟قال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 الإناء</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رواه في الصّحيح،عن الفضل أبي العبّاس </w:t>
      </w:r>
      <w:r>
        <w:rPr>
          <w:rStyle w:val="FootnoteAnchor"/>
          <w:rtl w:val="true"/>
        </w:rPr>
        <w:footnoteReference w:id="2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فضل الهرّة و الشّاة و البقرة و الإبل و الحمار و الخيل و البغال و الوحش و السّباع فلم أترك شيئا إلاّ سألته عنه؟فقال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انتهيت إلى الكلب،فقال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رجس نجس لا تتوضّأ بفضله و اجتنب ذلك الماء و اغسله بالتّراب أوّل مرّة ثمَّ بالماء</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الّذي لا ينجّسه شيء ألف و مائتا رطل</w:t>
      </w:r>
      <w:r>
        <w:rPr>
          <w:rFonts w:eastAsia="Amiri" w:cs="Amiri" w:ascii="Amiri" w:hAnsi="Amiri"/>
          <w:color w:val="111111"/>
          <w:sz w:val="28"/>
          <w:szCs w:val="28"/>
          <w:rtl w:val="true"/>
          <w:lang w:bidi="ar-SA"/>
        </w:rPr>
        <w:t xml:space="preserve">) </w:t>
      </w:r>
      <w:r>
        <w:rPr>
          <w:rStyle w:val="FootnoteAnchor"/>
          <w:rtl w:val="true"/>
        </w:rPr>
        <w:footnoteReference w:id="244"/>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علّق الحكم على الشّرط،فينتفي عند انتفائه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ابن جابر فيما قدّمناه،و 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الماء الّذي لا ينجّسه شيء؟فقال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يكن ما دون الكرّ قابلا للتّنجيس لكان تأخيرا للبيان عن وقت الحاجة، و هو لا يجوز إجماعا،و لكان توقيف الحكم على الكرّيّة عبثا،و لأنّ النّجاسة امتزجت بالماء و شاعت أجزاؤها في أجزائه و يجب الاحتراز عن أجزاء النّجاسة و قد تعذّر إلاّ بالاحتراز عن </w:t>
      </w:r>
    </w:p>
    <w:p>
      <w:pPr>
        <w:pStyle w:val="BookText"/>
        <w:rPr/>
      </w:pPr>
      <w:r>
        <w:rPr>
          <w:rFonts w:ascii="IRNazanin" w:hAnsi="IRNazanin" w:eastAsia="IRNazanin"/>
          <w:color w:val="111111"/>
          <w:sz w:val="28"/>
          <w:sz w:val="28"/>
          <w:szCs w:val="28"/>
          <w:rtl w:val="true"/>
          <w:lang w:bidi="fa-IR"/>
        </w:rPr>
        <w:t>أجزاء الماء المختلط أجزاؤه بأجزائها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احتجّ ابن أبي عقيل </w:t>
      </w:r>
      <w:r>
        <w:rPr>
          <w:rStyle w:val="FootnoteAnchor"/>
          <w:rtl w:val="true"/>
        </w:rPr>
        <w:footnoteReference w:id="247"/>
      </w:r>
      <w:r>
        <w:rPr>
          <w:rFonts w:ascii="Amiri" w:hAnsi="Amiri" w:eastAsia="Amiri" w:cs="Amiri"/>
          <w:color w:val="111111"/>
          <w:sz w:val="28"/>
          <w:sz w:val="28"/>
          <w:szCs w:val="28"/>
          <w:rtl w:val="true"/>
          <w:lang w:bidi="ar-SA"/>
        </w:rPr>
        <w:t>بما روي عنه عليه السّلام،و 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طاهر لا ينجّسه شيء إلاّ ما غيّر لونه أو طعمه أو ريحه</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بما روي،عن الباقر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w:t>
      </w:r>
      <w:r>
        <w:rPr>
          <w:rStyle w:val="FootnoteAnchor"/>
          <w:rtl w:val="true"/>
        </w:rPr>
        <w:footnoteReference w:id="249"/>
      </w:r>
      <w:r>
        <w:rPr>
          <w:rFonts w:ascii="Amiri" w:hAnsi="Amiri" w:eastAsia="Amiri" w:cs="Amiri"/>
          <w:color w:val="111111"/>
          <w:sz w:val="28"/>
          <w:sz w:val="28"/>
          <w:szCs w:val="28"/>
          <w:rtl w:val="true"/>
          <w:lang w:bidi="ar-SA"/>
        </w:rPr>
        <w:t xml:space="preserve">عن الجرّة و القربة يسقط فيهما فأرة أو جرذ أو غيره،فيموت فيهما </w:t>
      </w:r>
      <w:r>
        <w:rPr>
          <w:rStyle w:val="FootnoteAnchor"/>
          <w:rtl w:val="true"/>
        </w:rPr>
        <w:footnoteReference w:id="25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غلبت رائحته على طعم الماء أو لونه فأرقه، و إن لم تغلب فاشرب منه و توضّأ</w:t>
      </w:r>
      <w:r>
        <w:rPr>
          <w:rFonts w:eastAsia="IRNazanin" w:cs="IRNazanin"/>
          <w:color w:val="111111"/>
          <w:sz w:val="28"/>
          <w:szCs w:val="28"/>
          <w:rtl w:val="true"/>
          <w:lang w:bidi="fa-IR"/>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بما روي،عن الصّادق عليه السّلام انّه استقي له من بئر،فخرج في الدّلو فأرتان،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فاستقى آخر،فخرج فيه فأرة،فقال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استقى آخر،فلم يخرج فيه شيء،فقال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صبّه في الإناء فتوضّأ و اشرب</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بما روي،عن الصّادق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الماء النّقيع يبول فيه الدّواب؟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تغيّر الماء،فلا تتوضّأ منه،و إن لم تغيّره أبوالها،فتوضّأ منه،و كذلك الدّم إذا سال في الماء و أشباهه</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مالك بالحديث الأوّل عن رسول اللّه صلّى اللّه عليه و آله </w:t>
      </w:r>
      <w:r>
        <w:rPr>
          <w:rStyle w:val="FootnoteAnchor"/>
          <w:rtl w:val="true"/>
        </w:rPr>
        <w:footnoteReference w:id="254"/>
      </w:r>
      <w:r>
        <w:rPr>
          <w:rFonts w:ascii="Amiri" w:hAnsi="Amiri" w:eastAsia="Amiri" w:cs="Amiri"/>
          <w:color w:val="111111"/>
          <w:sz w:val="28"/>
          <w:sz w:val="28"/>
          <w:szCs w:val="28"/>
          <w:rtl w:val="true"/>
          <w:lang w:bidi="ar-SA"/>
        </w:rPr>
        <w:t>،و لأنّ التّنجيس موجب للحرج،فإنّه لا يمكن حينئذ تطهير شيء بالماء،فإنّه ينجس بملاقاة النّجاسة، و النّجس لا يطهر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ليس من الألفاظ الدّالّة على العموم،فيحمل على الكثير جمعا بين المطلق و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الحديثين الآخرين بضعف السّند،فإنّ الرّاوي عليّ بن حديد </w:t>
      </w:r>
      <w:r>
        <w:rPr>
          <w:rStyle w:val="FootnoteAnchor"/>
          <w:rtl w:val="true"/>
        </w:rPr>
        <w:footnoteReference w:id="255"/>
      </w:r>
      <w:r>
        <w:rPr>
          <w:rFonts w:ascii="Amiri" w:hAnsi="Amiri" w:eastAsia="Amiri" w:cs="Amiri"/>
          <w:color w:val="111111"/>
          <w:sz w:val="28"/>
          <w:sz w:val="28"/>
          <w:szCs w:val="28"/>
          <w:rtl w:val="true"/>
          <w:lang w:bidi="ar-SA"/>
        </w:rPr>
        <w:t>،و هو ضعيف مع أنّه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الحديث الرّابع،فإنّ راويه ياسين الضّرير </w:t>
      </w:r>
      <w:r>
        <w:rPr>
          <w:rStyle w:val="FootnoteAnchor"/>
          <w:rtl w:val="true"/>
        </w:rPr>
        <w:footnoteReference w:id="256"/>
      </w:r>
      <w:r>
        <w:rPr>
          <w:rFonts w:ascii="Amiri" w:hAnsi="Amiri" w:eastAsia="Amiri" w:cs="Amiri"/>
          <w:color w:val="111111"/>
          <w:sz w:val="28"/>
          <w:sz w:val="28"/>
          <w:szCs w:val="28"/>
          <w:rtl w:val="true"/>
          <w:lang w:bidi="ar-SA"/>
        </w:rPr>
        <w:t>،و لا احقّق حاله،فهو مدفوع و معارض بما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حجّة مالك النّقليّة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أجبنا به ابن أبي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ذلك ورد في بئر بضاعة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الباء و فتحها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ماؤها يجري في البساتين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هذا كأنّه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الجاري طهور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ذكره من الملازمة في العقليّة ممنوع،لأنّ التّطهير هناك حصل لأجل 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انّ لنا المنع من الملازمة أيضا على مذهب السّيّد المرتضى </w:t>
      </w:r>
      <w:r>
        <w:rPr>
          <w:rStyle w:val="FootnoteAnchor"/>
          <w:rtl w:val="true"/>
        </w:rPr>
        <w:footnoteReference w:id="257"/>
      </w:r>
      <w:r>
        <w:rPr>
          <w:rFonts w:ascii="Amiri" w:hAnsi="Amiri" w:eastAsia="Amiri" w:cs="Amiri"/>
          <w:color w:val="111111"/>
          <w:sz w:val="28"/>
          <w:sz w:val="28"/>
          <w:szCs w:val="28"/>
          <w:rtl w:val="true"/>
          <w:lang w:bidi="ar-SA"/>
        </w:rPr>
        <w:t xml:space="preserve">،و مذهب الشّافعيّ من الفرق بين ورود الماء على النّجاسة و ورودها عليه </w:t>
      </w:r>
      <w:r>
        <w:rPr>
          <w:rStyle w:val="FootnoteAnchor"/>
          <w:rtl w:val="true"/>
        </w:rPr>
        <w:footnoteReference w:id="258"/>
      </w:r>
      <w:r>
        <w:rPr>
          <w:rFonts w:ascii="Amiri" w:hAnsi="Amiri" w:eastAsia="Amiri" w:cs="Amiri"/>
          <w:color w:val="111111"/>
          <w:sz w:val="28"/>
          <w:sz w:val="28"/>
          <w:szCs w:val="28"/>
          <w:rtl w:val="true"/>
          <w:lang w:bidi="ar-SA"/>
        </w:rPr>
        <w:t>،و معارض بما روي عن النّبيّ صلّى اللّه عليه و آله،انّه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يبولنّ أحدكم في الماء الدّائم</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 xml:space="preserve">فلو لم يكن قابلا للتّنجيس،لم يكن فيه فائدة،و فيه كلام ذكرناه سالفا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روي،عن عبد اللّه بن عبّاس و عبد اللّه بن الزّبير </w:t>
      </w:r>
      <w:r>
        <w:rPr>
          <w:rStyle w:val="FootnoteAnchor"/>
          <w:rtl w:val="true"/>
        </w:rPr>
        <w:footnoteReference w:id="261"/>
      </w:r>
      <w:r>
        <w:rPr>
          <w:rFonts w:ascii="Amiri" w:hAnsi="Amiri" w:eastAsia="Amiri" w:cs="Amiri"/>
          <w:color w:val="111111"/>
          <w:sz w:val="28"/>
          <w:sz w:val="28"/>
          <w:szCs w:val="28"/>
          <w:rtl w:val="true"/>
          <w:lang w:bidi="ar-SA"/>
        </w:rPr>
        <w:t xml:space="preserve">،أنّهما حكما بنجاسة بئر زمزم،حيث وقع الزّنجيّ فيه فمات حتّى أمرا بنزح ماء البئر كلّه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بما روي،عن عليّ عليه السّلام انّه حكم بنجاسة البئر بوقوع الفأرة فيه حتّى أوجب نزح دلاء </w:t>
      </w:r>
      <w:r>
        <w:rPr>
          <w:rStyle w:val="FootnoteAnchor"/>
          <w:rtl w:val="true"/>
        </w:rPr>
        <w:footnoteReference w:id="2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روى بعض الجمهور،عن النّبيّ صلّى اللّه عليه و آله،انّه أمر بنزح </w:t>
      </w:r>
      <w:r>
        <w:rPr>
          <w:rStyle w:val="FootnoteAnchor"/>
          <w:rtl w:val="true"/>
        </w:rPr>
        <w:footnoteReference w:id="264"/>
      </w:r>
      <w:r>
        <w:rPr>
          <w:rFonts w:ascii="Amiri" w:hAnsi="Amiri" w:eastAsia="Amiri" w:cs="Amiri"/>
          <w:color w:val="111111"/>
          <w:sz w:val="28"/>
          <w:sz w:val="28"/>
          <w:szCs w:val="28"/>
          <w:rtl w:val="true"/>
          <w:lang w:bidi="ar-SA"/>
        </w:rPr>
        <w:t xml:space="preserve">ثلاثين دلوا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يعارض ما ذكرتم بما رواه الشّيخ في الصّحيح،عن حريز </w:t>
      </w:r>
      <w:r>
        <w:rPr>
          <w:rStyle w:val="FootnoteAnchor"/>
          <w:rtl w:val="true"/>
        </w:rPr>
        <w:footnoteReference w:id="266"/>
      </w:r>
      <w:r>
        <w:rPr>
          <w:rFonts w:ascii="Amiri" w:hAnsi="Amiri" w:eastAsia="Amiri" w:cs="Amiri"/>
          <w:color w:val="111111"/>
          <w:sz w:val="28"/>
          <w:sz w:val="28"/>
          <w:szCs w:val="28"/>
          <w:rtl w:val="true"/>
          <w:lang w:bidi="ar-SA"/>
        </w:rPr>
        <w:t>،عن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غلب الماء على ريح الجيفة فتوضّأ من الماء و اشرب،فإذا تغيّر الماء و تغيّر الطّعم فلا توضّأ منه و لا تشرب</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بما رواه في الصّحيح،عن ابن مسكان </w:t>
      </w:r>
      <w:r>
        <w:rPr>
          <w:rStyle w:val="FootnoteAnchor"/>
          <w:rtl w:val="true"/>
        </w:rPr>
        <w:footnoteReference w:id="268"/>
      </w:r>
      <w:r>
        <w:rPr>
          <w:rFonts w:ascii="Amiri" w:hAnsi="Amiri" w:eastAsia="Amiri" w:cs="Amiri"/>
          <w:color w:val="111111"/>
          <w:sz w:val="28"/>
          <w:sz w:val="28"/>
          <w:szCs w:val="28"/>
          <w:rtl w:val="true"/>
          <w:lang w:bidi="ar-SA"/>
        </w:rPr>
        <w:t>،عن أبي عبد اللّه عليه السّلام،قال</w:t>
      </w:r>
      <w:r>
        <w:rPr>
          <w:rFonts w:eastAsia="Amiri" w:cs="Amiri" w:ascii="Amiri" w:hAnsi="Amiri"/>
          <w:color w:val="111111"/>
          <w:sz w:val="28"/>
          <w:szCs w:val="28"/>
          <w:rtl w:val="true"/>
          <w:lang w:bidi="ar-SA"/>
        </w:rPr>
        <w:t xml:space="preserve">: </w:t>
      </w:r>
      <w:bookmarkStart w:id="318" w:name="pg12672_159802"/>
    </w:p>
    <w:p>
      <w:pPr>
        <w:pStyle w:val="BookText"/>
        <w:rPr/>
      </w:pPr>
      <w:bookmarkEnd w:id="318"/>
      <w:r>
        <w:rPr>
          <w:rFonts w:ascii="Amiri" w:hAnsi="Amiri" w:eastAsia="Amiri" w:cs="Amiri"/>
          <w:color w:val="111111"/>
          <w:sz w:val="28"/>
          <w:sz w:val="28"/>
          <w:szCs w:val="28"/>
          <w:rtl w:val="true"/>
          <w:lang w:bidi="ar-SA"/>
        </w:rPr>
        <w:t>سألته عن الوضوء ممّا ولغ الكلب فيه و السّنّور أو شرب منه جمل أو دابّة أو غير ذلك يتوضّأ منه أو يغتسل؟قال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نعم،إلاّ أن تجد غيره فتنزّه عنه</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لأنّا نجيب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ليس فيه ما يدلّ على العموم،و السّور الكليّ دخل على الغلبة لا على الماء المطلق،فيحمل على البالغ كرّا جمعا بين الأدلّة،و هو الجواب عن الثّاني</w:t>
      </w:r>
      <w:r>
        <w:rPr>
          <w:rFonts w:eastAsia="Amiri" w:cs="Amiri" w:ascii="Amiri" w:hAnsi="Amiri"/>
          <w:color w:val="111111"/>
          <w:sz w:val="28"/>
          <w:szCs w:val="28"/>
          <w:rtl w:val="true"/>
          <w:lang w:bidi="ar-SA"/>
        </w:rPr>
        <w:t>.</w:t>
      </w:r>
    </w:p>
    <w:p>
      <w:pPr>
        <w:pStyle w:val="Heading6"/>
        <w:numPr>
          <w:ilvl w:val="5"/>
          <w:numId w:val="1"/>
        </w:numPr>
        <w:rPr/>
      </w:pPr>
      <w:bookmarkStart w:id="319" w:name="__RefHeading___Toc746861_222507752"/>
      <w:bookmarkStart w:id="320" w:name="_Toc121"/>
      <w:bookmarkEnd w:id="319"/>
      <w:r>
        <w:rPr>
          <w:rtl w:val="true"/>
        </w:rPr>
        <w:t>فروع</w:t>
      </w:r>
      <w:r>
        <w:rPr>
          <w:rtl w:val="true"/>
        </w:rPr>
        <w:t>:</w:t>
      </w:r>
      <w:bookmarkEnd w:id="320"/>
    </w:p>
    <w:p>
      <w:pPr>
        <w:pStyle w:val="Heading6"/>
        <w:numPr>
          <w:ilvl w:val="5"/>
          <w:numId w:val="1"/>
        </w:numPr>
        <w:rPr/>
      </w:pPr>
      <w:bookmarkStart w:id="321" w:name="__RefHeading___Toc746863_222507752"/>
      <w:bookmarkStart w:id="322" w:name="_Toc122"/>
      <w:bookmarkEnd w:id="321"/>
      <w:r>
        <w:rPr>
          <w:rtl w:val="true"/>
        </w:rPr>
        <w:t>الأوّل</w:t>
      </w:r>
      <w:r>
        <w:rPr>
          <w:rtl w:val="true"/>
        </w:rPr>
        <w:t>:</w:t>
      </w:r>
      <w:r>
        <w:rPr>
          <w:rtl w:val="true"/>
        </w:rPr>
        <w:t>الماء القليل قابل للانفعال عن كلّ نجاسة،</w:t>
      </w:r>
      <w:bookmarkEnd w:id="322"/>
    </w:p>
    <w:p>
      <w:pPr>
        <w:pStyle w:val="BookText"/>
        <w:rPr/>
      </w:pPr>
      <w:r>
        <w:rPr>
          <w:rFonts w:ascii="Amiri" w:hAnsi="Amiri" w:eastAsia="Amiri" w:cs="Amiri"/>
          <w:color w:val="111111"/>
          <w:sz w:val="28"/>
          <w:sz w:val="28"/>
          <w:szCs w:val="28"/>
          <w:rtl w:val="true"/>
          <w:lang w:bidi="ar-SA"/>
        </w:rPr>
        <w:t>و إن كانت دما يسيرا بحيث لا يدركه الطّرف كرؤوس الإبر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ما لا يدركه الطّرف معفوّ عنه،دما كان أو غيره </w:t>
      </w:r>
      <w:r>
        <w:rPr>
          <w:rStyle w:val="FootnoteAnchor"/>
          <w:rtl w:val="true"/>
        </w:rPr>
        <w:footnoteReference w:id="270"/>
      </w:r>
      <w:r>
        <w:rPr>
          <w:rFonts w:ascii="Amiri" w:hAnsi="Amiri" w:eastAsia="Amiri" w:cs="Amiri"/>
          <w:color w:val="111111"/>
          <w:sz w:val="28"/>
          <w:sz w:val="28"/>
          <w:szCs w:val="28"/>
          <w:rtl w:val="true"/>
          <w:lang w:bidi="ar-SA"/>
        </w:rPr>
        <w:t>، و قال في 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الدّم مثل رؤوس الإبر،لم ينجس به الماء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حصول المؤثّر و القابل،فيوجد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الشّيخ بما رواه في الصّحيح،عن عليّ بن جعفر،عن أخيه موسى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امتخط فصار الدّم قطعا صغارا فأصاب إناءه،هل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يصلح</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الوضوء منه؟قال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يكن شيء يستبين في الماء،فلا بأس،و إن كان شيئا بيّنا،فلا يتوضّأ منه</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و لأنّ وجوب التّحرّز عنه مشقّة و حرج،فيكون منفيّا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غير دالّ بصريحه على صورة النّزاع،فإنّه ليس فيه إشعار بإصابة الماء و إن كان المفهوم منه ذلك،لكنّ دلالة المفهوم أضعف ممّا ذكرناه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يعارضه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 xml:space="preserve">رواه محمّد بن يعقوب في الصّحيح،عن عليّ بن جعفر،عن أخيه </w:t>
      </w:r>
      <w:bookmarkStart w:id="323" w:name="pg12672_159803"/>
    </w:p>
    <w:p>
      <w:pPr>
        <w:pStyle w:val="BookText"/>
        <w:rPr/>
      </w:pPr>
      <w:bookmarkEnd w:id="323"/>
      <w:r>
        <w:rPr>
          <w:rFonts w:ascii="Amiri" w:hAnsi="Amiri" w:eastAsia="Amiri" w:cs="Amiri"/>
          <w:color w:val="111111"/>
          <w:sz w:val="28"/>
          <w:sz w:val="28"/>
          <w:szCs w:val="28"/>
          <w:rtl w:val="true"/>
          <w:lang w:bidi="ar-SA"/>
        </w:rPr>
        <w:t>موسى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رعف و هو يتوضّأ فيقطر قطرة في إنائه هل يصلح الوضوء منه؟قال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و لم يشترط الظّهور،و يحتمل أن يكون الأوّل معناه إذا أصاب الإناء و شكّ في وصوله إلى الماء اعتبر بالظّهور حسّا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اعتبار المشقّة مع قيام الموجب ساقط </w:t>
      </w:r>
      <w:r>
        <w:rPr>
          <w:rFonts w:eastAsia="Amiri" w:cs="Amiri" w:ascii="Amiri" w:hAnsi="Amiri"/>
          <w:color w:val="111111"/>
          <w:sz w:val="28"/>
          <w:szCs w:val="28"/>
          <w:rtl w:val="true"/>
          <w:lang w:bidi="ar-SA"/>
        </w:rPr>
        <w:t>.</w:t>
      </w:r>
    </w:p>
    <w:p>
      <w:pPr>
        <w:pStyle w:val="Heading6"/>
        <w:numPr>
          <w:ilvl w:val="5"/>
          <w:numId w:val="1"/>
        </w:numPr>
        <w:rPr/>
      </w:pPr>
      <w:bookmarkStart w:id="324" w:name="__RefHeading___Toc746865_222507752"/>
      <w:bookmarkStart w:id="325" w:name="_Toc123"/>
      <w:bookmarkEnd w:id="324"/>
      <w:r>
        <w:rPr>
          <w:rtl w:val="true"/>
        </w:rPr>
        <w:t>الثّاني</w:t>
      </w:r>
      <w:r>
        <w:rPr>
          <w:rtl w:val="true"/>
        </w:rPr>
        <w:t>:</w:t>
      </w:r>
      <w:r>
        <w:rPr>
          <w:rtl w:val="true"/>
        </w:rPr>
        <w:t>أطلق المفيد و سلاّر تنجيس مياه الأواني و الحياض،</w:t>
      </w:r>
      <w:bookmarkEnd w:id="325"/>
    </w:p>
    <w:p>
      <w:pPr>
        <w:pStyle w:val="BookText"/>
        <w:rPr/>
      </w:pP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 سلاّر أوجب إراقتها و إن كان كثيرا </w:t>
      </w:r>
      <w:r>
        <w:rPr>
          <w:rStyle w:val="FootnoteAnchor"/>
          <w:rtl w:val="true"/>
        </w:rPr>
        <w:footnoteReference w:id="277"/>
      </w:r>
      <w:r>
        <w:rPr>
          <w:rFonts w:ascii="Amiri" w:hAnsi="Amiri" w:eastAsia="Amiri" w:cs="Amiri"/>
          <w:color w:val="111111"/>
          <w:sz w:val="28"/>
          <w:sz w:val="28"/>
          <w:szCs w:val="28"/>
          <w:rtl w:val="true"/>
          <w:lang w:bidi="ar-SA"/>
        </w:rPr>
        <w:t>،و هذا الإطلاق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العموم المستفاد من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الماء قدر كرّ،لم ينجّسه شيء</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يعارضه الأحاديث الدّالّة على نجاسة الأواني عند 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الإطلاق هناك بناء على الغالب من صغر الإناء عن بلوغ الكرّيّة،و لأنّه مقيّد بما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 انّ مرادهما بالكثرة هنا،الكثرة العرفيّة بالنّسبة إلى الأواني و الحياض الّتي يسقى منها الدّواب،و هي غالبا تقصر عن الكرّ </w:t>
      </w:r>
      <w:r>
        <w:rPr>
          <w:rFonts w:eastAsia="Amiri" w:cs="Amiri" w:ascii="Amiri" w:hAnsi="Amiri"/>
          <w:color w:val="111111"/>
          <w:sz w:val="28"/>
          <w:szCs w:val="28"/>
          <w:rtl w:val="true"/>
          <w:lang w:bidi="ar-SA"/>
        </w:rPr>
        <w:t>.</w:t>
      </w:r>
    </w:p>
    <w:p>
      <w:pPr>
        <w:pStyle w:val="Heading6"/>
        <w:numPr>
          <w:ilvl w:val="5"/>
          <w:numId w:val="1"/>
        </w:numPr>
        <w:rPr/>
      </w:pPr>
      <w:bookmarkStart w:id="326" w:name="__RefHeading___Toc746867_222507752"/>
      <w:bookmarkStart w:id="327" w:name="_Toc124"/>
      <w:bookmarkEnd w:id="326"/>
      <w:r>
        <w:rPr>
          <w:rtl w:val="true"/>
        </w:rPr>
        <w:t>الثّالث</w:t>
      </w:r>
      <w:r>
        <w:rPr>
          <w:rtl w:val="true"/>
        </w:rPr>
        <w:t>:</w:t>
      </w:r>
      <w:r>
        <w:rPr>
          <w:rtl w:val="true"/>
        </w:rPr>
        <w:t>لو وصل بين الغديرين بساقية اتّحدا،</w:t>
      </w:r>
      <w:bookmarkEnd w:id="327"/>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اعتبر الكرّيّة فيهما مع السّاقية جميعا، أمّا لو كان أحدهما أقلّ من كرّ و لاقته نجاسة فوصل بغدير بالغ كرّا،قال بعض الأصحاب</w:t>
      </w:r>
      <w:r>
        <w:rPr>
          <w:rFonts w:eastAsia="Amiri" w:cs="Amiri" w:ascii="Amiri" w:hAnsi="Amiri"/>
          <w:color w:val="111111"/>
          <w:sz w:val="28"/>
          <w:szCs w:val="28"/>
          <w:rtl w:val="true"/>
          <w:lang w:bidi="ar-SA"/>
        </w:rPr>
        <w:t xml:space="preserve">: </w:t>
      </w:r>
      <w:bookmarkStart w:id="328" w:name="pg12672_159804"/>
    </w:p>
    <w:p>
      <w:pPr>
        <w:pStyle w:val="BookText"/>
        <w:rPr/>
      </w:pPr>
      <w:bookmarkEnd w:id="328"/>
      <w:r>
        <w:rPr>
          <w:rFonts w:ascii="Amiri" w:hAnsi="Amiri" w:eastAsia="Amiri" w:cs="Amiri"/>
          <w:color w:val="111111"/>
          <w:sz w:val="28"/>
          <w:sz w:val="28"/>
          <w:szCs w:val="28"/>
          <w:rtl w:val="true"/>
          <w:lang w:bidi="ar-SA"/>
        </w:rPr>
        <w:t xml:space="preserve">الأولى بقاؤه على النّجاسة،لأنّه ممتاز عن الطّاهر،مع انّه لو مازجه و قهره لنجّسه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عندي فيه نظر،فإنّ الاتّفاق واقع على انّ تطهير ما نقص عن الكرّ بإلقاء كرّ عليه،و لا شكّ انّ المداخلة ممتنعة،فالمعتبر إذن الاتّصال الموجود هنا </w:t>
      </w:r>
      <w:r>
        <w:rPr>
          <w:rFonts w:eastAsia="Amiri" w:cs="Amiri" w:ascii="Amiri" w:hAnsi="Amiri"/>
          <w:color w:val="111111"/>
          <w:sz w:val="28"/>
          <w:szCs w:val="28"/>
          <w:rtl w:val="true"/>
          <w:lang w:bidi="ar-SA"/>
        </w:rPr>
        <w:t>.</w:t>
      </w:r>
    </w:p>
    <w:p>
      <w:pPr>
        <w:pStyle w:val="Heading6"/>
        <w:numPr>
          <w:ilvl w:val="5"/>
          <w:numId w:val="1"/>
        </w:numPr>
        <w:rPr/>
      </w:pPr>
      <w:bookmarkStart w:id="329" w:name="__RefHeading___Toc746869_222507752"/>
      <w:bookmarkStart w:id="330" w:name="_Toc125"/>
      <w:bookmarkEnd w:id="329"/>
      <w:r>
        <w:rPr>
          <w:rtl w:val="true"/>
        </w:rPr>
        <w:t>الرّابع</w:t>
      </w:r>
      <w:r>
        <w:rPr>
          <w:rtl w:val="true"/>
        </w:rPr>
        <w:t>:</w:t>
      </w:r>
      <w:r>
        <w:rPr>
          <w:rtl w:val="true"/>
        </w:rPr>
        <w:t>لو شكّ في بلوغ الكرّيّة،</w:t>
      </w:r>
      <w:bookmarkEnd w:id="330"/>
    </w:p>
    <w:p>
      <w:pPr>
        <w:pStyle w:val="BookText"/>
        <w:rPr/>
      </w:pPr>
      <w:r>
        <w:rPr>
          <w:rFonts w:ascii="Amiri" w:hAnsi="Amiri" w:eastAsia="Amiri" w:cs="Amiri"/>
          <w:color w:val="111111"/>
          <w:sz w:val="28"/>
          <w:sz w:val="28"/>
          <w:szCs w:val="28"/>
          <w:rtl w:val="true"/>
          <w:lang w:bidi="ar-SA"/>
        </w:rPr>
        <w:t xml:space="preserve">فالوجه التّنجيس،لأنّ الأصل القلّة و للاحتياط، و يحتمل عدمه،لأنّه كان طاهرا قبل وقوع النّجاسة،و شكّ في تنجيسه بها و لا يرفع اليقين بالشّكّ </w:t>
      </w:r>
      <w:r>
        <w:rPr>
          <w:rFonts w:eastAsia="Amiri" w:cs="Amiri" w:ascii="Amiri" w:hAnsi="Amiri"/>
          <w:color w:val="111111"/>
          <w:sz w:val="28"/>
          <w:szCs w:val="28"/>
          <w:rtl w:val="true"/>
          <w:lang w:bidi="ar-SA"/>
        </w:rPr>
        <w:t>.</w:t>
      </w:r>
    </w:p>
    <w:p>
      <w:pPr>
        <w:pStyle w:val="Heading6"/>
        <w:numPr>
          <w:ilvl w:val="5"/>
          <w:numId w:val="1"/>
        </w:numPr>
        <w:rPr/>
      </w:pPr>
      <w:bookmarkStart w:id="331" w:name="__RefHeading___Toc746871_222507752"/>
      <w:bookmarkStart w:id="332" w:name="_Toc126"/>
      <w:bookmarkEnd w:id="331"/>
      <w:r>
        <w:rPr>
          <w:rtl w:val="true"/>
        </w:rPr>
        <w:t>الخامس</w:t>
      </w:r>
      <w:r>
        <w:rPr>
          <w:rtl w:val="true"/>
        </w:rPr>
        <w:t>:</w:t>
      </w:r>
      <w:r>
        <w:rPr>
          <w:rtl w:val="true"/>
        </w:rPr>
        <w:t>قد بيّنا انّ الكثير إذا تغيّر بالنّجاسة نجس،</w:t>
      </w:r>
      <w:bookmarkEnd w:id="332"/>
    </w:p>
    <w:p>
      <w:pPr>
        <w:pStyle w:val="BookText"/>
        <w:rPr/>
      </w:pP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تغيّر بما نجاسته عارضيّة كالزّعفران النّجس و المسك النّجس،فإنّه لا ينجس بذلك،لأنّ الملاقي يطهر بالماء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سلبه إطلاق اسم الماء،فإنّه ينجّسه</w:t>
      </w:r>
      <w:r>
        <w:rPr>
          <w:rFonts w:eastAsia="Amiri" w:cs="Amiri" w:ascii="Amiri" w:hAnsi="Amiri"/>
          <w:color w:val="111111"/>
          <w:sz w:val="28"/>
          <w:szCs w:val="28"/>
          <w:rtl w:val="true"/>
          <w:lang w:bidi="ar-SA"/>
        </w:rPr>
        <w:t>.</w:t>
      </w:r>
    </w:p>
    <w:p>
      <w:pPr>
        <w:pStyle w:val="Heading6"/>
        <w:numPr>
          <w:ilvl w:val="5"/>
          <w:numId w:val="1"/>
        </w:numPr>
        <w:rPr/>
      </w:pPr>
      <w:bookmarkStart w:id="333" w:name="__RefHeading___Toc746873_222507752"/>
      <w:bookmarkStart w:id="334" w:name="_Toc127"/>
      <w:bookmarkEnd w:id="333"/>
      <w:r>
        <w:rPr>
          <w:rtl w:val="true"/>
        </w:rPr>
        <w:t>مسألة</w:t>
      </w:r>
      <w:r>
        <w:rPr>
          <w:rtl w:val="true"/>
        </w:rPr>
        <w:t>:</w:t>
      </w:r>
      <w:r>
        <w:rPr>
          <w:rtl w:val="true"/>
        </w:rPr>
        <w:t>لا يجوز استعمال الماء النّجس في رفع الحدث و لا في إزالة النّجاسة</w:t>
      </w:r>
      <w:bookmarkEnd w:id="334"/>
    </w:p>
    <w:p>
      <w:pPr>
        <w:pStyle w:val="BookText"/>
        <w:rPr/>
      </w:pPr>
      <w:r>
        <w:rPr>
          <w:rFonts w:ascii="Amiri" w:hAnsi="Amiri" w:eastAsia="Amiri" w:cs="Amiri"/>
          <w:color w:val="111111"/>
          <w:sz w:val="28"/>
          <w:sz w:val="28"/>
          <w:szCs w:val="28"/>
          <w:rtl w:val="true"/>
          <w:lang w:bidi="ar-SA"/>
        </w:rPr>
        <w:t>،لأنّه منفعل بها،فكيف يعدمها عن غيره و هو 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كلّ ما منع من استعماله كالمشتبه و إن لم يكن نجسا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التّيمّم إذا لم يوجد غيره،لأنّه منع من الطّهارة به شرعا،فكان كالعدم،و لا يجوز استعماله أيضا في أكل و لا شرب إلاّ عند الضّرورة،لما رواه الشّيخ في الصّحيح،عن حريز بن عبد اللّه،عن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تغيّر الماء و تغيّر الطّعم فلا توضّأ منه و لا تشرب</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الصّحيح،عن الفضل أبي العبّاس،عن الصّادق عليه السّلام و قد سأله عن أشياء حتّى انتهى إلى الكلب؟فقال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رجس نجس لا تتوضّأ بفضله و اصبب ذلك الماء و اغسله بالتّراب أوّل مرّة،ثمَّ بالماء</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bookmarkStart w:id="335" w:name="pg12672_159805"/>
    </w:p>
    <w:p>
      <w:pPr>
        <w:pStyle w:val="Heading6"/>
        <w:numPr>
          <w:ilvl w:val="5"/>
          <w:numId w:val="1"/>
        </w:numPr>
        <w:rPr/>
      </w:pPr>
      <w:bookmarkStart w:id="336" w:name="__RefHeading___Toc746875_222507752"/>
      <w:bookmarkStart w:id="337" w:name="_Toc128"/>
      <w:bookmarkEnd w:id="335"/>
      <w:bookmarkEnd w:id="336"/>
      <w:r>
        <w:rPr>
          <w:rtl w:val="true"/>
        </w:rPr>
        <w:t>فروع</w:t>
      </w:r>
      <w:r>
        <w:rPr>
          <w:rtl w:val="true"/>
        </w:rPr>
        <w:t>:</w:t>
      </w:r>
      <w:bookmarkEnd w:id="337"/>
    </w:p>
    <w:p>
      <w:pPr>
        <w:pStyle w:val="Heading6"/>
        <w:numPr>
          <w:ilvl w:val="5"/>
          <w:numId w:val="1"/>
        </w:numPr>
        <w:rPr/>
      </w:pPr>
      <w:bookmarkStart w:id="338" w:name="__RefHeading___Toc746877_222507752"/>
      <w:bookmarkStart w:id="339" w:name="_Toc129"/>
      <w:bookmarkEnd w:id="338"/>
      <w:r>
        <w:rPr>
          <w:rtl w:val="true"/>
        </w:rPr>
        <w:t>الأوّل</w:t>
      </w:r>
      <w:r>
        <w:rPr>
          <w:rtl w:val="true"/>
        </w:rPr>
        <w:t>:</w:t>
      </w:r>
      <w:r>
        <w:rPr>
          <w:rtl w:val="true"/>
        </w:rPr>
        <w:t>لو شكّ في نجاسة متيقّن الطّهارة،</w:t>
      </w:r>
      <w:bookmarkEnd w:id="339"/>
    </w:p>
    <w:p>
      <w:pPr>
        <w:pStyle w:val="BookText"/>
        <w:rPr/>
      </w:pPr>
      <w:r>
        <w:rPr>
          <w:rFonts w:ascii="Amiri" w:hAnsi="Amiri" w:eastAsia="Amiri" w:cs="Amiri"/>
          <w:color w:val="111111"/>
          <w:sz w:val="28"/>
          <w:sz w:val="28"/>
          <w:szCs w:val="28"/>
          <w:rtl w:val="true"/>
          <w:lang w:bidi="ar-SA"/>
        </w:rPr>
        <w:t>جاز الاستعمال و بنى على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تيقّن النّجاسة و شكّ في الطّهارة،بنى على النّجاسة عملا بالمتيقّن،و تركا للمرجوح </w:t>
      </w:r>
      <w:r>
        <w:rPr>
          <w:rFonts w:eastAsia="Amiri" w:cs="Amiri" w:ascii="Amiri" w:hAnsi="Amiri"/>
          <w:color w:val="111111"/>
          <w:sz w:val="28"/>
          <w:szCs w:val="28"/>
          <w:rtl w:val="true"/>
          <w:lang w:bidi="ar-SA"/>
        </w:rPr>
        <w:t>.</w:t>
      </w:r>
    </w:p>
    <w:p>
      <w:pPr>
        <w:pStyle w:val="Heading6"/>
        <w:numPr>
          <w:ilvl w:val="5"/>
          <w:numId w:val="1"/>
        </w:numPr>
        <w:rPr/>
      </w:pPr>
      <w:bookmarkStart w:id="340" w:name="__RefHeading___Toc746879_222507752"/>
      <w:bookmarkStart w:id="341" w:name="_Toc130"/>
      <w:bookmarkEnd w:id="340"/>
      <w:r>
        <w:rPr>
          <w:rtl w:val="true"/>
        </w:rPr>
        <w:t>الثّاني</w:t>
      </w:r>
      <w:r>
        <w:rPr>
          <w:rtl w:val="true"/>
        </w:rPr>
        <w:t>:</w:t>
      </w:r>
      <w:r>
        <w:rPr>
          <w:rtl w:val="true"/>
        </w:rPr>
        <w:t>لو أخبره عدل بنجاسة الماء،</w:t>
      </w:r>
      <w:bookmarkEnd w:id="341"/>
    </w:p>
    <w:p>
      <w:pPr>
        <w:pStyle w:val="BookText"/>
        <w:rPr/>
      </w:pPr>
      <w:r>
        <w:rPr>
          <w:rFonts w:ascii="Amiri" w:hAnsi="Amiri" w:eastAsia="Amiri" w:cs="Amiri"/>
          <w:color w:val="111111"/>
          <w:sz w:val="28"/>
          <w:sz w:val="28"/>
          <w:szCs w:val="28"/>
          <w:rtl w:val="true"/>
          <w:lang w:bidi="ar-SA"/>
        </w:rPr>
        <w:t xml:space="preserve">لم يجب القبول و إن أسندها إلى سبب،بناء على ما ذكرنا من ترجيح الأصل المتيقّن على الخبر المظنون،خلافا للحنابلة </w:t>
      </w:r>
      <w:r>
        <w:rPr>
          <w:rStyle w:val="FootnoteAnchor"/>
          <w:rtl w:val="true"/>
        </w:rPr>
        <w:footnoteReference w:id="283"/>
      </w:r>
      <w:r>
        <w:rPr>
          <w:rFonts w:ascii="Amiri" w:hAnsi="Amiri" w:eastAsia="Amiri" w:cs="Amiri"/>
          <w:color w:val="111111"/>
          <w:sz w:val="28"/>
          <w:sz w:val="28"/>
          <w:szCs w:val="28"/>
          <w:rtl w:val="true"/>
          <w:lang w:bidi="ar-SA"/>
        </w:rPr>
        <w:t>فيما إذا ذكر السّبب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البحث لو وجده متغيّرا و شكّ في استناد التّغيّر إلى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شهد عدلان بالنّجاسة،فالأولى القبول،لأنّ شهادة العدلين معتبرة في نظر الشّرع قطعا،فإنّ المشتري لو ادّعى سبق النّجاسة،لثبت جواز الرّدّ بناء على وجود العيب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ابن البرّاج </w:t>
      </w:r>
      <w:r>
        <w:rPr>
          <w:rStyle w:val="FootnoteAnchor"/>
          <w:rtl w:val="true"/>
        </w:rPr>
        <w:footnoteReference w:id="2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يحكم بالشّهادة عملا بالأصل القطعيّ السّالم عن اليقين بصدقهما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تعارضت البيّنتان في إناءين،فقال 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سقطت شهادتهما و رجع إلى الأصل </w:t>
      </w:r>
      <w:r>
        <w:rPr>
          <w:rStyle w:val="FootnoteAnchor"/>
          <w:rtl w:val="true"/>
        </w:rPr>
        <w:footnoteReference w:id="286"/>
      </w:r>
      <w:r>
        <w:rPr>
          <w:rFonts w:ascii="Amiri" w:hAnsi="Amiri" w:eastAsia="Amiri" w:cs="Amiri"/>
          <w:color w:val="111111"/>
          <w:sz w:val="28"/>
          <w:sz w:val="28"/>
          <w:szCs w:val="28"/>
          <w:rtl w:val="true"/>
          <w:lang w:bidi="ar-SA"/>
        </w:rPr>
        <w:t>،و قال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قلنا إن أمكن الجمع بينهما قبلتا و نجسا،كان قويّا </w:t>
      </w:r>
      <w:r>
        <w:rPr>
          <w:rStyle w:val="FootnoteAnchor"/>
          <w:rtl w:val="true"/>
        </w:rPr>
        <w:footnoteReference w:id="287"/>
      </w:r>
      <w:r>
        <w:rPr>
          <w:rFonts w:ascii="Amiri" w:hAnsi="Amiri" w:eastAsia="Amiri" w:cs="Amiri"/>
          <w:color w:val="111111"/>
          <w:sz w:val="28"/>
          <w:sz w:val="28"/>
          <w:szCs w:val="28"/>
          <w:rtl w:val="true"/>
          <w:lang w:bidi="ar-SA"/>
        </w:rPr>
        <w:t>، و لم يتعرّض لما لا يمكن فيه الجمع،و الوجه فيه وجوب الاحتراز منهما و الحكم بنجاسة أحدهما لا بعينه،و القول بسقوط شهادتهما فيما يتعذّر الجمع فيه لا يخلو من 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الحنابلة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bookmarkStart w:id="342" w:name="pg12672_159806"/>
    </w:p>
    <w:p>
      <w:pPr>
        <w:pStyle w:val="Heading6"/>
        <w:numPr>
          <w:ilvl w:val="5"/>
          <w:numId w:val="1"/>
        </w:numPr>
        <w:rPr/>
      </w:pPr>
      <w:bookmarkStart w:id="343" w:name="__RefHeading___Toc746881_222507752"/>
      <w:bookmarkStart w:id="344" w:name="_Toc131"/>
      <w:bookmarkEnd w:id="342"/>
      <w:bookmarkEnd w:id="343"/>
      <w:r>
        <w:rPr>
          <w:rtl w:val="true"/>
        </w:rPr>
        <w:t>الثّالث</w:t>
      </w:r>
      <w:r>
        <w:rPr>
          <w:rtl w:val="true"/>
        </w:rPr>
        <w:t>:</w:t>
      </w:r>
      <w:r>
        <w:rPr>
          <w:rtl w:val="true"/>
        </w:rPr>
        <w:t>لو علم بالنّجاسة بعد الطّهارة و شكّ في سبقها عليه،فالأصل الصّحّة</w:t>
      </w:r>
      <w:r>
        <w:rPr>
          <w:rtl w:val="true"/>
        </w:rPr>
        <w:t>.</w:t>
      </w:r>
      <w:bookmarkEnd w:id="344"/>
    </w:p>
    <w:p>
      <w:pPr>
        <w:pStyle w:val="BookText"/>
        <w:rPr/>
      </w:pPr>
      <w:r>
        <w:rPr>
          <w:rFonts w:ascii="Amiri" w:hAnsi="Amiri" w:eastAsia="Amiri" w:cs="Amiri"/>
          <w:color w:val="111111"/>
          <w:sz w:val="28"/>
          <w:sz w:val="28"/>
          <w:szCs w:val="28"/>
          <w:rtl w:val="true"/>
          <w:lang w:bidi="ar-SA"/>
        </w:rPr>
        <w:t>و لو علم سبقها على الطّهارة و شكّ في بلوغ الكرّيّة أعاد،لأنّ الأصل عدمها،و لو شكّ في نجاسة الواقع أو في كون الحيوان الميّت من ذوات الأنفس،بنى على الطّهارة</w:t>
      </w:r>
      <w:r>
        <w:rPr>
          <w:rFonts w:eastAsia="Amiri" w:cs="Amiri" w:ascii="Amiri" w:hAnsi="Amiri"/>
          <w:color w:val="111111"/>
          <w:sz w:val="28"/>
          <w:szCs w:val="28"/>
          <w:rtl w:val="true"/>
          <w:lang w:bidi="ar-SA"/>
        </w:rPr>
        <w:t>.</w:t>
      </w:r>
    </w:p>
    <w:p>
      <w:pPr>
        <w:pStyle w:val="Heading6"/>
        <w:numPr>
          <w:ilvl w:val="5"/>
          <w:numId w:val="1"/>
        </w:numPr>
        <w:rPr/>
      </w:pPr>
      <w:bookmarkStart w:id="345" w:name="__RefHeading___Toc746883_222507752"/>
      <w:bookmarkStart w:id="346" w:name="_Toc132"/>
      <w:bookmarkEnd w:id="345"/>
      <w:r>
        <w:rPr>
          <w:rtl w:val="true"/>
        </w:rPr>
        <w:t>الرّابع</w:t>
      </w:r>
      <w:r>
        <w:rPr>
          <w:rtl w:val="true"/>
        </w:rPr>
        <w:t>:</w:t>
      </w:r>
      <w:r>
        <w:rPr>
          <w:rtl w:val="true"/>
        </w:rPr>
        <w:t>لو أخبر العدل بنجاسة إنائه أو الفاسق بطهارته،</w:t>
      </w:r>
      <w:bookmarkEnd w:id="346"/>
    </w:p>
    <w:p>
      <w:pPr>
        <w:pStyle w:val="BookText"/>
        <w:rPr/>
      </w:pPr>
      <w:r>
        <w:rPr>
          <w:rFonts w:ascii="Amiri" w:hAnsi="Amiri" w:eastAsia="Amiri" w:cs="Amiri"/>
          <w:color w:val="111111"/>
          <w:sz w:val="28"/>
          <w:sz w:val="28"/>
          <w:szCs w:val="28"/>
          <w:rtl w:val="true"/>
          <w:lang w:bidi="ar-SA"/>
        </w:rPr>
        <w:t>فالوجه القبول،و لو أخبر الفاسق بنجاسة إنائه،فالأقرب القبول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سقط عليه من طريق ماء،لم يلزمه السّؤال عنه،لأصالة الطّهارة</w:t>
      </w:r>
      <w:r>
        <w:rPr>
          <w:rFonts w:eastAsia="Amiri" w:cs="Amiri" w:ascii="Amiri" w:hAnsi="Amiri"/>
          <w:color w:val="111111"/>
          <w:sz w:val="28"/>
          <w:szCs w:val="28"/>
          <w:rtl w:val="true"/>
          <w:lang w:bidi="ar-SA"/>
        </w:rPr>
        <w:t>.</w:t>
      </w:r>
    </w:p>
    <w:p>
      <w:pPr>
        <w:pStyle w:val="Heading6"/>
        <w:numPr>
          <w:ilvl w:val="5"/>
          <w:numId w:val="1"/>
        </w:numPr>
        <w:rPr/>
      </w:pPr>
      <w:bookmarkStart w:id="347" w:name="__RefHeading___Toc746885_222507752"/>
      <w:bookmarkStart w:id="348" w:name="_Toc133"/>
      <w:bookmarkEnd w:id="347"/>
      <w:r>
        <w:rPr>
          <w:rtl w:val="true"/>
        </w:rPr>
        <w:t>مسألة</w:t>
      </w:r>
      <w:r>
        <w:rPr>
          <w:rtl w:val="true"/>
        </w:rPr>
        <w:t>:</w:t>
      </w:r>
      <w:r>
        <w:rPr>
          <w:rtl w:val="true"/>
        </w:rPr>
        <w:t>المشهور عند أصحابنا</w:t>
      </w:r>
      <w:r>
        <w:rPr>
          <w:rtl w:val="true"/>
        </w:rPr>
        <w:t>:</w:t>
      </w:r>
      <w:r>
        <w:rPr>
          <w:rtl w:val="true"/>
        </w:rPr>
        <w:t>تنجيس البئر بملاقاة النّجاسة</w:t>
      </w:r>
      <w:bookmarkEnd w:id="348"/>
    </w:p>
    <w:p>
      <w:pPr>
        <w:pStyle w:val="BookText"/>
        <w:rPr/>
      </w:pPr>
      <w:r>
        <w:rPr>
          <w:rStyle w:val="FootnoteAnchor"/>
          <w:rtl w:val="true"/>
        </w:rPr>
        <w:footnoteReference w:id="289"/>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أحد قولي الشّيخ </w:t>
      </w:r>
      <w:r>
        <w:rPr>
          <w:rStyle w:val="FootnoteAnchor"/>
          <w:rtl w:val="true"/>
        </w:rPr>
        <w:footnoteReference w:id="2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يغسل الثّوب و لا تعاد الطّهارة ما لم يتغيّر بالنّجاسة، لكن لا يجوز استعماله إلاّ بعد تطهيره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ذهب الجمهور إلى التّنجيس أيضا مع قلّة الماء أو تغيّره </w:t>
      </w:r>
      <w:r>
        <w:rPr>
          <w:rStyle w:val="FootnoteAnchor"/>
          <w:rtl w:val="true"/>
        </w:rPr>
        <w:footnoteReference w:id="292"/>
      </w:r>
      <w:r>
        <w:rPr>
          <w:rFonts w:ascii="Amiri" w:hAnsi="Amiri" w:eastAsia="Amiri" w:cs="Amiri"/>
          <w:color w:val="111111"/>
          <w:sz w:val="28"/>
          <w:sz w:val="28"/>
          <w:szCs w:val="28"/>
          <w:rtl w:val="true"/>
          <w:lang w:bidi="ar-SA"/>
        </w:rPr>
        <w:t>،و الحقّ أنّها لا تنجس بمجرّد الملاقاة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أجمع العلماء كافّة على نجاستها بالتّغيّر بالنّجاسة</w:t>
      </w:r>
      <w:r>
        <w:rPr>
          <w:rFonts w:eastAsia="Amiri" w:cs="Amiri" w:ascii="Amiri" w:hAnsi="Amiri"/>
          <w:color w:val="111111"/>
          <w:sz w:val="28"/>
          <w:szCs w:val="28"/>
          <w:rtl w:val="true"/>
          <w:lang w:bidi="ar-SA"/>
        </w:rPr>
        <w:t>.</w:t>
      </w:r>
    </w:p>
    <w:p>
      <w:pPr>
        <w:pStyle w:val="Heading6"/>
        <w:numPr>
          <w:ilvl w:val="5"/>
          <w:numId w:val="1"/>
        </w:numPr>
        <w:rPr/>
      </w:pPr>
      <w:bookmarkStart w:id="349" w:name="__RefHeading___Toc746887_222507752"/>
      <w:bookmarkStart w:id="350" w:name="_Toc134"/>
      <w:bookmarkEnd w:id="349"/>
      <w:r>
        <w:rPr>
          <w:rtl w:val="true"/>
        </w:rPr>
        <w:t>احتجّ القائلون بالتّنجيس بوجوه</w:t>
      </w:r>
      <w:r>
        <w:rPr>
          <w:rtl w:val="true"/>
        </w:rPr>
        <w:t>:</w:t>
      </w:r>
      <w:bookmarkEnd w:id="350"/>
    </w:p>
    <w:p>
      <w:pPr>
        <w:pStyle w:val="Heading6"/>
        <w:numPr>
          <w:ilvl w:val="5"/>
          <w:numId w:val="1"/>
        </w:numPr>
        <w:rPr/>
      </w:pPr>
      <w:bookmarkStart w:id="351" w:name="__RefHeading___Toc746889_222507752"/>
      <w:bookmarkStart w:id="352" w:name="_Toc135"/>
      <w:bookmarkEnd w:id="351"/>
      <w:r>
        <w:rPr>
          <w:rtl w:val="true"/>
        </w:rPr>
        <w:t>الأوّل</w:t>
      </w:r>
      <w:r>
        <w:rPr>
          <w:rtl w:val="true"/>
        </w:rPr>
        <w:t>:</w:t>
      </w:r>
      <w:r>
        <w:rPr>
          <w:rtl w:val="true"/>
        </w:rPr>
        <w:t>النّصّ</w:t>
      </w:r>
      <w:bookmarkEnd w:id="352"/>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ما رواه الشّيخ في الصّحيح،عن محمّد بن بزيع </w:t>
      </w:r>
      <w:r>
        <w:rPr>
          <w:rStyle w:val="FootnoteAnchor"/>
          <w:rtl w:val="true"/>
        </w:rPr>
        <w:footnoteReference w:id="2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رجل أسأله أن يسأل أبا الحسن الرّضا عليه السّلام،عن البئر تكون في المنزل للوضوء فيقطر فيها قطرات من بول أو دم،أو يسقط فيها شيء من العذرة </w:t>
      </w:r>
      <w:r>
        <w:rPr>
          <w:rStyle w:val="FootnoteAnchor"/>
          <w:rtl w:val="true"/>
        </w:rPr>
        <w:footnoteReference w:id="294"/>
      </w:r>
      <w:r>
        <w:rPr>
          <w:rFonts w:ascii="Amiri" w:hAnsi="Amiri" w:eastAsia="Amiri" w:cs="Amiri"/>
          <w:color w:val="111111"/>
          <w:sz w:val="28"/>
          <w:sz w:val="28"/>
          <w:szCs w:val="28"/>
          <w:rtl w:val="true"/>
          <w:lang w:bidi="ar-SA"/>
        </w:rPr>
        <w:t xml:space="preserve">كالبعرة أو نحوها ما </w:t>
      </w:r>
      <w:bookmarkStart w:id="353" w:name="pg12672_159807"/>
    </w:p>
    <w:p>
      <w:pPr>
        <w:pStyle w:val="BookText"/>
        <w:rPr/>
      </w:pPr>
      <w:bookmarkEnd w:id="353"/>
      <w:r>
        <w:rPr>
          <w:rFonts w:ascii="Amiri" w:hAnsi="Amiri" w:eastAsia="Amiri" w:cs="Amiri"/>
          <w:color w:val="111111"/>
          <w:sz w:val="28"/>
          <w:sz w:val="28"/>
          <w:szCs w:val="28"/>
          <w:rtl w:val="true"/>
          <w:lang w:bidi="ar-SA"/>
        </w:rPr>
        <w:t>الّذي يطهّرها حتّى يحلّ الوضوء منها الصّلاة؟فوقّع عليه السّلام في كتابي بخطّه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ينزح منها دلاء</w:t>
      </w:r>
      <w:r>
        <w:rPr>
          <w:rFonts w:eastAsia="Amiri" w:cs="Amiri" w:ascii="Amiri" w:hAnsi="Amiri"/>
          <w:color w:val="111111"/>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فلو كانت طاهرة،لما حسن تقريره على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رواه أيضا في الصّحيح،عن عليّ بن يقطين </w:t>
      </w:r>
      <w:r>
        <w:rPr>
          <w:rStyle w:val="FootnoteAnchor"/>
          <w:rtl w:val="true"/>
        </w:rPr>
        <w:footnoteReference w:id="296"/>
      </w:r>
      <w:r>
        <w:rPr>
          <w:rFonts w:ascii="Amiri" w:hAnsi="Amiri" w:eastAsia="Amiri" w:cs="Amiri"/>
          <w:color w:val="111111"/>
          <w:sz w:val="28"/>
          <w:sz w:val="28"/>
          <w:szCs w:val="28"/>
          <w:rtl w:val="true"/>
          <w:lang w:bidi="ar-SA"/>
        </w:rPr>
        <w:t>،عن أبي الحسن موسى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البئر يقع فيها الحمامة و الدّجاجة أو الفأرة أو الكلب أو الهرّة؟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يجزيك أن تنزح منها دلاء،فإنّ ذلك يطهّرها إن شاء اللّه</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 xml:space="preserve">و لو كانت طاهرة، لكان تعليل التّطهير بالنّزح تعليلا لحكم سابق بعلّة لا حقة،و هو محال </w:t>
      </w:r>
      <w:r>
        <w:rPr>
          <w:rFonts w:eastAsia="Amiri" w:cs="Amiri" w:ascii="Amiri" w:hAnsi="Amiri"/>
          <w:color w:val="111111"/>
          <w:sz w:val="28"/>
          <w:szCs w:val="28"/>
          <w:rtl w:val="true"/>
          <w:lang w:bidi="ar-SA"/>
        </w:rPr>
        <w:t>.</w:t>
      </w:r>
    </w:p>
    <w:p>
      <w:pPr>
        <w:pStyle w:val="Heading6"/>
        <w:numPr>
          <w:ilvl w:val="5"/>
          <w:numId w:val="1"/>
        </w:numPr>
        <w:rPr/>
      </w:pPr>
      <w:bookmarkStart w:id="354" w:name="__RefHeading___Toc746891_222507752"/>
      <w:bookmarkStart w:id="355" w:name="_Toc136"/>
      <w:bookmarkEnd w:id="354"/>
      <w:r>
        <w:rPr>
          <w:rtl w:val="true"/>
        </w:rPr>
        <w:t>الثّاني</w:t>
      </w:r>
      <w:r>
        <w:rPr>
          <w:rtl w:val="true"/>
        </w:rPr>
        <w:t>:</w:t>
      </w:r>
      <w:r>
        <w:rPr>
          <w:rtl w:val="true"/>
        </w:rPr>
        <w:t>عمل أكثر الأصحاب</w:t>
      </w:r>
      <w:bookmarkEnd w:id="355"/>
    </w:p>
    <w:p>
      <w:pPr>
        <w:pStyle w:val="BookText"/>
        <w:rPr/>
      </w:pP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 إن لم يكن حجّة قطعيّة،لكنّه يفيد أولويّة ما،فإذا انضمّ إلى ما ذكرنا من الأحاديث حصل القطع بالحكم </w:t>
      </w:r>
      <w:r>
        <w:rPr>
          <w:rFonts w:eastAsia="Amiri" w:cs="Amiri" w:ascii="Amiri" w:hAnsi="Amiri"/>
          <w:color w:val="111111"/>
          <w:sz w:val="28"/>
          <w:szCs w:val="28"/>
          <w:rtl w:val="true"/>
          <w:lang w:bidi="ar-SA"/>
        </w:rPr>
        <w:t>.</w:t>
      </w:r>
    </w:p>
    <w:p>
      <w:pPr>
        <w:pStyle w:val="Heading6"/>
        <w:numPr>
          <w:ilvl w:val="5"/>
          <w:numId w:val="1"/>
        </w:numPr>
        <w:rPr/>
      </w:pPr>
      <w:bookmarkStart w:id="356" w:name="__RefHeading___Toc746893_222507752"/>
      <w:bookmarkStart w:id="357" w:name="_Toc137"/>
      <w:bookmarkEnd w:id="356"/>
      <w:r>
        <w:rPr>
          <w:rtl w:val="true"/>
        </w:rPr>
        <w:t>الثّالث</w:t>
      </w:r>
      <w:r>
        <w:rPr>
          <w:rtl w:val="true"/>
        </w:rPr>
        <w:t>:</w:t>
      </w:r>
      <w:r>
        <w:rPr>
          <w:rtl w:val="true"/>
        </w:rPr>
        <w:t>لو كان طاهرا،لما ساغ التّيمّم</w:t>
      </w:r>
      <w:bookmarkEnd w:id="357"/>
    </w:p>
    <w:p>
      <w:pPr>
        <w:pStyle w:val="BookText"/>
        <w:rPr/>
      </w:pPr>
      <w:r>
        <w:rPr>
          <w:rFonts w:ascii="Amiri" w:hAnsi="Amiri" w:eastAsia="Amiri" w:cs="Amiri"/>
          <w:color w:val="111111"/>
          <w:sz w:val="28"/>
          <w:sz w:val="28"/>
          <w:szCs w:val="28"/>
          <w:rtl w:val="true"/>
          <w:lang w:bidi="ar-SA"/>
        </w:rPr>
        <w:t>،و التّالي باطل،فالمقدّم مثله،و الشّرطيّة ظاهرة،فإنّ الشّرط في جواز التّيمّم،فقدان الطّاهر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بيان بطلان التّالي من وجهين</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 في الصّحيح،عن عبد اللّه بن أبي يعفور </w:t>
      </w:r>
      <w:r>
        <w:rPr>
          <w:rStyle w:val="FootnoteAnchor"/>
          <w:rtl w:val="true"/>
        </w:rPr>
        <w:footnoteReference w:id="299"/>
      </w:r>
      <w:r>
        <w:rPr>
          <w:rFonts w:ascii="Amiri" w:hAnsi="Amiri" w:eastAsia="Amiri" w:cs="Amiri"/>
          <w:color w:val="111111"/>
          <w:sz w:val="28"/>
          <w:sz w:val="28"/>
          <w:szCs w:val="28"/>
          <w:rtl w:val="true"/>
          <w:lang w:bidi="ar-SA"/>
        </w:rPr>
        <w:t xml:space="preserve">،و عنبسة بن </w:t>
      </w:r>
      <w:bookmarkStart w:id="358" w:name="pg12672_159808"/>
    </w:p>
    <w:p>
      <w:pPr>
        <w:pStyle w:val="BookText"/>
        <w:rPr/>
      </w:pPr>
      <w:bookmarkEnd w:id="358"/>
      <w:r>
        <w:rPr>
          <w:rFonts w:ascii="IRNazanin" w:hAnsi="IRNazanin" w:eastAsia="IRNazanin"/>
          <w:color w:val="111111"/>
          <w:sz w:val="28"/>
          <w:sz w:val="28"/>
          <w:szCs w:val="28"/>
          <w:rtl w:val="true"/>
          <w:lang w:bidi="fa-IR"/>
        </w:rPr>
        <w:t xml:space="preserve">مصعب </w:t>
      </w:r>
      <w:r>
        <w:rPr>
          <w:rStyle w:val="FootnoteAnchor"/>
          <w:rtl w:val="true"/>
        </w:rPr>
        <w:footnoteReference w:id="300"/>
      </w:r>
      <w:r>
        <w:rPr>
          <w:rFonts w:ascii="Amiri" w:hAnsi="Amiri" w:eastAsia="Amiri" w:cs="Amiri"/>
          <w:color w:val="111111"/>
          <w:sz w:val="28"/>
          <w:sz w:val="28"/>
          <w:szCs w:val="28"/>
          <w:rtl w:val="true"/>
          <w:lang w:bidi="ar-SA"/>
        </w:rPr>
        <w:t>،عن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أتيت البئر و أنت جنب فلم تجد دلوا و لا شيئا تغرف به،فتيمّم بالصّعيد الطّيّب،فإنّ ربّ الماء ربّ الصّعيد،و لا تقع في البئر و لا تفسد على القوم ماءهم</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 انّ هذا الحديث كما دلّ على بطلان التّالي،فله دلالة على المطلوب ابتداء مستفادة من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تفسد على القوم ماءهم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يجز التّيمّم،لزم أحد الأمرين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جواز استعمال ماء البئر بغير نزح،أو إطراح الصّلاة،و هما باطلان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فلأنّه لو صحّ لما وجب النّزح،و هو باطل بالأحاديث المتواترة الدّالّة على وجوبه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فبالإجماع</w:t>
      </w:r>
      <w:r>
        <w:rPr>
          <w:rFonts w:eastAsia="Amiri" w:cs="Amiri" w:ascii="Amiri" w:hAnsi="Amiri"/>
          <w:color w:val="111111"/>
          <w:sz w:val="28"/>
          <w:szCs w:val="28"/>
          <w:rtl w:val="true"/>
          <w:lang w:bidi="ar-SA"/>
        </w:rPr>
        <w:t>.</w:t>
      </w:r>
    </w:p>
    <w:p>
      <w:pPr>
        <w:pStyle w:val="Heading6"/>
        <w:numPr>
          <w:ilvl w:val="5"/>
          <w:numId w:val="1"/>
        </w:numPr>
        <w:rPr/>
      </w:pPr>
      <w:bookmarkStart w:id="359" w:name="__RefHeading___Toc746895_222507752"/>
      <w:bookmarkStart w:id="360" w:name="_Toc138"/>
      <w:bookmarkEnd w:id="359"/>
      <w:r>
        <w:rPr>
          <w:rtl w:val="true"/>
        </w:rPr>
        <w:t>الرّابع</w:t>
      </w:r>
      <w:r>
        <w:rPr>
          <w:rtl w:val="true"/>
        </w:rPr>
        <w:t>:</w:t>
      </w:r>
      <w:r>
        <w:rPr>
          <w:rtl w:val="true"/>
        </w:rPr>
        <w:t>انّه لو كان طاهرا،لكان النّزح عبثا</w:t>
      </w:r>
      <w:bookmarkEnd w:id="360"/>
    </w:p>
    <w:p>
      <w:pPr>
        <w:pStyle w:val="BookText"/>
        <w:rPr/>
      </w:pPr>
      <w:r>
        <w:rPr>
          <w:rFonts w:ascii="Amiri" w:hAnsi="Amiri" w:eastAsia="Amiri" w:cs="Amiri"/>
          <w:color w:val="111111"/>
          <w:sz w:val="28"/>
          <w:sz w:val="28"/>
          <w:szCs w:val="28"/>
          <w:rtl w:val="true"/>
          <w:lang w:bidi="ar-SA"/>
        </w:rPr>
        <w:t xml:space="preserve">،و المقدّم كالتّالي باطل </w:t>
      </w:r>
      <w:r>
        <w:rPr>
          <w:rFonts w:eastAsia="Amiri" w:cs="Amiri" w:ascii="Amiri" w:hAnsi="Amiri"/>
          <w:color w:val="111111"/>
          <w:sz w:val="28"/>
          <w:szCs w:val="28"/>
          <w:rtl w:val="true"/>
          <w:lang w:bidi="ar-SA"/>
        </w:rPr>
        <w:t>.</w:t>
      </w:r>
    </w:p>
    <w:p>
      <w:pPr>
        <w:pStyle w:val="Heading6"/>
        <w:numPr>
          <w:ilvl w:val="5"/>
          <w:numId w:val="1"/>
        </w:numPr>
        <w:rPr/>
      </w:pPr>
      <w:bookmarkStart w:id="361" w:name="__RefHeading___Toc746897_222507752"/>
      <w:bookmarkStart w:id="362" w:name="_Toc139"/>
      <w:bookmarkEnd w:id="361"/>
      <w:r>
        <w:rPr>
          <w:rtl w:val="true"/>
        </w:rPr>
        <w:t>احتجّ الآخرون بوجوه</w:t>
      </w:r>
      <w:r>
        <w:rPr>
          <w:rtl w:val="true"/>
        </w:rPr>
        <w:t>:</w:t>
      </w:r>
      <w:bookmarkEnd w:id="362"/>
    </w:p>
    <w:p>
      <w:pPr>
        <w:pStyle w:val="Heading6"/>
        <w:numPr>
          <w:ilvl w:val="5"/>
          <w:numId w:val="1"/>
        </w:numPr>
        <w:rPr/>
      </w:pPr>
      <w:bookmarkStart w:id="363" w:name="__RefHeading___Toc746899_222507752"/>
      <w:bookmarkStart w:id="364" w:name="_Toc140"/>
      <w:bookmarkEnd w:id="363"/>
      <w:r>
        <w:rPr>
          <w:rtl w:val="true"/>
        </w:rPr>
        <w:t>الأوّل</w:t>
      </w:r>
      <w:r>
        <w:rPr>
          <w:rtl w:val="true"/>
        </w:rPr>
        <w:t>:</w:t>
      </w:r>
      <w:r>
        <w:rPr>
          <w:rtl w:val="true"/>
        </w:rPr>
        <w:t>النّصّ</w:t>
      </w:r>
      <w:bookmarkEnd w:id="364"/>
    </w:p>
    <w:p>
      <w:pPr>
        <w:pStyle w:val="BookText"/>
        <w:rPr/>
      </w:pPr>
      <w:r>
        <w:rPr>
          <w:rFonts w:ascii="Amiri" w:hAnsi="Amiri" w:eastAsia="Amiri" w:cs="Amiri"/>
          <w:color w:val="111111"/>
          <w:sz w:val="28"/>
          <w:sz w:val="28"/>
          <w:szCs w:val="28"/>
          <w:rtl w:val="true"/>
          <w:lang w:bidi="ar-SA"/>
        </w:rPr>
        <w:t>،و هو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دلّ بمنطوقه،و هو ما رواه الشّيخ في الصّحيح،عن محمّد بن إسماعيل،قال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كتبت إلى رجل أسأله أن يسأل أبا الحسن الرّضا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ماء البئر واسع لا يفسده شيء،إلاّ أن يتغيّر ريحه أو طعمه،فينزح منه حتّى يذهب الرّيح و يطيب طعمه، لأنّه </w:t>
      </w:r>
      <w:r>
        <w:rPr>
          <w:rStyle w:val="FootnoteAnchor"/>
          <w:rtl w:val="true"/>
        </w:rPr>
        <w:footnoteReference w:id="303"/>
      </w:r>
      <w:r>
        <w:rPr>
          <w:rFonts w:ascii="Amiri" w:hAnsi="Amiri" w:eastAsia="Amiri" w:cs="Amiri"/>
          <w:color w:val="111111"/>
          <w:sz w:val="28"/>
          <w:sz w:val="28"/>
          <w:szCs w:val="28"/>
          <w:rtl w:val="true"/>
          <w:lang w:bidi="ar-SA"/>
        </w:rPr>
        <w:t>له مادّة</w:t>
      </w:r>
      <w:r>
        <w:rPr>
          <w:rFonts w:eastAsia="Amiri" w:cs="Amiri" w:ascii="Amiri" w:hAnsi="Amiri"/>
          <w:color w:val="111111"/>
          <w:sz w:val="28"/>
          <w:szCs w:val="28"/>
          <w:rtl w:val="true"/>
          <w:lang w:bidi="ar-SA"/>
        </w:rPr>
        <w:t xml:space="preserve">) </w:t>
      </w:r>
      <w:r>
        <w:rPr>
          <w:rStyle w:val="FootnoteAnchor"/>
          <w:rtl w:val="true"/>
        </w:rPr>
        <w:footnoteReference w:id="304"/>
      </w:r>
      <w:r>
        <w:rPr>
          <w:rFonts w:ascii="Amiri" w:hAnsi="Amiri" w:eastAsia="Amiri" w:cs="Amiri"/>
          <w:color w:val="111111"/>
          <w:sz w:val="28"/>
          <w:sz w:val="28"/>
          <w:szCs w:val="28"/>
          <w:rtl w:val="true"/>
          <w:lang w:bidi="ar-SA"/>
        </w:rPr>
        <w:t xml:space="preserve">و قد أشار عليه السّلام إلى العلّة،فكان أبلغ في التّنصيص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ما رواه،عن عليّ بن حديد،عن بعض أصحابنا،قال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أبي عبد اللّه عليه السّلام في طريق مكّة،فصرنا إلى بئر فاستقى غلام أبي عبد اللّه عليه السّلام دلوا،فخرج فيه فأرتان،فقال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فاستقى آخر،فخرجت فيه فأرة،فقال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فاستقى الثّالث فلم يخرج فيه شيء،فقال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صبّه في الإناء</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و هذا و إن كان مرسلا،لكنّه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الشّيخ في حديث حسن،عن عليّ بن جعفر،عن أخيه موسى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بئر ماء وقع فيها زنبيل من عذرة رطبة أو يابسة أو زنبيل من سرقين،أ يصلح الوضوء منها؟قال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الصّحيح،عن محمّد بن إسماعيل،عن الرّضا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البئر واسع لا يفسده شيء،إلاّ أن يتغيّر</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رواه الشّيخ،عن عمّار </w:t>
      </w:r>
      <w:r>
        <w:rPr>
          <w:rStyle w:val="FootnoteAnchor"/>
          <w:rtl w:val="true"/>
        </w:rPr>
        <w:footnoteReference w:id="3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عليه السّلام عن البئر يقع فيها زنبيل عذرة يابسة أو رطبة؟فقال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إذا كان فيها ماء كثير</w:t>
      </w:r>
      <w:r>
        <w:rPr>
          <w:rFonts w:eastAsia="Amiri" w:cs="Amiri" w:ascii="Amiri" w:hAnsi="Amiri"/>
          <w:color w:val="111111"/>
          <w:sz w:val="28"/>
          <w:szCs w:val="28"/>
          <w:rtl w:val="true"/>
          <w:lang w:bidi="ar-SA"/>
        </w:rPr>
        <w:t xml:space="preserve">) </w:t>
      </w:r>
      <w:r>
        <w:rPr>
          <w:rStyle w:val="FootnoteAnchor"/>
          <w:rtl w:val="true"/>
        </w:rPr>
        <w:footnoteReference w:id="310"/>
      </w:r>
      <w:r>
        <w:rPr>
          <w:rFonts w:ascii="Amiri" w:hAnsi="Amiri" w:eastAsia="Amiri" w:cs="Amiri"/>
          <w:color w:val="111111"/>
          <w:sz w:val="28"/>
          <w:sz w:val="28"/>
          <w:szCs w:val="28"/>
          <w:rtl w:val="true"/>
          <w:lang w:bidi="ar-SA"/>
        </w:rPr>
        <w:t>و عمّار و إن كان فطحيّا،إلاّ انّه يعتمد كثيرا على روايته لثقته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يدلّ بمفهومه،و هو ما رواه الشّيخ في الصّحيح،عن معاوية،عن أبي عبد </w:t>
      </w:r>
    </w:p>
    <w:p>
      <w:pPr>
        <w:pStyle w:val="BookText"/>
        <w:rPr/>
      </w:pPr>
      <w:r>
        <w:rPr>
          <w:rFonts w:ascii="Amiri" w:hAnsi="Amiri" w:eastAsia="Amiri" w:cs="Amiri"/>
          <w:color w:val="111111"/>
          <w:sz w:val="28"/>
          <w:sz w:val="28"/>
          <w:szCs w:val="28"/>
          <w:rtl w:val="true"/>
          <w:lang w:bidi="ar-SA"/>
        </w:rPr>
        <w:t>اللّه عليه السّلام،قال،سمعته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يغسل الثّوب و لا تعاد الصّلاة ممّا وقع في البئر إلاّ أن ينتن،فإن أنتن غسل الثوب و أعاد الصّلاة و نزحت البئر</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الصّحيح،عن معاوية،عن أبي عبد اللّه عليه السّلام،في الفأرة تقع في البئر فيتوضّأ الرّجل منها و يصلّي و هو لا يعلم أ يعيد الصّلاة و يغسل ثوبه؟فقال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يعيد الصّلاة و لا يغسل ثوبه</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رواه،عن أبان بن عثمان </w:t>
      </w:r>
      <w:r>
        <w:rPr>
          <w:rStyle w:val="FootnoteAnchor"/>
          <w:rtl w:val="true"/>
        </w:rPr>
        <w:footnoteReference w:id="313"/>
      </w:r>
      <w:r>
        <w:rPr>
          <w:rFonts w:ascii="Amiri" w:hAnsi="Amiri" w:eastAsia="Amiri" w:cs="Amiri"/>
          <w:color w:val="111111"/>
          <w:sz w:val="28"/>
          <w:sz w:val="28"/>
          <w:szCs w:val="28"/>
          <w:rtl w:val="true"/>
          <w:lang w:bidi="ar-SA"/>
        </w:rPr>
        <w:t>،عن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الفأرة تقع في البئر لا يعلم بها إلاّ بعد ما يتوضّأ منها،إيعاد الوضوء؟فقال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بئر يستقى منها و توضّىء به و غسل منه الثّياب و عجن به،ثمَّ علم انّه كان فيها ميّت؟قال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بأس،و لا يغسل الثّوب و لا تعاد منه الصّلاة</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في الصّحيح،عن زرارة،عن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الحبل يكون من شعر الخنزير يستقي به الماء من البئر،أ يتوضّأ من ذلك الماء؟قال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bookmarkStart w:id="365" w:name="pg12672_159811"/>
    </w:p>
    <w:p>
      <w:pPr>
        <w:pStyle w:val="BookText"/>
        <w:rPr/>
      </w:pPr>
      <w:bookmarkEnd w:id="365"/>
      <w:r>
        <w:rPr>
          <w:rFonts w:ascii="Amiri" w:hAnsi="Amiri" w:eastAsia="Amiri" w:cs="Amiri"/>
          <w:color w:val="111111"/>
          <w:sz w:val="28"/>
          <w:sz w:val="28"/>
          <w:szCs w:val="28"/>
          <w:rtl w:val="true"/>
          <w:lang w:bidi="ar-SA"/>
        </w:rPr>
        <w:t>و اعترضوا على الحديث الأوّل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يفسده،أي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فسادا يوجب التّعطيل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الرّاوي أسندها إلى المكاتبة،و هي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المعارضة بخبر ابن بزيع المتقدّم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تخصيص لا يدلّ اللّفظ عليه،و لأنّ الاستثناء ينفيه،لأنّه حينئذ لا يبقى فرق بين المستثنى و المستثنى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الرّاوي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 كذا،و الثّقة لا يخبر بالقول إلاّ مع القطع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انّ الرّسول عليه السّلام قد </w:t>
      </w:r>
      <w:r>
        <w:rPr>
          <w:rStyle w:val="FootnoteAnchor"/>
          <w:rtl w:val="true"/>
        </w:rPr>
        <w:footnoteReference w:id="318"/>
      </w:r>
      <w:r>
        <w:rPr>
          <w:rFonts w:ascii="Amiri" w:hAnsi="Amiri" w:eastAsia="Amiri" w:cs="Amiri"/>
          <w:color w:val="111111"/>
          <w:sz w:val="28"/>
          <w:sz w:val="28"/>
          <w:szCs w:val="28"/>
          <w:rtl w:val="true"/>
          <w:lang w:bidi="ar-SA"/>
        </w:rPr>
        <w:t xml:space="preserve">كان ينفذ رسله بالمكاتبات،فلو لم يكن حجّة دالاّ لما ساغ </w:t>
      </w:r>
      <w:r>
        <w:rPr>
          <w:rStyle w:val="FootnoteAnchor"/>
          <w:rtl w:val="true"/>
        </w:rPr>
        <w:footnoteReference w:id="319"/>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 الحديث الّذي استدلّوا به أوّلا من هذا 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المعارضة إنّما تتمّ على تقدير نصوصيّة الحديث الأوّل على المعنى المطلوب منه،و ليس كذلك </w:t>
      </w:r>
      <w:r>
        <w:rPr>
          <w:rFonts w:eastAsia="Amiri" w:cs="Amiri" w:ascii="Amiri" w:hAnsi="Amiri"/>
          <w:color w:val="111111"/>
          <w:sz w:val="28"/>
          <w:szCs w:val="28"/>
          <w:rtl w:val="true"/>
          <w:lang w:bidi="ar-SA"/>
        </w:rPr>
        <w:t>.</w:t>
      </w:r>
    </w:p>
    <w:p>
      <w:pPr>
        <w:pStyle w:val="Heading6"/>
        <w:numPr>
          <w:ilvl w:val="5"/>
          <w:numId w:val="1"/>
        </w:numPr>
        <w:rPr/>
      </w:pPr>
      <w:bookmarkStart w:id="366" w:name="__RefHeading___Toc746901_222507752"/>
      <w:bookmarkStart w:id="367" w:name="_Toc141"/>
      <w:bookmarkEnd w:id="366"/>
      <w:r>
        <w:rPr>
          <w:rtl w:val="true"/>
        </w:rPr>
        <w:t>الوجه الثّاني</w:t>
      </w:r>
      <w:r>
        <w:rPr>
          <w:rtl w:val="true"/>
        </w:rPr>
        <w:t>:</w:t>
      </w:r>
      <w:r>
        <w:rPr>
          <w:rtl w:val="true"/>
        </w:rPr>
        <w:t>العمومات الدّالّة على انّ مطلق الماء طهور</w:t>
      </w:r>
      <w:bookmarkEnd w:id="367"/>
    </w:p>
    <w:p>
      <w:pPr>
        <w:pStyle w:val="BookText"/>
        <w:rPr/>
      </w:pPr>
      <w:r>
        <w:rPr>
          <w:rFonts w:ascii="Amiri" w:hAnsi="Amiri" w:eastAsia="Amiri" w:cs="Amiri"/>
          <w:color w:val="111111"/>
          <w:sz w:val="28"/>
          <w:sz w:val="28"/>
          <w:szCs w:val="28"/>
          <w:rtl w:val="true"/>
          <w:lang w:bidi="ar-SA"/>
        </w:rPr>
        <w:t xml:space="preserve">،و قد تقدّمت </w:t>
      </w:r>
      <w:r>
        <w:rPr>
          <w:rStyle w:val="FootnoteAnchor"/>
          <w:rtl w:val="true"/>
        </w:rPr>
        <w:footnoteReference w:id="320"/>
      </w:r>
      <w:r>
        <w:rPr>
          <w:rFonts w:ascii="Amiri" w:hAnsi="Amiri" w:eastAsia="Amiri" w:cs="Amiri"/>
          <w:color w:val="111111"/>
          <w:sz w:val="28"/>
          <w:sz w:val="28"/>
          <w:szCs w:val="28"/>
          <w:rtl w:val="true"/>
          <w:lang w:bidi="ar-SA"/>
        </w:rPr>
        <w:t>،و تخصيصها بالماء القليل حال ملاقاة النّجاسة لا يخرجها عن كونها حجّة</w:t>
      </w:r>
      <w:r>
        <w:rPr>
          <w:rFonts w:eastAsia="Amiri" w:cs="Amiri" w:ascii="Amiri" w:hAnsi="Amiri"/>
          <w:color w:val="111111"/>
          <w:sz w:val="28"/>
          <w:szCs w:val="28"/>
          <w:rtl w:val="true"/>
          <w:lang w:bidi="ar-SA"/>
        </w:rPr>
        <w:t>.</w:t>
      </w:r>
    </w:p>
    <w:p>
      <w:pPr>
        <w:pStyle w:val="Heading6"/>
        <w:numPr>
          <w:ilvl w:val="5"/>
          <w:numId w:val="1"/>
        </w:numPr>
        <w:rPr/>
      </w:pPr>
      <w:bookmarkStart w:id="368" w:name="__RefHeading___Toc746903_222507752"/>
      <w:bookmarkStart w:id="369" w:name="_Toc142"/>
      <w:bookmarkEnd w:id="368"/>
      <w:r>
        <w:rPr>
          <w:rtl w:val="true"/>
        </w:rPr>
        <w:t>الوجه الثّالث</w:t>
      </w:r>
      <w:r>
        <w:rPr>
          <w:rtl w:val="true"/>
        </w:rPr>
        <w:t>:</w:t>
      </w:r>
      <w:r>
        <w:rPr>
          <w:rtl w:val="true"/>
        </w:rPr>
        <w:t>انّها لو نجست لما طهرت</w:t>
      </w:r>
      <w:bookmarkEnd w:id="369"/>
    </w:p>
    <w:p>
      <w:pPr>
        <w:pStyle w:val="BookText"/>
        <w:rPr/>
      </w:pPr>
      <w:r>
        <w:rPr>
          <w:rFonts w:ascii="Amiri" w:hAnsi="Amiri" w:eastAsia="Amiri" w:cs="Amiri"/>
          <w:color w:val="111111"/>
          <w:sz w:val="28"/>
          <w:sz w:val="28"/>
          <w:szCs w:val="28"/>
          <w:rtl w:val="true"/>
          <w:lang w:bidi="ar-SA"/>
        </w:rPr>
        <w:t>،و التّالي باطل اتفاقا،و لأنّه حرج،فالمقدّم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الشّرطيّة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طريق إلى التّطهير إلاّ النّزح حينئذ،و إلاّ لزم إحداث الثّالث، و ليس بصالح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لم يعهد </w:t>
      </w:r>
      <w:r>
        <w:rPr>
          <w:rStyle w:val="FootnoteAnchor"/>
          <w:rtl w:val="true"/>
        </w:rPr>
        <w:footnoteReference w:id="321"/>
      </w:r>
      <w:r>
        <w:rPr>
          <w:rFonts w:ascii="Amiri" w:hAnsi="Amiri" w:eastAsia="Amiri" w:cs="Amiri"/>
          <w:color w:val="111111"/>
          <w:sz w:val="28"/>
          <w:sz w:val="28"/>
          <w:szCs w:val="28"/>
          <w:rtl w:val="true"/>
          <w:lang w:bidi="ar-SA"/>
        </w:rPr>
        <w:t>في الشّرع تطهير شيء بإعدام بعضه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فلأنّه غالبا قد يسقط من الدّلو الأخير إلى البئر،فيلزم تنجيسها،و لا ينفكّ المكلّف من النّزح،و ذلك ضرر عظيم</w:t>
      </w:r>
      <w:r>
        <w:rPr>
          <w:rFonts w:eastAsia="Amiri" w:cs="Amiri" w:ascii="Amiri" w:hAnsi="Amiri"/>
          <w:color w:val="111111"/>
          <w:sz w:val="28"/>
          <w:szCs w:val="28"/>
          <w:rtl w:val="true"/>
          <w:lang w:bidi="ar-SA"/>
        </w:rPr>
        <w:t xml:space="preserve">. </w:t>
      </w:r>
      <w:bookmarkStart w:id="370" w:name="pg12672_159812"/>
    </w:p>
    <w:p>
      <w:pPr>
        <w:pStyle w:val="BookText"/>
        <w:rPr/>
      </w:pPr>
      <w:bookmarkEnd w:id="370"/>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فلأنّ الأخبار اضطربت في تقدير النّزح،فتارة دلّت على التّضييق في التّقديرات المختلفة،و تارة دلّت على الإطلاق،و ذلك ممّا لا يمكن أن يجعله الشّارع طريقا إلى التّطهير </w:t>
      </w:r>
      <w:r>
        <w:rPr>
          <w:rFonts w:eastAsia="Amiri" w:cs="Amiri" w:ascii="Amiri" w:hAnsi="Amiri"/>
          <w:color w:val="111111"/>
          <w:sz w:val="28"/>
          <w:szCs w:val="28"/>
          <w:rtl w:val="true"/>
          <w:lang w:bidi="ar-SA"/>
        </w:rPr>
        <w:t>.</w:t>
      </w:r>
    </w:p>
    <w:p>
      <w:pPr>
        <w:pStyle w:val="Heading6"/>
        <w:numPr>
          <w:ilvl w:val="5"/>
          <w:numId w:val="1"/>
        </w:numPr>
        <w:rPr/>
      </w:pPr>
      <w:bookmarkStart w:id="371" w:name="__RefHeading___Toc746905_222507752"/>
      <w:bookmarkStart w:id="372" w:name="_Toc143"/>
      <w:bookmarkEnd w:id="371"/>
      <w:r>
        <w:rPr>
          <w:rtl w:val="true"/>
        </w:rPr>
        <w:t>الرّابع</w:t>
      </w:r>
      <w:r>
        <w:rPr>
          <w:rtl w:val="true"/>
        </w:rPr>
        <w:t>:</w:t>
      </w:r>
      <w:r>
        <w:rPr>
          <w:rtl w:val="true"/>
        </w:rPr>
        <w:t>انّه بجريانه من منابعه أشبه الماء الجاري،</w:t>
      </w:r>
      <w:bookmarkEnd w:id="372"/>
    </w:p>
    <w:p>
      <w:pPr>
        <w:pStyle w:val="BookText"/>
        <w:rPr/>
      </w:pPr>
      <w:r>
        <w:rPr>
          <w:rFonts w:ascii="Amiri" w:hAnsi="Amiri" w:eastAsia="Amiri" w:cs="Amiri"/>
          <w:color w:val="111111"/>
          <w:sz w:val="28"/>
          <w:sz w:val="28"/>
          <w:szCs w:val="28"/>
          <w:rtl w:val="true"/>
          <w:lang w:bidi="ar-SA"/>
        </w:rPr>
        <w:t xml:space="preserve">فيتساويان حكما </w:t>
      </w:r>
      <w:r>
        <w:rPr>
          <w:rFonts w:eastAsia="Amiri" w:cs="Amiri" w:ascii="Amiri" w:hAnsi="Amiri"/>
          <w:color w:val="111111"/>
          <w:sz w:val="28"/>
          <w:szCs w:val="28"/>
          <w:rtl w:val="true"/>
          <w:lang w:bidi="ar-SA"/>
        </w:rPr>
        <w:t>.</w:t>
      </w:r>
    </w:p>
    <w:p>
      <w:pPr>
        <w:pStyle w:val="Heading6"/>
        <w:numPr>
          <w:ilvl w:val="5"/>
          <w:numId w:val="1"/>
        </w:numPr>
        <w:rPr/>
      </w:pPr>
      <w:bookmarkStart w:id="373" w:name="__RefHeading___Toc746907_222507752"/>
      <w:bookmarkStart w:id="374" w:name="_Toc144"/>
      <w:bookmarkEnd w:id="373"/>
      <w:r>
        <w:rPr>
          <w:rtl w:val="true"/>
        </w:rPr>
        <w:t>الخامس</w:t>
      </w:r>
      <w:r>
        <w:rPr>
          <w:rtl w:val="true"/>
        </w:rPr>
        <w:t>:</w:t>
      </w:r>
      <w:r>
        <w:rPr>
          <w:rtl w:val="true"/>
        </w:rPr>
        <w:t>الأصل الدّالّ على الطّهارة و على نفي الحرج</w:t>
      </w:r>
      <w:bookmarkEnd w:id="374"/>
    </w:p>
    <w:p>
      <w:pPr>
        <w:pStyle w:val="BookText"/>
        <w:rPr/>
      </w:pPr>
      <w:r>
        <w:rPr>
          <w:rFonts w:ascii="Amiri" w:hAnsi="Amiri" w:eastAsia="Amiri" w:cs="Amiri"/>
          <w:color w:val="111111"/>
          <w:sz w:val="28"/>
          <w:sz w:val="28"/>
          <w:szCs w:val="28"/>
          <w:rtl w:val="true"/>
          <w:lang w:bidi="ar-SA"/>
        </w:rPr>
        <w:t xml:space="preserve">المستفاد من التّنجيس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 عمّا احتجّوا به أوّلا من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عليه السّلام لم يحكم بالنّجاسة،أقصى ما في الباب انّه أوجب النّزح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لم لا يجوز أن يكون قوله ينزح منها دلاء،و إن كان متضمّنا للطّهارة إلاّ انّ المراد من الطّهارة هاهنا النّظافة،لا ضدّ النّجاسة،فإنّ هذه الأشياء المعدودة من القاذورات،و تقريره عليه السّلام لقول السّائل حتى يحلّ الوضوء منها بعد تسليمه،ليس فيه دلالة على التّنجيس،فإنّا نقول بموجبة حيث أوجبنا النّزح و لم نسوّغ الاستعمال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 على ما إذا تغيّرت جمعا بين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دلالة مفهوم،و هي ضعيفة،خصوصا مع معارضتها للمنطوق و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 المطهّر هاهنا على ما اذن في استعماله،و ذلك إنّما يكون بعد النّزح، لمشاركته للنّجس في المنع جمعا بين 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الأجوبة آتية في الحديث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عمل الأكثر ليس بحجّة،و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فكيف يدّعي عمل الأكثر هاهنا مع انّ الشّيخ و ابن أبي عقيل ذهبا إلى ما نقلناه عنهما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بالمنع عن الملازمة أوّلا،قوله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فقدان الطّاهر،قلنا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على الإطلاق،بل المأذون في استعماله،فإنّ المستعمل في إزالة الحدث الأكبر طاهر عند أكثر أصحابنا </w:t>
      </w:r>
      <w:r>
        <w:rPr>
          <w:rStyle w:val="FootnoteAnchor"/>
          <w:rtl w:val="true"/>
        </w:rPr>
        <w:footnoteReference w:id="323"/>
      </w:r>
      <w:r>
        <w:rPr>
          <w:rFonts w:ascii="Amiri" w:hAnsi="Amiri" w:eastAsia="Amiri" w:cs="Amiri"/>
          <w:color w:val="111111"/>
          <w:sz w:val="28"/>
          <w:sz w:val="28"/>
          <w:szCs w:val="28"/>
          <w:rtl w:val="true"/>
          <w:lang w:bidi="ar-SA"/>
        </w:rPr>
        <w:t>يجب معه التّيمّم،فكذا هاهنا،و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بالمنع من بطلان التّالي</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الحديث الّذي ذكروه غير دالّ على التّنجيس،فإنّه يحتمل رجوع النّهي إلى المصلحة </w:t>
      </w:r>
      <w:bookmarkStart w:id="375" w:name="pg12672_159813"/>
    </w:p>
    <w:p>
      <w:pPr>
        <w:pStyle w:val="BookText"/>
        <w:rPr/>
      </w:pPr>
      <w:bookmarkEnd w:id="375"/>
      <w:r>
        <w:rPr>
          <w:rFonts w:ascii="Amiri" w:hAnsi="Amiri" w:eastAsia="Amiri" w:cs="Amiri"/>
          <w:color w:val="111111"/>
          <w:sz w:val="28"/>
          <w:sz w:val="28"/>
          <w:szCs w:val="28"/>
          <w:rtl w:val="true"/>
          <w:lang w:bidi="ar-SA"/>
        </w:rPr>
        <w:t xml:space="preserve">الحاصلة من فقدان الضّرر بالوقوع،و النّهي عن إفساد الماء إمّا على معنى عدم الانتفاع به إلاّ بعد النّزح،و إمّا على معنى النّهي عن إظهار الأجزاء الحمائيّة </w:t>
      </w:r>
      <w:r>
        <w:rPr>
          <w:rStyle w:val="FootnoteAnchor"/>
          <w:rtl w:val="true"/>
        </w:rPr>
        <w:footnoteReference w:id="324"/>
      </w:r>
      <w:r>
        <w:rPr>
          <w:rFonts w:ascii="Amiri" w:hAnsi="Amiri" w:eastAsia="Amiri" w:cs="Amiri"/>
          <w:color w:val="111111"/>
          <w:sz w:val="28"/>
          <w:sz w:val="28"/>
          <w:szCs w:val="28"/>
          <w:rtl w:val="true"/>
          <w:lang w:bidi="ar-SA"/>
        </w:rPr>
        <w:t>في البئر و خلطها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الحديث أيضا يدلّ بمفهومه،و الملازمة الثّانية من الوجه الثّاني ممنوعة، و الملازمة في الوجه الرّابع ممنوعة،و لا يلزم من عدم العلم بالفائدة،العلم بالعدم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عرفت هذا،فالأقوى عندنا عدم التّنجيس بالملاقاة</w:t>
      </w:r>
      <w:r>
        <w:rPr>
          <w:rFonts w:eastAsia="Amiri" w:cs="Amiri" w:ascii="Amiri" w:hAnsi="Amiri"/>
          <w:color w:val="111111"/>
          <w:sz w:val="28"/>
          <w:szCs w:val="28"/>
          <w:rtl w:val="true"/>
          <w:lang w:bidi="ar-SA"/>
        </w:rPr>
        <w:t>.</w:t>
      </w:r>
    </w:p>
    <w:p>
      <w:pPr>
        <w:pStyle w:val="Heading6"/>
        <w:numPr>
          <w:ilvl w:val="5"/>
          <w:numId w:val="1"/>
        </w:numPr>
        <w:rPr/>
      </w:pPr>
      <w:bookmarkStart w:id="376" w:name="__RefHeading___Toc746909_222507752"/>
      <w:bookmarkStart w:id="377" w:name="_Toc145"/>
      <w:bookmarkEnd w:id="376"/>
      <w:r>
        <w:rPr>
          <w:rtl w:val="true"/>
        </w:rPr>
        <w:t>فائدة</w:t>
      </w:r>
      <w:r>
        <w:rPr>
          <w:rtl w:val="true"/>
        </w:rPr>
        <w:t>:</w:t>
      </w:r>
      <w:r>
        <w:rPr>
          <w:rtl w:val="true"/>
        </w:rPr>
        <w:t>لا يكره الطّهارة بماء البئر</w:t>
      </w:r>
      <w:bookmarkEnd w:id="377"/>
    </w:p>
    <w:p>
      <w:pPr>
        <w:pStyle w:val="BookText"/>
        <w:rPr/>
      </w:pPr>
      <w:r>
        <w:rPr>
          <w:rFonts w:ascii="Amiri" w:hAnsi="Amiri" w:eastAsia="Amiri" w:cs="Amiri"/>
          <w:color w:val="111111"/>
          <w:sz w:val="28"/>
          <w:sz w:val="28"/>
          <w:szCs w:val="28"/>
          <w:rtl w:val="true"/>
          <w:lang w:bidi="ar-SA"/>
        </w:rPr>
        <w:t>،و يستوي في ذلك زمزم و غيرها من الآبار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هو </w:t>
      </w:r>
      <w:r>
        <w:rPr>
          <w:rStyle w:val="FootnoteAnchor"/>
          <w:rtl w:val="true"/>
        </w:rPr>
        <w:footnoteReference w:id="325"/>
      </w:r>
      <w:r>
        <w:rPr>
          <w:rFonts w:ascii="IRNazanin" w:hAnsi="IRNazanin" w:eastAsia="IRNazanin"/>
          <w:color w:val="111111"/>
          <w:sz w:val="28"/>
          <w:sz w:val="28"/>
          <w:szCs w:val="28"/>
          <w:rtl w:val="true"/>
          <w:lang w:bidi="fa-IR"/>
        </w:rPr>
        <w:t>مذهب العلماء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يحكى عن أحمد كراهة الطّهارة بماء زمزم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ماء مطلق فيساوي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بما روي عن العبّاس </w:t>
      </w:r>
      <w:r>
        <w:rPr>
          <w:rStyle w:val="FootnoteAnchor"/>
          <w:rtl w:val="true"/>
        </w:rPr>
        <w:footnoteReference w:id="327"/>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أحلّه لمغتسل،أمّا للشّارب فحلّ و بلّ</w:t>
      </w:r>
      <w:r>
        <w:rPr>
          <w:rFonts w:eastAsia="Amiri" w:cs="Amiri" w:ascii="Amiri" w:hAnsi="Amiri"/>
          <w:color w:val="111111"/>
          <w:sz w:val="28"/>
          <w:szCs w:val="28"/>
          <w:rtl w:val="true"/>
          <w:lang w:bidi="ar-SA"/>
        </w:rPr>
        <w:t xml:space="preserve">) </w:t>
      </w:r>
      <w:r>
        <w:rPr>
          <w:rStyle w:val="FootnoteAnchor"/>
          <w:rtl w:val="true"/>
        </w:rPr>
        <w:footnoteReference w:id="328"/>
      </w:r>
      <w:r>
        <w:rPr>
          <w:rFonts w:ascii="IRNazanin" w:hAnsi="IRNazanin" w:eastAsia="IRNazanin"/>
          <w:color w:val="111111"/>
          <w:sz w:val="28"/>
          <w:sz w:val="28"/>
          <w:szCs w:val="28"/>
          <w:rtl w:val="true"/>
          <w:lang w:bidi="fa-IR"/>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بعد سلامة النّقل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قال ذلك في وقت قلّة المياه،و كثرة الحاجة إلى الشّرب،أو لأنّ المغتسل ربّما لا ينفكّ عن النّجاسة،و يحرم غسلها في المسجد</w:t>
      </w:r>
      <w:r>
        <w:rPr>
          <w:rFonts w:eastAsia="Amiri" w:cs="Amiri" w:ascii="Amiri" w:hAnsi="Amiri"/>
          <w:color w:val="111111"/>
          <w:sz w:val="28"/>
          <w:szCs w:val="28"/>
          <w:rtl w:val="true"/>
          <w:lang w:bidi="ar-SA"/>
        </w:rPr>
        <w:t xml:space="preserve">. </w:t>
      </w:r>
      <w:bookmarkStart w:id="378" w:name="pg12672_159814"/>
    </w:p>
    <w:p>
      <w:pPr>
        <w:pStyle w:val="Heading6"/>
        <w:numPr>
          <w:ilvl w:val="5"/>
          <w:numId w:val="1"/>
        </w:numPr>
        <w:rPr/>
      </w:pPr>
      <w:bookmarkStart w:id="379" w:name="__RefHeading___Toc746911_222507752"/>
      <w:bookmarkStart w:id="380" w:name="_Toc146"/>
      <w:bookmarkEnd w:id="378"/>
      <w:bookmarkEnd w:id="379"/>
      <w:r>
        <w:rPr>
          <w:rtl w:val="true"/>
        </w:rPr>
        <w:t>البحث الثّاني</w:t>
      </w:r>
      <w:r>
        <w:rPr>
          <w:rtl w:val="true"/>
        </w:rPr>
        <w:t>:</w:t>
      </w:r>
      <w:r>
        <w:rPr>
          <w:rtl w:val="true"/>
        </w:rPr>
        <w:t>في كيفيّة تطهير المياه من النّجاسات</w:t>
      </w:r>
      <w:r>
        <w:rPr>
          <w:rtl w:val="true"/>
        </w:rPr>
        <w:t>:</w:t>
      </w:r>
      <w:bookmarkEnd w:id="380"/>
    </w:p>
    <w:p>
      <w:pPr>
        <w:pStyle w:val="Heading6"/>
        <w:numPr>
          <w:ilvl w:val="5"/>
          <w:numId w:val="1"/>
        </w:numPr>
        <w:rPr/>
      </w:pPr>
      <w:bookmarkStart w:id="381" w:name="__RefHeading___Toc746913_222507752"/>
      <w:bookmarkStart w:id="382" w:name="_Toc147"/>
      <w:bookmarkEnd w:id="381"/>
      <w:r>
        <w:rPr>
          <w:rtl w:val="true"/>
        </w:rPr>
        <w:t>مسألة</w:t>
      </w:r>
      <w:r>
        <w:rPr>
          <w:rtl w:val="true"/>
        </w:rPr>
        <w:t>:</w:t>
      </w:r>
      <w:r>
        <w:rPr>
          <w:rtl w:val="true"/>
        </w:rPr>
        <w:t>المتغيّر إمّا أن يكون جاريا أو واقفا</w:t>
      </w:r>
      <w:bookmarkEnd w:id="382"/>
    </w:p>
    <w:p>
      <w:pPr>
        <w:pStyle w:val="BookText"/>
        <w:rPr/>
      </w:pPr>
      <w:r>
        <w:rPr>
          <w:rFonts w:ascii="Amiri" w:hAnsi="Amiri" w:eastAsia="Amiri" w:cs="Amiri"/>
          <w:color w:val="111111"/>
          <w:sz w:val="28"/>
          <w:sz w:val="28"/>
          <w:szCs w:val="28"/>
          <w:rtl w:val="true"/>
          <w:lang w:bidi="ar-SA"/>
        </w:rPr>
        <w:t>،فالجاري إنّما يطهر بإكثار الماء المتدافع حتّى يزول التّغيّر،لأنّ الحكم تابع للوصف،فيزول بزواله،و لأنّ الطّارئ لا يقبل النّجاسة لجريانه،و المتغيّر مستهلك فيه فيطهر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الواقف بإلقاء كرّ عليه دفعة من المطلق بحيث يزول تغيّره،و إن لم يزل فبإلقاء كرّ آخر،و هكذا لأنّ الطّارئ غير قابل للنّجاسة لكثرته،و المتغيّر مستهلك فيه فيطهر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زال التّغيّر من قبل نفسه أو بملاقاة أجسام طاهرة غير الماء أو بتصفيق الرّياح،المشهور انّه لا يطهر،لأنّ النّجاسة حكم شرعيّ،فيتوقّف زواله عليه،و لأنّها نجّسته قبل الزّوال، فيستصحب الحكم،و لأنّ النّجاسة تثبت بوارد،فلا تزول إلاّ بوارد،بخلاف نجاسة الخمر،فإنّها تثبت بغير وارد،فتطهر بغير 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الشّافعيّ و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زال بطول المكث عاد طهورا،و إن زال بطرح المسك و الزّعفران فلا،لأنّهما ساتران لا مزيلان </w:t>
      </w:r>
      <w:r>
        <w:rPr>
          <w:rStyle w:val="FootnoteAnchor"/>
          <w:rtl w:val="true"/>
        </w:rPr>
        <w:footnoteReference w:id="3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التّراب قولان له مبنيّان على انّه مزيل أو ساتر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زال التّغيّر بأخذ بعضه لم يطهر،و إن كان الباقي كرّا،و كذا لو زال التّغيّر بإلقاء أقلّ من الكرّ على الأقوى،خلافا لبعض علمائنا </w:t>
      </w:r>
      <w:r>
        <w:rPr>
          <w:rStyle w:val="FootnoteAnchor"/>
          <w:rtl w:val="true"/>
        </w:rPr>
        <w:footnoteReference w:id="332"/>
      </w:r>
      <w:r>
        <w:rPr>
          <w:rFonts w:ascii="Amiri" w:hAnsi="Amiri" w:eastAsia="Amiri" w:cs="Amiri"/>
          <w:color w:val="111111"/>
          <w:sz w:val="28"/>
          <w:sz w:val="28"/>
          <w:szCs w:val="28"/>
          <w:rtl w:val="true"/>
          <w:lang w:bidi="ar-SA"/>
        </w:rPr>
        <w:t xml:space="preserve">،و للشّافعيّ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xml:space="preserve">. </w:t>
      </w:r>
      <w:bookmarkStart w:id="383" w:name="pg12672_159815"/>
    </w:p>
    <w:p>
      <w:pPr>
        <w:pStyle w:val="BookText"/>
        <w:rPr/>
      </w:pPr>
      <w:bookmarkEnd w:id="383"/>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بملاقاته الماء النّجس ينجس فلا يكون مطهّرا،و كذا باقي الأجسام كالمسك و الزّعفران </w:t>
      </w:r>
      <w:r>
        <w:rPr>
          <w:rStyle w:val="FootnoteAnchor"/>
          <w:rtl w:val="true"/>
        </w:rPr>
        <w:footnoteReference w:id="334"/>
      </w:r>
      <w:r>
        <w:rPr>
          <w:rFonts w:ascii="Amiri" w:hAnsi="Amiri" w:eastAsia="Amiri" w:cs="Amiri"/>
          <w:color w:val="111111"/>
          <w:sz w:val="28"/>
          <w:sz w:val="28"/>
          <w:szCs w:val="28"/>
          <w:rtl w:val="true"/>
          <w:lang w:bidi="ar-SA"/>
        </w:rPr>
        <w:t xml:space="preserve">،و لأنّها لا تطهّر نفسها،فأولى أن لا تطهّر غيرها </w:t>
      </w:r>
      <w:r>
        <w:rPr>
          <w:rFonts w:eastAsia="Amiri" w:cs="Amiri" w:ascii="Amiri" w:hAnsi="Amiri"/>
          <w:color w:val="111111"/>
          <w:sz w:val="28"/>
          <w:szCs w:val="28"/>
          <w:rtl w:val="true"/>
          <w:lang w:bidi="ar-SA"/>
        </w:rPr>
        <w:t>.</w:t>
      </w:r>
    </w:p>
    <w:p>
      <w:pPr>
        <w:pStyle w:val="Heading6"/>
        <w:numPr>
          <w:ilvl w:val="5"/>
          <w:numId w:val="1"/>
        </w:numPr>
        <w:rPr/>
      </w:pPr>
      <w:bookmarkStart w:id="384" w:name="__RefHeading___Toc746915_222507752"/>
      <w:bookmarkStart w:id="385" w:name="_Toc148"/>
      <w:bookmarkEnd w:id="384"/>
      <w:r>
        <w:rPr>
          <w:rtl w:val="true"/>
        </w:rPr>
        <w:t>مسألة</w:t>
      </w:r>
      <w:r>
        <w:rPr>
          <w:rtl w:val="true"/>
        </w:rPr>
        <w:t>:</w:t>
      </w:r>
      <w:r>
        <w:rPr>
          <w:rtl w:val="true"/>
        </w:rPr>
        <w:t>الماء القليل إن تغيّر بالنّجاسة فطريق تطهيره إلقاء كرّ عليه</w:t>
      </w:r>
      <w:bookmarkEnd w:id="385"/>
    </w:p>
    <w:p>
      <w:pPr>
        <w:pStyle w:val="BookText"/>
        <w:rPr/>
      </w:pPr>
      <w:r>
        <w:rPr>
          <w:rFonts w:ascii="Amiri" w:hAnsi="Amiri" w:eastAsia="Amiri" w:cs="Amiri"/>
          <w:color w:val="111111"/>
          <w:sz w:val="28"/>
          <w:sz w:val="28"/>
          <w:szCs w:val="28"/>
          <w:rtl w:val="true"/>
          <w:lang w:bidi="ar-SA"/>
        </w:rPr>
        <w:t>أيضا دفعة،فإن زال تغيّره فقد طهر إجماعا،و إن لم يزل وجب إلقاء كرّ آخر،و هكذا إلى أن يزول 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يطهر بزوال التّغيّر من قبل نفسه إجماعا منّا،و هو ظاهر،و من القائلين بطهارة الكثير المتغيّر بزوال تغيّره،لأنّ المقتضي للتّنجيس في الكثيرة التّغيّر،فيزول بزواله،و في القليل الملاقاة لا التّغيّر،فلا يؤثّر زواله في عدم التّنجيس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يتغيّر،قال الشّيخ 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في تطهير الكرّ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الورود </w:t>
      </w:r>
      <w:r>
        <w:rPr>
          <w:rStyle w:val="FootnoteAnchor"/>
          <w:rtl w:val="true"/>
        </w:rPr>
        <w:footnoteReference w:id="335"/>
      </w:r>
      <w:r>
        <w:rPr>
          <w:rFonts w:ascii="Amiri" w:hAnsi="Amiri" w:eastAsia="Amiri" w:cs="Amiri"/>
          <w:color w:val="111111"/>
          <w:sz w:val="28"/>
          <w:sz w:val="28"/>
          <w:szCs w:val="28"/>
          <w:rtl w:val="true"/>
          <w:lang w:bidi="ar-SA"/>
        </w:rPr>
        <w:t>،و قال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فرق بين أن يكون الطّارئ نابعا من تحته،أو يجري إليه،أو يغلب </w:t>
      </w:r>
      <w:r>
        <w:rPr>
          <w:rStyle w:val="FootnoteAnchor"/>
          <w:rtl w:val="true"/>
        </w:rPr>
        <w:footnoteReference w:id="3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أراد بالنّابع ما يكون نبعا من الأرض،ففيه إشكال من حيث انّه ينجس بالملاقاة،فلا يكون مطهّرا،و إن أراد به ما يوصل إليه من تحته،فهو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هل يطهر بالإتمام؟الوجه انّه لا يطهر سواء تمّم بنجس أو طاهر،و تردّد في المبسوط </w:t>
      </w:r>
      <w:r>
        <w:rPr>
          <w:rStyle w:val="FootnoteAnchor"/>
          <w:rtl w:val="true"/>
        </w:rPr>
        <w:footnoteReference w:id="337"/>
      </w:r>
      <w:r>
        <w:rPr>
          <w:rFonts w:ascii="Amiri" w:hAnsi="Amiri" w:eastAsia="Amiri" w:cs="Amiri"/>
          <w:color w:val="111111"/>
          <w:sz w:val="28"/>
          <w:sz w:val="28"/>
          <w:szCs w:val="28"/>
          <w:rtl w:val="true"/>
          <w:lang w:bidi="ar-SA"/>
        </w:rPr>
        <w:t xml:space="preserve">،و جزم المرتضى في المسائل الرّسيّة </w:t>
      </w:r>
      <w:r>
        <w:rPr>
          <w:rStyle w:val="FootnoteAnchor"/>
          <w:rtl w:val="true"/>
        </w:rPr>
        <w:footnoteReference w:id="338"/>
      </w:r>
      <w:r>
        <w:rPr>
          <w:rFonts w:ascii="IRNazanin" w:hAnsi="IRNazanin" w:eastAsia="IRNazanin"/>
          <w:color w:val="111111"/>
          <w:sz w:val="28"/>
          <w:sz w:val="28"/>
          <w:szCs w:val="28"/>
          <w:rtl w:val="true"/>
          <w:lang w:bidi="fa-IR"/>
        </w:rPr>
        <w:t xml:space="preserve">،و ابن البرّاج </w:t>
      </w:r>
      <w:r>
        <w:rPr>
          <w:rStyle w:val="FootnoteAnchor"/>
          <w:rtl w:val="true"/>
        </w:rPr>
        <w:footnoteReference w:id="339"/>
      </w:r>
      <w:r>
        <w:rPr>
          <w:rFonts w:ascii="Amiri" w:hAnsi="Amiri" w:eastAsia="Amiri" w:cs="Amiri"/>
          <w:color w:val="111111"/>
          <w:sz w:val="28"/>
          <w:sz w:val="28"/>
          <w:szCs w:val="28"/>
          <w:rtl w:val="true"/>
          <w:lang w:bidi="ar-SA"/>
        </w:rPr>
        <w:t xml:space="preserve">،و ابن إدريس </w:t>
      </w:r>
      <w:r>
        <w:rPr>
          <w:rStyle w:val="FootnoteAnchor"/>
          <w:rtl w:val="true"/>
        </w:rPr>
        <w:footnoteReference w:id="340"/>
      </w:r>
      <w:r>
        <w:rPr>
          <w:rFonts w:ascii="Amiri" w:hAnsi="Amiri" w:eastAsia="Amiri" w:cs="Amiri"/>
          <w:color w:val="111111"/>
          <w:sz w:val="28"/>
          <w:sz w:val="28"/>
          <w:szCs w:val="28"/>
          <w:rtl w:val="true"/>
          <w:lang w:bidi="ar-SA"/>
        </w:rPr>
        <w:t xml:space="preserve">بالتّطهير </w:t>
      </w:r>
      <w:r>
        <w:rPr>
          <w:rStyle w:val="FootnoteAnchor"/>
          <w:rtl w:val="true"/>
        </w:rPr>
        <w:footnoteReference w:id="341"/>
      </w:r>
      <w:r>
        <w:rPr>
          <w:rFonts w:ascii="Amiri" w:hAnsi="Amiri" w:eastAsia="Amiri" w:cs="Amiri"/>
          <w:color w:val="111111"/>
          <w:sz w:val="28"/>
          <w:sz w:val="28"/>
          <w:szCs w:val="28"/>
          <w:rtl w:val="true"/>
          <w:lang w:bidi="ar-SA"/>
        </w:rPr>
        <w:t xml:space="preserve">،و للشّافعيّة في اجتماع القلّتين، من الماء النّجس وجهان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النّجاسة حكم شرعيّ فيقف زواله عليه،و لأنّ النّجاسة سابقة </w:t>
      </w:r>
      <w:r>
        <w:rPr>
          <w:rStyle w:val="FootnoteAnchor"/>
          <w:rtl w:val="true"/>
        </w:rPr>
        <w:footnoteReference w:id="343"/>
      </w:r>
      <w:r>
        <w:rPr>
          <w:rFonts w:ascii="IRNazanin" w:hAnsi="IRNazanin" w:eastAsia="IRNazanin"/>
          <w:color w:val="111111"/>
          <w:sz w:val="28"/>
          <w:sz w:val="28"/>
          <w:szCs w:val="28"/>
          <w:rtl w:val="true"/>
          <w:lang w:bidi="fa-IR"/>
        </w:rPr>
        <w:t xml:space="preserve">قبل البلوغ، </w:t>
      </w:r>
      <w:bookmarkStart w:id="386" w:name="pg12672_159816"/>
    </w:p>
    <w:p>
      <w:pPr>
        <w:pStyle w:val="BookText"/>
        <w:rPr/>
      </w:pPr>
      <w:bookmarkEnd w:id="386"/>
      <w:r>
        <w:rPr>
          <w:rFonts w:ascii="Amiri" w:hAnsi="Amiri" w:eastAsia="Amiri" w:cs="Amiri"/>
          <w:color w:val="111111"/>
          <w:sz w:val="28"/>
          <w:sz w:val="28"/>
          <w:szCs w:val="28"/>
          <w:rtl w:val="true"/>
          <w:lang w:bidi="ar-SA"/>
        </w:rPr>
        <w:t>فلا يؤثّر في العمل به الشّكّ عنده،و للنّهي عن استعمال غسالة ماء الحمّام،و هي لا تنفكّ عن الطّاهر</w:t>
      </w:r>
      <w:r>
        <w:rPr>
          <w:rFonts w:eastAsia="Amiri" w:cs="Amiri" w:ascii="Amiri" w:hAnsi="Amiri"/>
          <w:color w:val="111111"/>
          <w:sz w:val="28"/>
          <w:szCs w:val="28"/>
          <w:rtl w:val="true"/>
          <w:lang w:bidi="ar-SA"/>
        </w:rPr>
        <w:t>.</w:t>
      </w:r>
    </w:p>
    <w:p>
      <w:pPr>
        <w:pStyle w:val="Heading6"/>
        <w:numPr>
          <w:ilvl w:val="5"/>
          <w:numId w:val="1"/>
        </w:numPr>
        <w:rPr/>
      </w:pPr>
      <w:bookmarkStart w:id="387" w:name="__RefHeading___Toc746917_222507752"/>
      <w:bookmarkStart w:id="388" w:name="_Toc149"/>
      <w:bookmarkEnd w:id="387"/>
      <w:r>
        <w:rPr>
          <w:rtl w:val="true"/>
        </w:rPr>
        <w:t>و استدلّ المرتضى بوجهين</w:t>
      </w:r>
      <w:r>
        <w:rPr>
          <w:rtl w:val="true"/>
        </w:rPr>
        <w:t>:</w:t>
      </w:r>
      <w:bookmarkEnd w:id="388"/>
    </w:p>
    <w:p>
      <w:pPr>
        <w:pStyle w:val="Heading6"/>
        <w:numPr>
          <w:ilvl w:val="5"/>
          <w:numId w:val="1"/>
        </w:numPr>
        <w:rPr/>
      </w:pPr>
      <w:bookmarkStart w:id="389" w:name="__RefHeading___Toc746919_222507752"/>
      <w:bookmarkStart w:id="390" w:name="_Toc150"/>
      <w:bookmarkEnd w:id="389"/>
      <w:r>
        <w:rPr>
          <w:rtl w:val="true"/>
        </w:rPr>
        <w:t>الأوّل</w:t>
      </w:r>
      <w:r>
        <w:rPr>
          <w:rtl w:val="true"/>
        </w:rPr>
        <w:t>:</w:t>
      </w:r>
      <w:r>
        <w:rPr>
          <w:rtl w:val="true"/>
        </w:rPr>
        <w:t>انّ بلوغ الكرّيّة يوجب استهلاك النّجاسة</w:t>
      </w:r>
      <w:bookmarkEnd w:id="390"/>
    </w:p>
    <w:p>
      <w:pPr>
        <w:pStyle w:val="BookText"/>
        <w:rPr/>
      </w:pPr>
      <w:r>
        <w:rPr>
          <w:rFonts w:ascii="Amiri" w:hAnsi="Amiri" w:eastAsia="Amiri" w:cs="Amiri"/>
          <w:color w:val="111111"/>
          <w:sz w:val="28"/>
          <w:sz w:val="28"/>
          <w:szCs w:val="28"/>
          <w:rtl w:val="true"/>
          <w:lang w:bidi="ar-SA"/>
        </w:rPr>
        <w:t xml:space="preserve">،و لا فرق بين وقوعها قبل البلوغ و بعده </w:t>
      </w:r>
      <w:r>
        <w:rPr>
          <w:rFonts w:eastAsia="Amiri" w:cs="Amiri" w:ascii="Amiri" w:hAnsi="Amiri"/>
          <w:color w:val="111111"/>
          <w:sz w:val="28"/>
          <w:szCs w:val="28"/>
          <w:rtl w:val="true"/>
          <w:lang w:bidi="ar-SA"/>
        </w:rPr>
        <w:t>.</w:t>
      </w:r>
    </w:p>
    <w:p>
      <w:pPr>
        <w:pStyle w:val="Heading6"/>
        <w:numPr>
          <w:ilvl w:val="5"/>
          <w:numId w:val="1"/>
        </w:numPr>
        <w:rPr/>
      </w:pPr>
      <w:bookmarkStart w:id="391" w:name="__RefHeading___Toc746921_222507752"/>
      <w:bookmarkStart w:id="392" w:name="_Toc151"/>
      <w:bookmarkEnd w:id="391"/>
      <w:r>
        <w:rPr>
          <w:rtl w:val="true"/>
        </w:rPr>
        <w:t>الثّاني</w:t>
      </w:r>
      <w:r>
        <w:rPr>
          <w:rtl w:val="true"/>
        </w:rPr>
        <w:t>:</w:t>
      </w:r>
      <w:r>
        <w:rPr>
          <w:rtl w:val="true"/>
        </w:rPr>
        <w:t>لو لم يحكم بالطّهارة حينئذ،لما حكم بطهارة الكثير</w:t>
      </w:r>
      <w:bookmarkEnd w:id="392"/>
    </w:p>
    <w:p>
      <w:pPr>
        <w:pStyle w:val="BookText"/>
        <w:rPr/>
      </w:pPr>
      <w:r>
        <w:rPr>
          <w:rFonts w:ascii="Amiri" w:hAnsi="Amiri" w:eastAsia="Amiri" w:cs="Amiri"/>
          <w:color w:val="111111"/>
          <w:sz w:val="28"/>
          <w:sz w:val="28"/>
          <w:szCs w:val="28"/>
          <w:rtl w:val="true"/>
          <w:lang w:bidi="ar-SA"/>
        </w:rPr>
        <w:t>إذا اشتبه وقوع النّجاسة فيه قبل البلوغ و بعده،و التّالي باطل اتّفاقا،فالمقدّم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احتمال الوقوع في الحالتين على السّويّة،فلا أولويّة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93" w:name="__RefHeading___Toc746923_222507752"/>
      <w:bookmarkStart w:id="394" w:name="_Toc152"/>
      <w:bookmarkEnd w:id="393"/>
      <w:r>
        <w:rPr>
          <w:rtl w:val="true"/>
        </w:rPr>
        <w:t>و احتجّ ابن إدريس بوجوه</w:t>
      </w:r>
      <w:r>
        <w:rPr>
          <w:rtl w:val="true"/>
        </w:rPr>
        <w:t>:</w:t>
      </w:r>
      <w:bookmarkEnd w:id="394"/>
    </w:p>
    <w:p>
      <w:pPr>
        <w:pStyle w:val="Heading6"/>
        <w:numPr>
          <w:ilvl w:val="5"/>
          <w:numId w:val="1"/>
        </w:numPr>
        <w:rPr/>
      </w:pPr>
      <w:bookmarkStart w:id="395" w:name="__RefHeading___Toc746925_222507752"/>
      <w:bookmarkStart w:id="396" w:name="_Toc153"/>
      <w:bookmarkEnd w:id="395"/>
      <w:r>
        <w:rPr>
          <w:rtl w:val="true"/>
        </w:rPr>
        <w:t>أحدها</w:t>
      </w:r>
      <w:r>
        <w:rPr>
          <w:rtl w:val="true"/>
        </w:rPr>
        <w:t>:</w:t>
      </w:r>
      <w:r>
        <w:rPr>
          <w:rtl w:val="true"/>
        </w:rPr>
        <w:t>قوله عليه السّلام</w:t>
      </w:r>
      <w:r>
        <w:rPr>
          <w:rtl w:val="true"/>
        </w:rPr>
        <w:t>:(</w:t>
      </w:r>
      <w:r>
        <w:rPr>
          <w:rtl w:val="true"/>
        </w:rPr>
        <w:t>إذا بلغ الماء كرّا لم يحمل خبثا</w:t>
      </w:r>
      <w:r>
        <w:rPr>
          <w:rtl w:val="true"/>
        </w:rPr>
        <w:t>)</w:t>
      </w:r>
      <w:bookmarkEnd w:id="396"/>
    </w:p>
    <w:p>
      <w:pPr>
        <w:pStyle w:val="BookText"/>
        <w:rPr/>
      </w:pP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ادّعاه متواترا </w:t>
      </w:r>
      <w:r>
        <w:rPr>
          <w:rFonts w:eastAsia="IRNazanin" w:cs="IRNazanin"/>
          <w:color w:val="111111"/>
          <w:sz w:val="28"/>
          <w:szCs w:val="28"/>
          <w:rtl w:val="true"/>
          <w:lang w:bidi="fa-IR"/>
        </w:rPr>
        <w:t>.</w:t>
      </w:r>
    </w:p>
    <w:p>
      <w:pPr>
        <w:pStyle w:val="Heading6"/>
        <w:numPr>
          <w:ilvl w:val="5"/>
          <w:numId w:val="1"/>
        </w:numPr>
        <w:rPr/>
      </w:pPr>
      <w:bookmarkStart w:id="397" w:name="__RefHeading___Toc746927_222507752"/>
      <w:bookmarkStart w:id="398" w:name="_Toc154"/>
      <w:bookmarkEnd w:id="397"/>
      <w:r>
        <w:rPr>
          <w:rtl w:val="true"/>
        </w:rPr>
        <w:t>الثّاني</w:t>
      </w:r>
      <w:r>
        <w:rPr>
          <w:rtl w:val="true"/>
        </w:rPr>
        <w:t>:</w:t>
      </w:r>
      <w:r>
        <w:rPr>
          <w:rtl w:val="true"/>
        </w:rPr>
        <w:t>قوله تعالى</w:t>
      </w:r>
      <w:r>
        <w:rPr>
          <w:rtl w:val="true"/>
        </w:rPr>
        <w:t>:</w:t>
      </w:r>
      <w:bookmarkEnd w:id="398"/>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يُنَزِّلُ عَلَيْكُمْ مِنَ السَّماءِ ماءً لِيُطَهِّرَكُمْ بِهِ </w:t>
      </w:r>
      <w:r>
        <w:rPr>
          <w:rStyle w:val="FootnoteAnchor"/>
          <w:rtl w:val="true"/>
        </w:rPr>
        <w:footnoteReference w:id="346"/>
      </w:r>
      <w:r>
        <w:rPr>
          <w:rFonts w:ascii="Amiri" w:hAnsi="Amiri" w:eastAsia="Amiri" w:cs="Amiri"/>
          <w:color w:val="111111"/>
          <w:sz w:val="28"/>
          <w:sz w:val="28"/>
          <w:szCs w:val="28"/>
          <w:rtl w:val="true"/>
          <w:lang w:bidi="ar-SA"/>
        </w:rPr>
        <w:t xml:space="preserve">و قوله وَ إِنْ كُنْتُمْ جُنُباً فَاطَّهَّرُوا </w:t>
      </w:r>
      <w:r>
        <w:rPr>
          <w:rStyle w:val="FootnoteAnchor"/>
          <w:rtl w:val="true"/>
        </w:rPr>
        <w:footnoteReference w:id="347"/>
      </w:r>
      <w:r>
        <w:rPr>
          <w:rFonts w:ascii="Amiri" w:hAnsi="Amiri" w:eastAsia="Amiri" w:cs="Amiri"/>
          <w:color w:val="111111"/>
          <w:sz w:val="28"/>
          <w:sz w:val="28"/>
          <w:szCs w:val="28"/>
          <w:rtl w:val="true"/>
          <w:lang w:bidi="ar-SA"/>
        </w:rPr>
        <w:t xml:space="preserve">و قوله فَلَمْ تَجِدُوا ماءً فَتَيَمَّمُوا </w:t>
      </w:r>
      <w:r>
        <w:rPr>
          <w:rStyle w:val="FootnoteAnchor"/>
          <w:rtl w:val="true"/>
        </w:rPr>
        <w:footnoteReference w:id="348"/>
      </w:r>
      <w:r>
        <w:rPr>
          <w:rFonts w:ascii="Amiri" w:hAnsi="Amiri" w:eastAsia="Amiri" w:cs="Amiri"/>
          <w:color w:val="111111"/>
          <w:sz w:val="28"/>
          <w:sz w:val="28"/>
          <w:szCs w:val="28"/>
          <w:rtl w:val="true"/>
          <w:lang w:bidi="ar-SA"/>
        </w:rPr>
        <w:t xml:space="preserve">و قوله حَتَّى تَغْتَسِلُوا </w:t>
      </w:r>
      <w:r>
        <w:rPr>
          <w:rStyle w:val="FootnoteAnchor"/>
          <w:rtl w:val="true"/>
        </w:rPr>
        <w:footnoteReference w:id="349"/>
      </w:r>
      <w:r>
        <w:rPr>
          <w:rFonts w:ascii="Amiri" w:hAnsi="Amiri" w:eastAsia="Amiri" w:cs="Amiri"/>
          <w:color w:val="111111"/>
          <w:sz w:val="28"/>
          <w:sz w:val="28"/>
          <w:szCs w:val="28"/>
          <w:rtl w:val="true"/>
          <w:lang w:bidi="ar-SA"/>
        </w:rPr>
        <w:t>أجاز الدّخول في الصّلاة بعد الاغتسال،فالمغتسل بالمتنازع يصدق عليه اسم الاغتسال،و قوله عليه السّلام لأبي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وجدت الماء فأمسّه جلدك</w:t>
      </w:r>
      <w:r>
        <w:rPr>
          <w:rFonts w:eastAsia="Amiri" w:cs="Amiri" w:ascii="Amiri" w:hAnsi="Amiri"/>
          <w:color w:val="111111"/>
          <w:sz w:val="28"/>
          <w:szCs w:val="28"/>
          <w:rtl w:val="true"/>
          <w:lang w:bidi="ar-SA"/>
        </w:rPr>
        <w:t xml:space="preserve">) </w:t>
      </w:r>
      <w:r>
        <w:rPr>
          <w:rStyle w:val="FootnoteAnchor"/>
          <w:rtl w:val="true"/>
        </w:rPr>
        <w:footnoteReference w:id="350"/>
      </w:r>
      <w:r>
        <w:rPr>
          <w:rFonts w:ascii="Amiri" w:hAnsi="Amiri" w:eastAsia="Amiri" w:cs="Amiri"/>
          <w:color w:val="111111"/>
          <w:sz w:val="28"/>
          <w:sz w:val="28"/>
          <w:szCs w:val="28"/>
          <w:rtl w:val="true"/>
          <w:lang w:bidi="ar-SA"/>
        </w:rPr>
        <w:t>و المتنازع فيه ماء،و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أنا فأحثو ثلاث حثيات من ماء، فإذا أنا قد طهرت</w:t>
      </w:r>
      <w:r>
        <w:rPr>
          <w:rFonts w:eastAsia="Amiri" w:cs="Amiri" w:ascii="Amiri" w:hAnsi="Amiri"/>
          <w:color w:val="111111"/>
          <w:sz w:val="28"/>
          <w:szCs w:val="28"/>
          <w:rtl w:val="true"/>
          <w:lang w:bidi="ar-SA"/>
        </w:rPr>
        <w:t xml:space="preserve">) </w:t>
      </w:r>
      <w:r>
        <w:rPr>
          <w:rStyle w:val="FootnoteAnchor"/>
          <w:rtl w:val="true"/>
        </w:rPr>
        <w:footnoteReference w:id="351"/>
      </w:r>
      <w:r>
        <w:rPr>
          <w:rFonts w:ascii="Amiri" w:hAnsi="Amiri" w:eastAsia="Amiri" w:cs="Amiri"/>
          <w:color w:val="111111"/>
          <w:sz w:val="28"/>
          <w:sz w:val="28"/>
          <w:szCs w:val="28"/>
          <w:rtl w:val="true"/>
          <w:lang w:bidi="ar-SA"/>
        </w:rPr>
        <w:t>و لم يخصّ ماء بالذّكر</w:t>
      </w:r>
      <w:r>
        <w:rPr>
          <w:rFonts w:eastAsia="Amiri" w:cs="Amiri" w:ascii="Amiri" w:hAnsi="Amiri"/>
          <w:color w:val="111111"/>
          <w:sz w:val="28"/>
          <w:szCs w:val="28"/>
          <w:rtl w:val="true"/>
          <w:lang w:bidi="ar-SA"/>
        </w:rPr>
        <w:t xml:space="preserve">. </w:t>
      </w:r>
      <w:bookmarkStart w:id="399" w:name="pg12672_159817"/>
    </w:p>
    <w:p>
      <w:pPr>
        <w:pStyle w:val="Heading6"/>
        <w:numPr>
          <w:ilvl w:val="5"/>
          <w:numId w:val="1"/>
        </w:numPr>
        <w:rPr/>
      </w:pPr>
      <w:bookmarkStart w:id="400" w:name="__RefHeading___Toc746929_222507752"/>
      <w:bookmarkStart w:id="401" w:name="_Toc155"/>
      <w:bookmarkEnd w:id="399"/>
      <w:bookmarkEnd w:id="400"/>
      <w:r>
        <w:rPr>
          <w:rtl w:val="true"/>
        </w:rPr>
        <w:t>الثّالث</w:t>
      </w:r>
      <w:r>
        <w:rPr>
          <w:rtl w:val="true"/>
        </w:rPr>
        <w:t>:</w:t>
      </w:r>
      <w:r>
        <w:rPr>
          <w:rtl w:val="true"/>
        </w:rPr>
        <w:t>الإجماع</w:t>
      </w:r>
      <w:bookmarkEnd w:id="401"/>
    </w:p>
    <w:p>
      <w:pPr>
        <w:pStyle w:val="BookText"/>
        <w:rPr/>
      </w:pP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الجواب عمّا احتجّ به السّيّد المرتضى </w:t>
      </w:r>
      <w:r>
        <w:rPr>
          <w:rStyle w:val="FootnoteAnchor"/>
          <w:rtl w:val="true"/>
        </w:rPr>
        <w:footnoteReference w:id="353"/>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بالمنع من المساواة،ضرورة كون الأصل منصوصا عليه بخلاف المتنازع،فإن أسندها إلى القياس فباطل،و الفرق واقع،فإنّ النّابع له قوّة على عدم الانفعال عن الملاقي بخلاف المنفعل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بالمنع من الملازمة،و تساوي الاحتمالين ممنوع بالأصل الدّالّ على الطّهارة،فالحاصل انّ الطّهارة لم تستند </w:t>
      </w:r>
      <w:r>
        <w:rPr>
          <w:rStyle w:val="FootnoteAnchor"/>
          <w:rtl w:val="true"/>
        </w:rPr>
        <w:footnoteReference w:id="354"/>
      </w:r>
      <w:r>
        <w:rPr>
          <w:rFonts w:ascii="Amiri" w:hAnsi="Amiri" w:eastAsia="Amiri" w:cs="Amiri"/>
          <w:color w:val="111111"/>
          <w:sz w:val="28"/>
          <w:sz w:val="28"/>
          <w:szCs w:val="28"/>
          <w:rtl w:val="true"/>
          <w:lang w:bidi="ar-SA"/>
        </w:rPr>
        <w:t>إلى انّ البلوغ رافع للتّنجيس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عمّا احتجّ به ابن إدريس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بالمنع من الرّواية،فإنّ الشّيخ رواها مرسلة في المبسوط </w:t>
      </w:r>
      <w:r>
        <w:rPr>
          <w:rStyle w:val="FootnoteAnchor"/>
          <w:rtl w:val="true"/>
        </w:rPr>
        <w:footnoteReference w:id="355"/>
      </w:r>
      <w:r>
        <w:rPr>
          <w:rFonts w:ascii="Amiri" w:hAnsi="Amiri" w:eastAsia="Amiri" w:cs="Amiri"/>
          <w:color w:val="111111"/>
          <w:sz w:val="28"/>
          <w:sz w:val="28"/>
          <w:szCs w:val="28"/>
          <w:rtl w:val="true"/>
          <w:lang w:bidi="ar-SA"/>
        </w:rPr>
        <w:t>و لم يسندها في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نعم،قد وردت أحاديث كثيرة بقولهم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الماء قدر كرّ،لم ينجّسه شيء</w:t>
      </w:r>
      <w:r>
        <w:rPr>
          <w:rFonts w:eastAsia="Amiri" w:cs="Amiri" w:ascii="Amiri" w:hAnsi="Amiri"/>
          <w:color w:val="111111"/>
          <w:sz w:val="28"/>
          <w:szCs w:val="28"/>
          <w:rtl w:val="true"/>
          <w:lang w:bidi="ar-SA"/>
        </w:rPr>
        <w:t xml:space="preserve">) </w:t>
      </w:r>
      <w:r>
        <w:rPr>
          <w:rStyle w:val="FootnoteAnchor"/>
          <w:rtl w:val="true"/>
        </w:rPr>
        <w:footnoteReference w:id="356"/>
      </w:r>
      <w:r>
        <w:rPr>
          <w:rFonts w:ascii="Amiri" w:hAnsi="Amiri" w:eastAsia="Amiri" w:cs="Amiri"/>
          <w:color w:val="111111"/>
          <w:sz w:val="28"/>
          <w:sz w:val="28"/>
          <w:szCs w:val="28"/>
          <w:rtl w:val="true"/>
          <w:lang w:bidi="ar-SA"/>
        </w:rPr>
        <w:t>و هذا يدلّ على انّ بلوغ الكرّيّة مانع من التّأثير، لا على انّه رافع لما كان ثابتا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الآيات و الأحاديث الّتي ذكرها غير دالّة على محلّ النّزاع،فإنّا لم نمنع من جواز استعمال الماء،و لكنّ النّزاع في تطهير النّجس بالإتمام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دعوى الإجماع كدعوى تواتر حديثه </w:t>
      </w:r>
      <w:r>
        <w:rPr>
          <w:rFonts w:eastAsia="Amiri" w:cs="Amiri" w:ascii="Amiri" w:hAnsi="Amiri"/>
          <w:color w:val="111111"/>
          <w:sz w:val="28"/>
          <w:szCs w:val="28"/>
          <w:rtl w:val="true"/>
          <w:lang w:bidi="ar-SA"/>
        </w:rPr>
        <w:t>.</w:t>
      </w:r>
    </w:p>
    <w:p>
      <w:pPr>
        <w:pStyle w:val="Heading6"/>
        <w:numPr>
          <w:ilvl w:val="5"/>
          <w:numId w:val="1"/>
        </w:numPr>
        <w:rPr/>
      </w:pPr>
      <w:bookmarkStart w:id="402" w:name="__RefHeading___Toc746931_222507752"/>
      <w:bookmarkStart w:id="403" w:name="_Toc156"/>
      <w:bookmarkEnd w:id="402"/>
      <w:r>
        <w:rPr>
          <w:rtl w:val="true"/>
        </w:rPr>
        <w:t>فروع</w:t>
      </w:r>
      <w:r>
        <w:rPr>
          <w:rtl w:val="true"/>
        </w:rPr>
        <w:t>:</w:t>
      </w:r>
      <w:bookmarkEnd w:id="403"/>
    </w:p>
    <w:p>
      <w:pPr>
        <w:pStyle w:val="Heading6"/>
        <w:numPr>
          <w:ilvl w:val="5"/>
          <w:numId w:val="1"/>
        </w:numPr>
        <w:rPr/>
      </w:pPr>
      <w:bookmarkStart w:id="404" w:name="__RefHeading___Toc746933_222507752"/>
      <w:bookmarkStart w:id="405" w:name="_Toc157"/>
      <w:bookmarkEnd w:id="404"/>
      <w:r>
        <w:rPr>
          <w:rtl w:val="true"/>
        </w:rPr>
        <w:t>الأوّل</w:t>
      </w:r>
      <w:r>
        <w:rPr>
          <w:rtl w:val="true"/>
        </w:rPr>
        <w:t>:</w:t>
      </w:r>
      <w:r>
        <w:rPr>
          <w:rtl w:val="true"/>
        </w:rPr>
        <w:t>لو كان بعض الكرّ نجسا و تمّم بالمستعمل،</w:t>
      </w:r>
      <w:bookmarkEnd w:id="405"/>
    </w:p>
    <w:p>
      <w:pPr>
        <w:pStyle w:val="BookText"/>
        <w:rPr/>
      </w:pPr>
      <w:r>
        <w:rPr>
          <w:rFonts w:ascii="Amiri" w:hAnsi="Amiri" w:eastAsia="Amiri" w:cs="Amiri"/>
          <w:color w:val="111111"/>
          <w:sz w:val="28"/>
          <w:sz w:val="28"/>
          <w:szCs w:val="28"/>
          <w:rtl w:val="true"/>
          <w:lang w:bidi="ar-SA"/>
        </w:rPr>
        <w:t xml:space="preserve">فكالأوّل </w:t>
      </w:r>
      <w:r>
        <w:rPr>
          <w:rFonts w:eastAsia="Amiri" w:cs="Amiri" w:ascii="Amiri" w:hAnsi="Amiri"/>
          <w:color w:val="111111"/>
          <w:sz w:val="28"/>
          <w:szCs w:val="28"/>
          <w:rtl w:val="true"/>
          <w:lang w:bidi="ar-SA"/>
        </w:rPr>
        <w:t>.</w:t>
      </w:r>
    </w:p>
    <w:p>
      <w:pPr>
        <w:pStyle w:val="Heading6"/>
        <w:numPr>
          <w:ilvl w:val="5"/>
          <w:numId w:val="1"/>
        </w:numPr>
        <w:rPr/>
      </w:pPr>
      <w:bookmarkStart w:id="406" w:name="__RefHeading___Toc746935_222507752"/>
      <w:bookmarkStart w:id="407" w:name="_Toc158"/>
      <w:bookmarkEnd w:id="406"/>
      <w:r>
        <w:rPr>
          <w:rtl w:val="true"/>
        </w:rPr>
        <w:t>الثّاني</w:t>
      </w:r>
      <w:r>
        <w:rPr>
          <w:rtl w:val="true"/>
        </w:rPr>
        <w:t>:</w:t>
      </w:r>
      <w:r>
        <w:rPr>
          <w:rtl w:val="true"/>
        </w:rPr>
        <w:t>لو قلنا بالطّهارة ففرّق،لم يصر نجسا،</w:t>
      </w:r>
      <w:bookmarkEnd w:id="407"/>
    </w:p>
    <w:p>
      <w:pPr>
        <w:pStyle w:val="BookText"/>
        <w:rPr/>
      </w:pPr>
      <w:r>
        <w:rPr>
          <w:rFonts w:ascii="Amiri" w:hAnsi="Amiri" w:eastAsia="Amiri" w:cs="Amiri"/>
          <w:color w:val="111111"/>
          <w:sz w:val="28"/>
          <w:sz w:val="28"/>
          <w:szCs w:val="28"/>
          <w:rtl w:val="true"/>
          <w:lang w:bidi="ar-SA"/>
        </w:rPr>
        <w:t xml:space="preserve">كما لو كان كرّا عند وقوع النّجاسة ثمَّ فرّق </w:t>
      </w:r>
      <w:r>
        <w:rPr>
          <w:rFonts w:eastAsia="Amiri" w:cs="Amiri" w:ascii="Amiri" w:hAnsi="Amiri"/>
          <w:color w:val="111111"/>
          <w:sz w:val="28"/>
          <w:szCs w:val="28"/>
          <w:rtl w:val="true"/>
          <w:lang w:bidi="ar-SA"/>
        </w:rPr>
        <w:t>.</w:t>
      </w:r>
    </w:p>
    <w:p>
      <w:pPr>
        <w:pStyle w:val="Heading6"/>
        <w:numPr>
          <w:ilvl w:val="5"/>
          <w:numId w:val="1"/>
        </w:numPr>
        <w:rPr/>
      </w:pPr>
      <w:bookmarkStart w:id="408" w:name="__RefHeading___Toc746937_222507752"/>
      <w:bookmarkStart w:id="409" w:name="_Toc159"/>
      <w:bookmarkEnd w:id="408"/>
      <w:r>
        <w:rPr>
          <w:rtl w:val="true"/>
        </w:rPr>
        <w:t>الثّالث</w:t>
      </w:r>
      <w:r>
        <w:rPr>
          <w:rtl w:val="true"/>
        </w:rPr>
        <w:t>:</w:t>
      </w:r>
      <w:r>
        <w:rPr>
          <w:rtl w:val="true"/>
        </w:rPr>
        <w:t>لو قلنا بالطّهارة،لم يشترط خلوّه من نجاسة عينيّة</w:t>
      </w:r>
      <w:r>
        <w:rPr>
          <w:rtl w:val="true"/>
        </w:rPr>
        <w:t>.</w:t>
      </w:r>
      <w:bookmarkEnd w:id="409"/>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نعم،يشترط خلوّه من التّغيّر</w:t>
      </w:r>
      <w:r>
        <w:rPr>
          <w:rFonts w:eastAsia="Amiri" w:cs="Amiri" w:ascii="Amiri" w:hAnsi="Amiri"/>
          <w:color w:val="111111"/>
          <w:sz w:val="28"/>
          <w:szCs w:val="28"/>
          <w:rtl w:val="true"/>
          <w:lang w:bidi="ar-SA"/>
        </w:rPr>
        <w:t xml:space="preserve">. </w:t>
      </w:r>
      <w:bookmarkStart w:id="410" w:name="pg12672_159818"/>
    </w:p>
    <w:p>
      <w:pPr>
        <w:pStyle w:val="Heading6"/>
        <w:numPr>
          <w:ilvl w:val="5"/>
          <w:numId w:val="1"/>
        </w:numPr>
        <w:rPr/>
      </w:pPr>
      <w:bookmarkStart w:id="411" w:name="__RefHeading___Toc746939_222507752"/>
      <w:bookmarkStart w:id="412" w:name="_Toc160"/>
      <w:bookmarkEnd w:id="410"/>
      <w:bookmarkEnd w:id="411"/>
      <w:r>
        <w:rPr>
          <w:rtl w:val="true"/>
        </w:rPr>
        <w:t>الرّابع</w:t>
      </w:r>
      <w:r>
        <w:rPr>
          <w:rtl w:val="true"/>
        </w:rPr>
        <w:t>:</w:t>
      </w:r>
      <w:r>
        <w:rPr>
          <w:rtl w:val="true"/>
        </w:rPr>
        <w:t>إنّما لا يقبل النّجاسة الكثير من محض الماء،</w:t>
      </w:r>
      <w:bookmarkEnd w:id="412"/>
    </w:p>
    <w:p>
      <w:pPr>
        <w:pStyle w:val="BookText"/>
        <w:rPr/>
      </w:pPr>
      <w:r>
        <w:rPr>
          <w:rFonts w:ascii="Amiri" w:hAnsi="Amiri" w:eastAsia="Amiri" w:cs="Amiri"/>
          <w:color w:val="111111"/>
          <w:sz w:val="28"/>
          <w:sz w:val="28"/>
          <w:szCs w:val="28"/>
          <w:rtl w:val="true"/>
          <w:lang w:bidi="ar-SA"/>
        </w:rPr>
        <w:t xml:space="preserve">فلو كوثر </w:t>
      </w:r>
      <w:r>
        <w:rPr>
          <w:rStyle w:val="FootnoteAnchor"/>
          <w:rtl w:val="true"/>
        </w:rPr>
        <w:footnoteReference w:id="357"/>
      </w:r>
      <w:r>
        <w:rPr>
          <w:rFonts w:ascii="Amiri" w:hAnsi="Amiri" w:eastAsia="Amiri" w:cs="Amiri"/>
          <w:color w:val="111111"/>
          <w:sz w:val="28"/>
          <w:sz w:val="28"/>
          <w:szCs w:val="28"/>
          <w:rtl w:val="true"/>
          <w:lang w:bidi="ar-SA"/>
        </w:rPr>
        <w:t xml:space="preserve">النّجس القليل بماء ورد،لم يطهر،و لو كمل الطّاهر بماء ورد كرّا ثمَّ وقعت فيه نجاسة،فالأقرب عدم التّأثيران بقي الإطلاق،خلافا للشّافعيّ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13" w:name="__RefHeading___Toc746941_222507752"/>
      <w:bookmarkStart w:id="414" w:name="_Toc161"/>
      <w:bookmarkEnd w:id="413"/>
      <w:r>
        <w:rPr>
          <w:rtl w:val="true"/>
        </w:rPr>
        <w:t>الخامس</w:t>
      </w:r>
      <w:r>
        <w:rPr>
          <w:rtl w:val="true"/>
        </w:rPr>
        <w:t>:</w:t>
      </w:r>
      <w:r>
        <w:rPr>
          <w:rtl w:val="true"/>
        </w:rPr>
        <w:t>لو نجس القليل و زيد عليه ماء يقهره و لم يبلغ حدّ الكثرة لم يزل حكم</w:t>
      </w:r>
      <w:bookmarkEnd w:id="414"/>
    </w:p>
    <w:p>
      <w:pPr>
        <w:pStyle w:val="BookText"/>
        <w:rPr/>
      </w:pPr>
      <w:r>
        <w:rPr>
          <w:rFonts w:ascii="Amiri" w:hAnsi="Amiri" w:eastAsia="Amiri" w:cs="Amiri"/>
          <w:color w:val="111111"/>
          <w:sz w:val="28"/>
          <w:sz w:val="28"/>
          <w:szCs w:val="28"/>
          <w:rtl w:val="true"/>
          <w:lang w:bidi="ar-SA"/>
        </w:rPr>
        <w:t>التّنجيس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للشّافعيّة </w:t>
      </w:r>
      <w:r>
        <w:rPr>
          <w:rStyle w:val="FootnoteAnchor"/>
          <w:rtl w:val="true"/>
        </w:rPr>
        <w:footnoteReference w:id="359"/>
      </w:r>
      <w:r>
        <w:rPr>
          <w:rFonts w:ascii="Amiri" w:hAnsi="Amiri" w:eastAsia="Amiri" w:cs="Amiri"/>
          <w:color w:val="111111"/>
          <w:sz w:val="28"/>
          <w:sz w:val="28"/>
          <w:szCs w:val="28"/>
          <w:rtl w:val="true"/>
          <w:lang w:bidi="ar-SA"/>
        </w:rPr>
        <w:t xml:space="preserve">في أحد الوجهين،لكن شرطوا طهارة الوارد،و وروده على النّجس،و أن يزيد الوارد على الأوّل،و أن لا يكون فيه نجاسة جامدة </w:t>
      </w:r>
      <w:r>
        <w:rPr>
          <w:rFonts w:eastAsia="Amiri" w:cs="Amiri" w:ascii="Amiri" w:hAnsi="Amiri"/>
          <w:color w:val="111111"/>
          <w:sz w:val="28"/>
          <w:szCs w:val="28"/>
          <w:rtl w:val="true"/>
          <w:lang w:bidi="ar-SA"/>
        </w:rPr>
        <w:t>.</w:t>
      </w:r>
    </w:p>
    <w:p>
      <w:pPr>
        <w:pStyle w:val="Heading6"/>
        <w:numPr>
          <w:ilvl w:val="5"/>
          <w:numId w:val="1"/>
        </w:numPr>
        <w:rPr/>
      </w:pPr>
      <w:bookmarkStart w:id="415" w:name="__RefHeading___Toc746943_222507752"/>
      <w:bookmarkStart w:id="416" w:name="_Toc162"/>
      <w:bookmarkEnd w:id="415"/>
      <w:r>
        <w:rPr>
          <w:rtl w:val="true"/>
        </w:rPr>
        <w:t>السّادس</w:t>
      </w:r>
      <w:r>
        <w:rPr>
          <w:rtl w:val="true"/>
        </w:rPr>
        <w:t>:</w:t>
      </w:r>
      <w:r>
        <w:rPr>
          <w:rtl w:val="true"/>
        </w:rPr>
        <w:t>لا يطهر غير الماء من المائعات</w:t>
      </w:r>
      <w:r>
        <w:rPr>
          <w:rtl w:val="true"/>
        </w:rPr>
        <w:t>.</w:t>
      </w:r>
      <w:bookmarkEnd w:id="416"/>
    </w:p>
    <w:p>
      <w:pPr>
        <w:pStyle w:val="BookText"/>
        <w:rPr/>
      </w:pPr>
      <w:r>
        <w:rPr>
          <w:rFonts w:ascii="Amiri" w:hAnsi="Amiri" w:eastAsia="Amiri" w:cs="Amiri"/>
          <w:color w:val="111111"/>
          <w:sz w:val="28"/>
          <w:sz w:val="28"/>
          <w:szCs w:val="28"/>
          <w:rtl w:val="true"/>
          <w:lang w:bidi="ar-SA"/>
        </w:rPr>
        <w:t xml:space="preserve">خلافا للحنابلة </w:t>
      </w:r>
      <w:r>
        <w:rPr>
          <w:rStyle w:val="FootnoteAnchor"/>
          <w:rtl w:val="true"/>
        </w:rPr>
        <w:footnoteReference w:id="360"/>
      </w:r>
      <w:r>
        <w:rPr>
          <w:rFonts w:ascii="Amiri" w:hAnsi="Amiri" w:eastAsia="Amiri" w:cs="Amiri"/>
          <w:color w:val="111111"/>
          <w:sz w:val="28"/>
          <w:sz w:val="28"/>
          <w:szCs w:val="28"/>
          <w:rtl w:val="true"/>
          <w:lang w:bidi="ar-SA"/>
        </w:rPr>
        <w:t>حيث جوّزوا تطهير الدّهن بأن يلقى عليه ماء كثير و يضرب جيّدا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باطل لعدم العلم بالوصول </w:t>
      </w:r>
      <w:r>
        <w:rPr>
          <w:rFonts w:eastAsia="Amiri" w:cs="Amiri" w:ascii="Amiri" w:hAnsi="Amiri"/>
          <w:color w:val="111111"/>
          <w:sz w:val="28"/>
          <w:szCs w:val="28"/>
          <w:rtl w:val="true"/>
          <w:lang w:bidi="ar-SA"/>
        </w:rPr>
        <w:t>.</w:t>
      </w:r>
    </w:p>
    <w:p>
      <w:pPr>
        <w:pStyle w:val="Heading6"/>
        <w:numPr>
          <w:ilvl w:val="5"/>
          <w:numId w:val="1"/>
        </w:numPr>
        <w:rPr/>
      </w:pPr>
      <w:bookmarkStart w:id="417" w:name="__RefHeading___Toc746945_222507752"/>
      <w:bookmarkStart w:id="418" w:name="_Toc163"/>
      <w:bookmarkEnd w:id="417"/>
      <w:r>
        <w:rPr>
          <w:rtl w:val="true"/>
        </w:rPr>
        <w:t>مسألة</w:t>
      </w:r>
      <w:r>
        <w:rPr>
          <w:rtl w:val="true"/>
        </w:rPr>
        <w:t>:</w:t>
      </w:r>
      <w:r>
        <w:rPr>
          <w:rtl w:val="true"/>
        </w:rPr>
        <w:t>قد ذكرنا انّ الأقوى عندنا عدم تنجيس البئر بالملاقاة</w:t>
      </w:r>
      <w:bookmarkEnd w:id="418"/>
    </w:p>
    <w:p>
      <w:pPr>
        <w:pStyle w:val="BookText"/>
        <w:rPr/>
      </w:pP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،فالنّزح الوارد عن الأئمّة عليهم السّلام إنّما كان تعبّدا </w:t>
      </w:r>
      <w:r>
        <w:rPr>
          <w:rStyle w:val="FootnoteAnchor"/>
          <w:rtl w:val="true"/>
        </w:rPr>
        <w:footnoteReference w:id="362"/>
      </w:r>
      <w:r>
        <w:rPr>
          <w:rFonts w:ascii="Amiri" w:hAnsi="Amiri" w:eastAsia="Amiri" w:cs="Amiri"/>
          <w:color w:val="111111"/>
          <w:sz w:val="28"/>
          <w:sz w:val="28"/>
          <w:szCs w:val="28"/>
          <w:rtl w:val="true"/>
          <w:lang w:bidi="ar-SA"/>
        </w:rPr>
        <w:t>،و القائلون بالتّنجيس جعلوه طريقا إلى التّطهير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عرفت هذا،فنقول</w:t>
      </w:r>
      <w:r>
        <w:rPr>
          <w:rFonts w:eastAsia="IRNazanin" w:cs="IRNazanin"/>
          <w:color w:val="111111"/>
          <w:sz w:val="28"/>
          <w:szCs w:val="28"/>
          <w:rtl w:val="true"/>
          <w:lang w:bidi="fa-IR"/>
        </w:rPr>
        <w:t>:</w:t>
      </w:r>
    </w:p>
    <w:p>
      <w:pPr>
        <w:pStyle w:val="Heading6"/>
        <w:numPr>
          <w:ilvl w:val="5"/>
          <w:numId w:val="1"/>
        </w:numPr>
        <w:rPr/>
      </w:pPr>
      <w:bookmarkStart w:id="419" w:name="__RefHeading___Toc746947_222507752"/>
      <w:bookmarkStart w:id="420" w:name="_Toc164"/>
      <w:bookmarkEnd w:id="419"/>
      <w:r>
        <w:rPr>
          <w:rtl w:val="true"/>
        </w:rPr>
        <w:t>الواقع في البئر على أنواع</w:t>
      </w:r>
      <w:r>
        <w:rPr>
          <w:rtl w:val="true"/>
        </w:rPr>
        <w:t>:</w:t>
      </w:r>
      <w:bookmarkEnd w:id="420"/>
    </w:p>
    <w:p>
      <w:pPr>
        <w:pStyle w:val="Heading6"/>
        <w:numPr>
          <w:ilvl w:val="5"/>
          <w:numId w:val="1"/>
        </w:numPr>
        <w:rPr/>
      </w:pPr>
      <w:bookmarkStart w:id="421" w:name="__RefHeading___Toc746949_222507752"/>
      <w:bookmarkStart w:id="422" w:name="_Toc165"/>
      <w:bookmarkEnd w:id="421"/>
      <w:r>
        <w:rPr>
          <w:rtl w:val="true"/>
        </w:rPr>
        <w:t>الأوّل</w:t>
      </w:r>
      <w:r>
        <w:rPr>
          <w:rtl w:val="true"/>
        </w:rPr>
        <w:t>:</w:t>
      </w:r>
      <w:r>
        <w:rPr>
          <w:rtl w:val="true"/>
        </w:rPr>
        <w:t>ما يوجب نزح الجميع</w:t>
      </w:r>
      <w:bookmarkEnd w:id="422"/>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موت البعير أو الثّور فيها،و وقوع الخمر،و كلّ مسكر، و الفقاع،و المنيّ،و دم الحيض،و الاستحاضة،و النّفاس،لما رواه الحلبيّ </w:t>
      </w:r>
      <w:r>
        <w:rPr>
          <w:rStyle w:val="FootnoteAnchor"/>
          <w:rtl w:val="true"/>
        </w:rPr>
        <w:footnoteReference w:id="363"/>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الصّحيح،عن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فيها بعير أو يصبّ فيها خمر فلينزح</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عبد اللّه بن سنان في الصّحيح،عن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مات فيها ثور أو نحوه أو صبّ فيها خمر،نزح الماء كلّه</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يعارض هذا برواية عمرو بن سعيد بن هلال </w:t>
      </w:r>
      <w:r>
        <w:rPr>
          <w:rStyle w:val="FootnoteAnchor"/>
          <w:rtl w:val="true"/>
        </w:rPr>
        <w:footnoteReference w:id="366"/>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عمّا يقع في البئر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 أشياء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بلغت الحمار و الجمل؟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 من ماء</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لأنّ عمرا هذا فطحيّ،و الأصحاب لم يعملوا بهذه الرّواية أيضا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برواية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بئر،قطر فيها قطرة دم أو خمر؟قال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 و الدّم و الميّت و لحم الخنزير في ذلك كلّه واحد ينزح منه عشرون دلوا، فإن غلبت الرّيح نزحت حتّى تطيب</w:t>
      </w:r>
      <w:r>
        <w:rPr>
          <w:rFonts w:eastAsia="Amiri" w:cs="Amiri" w:ascii="Amiri" w:hAnsi="Amiri"/>
          <w:color w:val="111111"/>
          <w:sz w:val="28"/>
          <w:szCs w:val="28"/>
          <w:rtl w:val="true"/>
          <w:lang w:bidi="ar-SA"/>
        </w:rPr>
        <w:t xml:space="preserve">) </w:t>
      </w:r>
      <w:r>
        <w:rPr>
          <w:rStyle w:val="FootnoteAnchor"/>
          <w:rtl w:val="true"/>
        </w:rPr>
        <w:footnoteReference w:id="368"/>
      </w:r>
      <w:r>
        <w:rPr>
          <w:rFonts w:ascii="Amiri" w:hAnsi="Amiri" w:eastAsia="Amiri" w:cs="Amiri"/>
          <w:color w:val="111111"/>
          <w:sz w:val="28"/>
          <w:sz w:val="28"/>
          <w:szCs w:val="28"/>
          <w:rtl w:val="true"/>
          <w:lang w:bidi="ar-SA"/>
        </w:rPr>
        <w:t xml:space="preserve">لأنّي لم أعرف من الأصحاب من عمل بها غير ابن بابويه في المقنع </w:t>
      </w:r>
      <w:r>
        <w:rPr>
          <w:rStyle w:val="FootnoteAnchor"/>
          <w:rtl w:val="true"/>
        </w:rPr>
        <w:footnoteReference w:id="369"/>
      </w:r>
      <w:r>
        <w:rPr>
          <w:rFonts w:ascii="Amiri" w:hAnsi="Amiri" w:eastAsia="Amiri" w:cs="Amiri"/>
          <w:color w:val="111111"/>
          <w:sz w:val="28"/>
          <w:sz w:val="28"/>
          <w:szCs w:val="28"/>
          <w:rtl w:val="true"/>
          <w:lang w:bidi="ar-SA"/>
        </w:rPr>
        <w:t>،و الرّواة لها لا يحضرني الآن حالهم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أيضا فهذا خبر </w:t>
      </w:r>
    </w:p>
    <w:p>
      <w:pPr>
        <w:pStyle w:val="BookText"/>
        <w:rPr/>
      </w:pPr>
      <w:r>
        <w:rPr>
          <w:rFonts w:ascii="Amiri" w:hAnsi="Amiri" w:eastAsia="Amiri" w:cs="Amiri"/>
          <w:color w:val="111111"/>
          <w:sz w:val="28"/>
          <w:sz w:val="28"/>
          <w:szCs w:val="28"/>
          <w:rtl w:val="true"/>
          <w:lang w:bidi="ar-SA"/>
        </w:rPr>
        <w:t xml:space="preserve">واحد لا يدفع ما تقدّم،و لأنّ العمل بالأوّل يستلزم العمل بهذا بخلاف العكس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برواية كردويه </w:t>
      </w:r>
      <w:r>
        <w:rPr>
          <w:rStyle w:val="FootnoteAnchor"/>
          <w:rtl w:val="true"/>
        </w:rPr>
        <w:footnoteReference w:id="3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البئر يقع فيها قطرة دم،أو نبيذ مسكر،أو بول أو خمر؟قال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ينزح منها ثلاثون دلوا</w:t>
      </w:r>
      <w:r>
        <w:rPr>
          <w:rFonts w:eastAsia="Amiri" w:cs="Amiri" w:ascii="Amiri" w:hAnsi="Amiri"/>
          <w:color w:val="111111"/>
          <w:sz w:val="28"/>
          <w:szCs w:val="28"/>
          <w:rtl w:val="true"/>
          <w:lang w:bidi="ar-SA"/>
        </w:rPr>
        <w:t xml:space="preserve">) </w:t>
      </w:r>
      <w:r>
        <w:rPr>
          <w:rStyle w:val="FootnoteAnchor"/>
          <w:rtl w:val="true"/>
        </w:rPr>
        <w:footnoteReference w:id="372"/>
      </w:r>
      <w:r>
        <w:rPr>
          <w:rFonts w:ascii="Amiri" w:hAnsi="Amiri" w:eastAsia="Amiri" w:cs="Amiri"/>
          <w:color w:val="111111"/>
          <w:sz w:val="28"/>
          <w:sz w:val="28"/>
          <w:szCs w:val="28"/>
          <w:rtl w:val="true"/>
          <w:lang w:bidi="ar-SA"/>
        </w:rPr>
        <w:t>لما ذكرناه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المتأخّرين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يمكن تنزيل الرّوايتين على القطرة من الخمر و يفرّق بين القطرة و صبّه كالدّم،لأنّه ليس أثر القطرة في التّنجيس كالمصوب لشياعه </w:t>
      </w:r>
      <w:r>
        <w:rPr>
          <w:rStyle w:val="FootnoteAnchor"/>
          <w:rtl w:val="true"/>
        </w:rPr>
        <w:footnoteReference w:id="373"/>
      </w:r>
      <w:r>
        <w:rPr>
          <w:rFonts w:ascii="Amiri" w:hAnsi="Amiri" w:eastAsia="Amiri" w:cs="Amiri"/>
          <w:color w:val="111111"/>
          <w:sz w:val="28"/>
          <w:sz w:val="28"/>
          <w:szCs w:val="28"/>
          <w:rtl w:val="true"/>
          <w:lang w:bidi="ar-SA"/>
        </w:rPr>
        <w:t>،و هذا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رواية زرارة اشتملت على حكم التّغيّر،و من المستبعد بل المحال حصول التّغيّر عن القطرة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فإن تغيّرت بالانصباب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ضعيف من وجهين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الإضمار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الأنصاب موجب لنزح الجميع،فمع التّغيّر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فلأنّ أحدا من أصحابنا لم يفرّق بين قليل الخمر و كثيرها إلاّ من شذّ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الشّيخ،و المفيد،و السّيّد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حكم المسكرات حكم الخمر </w:t>
      </w:r>
      <w:r>
        <w:rPr>
          <w:rStyle w:val="FootnoteAnchor"/>
          <w:rtl w:val="true"/>
        </w:rPr>
        <w:footnoteReference w:id="375"/>
      </w:r>
      <w:r>
        <w:rPr>
          <w:rFonts w:ascii="Amiri" w:hAnsi="Amiri" w:eastAsia="Amiri" w:cs="Amiri"/>
          <w:color w:val="111111"/>
          <w:sz w:val="28"/>
          <w:sz w:val="28"/>
          <w:szCs w:val="28"/>
          <w:rtl w:val="true"/>
          <w:lang w:bidi="ar-SA"/>
        </w:rPr>
        <w:t>،و لم نظفر في ذلك بحديث،سوى ما رويناه عن زرارة،و هم غير عاملين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نعم،يمكن أن </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يدخل تحت حكمه،لما رواه عطاء بن يسار </w:t>
      </w:r>
      <w:r>
        <w:rPr>
          <w:rStyle w:val="FootnoteAnchor"/>
          <w:rtl w:val="true"/>
        </w:rPr>
        <w:footnoteReference w:id="376"/>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مسكر خمر</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يقطين،عن أبي الحسن الماضي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عاقبته عاقبة الخمر،فهو خمر</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إطلاق الخمر على المسكر إمّا بالقياس في التّسمية،و الجامع الإسكار،و يلزم منه جواز إثبات اللّغة بالقياس،و قد ذهب إليه بعضهم </w:t>
      </w:r>
      <w:r>
        <w:rPr>
          <w:rStyle w:val="FootnoteAnchor"/>
          <w:rtl w:val="true"/>
        </w:rPr>
        <w:footnoteReference w:id="379"/>
      </w:r>
      <w:r>
        <w:rPr>
          <w:rFonts w:ascii="Amiri" w:hAnsi="Amiri" w:eastAsia="Amiri" w:cs="Amiri"/>
          <w:color w:val="111111"/>
          <w:sz w:val="28"/>
          <w:sz w:val="28"/>
          <w:szCs w:val="28"/>
          <w:rtl w:val="true"/>
          <w:lang w:bidi="ar-SA"/>
        </w:rPr>
        <w:t>،و إمّا من حيث المشاركة في الحكم،و على كلا التّقديرين يلزم المطلوب</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الفقاع،فقد ألحقه الشّيخ بالخمر </w:t>
      </w:r>
      <w:r>
        <w:rPr>
          <w:rStyle w:val="FootnoteAnchor"/>
          <w:rtl w:val="true"/>
        </w:rPr>
        <w:footnoteReference w:id="380"/>
      </w:r>
      <w:r>
        <w:rPr>
          <w:rFonts w:ascii="IRNazanin" w:hAnsi="IRNazanin" w:eastAsia="IRNazanin"/>
          <w:color w:val="111111"/>
          <w:sz w:val="28"/>
          <w:sz w:val="28"/>
          <w:szCs w:val="28"/>
          <w:rtl w:val="true"/>
          <w:lang w:bidi="fa-IR"/>
        </w:rPr>
        <w:t xml:space="preserve">و تبعه أبو الصّلاح </w:t>
      </w:r>
      <w:r>
        <w:rPr>
          <w:rStyle w:val="FootnoteAnchor"/>
          <w:rtl w:val="true"/>
        </w:rPr>
        <w:footnoteReference w:id="381"/>
      </w:r>
      <w:r>
        <w:rPr>
          <w:rFonts w:ascii="IRNazanin" w:hAnsi="IRNazanin" w:eastAsia="IRNazanin"/>
          <w:color w:val="111111"/>
          <w:sz w:val="28"/>
          <w:sz w:val="28"/>
          <w:szCs w:val="28"/>
          <w:rtl w:val="true"/>
          <w:lang w:bidi="fa-IR"/>
        </w:rPr>
        <w:t xml:space="preserve">، </w:t>
      </w:r>
      <w:r>
        <w:rPr>
          <w:rStyle w:val="FootnoteAnchor"/>
          <w:rtl w:val="true"/>
        </w:rPr>
        <w:footnoteReference w:id="382"/>
      </w:r>
      <w:r>
        <w:rPr>
          <w:rFonts w:ascii="Amiri" w:hAnsi="Amiri" w:eastAsia="Amiri" w:cs="Amiri"/>
          <w:color w:val="111111"/>
          <w:sz w:val="28"/>
          <w:sz w:val="28"/>
          <w:szCs w:val="28"/>
          <w:rtl w:val="true"/>
          <w:lang w:bidi="ar-SA"/>
        </w:rPr>
        <w:t xml:space="preserve">،و ابن إدريس و ادّعى فيه الإجماع </w:t>
      </w:r>
      <w:r>
        <w:rPr>
          <w:rStyle w:val="FootnoteAnchor"/>
          <w:rtl w:val="true"/>
        </w:rPr>
        <w:footnoteReference w:id="383"/>
      </w:r>
      <w:r>
        <w:rPr>
          <w:rFonts w:ascii="Amiri" w:hAnsi="Amiri" w:eastAsia="Amiri" w:cs="Amiri"/>
          <w:color w:val="111111"/>
          <w:sz w:val="28"/>
          <w:sz w:val="28"/>
          <w:szCs w:val="28"/>
          <w:rtl w:val="true"/>
          <w:lang w:bidi="ar-SA"/>
        </w:rPr>
        <w:t xml:space="preserve">،و لم نقف على حديث يدلّ عليه،سوى ما رواه هشام بن </w:t>
      </w:r>
    </w:p>
    <w:p>
      <w:pPr>
        <w:pStyle w:val="BookText"/>
        <w:rPr/>
      </w:pPr>
      <w:r>
        <w:rPr>
          <w:rFonts w:ascii="Amiri" w:hAnsi="Amiri" w:eastAsia="Amiri" w:cs="Amiri"/>
          <w:color w:val="111111"/>
          <w:sz w:val="28"/>
          <w:sz w:val="28"/>
          <w:szCs w:val="28"/>
          <w:rtl w:val="true"/>
          <w:lang w:bidi="ar-SA"/>
        </w:rPr>
        <w:t xml:space="preserve">الحكم </w:t>
      </w:r>
      <w:r>
        <w:rPr>
          <w:rStyle w:val="FootnoteAnchor"/>
          <w:rtl w:val="true"/>
        </w:rPr>
        <w:footnoteReference w:id="384"/>
      </w:r>
      <w:r>
        <w:rPr>
          <w:rFonts w:ascii="Amiri" w:hAnsi="Amiri" w:eastAsia="Amiri" w:cs="Amiri"/>
          <w:color w:val="111111"/>
          <w:sz w:val="28"/>
          <w:sz w:val="28"/>
          <w:szCs w:val="28"/>
          <w:rtl w:val="true"/>
          <w:lang w:bidi="ar-SA"/>
        </w:rPr>
        <w:t>،عن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الفقاع؟فقال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تشربه فإنّه خمر مجهول</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حرام و هو خمر</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الحسن الأخير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خمر استصغرها النّاس</w:t>
      </w:r>
      <w:r>
        <w:rPr>
          <w:rFonts w:eastAsia="Amiri" w:cs="Amiri" w:ascii="Amiri" w:hAnsi="Amiri"/>
          <w:color w:val="111111"/>
          <w:sz w:val="28"/>
          <w:szCs w:val="28"/>
          <w:rtl w:val="true"/>
          <w:lang w:bidi="ar-SA"/>
        </w:rPr>
        <w:t xml:space="preserve">) </w:t>
      </w:r>
      <w:r>
        <w:rPr>
          <w:rStyle w:val="FootnoteAnchor"/>
          <w:rtl w:val="true"/>
        </w:rPr>
        <w:footnoteReference w:id="387"/>
      </w:r>
      <w:r>
        <w:rPr>
          <w:rFonts w:ascii="Amiri" w:hAnsi="Amiri" w:eastAsia="Amiri" w:cs="Amiri"/>
          <w:color w:val="111111"/>
          <w:sz w:val="28"/>
          <w:sz w:val="28"/>
          <w:szCs w:val="28"/>
          <w:rtl w:val="true"/>
          <w:lang w:bidi="ar-SA"/>
        </w:rPr>
        <w:t>و البحث فيه كالخمر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يوجب نزح الجميع </w:t>
      </w:r>
      <w:r>
        <w:rPr>
          <w:rStyle w:val="FootnoteAnchor"/>
          <w:rtl w:val="true"/>
        </w:rPr>
        <w:footnoteReference w:id="388"/>
      </w:r>
      <w:r>
        <w:rPr>
          <w:rFonts w:ascii="Amiri" w:hAnsi="Amiri" w:eastAsia="Amiri" w:cs="Amiri"/>
          <w:color w:val="111111"/>
          <w:sz w:val="28"/>
          <w:sz w:val="28"/>
          <w:szCs w:val="28"/>
          <w:rtl w:val="true"/>
          <w:lang w:bidi="ar-SA"/>
        </w:rPr>
        <w:t xml:space="preserve">،و تبعه جماعة </w:t>
      </w:r>
      <w:r>
        <w:rPr>
          <w:rStyle w:val="FootnoteAnchor"/>
          <w:rtl w:val="true"/>
        </w:rPr>
        <w:footnoteReference w:id="389"/>
      </w:r>
      <w:r>
        <w:rPr>
          <w:rFonts w:ascii="Amiri" w:hAnsi="Amiri" w:eastAsia="Amiri" w:cs="Amiri"/>
          <w:color w:val="111111"/>
          <w:sz w:val="28"/>
          <w:sz w:val="28"/>
          <w:szCs w:val="28"/>
          <w:rtl w:val="true"/>
          <w:lang w:bidi="ar-SA"/>
        </w:rPr>
        <w:t>،و لم نقف فيه على خبر،و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ماء محكوم بنجاسته،و تقدير بعض المنزوحات ترجيح من غير مرجّح،فيجب الجميع،لكنّا لمّا طعنّا في المقدّمة الأولى سقط عندنا هذا الدّليل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دم الحيض و الاستحاضة و النّفاس،فقد ألحقه الشّيخ بهذا النّوع </w:t>
      </w:r>
      <w:r>
        <w:rPr>
          <w:rStyle w:val="FootnoteAnchor"/>
          <w:rtl w:val="true"/>
        </w:rPr>
        <w:footnoteReference w:id="390"/>
      </w:r>
      <w:r>
        <w:rPr>
          <w:rFonts w:ascii="Amiri" w:hAnsi="Amiri" w:eastAsia="Amiri" w:cs="Amiri"/>
          <w:color w:val="111111"/>
          <w:sz w:val="28"/>
          <w:sz w:val="28"/>
          <w:szCs w:val="28"/>
          <w:rtl w:val="true"/>
          <w:lang w:bidi="ar-SA"/>
        </w:rPr>
        <w:t>،و لم نظفر فيه بحديث مرويّ</w:t>
      </w:r>
      <w:r>
        <w:rPr>
          <w:rFonts w:eastAsia="Amiri" w:cs="Amiri" w:ascii="Amiri" w:hAnsi="Amiri"/>
          <w:color w:val="111111"/>
          <w:sz w:val="28"/>
          <w:szCs w:val="28"/>
          <w:rtl w:val="true"/>
          <w:lang w:bidi="ar-SA"/>
        </w:rPr>
        <w:t xml:space="preserve">. </w:t>
      </w:r>
      <w:bookmarkStart w:id="423" w:name="pg12672_159823"/>
    </w:p>
    <w:p>
      <w:pPr>
        <w:pStyle w:val="Heading6"/>
        <w:numPr>
          <w:ilvl w:val="5"/>
          <w:numId w:val="1"/>
        </w:numPr>
        <w:rPr/>
      </w:pPr>
      <w:bookmarkStart w:id="424" w:name="__RefHeading___Toc746951_222507752"/>
      <w:bookmarkStart w:id="425" w:name="_Toc166"/>
      <w:bookmarkEnd w:id="423"/>
      <w:bookmarkEnd w:id="424"/>
      <w:r>
        <w:rPr>
          <w:rtl w:val="true"/>
        </w:rPr>
        <w:t>فروع</w:t>
      </w:r>
      <w:r>
        <w:rPr>
          <w:rtl w:val="true"/>
        </w:rPr>
        <w:t>:</w:t>
      </w:r>
      <w:bookmarkEnd w:id="425"/>
    </w:p>
    <w:p>
      <w:pPr>
        <w:pStyle w:val="Heading6"/>
        <w:numPr>
          <w:ilvl w:val="5"/>
          <w:numId w:val="1"/>
        </w:numPr>
        <w:rPr/>
      </w:pPr>
      <w:bookmarkStart w:id="426" w:name="__RefHeading___Toc746953_222507752"/>
      <w:bookmarkStart w:id="427" w:name="_Toc167"/>
      <w:bookmarkEnd w:id="426"/>
      <w:r>
        <w:rPr>
          <w:rtl w:val="true"/>
        </w:rPr>
        <w:t>الأوّل</w:t>
      </w:r>
      <w:r>
        <w:rPr>
          <w:rtl w:val="true"/>
        </w:rPr>
        <w:t>:</w:t>
      </w:r>
      <w:r>
        <w:rPr>
          <w:rtl w:val="true"/>
        </w:rPr>
        <w:t>لو تعذّر نزح الجميع لكثرته</w:t>
      </w:r>
      <w:bookmarkEnd w:id="427"/>
    </w:p>
    <w:p>
      <w:pPr>
        <w:pStyle w:val="BookText"/>
        <w:rPr/>
      </w:pPr>
      <w:r>
        <w:rPr>
          <w:rFonts w:ascii="Amiri" w:hAnsi="Amiri" w:eastAsia="Amiri" w:cs="Amiri"/>
          <w:color w:val="111111"/>
          <w:sz w:val="28"/>
          <w:sz w:val="28"/>
          <w:szCs w:val="28"/>
          <w:rtl w:val="true"/>
          <w:lang w:bidi="ar-SA"/>
        </w:rPr>
        <w:t xml:space="preserve">تراوح عليها أربعة رجال مثنى مثنى </w:t>
      </w:r>
      <w:r>
        <w:rPr>
          <w:rStyle w:val="FootnoteAnchor"/>
          <w:rtl w:val="true"/>
        </w:rPr>
        <w:footnoteReference w:id="391"/>
      </w:r>
      <w:r>
        <w:rPr>
          <w:rFonts w:ascii="Amiri" w:hAnsi="Amiri" w:eastAsia="Amiri" w:cs="Amiri"/>
          <w:color w:val="111111"/>
          <w:sz w:val="28"/>
          <w:sz w:val="28"/>
          <w:szCs w:val="28"/>
          <w:rtl w:val="true"/>
          <w:lang w:bidi="ar-SA"/>
        </w:rPr>
        <w:t>من طلوع الفجر إلى الغروب،و لم أعرف فيه مخالفا من القائلين بالتّنجيس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عمّار عن أبي عبد اللّه عليه السّلام في حديث طويل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عن بئر وقع فيه كلب،أو فأرة،أو خنزير؟قال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ينزف كلّها فإن غلب عليه الماء فلينزف يوما إلى اللّيل،ثمَّ يقام عليها قوم يتراوحون اثنين اثنين فينزفون يوما إلى اللّيل و قد طهرت</w:t>
      </w:r>
      <w:r>
        <w:rPr>
          <w:rFonts w:eastAsia="Amiri" w:cs="Amiri" w:ascii="Amiri" w:hAnsi="Amiri"/>
          <w:color w:val="111111"/>
          <w:sz w:val="28"/>
          <w:szCs w:val="28"/>
          <w:rtl w:val="true"/>
          <w:lang w:bidi="ar-SA"/>
        </w:rPr>
        <w:t xml:space="preserve">) </w:t>
      </w:r>
      <w:r>
        <w:rPr>
          <w:rStyle w:val="FootnoteAnchor"/>
          <w:rtl w:val="true"/>
        </w:rPr>
        <w:footnoteReference w:id="392"/>
      </w:r>
      <w:r>
        <w:rPr>
          <w:rFonts w:ascii="Amiri" w:hAnsi="Amiri" w:eastAsia="Amiri" w:cs="Amiri"/>
          <w:color w:val="111111"/>
          <w:sz w:val="28"/>
          <w:sz w:val="28"/>
          <w:szCs w:val="28"/>
          <w:rtl w:val="true"/>
          <w:lang w:bidi="ar-SA"/>
        </w:rPr>
        <w:t>و هذه الرّواية ضعيفة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السّند،فإنّ رواتها فطحيّة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المتن،فإنّ أحدا من أصحابنا لم يوجب نزح الجميع بموت الكلب و الفأرة و الخنزير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أجاب الشّيخ عن الثّاني باحتمال التّغيّر </w:t>
      </w:r>
      <w:r>
        <w:rPr>
          <w:rStyle w:val="FootnoteAnchor"/>
          <w:rtl w:val="true"/>
        </w:rPr>
        <w:footnoteReference w:id="394"/>
      </w:r>
      <w:r>
        <w:rPr>
          <w:rFonts w:ascii="Amiri" w:hAnsi="Amiri" w:eastAsia="Amiri" w:cs="Amiri"/>
          <w:color w:val="111111"/>
          <w:sz w:val="28"/>
          <w:sz w:val="28"/>
          <w:szCs w:val="28"/>
          <w:rtl w:val="true"/>
          <w:lang w:bidi="ar-SA"/>
        </w:rPr>
        <w:t>،و استدلّ الشّيخ أيضا بما رواه عمرو بن سعيد بن هلال،عن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عمّا يقع في البئر ما بين الفأرة و السّنّور إلى الشّاة،فكلّ ذلك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دلاء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بلغت الحمار و الجمل؟قال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 من ماء</w:t>
      </w:r>
      <w:r>
        <w:rPr>
          <w:rFonts w:eastAsia="Amiri" w:cs="Amiri" w:ascii="Amiri" w:hAnsi="Amiri"/>
          <w:color w:val="111111"/>
          <w:sz w:val="28"/>
          <w:szCs w:val="28"/>
          <w:rtl w:val="true"/>
          <w:lang w:bidi="ar-SA"/>
        </w:rPr>
        <w:t xml:space="preserve">) </w:t>
      </w:r>
      <w:r>
        <w:rPr>
          <w:rStyle w:val="FootnoteAnchor"/>
          <w:rtl w:val="true"/>
        </w:rPr>
        <w:footnoteReference w:id="395"/>
      </w:r>
      <w:r>
        <w:rPr>
          <w:rFonts w:ascii="Amiri" w:hAnsi="Amiri" w:eastAsia="Amiri" w:cs="Amiri"/>
          <w:color w:val="111111"/>
          <w:sz w:val="28"/>
          <w:sz w:val="28"/>
          <w:szCs w:val="28"/>
          <w:rtl w:val="true"/>
          <w:lang w:bidi="ar-SA"/>
        </w:rPr>
        <w:t>و إن كان كثيرا،قال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تراوح الأربعة يوما يزيد عن الكرّ،فيجب أن يكون مجزيا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البحث في هذه الرّواية في السّند و المتن كما مرّ،و يزيد عليه انّ هذه الرّواية دلّت على </w:t>
      </w:r>
      <w:bookmarkStart w:id="428" w:name="pg12672_159824"/>
    </w:p>
    <w:p>
      <w:pPr>
        <w:pStyle w:val="BookText"/>
        <w:rPr/>
      </w:pPr>
      <w:bookmarkEnd w:id="428"/>
      <w:r>
        <w:rPr>
          <w:rFonts w:ascii="Amiri" w:hAnsi="Amiri" w:eastAsia="Amiri" w:cs="Amiri"/>
          <w:color w:val="111111"/>
          <w:sz w:val="28"/>
          <w:sz w:val="28"/>
          <w:szCs w:val="28"/>
          <w:rtl w:val="true"/>
          <w:lang w:bidi="ar-SA"/>
        </w:rPr>
        <w:t>الاكتفاء بالكرّ،و التّراوح و إن زاد على الكرّ،لكن لا دلالة في هذه الرّواية على انّه يقوم مقام نزح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الأقرب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بالتّراوح يغلب على الظّن زوال ما كان في البئر، فيصار إليه </w:t>
      </w:r>
      <w:r>
        <w:rPr>
          <w:rFonts w:eastAsia="Amiri" w:cs="Amiri" w:ascii="Amiri" w:hAnsi="Amiri"/>
          <w:color w:val="111111"/>
          <w:sz w:val="28"/>
          <w:szCs w:val="28"/>
          <w:rtl w:val="true"/>
          <w:lang w:bidi="ar-SA"/>
        </w:rPr>
        <w:t>.</w:t>
      </w:r>
    </w:p>
    <w:p>
      <w:pPr>
        <w:pStyle w:val="Heading6"/>
        <w:numPr>
          <w:ilvl w:val="5"/>
          <w:numId w:val="1"/>
        </w:numPr>
        <w:rPr/>
      </w:pPr>
      <w:bookmarkStart w:id="429" w:name="__RefHeading___Toc746955_222507752"/>
      <w:bookmarkStart w:id="430" w:name="_Toc168"/>
      <w:bookmarkEnd w:id="429"/>
      <w:r>
        <w:rPr>
          <w:rtl w:val="true"/>
        </w:rPr>
        <w:t>الثّاني</w:t>
      </w:r>
      <w:r>
        <w:rPr>
          <w:rtl w:val="true"/>
        </w:rPr>
        <w:t>:</w:t>
      </w:r>
      <w:r>
        <w:rPr>
          <w:rtl w:val="true"/>
        </w:rPr>
        <w:t>إن أوجبنا الرّجال لم يجز النّساء و لا الصّبيان</w:t>
      </w:r>
      <w:bookmarkEnd w:id="430"/>
    </w:p>
    <w:p>
      <w:pPr>
        <w:pStyle w:val="BookText"/>
        <w:rPr/>
      </w:pPr>
      <w:r>
        <w:rPr>
          <w:rFonts w:ascii="Amiri" w:hAnsi="Amiri" w:eastAsia="Amiri" w:cs="Amiri"/>
          <w:color w:val="111111"/>
          <w:sz w:val="28"/>
          <w:sz w:val="28"/>
          <w:szCs w:val="28"/>
          <w:rtl w:val="true"/>
          <w:lang w:bidi="ar-SA"/>
        </w:rPr>
        <w:t xml:space="preserve">،و يشكل لو ساوت قوّتهم قوّة الرّجال،و إن عملنا بالحديث المتناول للقوم </w:t>
      </w:r>
      <w:r>
        <w:rPr>
          <w:rStyle w:val="FootnoteAnchor"/>
          <w:rtl w:val="true"/>
        </w:rPr>
        <w:footnoteReference w:id="397"/>
      </w:r>
      <w:r>
        <w:rPr>
          <w:rFonts w:ascii="Amiri" w:hAnsi="Amiri" w:eastAsia="Amiri" w:cs="Amiri"/>
          <w:color w:val="111111"/>
          <w:sz w:val="28"/>
          <w:sz w:val="28"/>
          <w:szCs w:val="28"/>
          <w:rtl w:val="true"/>
          <w:lang w:bidi="ar-SA"/>
        </w:rPr>
        <w:t>أجزأ النّساء و الصّبيان</w:t>
      </w:r>
    </w:p>
    <w:p>
      <w:pPr>
        <w:pStyle w:val="Heading6"/>
        <w:numPr>
          <w:ilvl w:val="5"/>
          <w:numId w:val="1"/>
        </w:numPr>
        <w:rPr/>
      </w:pPr>
      <w:bookmarkStart w:id="431" w:name="__RefHeading___Toc746957_222507752"/>
      <w:bookmarkStart w:id="432" w:name="_Toc169"/>
      <w:bookmarkEnd w:id="431"/>
      <w:r>
        <w:rPr>
          <w:rtl w:val="true"/>
        </w:rPr>
        <w:t>الثّالث</w:t>
      </w:r>
      <w:r>
        <w:rPr>
          <w:rtl w:val="true"/>
        </w:rPr>
        <w:t>:</w:t>
      </w:r>
      <w:r>
        <w:rPr>
          <w:rtl w:val="true"/>
        </w:rPr>
        <w:t>لا بدّ من نزح اثنين اثنين تبعا للرّواية</w:t>
      </w:r>
      <w:bookmarkEnd w:id="432"/>
    </w:p>
    <w:p>
      <w:pPr>
        <w:pStyle w:val="BookText"/>
        <w:rPr/>
      </w:pPr>
      <w:r>
        <w:rPr>
          <w:rFonts w:ascii="Amiri" w:hAnsi="Amiri" w:eastAsia="Amiri" w:cs="Amiri"/>
          <w:color w:val="111111"/>
          <w:sz w:val="28"/>
          <w:sz w:val="28"/>
          <w:szCs w:val="28"/>
          <w:rtl w:val="true"/>
          <w:lang w:bidi="ar-SA"/>
        </w:rPr>
        <w:t xml:space="preserve">،و لا يكفي الآحاد و إن قصر زمان التّراوح </w:t>
      </w:r>
      <w:r>
        <w:rPr>
          <w:rFonts w:eastAsia="Amiri" w:cs="Amiri" w:ascii="Amiri" w:hAnsi="Amiri"/>
          <w:color w:val="111111"/>
          <w:sz w:val="28"/>
          <w:szCs w:val="28"/>
          <w:rtl w:val="true"/>
          <w:lang w:bidi="ar-SA"/>
        </w:rPr>
        <w:t>.</w:t>
      </w:r>
    </w:p>
    <w:p>
      <w:pPr>
        <w:pStyle w:val="Heading6"/>
        <w:numPr>
          <w:ilvl w:val="5"/>
          <w:numId w:val="1"/>
        </w:numPr>
        <w:rPr/>
      </w:pPr>
      <w:bookmarkStart w:id="433" w:name="__RefHeading___Toc746959_222507752"/>
      <w:bookmarkStart w:id="434" w:name="_Toc170"/>
      <w:bookmarkEnd w:id="433"/>
      <w:r>
        <w:rPr>
          <w:rtl w:val="true"/>
        </w:rPr>
        <w:t>الرّابع</w:t>
      </w:r>
      <w:r>
        <w:rPr>
          <w:rtl w:val="true"/>
        </w:rPr>
        <w:t>:</w:t>
      </w:r>
      <w:r>
        <w:rPr>
          <w:rtl w:val="true"/>
        </w:rPr>
        <w:t>لو نزح اثنان و امتدّ نزحهما إلى اللّيل</w:t>
      </w:r>
      <w:bookmarkEnd w:id="434"/>
    </w:p>
    <w:p>
      <w:pPr>
        <w:pStyle w:val="BookText"/>
        <w:rPr/>
      </w:pPr>
      <w:r>
        <w:rPr>
          <w:rFonts w:ascii="Amiri" w:hAnsi="Amiri" w:eastAsia="Amiri" w:cs="Amiri"/>
          <w:color w:val="111111"/>
          <w:sz w:val="28"/>
          <w:sz w:val="28"/>
          <w:szCs w:val="28"/>
          <w:rtl w:val="true"/>
          <w:lang w:bidi="ar-SA"/>
        </w:rPr>
        <w:t xml:space="preserve">،ففي الإجزاء نظر أقربه ذلك إن علم مساواته لتراوح الأربعة </w:t>
      </w:r>
      <w:r>
        <w:rPr>
          <w:rFonts w:eastAsia="Amiri" w:cs="Amiri" w:ascii="Amiri" w:hAnsi="Amiri"/>
          <w:color w:val="111111"/>
          <w:sz w:val="28"/>
          <w:szCs w:val="28"/>
          <w:rtl w:val="true"/>
          <w:lang w:bidi="ar-SA"/>
        </w:rPr>
        <w:t>.</w:t>
      </w:r>
    </w:p>
    <w:p>
      <w:pPr>
        <w:pStyle w:val="Heading6"/>
        <w:numPr>
          <w:ilvl w:val="5"/>
          <w:numId w:val="1"/>
        </w:numPr>
        <w:rPr/>
      </w:pPr>
      <w:bookmarkStart w:id="435" w:name="__RefHeading___Toc746961_222507752"/>
      <w:bookmarkStart w:id="436" w:name="_Toc171"/>
      <w:bookmarkEnd w:id="435"/>
      <w:r>
        <w:rPr>
          <w:rtl w:val="true"/>
        </w:rPr>
        <w:t>الخامس</w:t>
      </w:r>
      <w:r>
        <w:rPr>
          <w:rtl w:val="true"/>
        </w:rPr>
        <w:t>:</w:t>
      </w:r>
      <w:r>
        <w:rPr>
          <w:rtl w:val="true"/>
        </w:rPr>
        <w:t>البعير اسم جنس للصّغير و الكبير،و الذّكر و الأنثى،</w:t>
      </w:r>
      <w:bookmarkEnd w:id="436"/>
    </w:p>
    <w:p>
      <w:pPr>
        <w:pStyle w:val="BookText"/>
        <w:rPr/>
      </w:pPr>
      <w:r>
        <w:rPr>
          <w:rFonts w:ascii="Amiri" w:hAnsi="Amiri" w:eastAsia="Amiri" w:cs="Amiri"/>
          <w:color w:val="111111"/>
          <w:sz w:val="28"/>
          <w:sz w:val="28"/>
          <w:szCs w:val="28"/>
          <w:rtl w:val="true"/>
          <w:lang w:bidi="ar-SA"/>
        </w:rPr>
        <w:t xml:space="preserve">كالإنسان </w:t>
      </w:r>
      <w:r>
        <w:rPr>
          <w:rFonts w:eastAsia="Amiri" w:cs="Amiri" w:ascii="Amiri" w:hAnsi="Amiri"/>
          <w:color w:val="111111"/>
          <w:sz w:val="28"/>
          <w:szCs w:val="28"/>
          <w:rtl w:val="true"/>
          <w:lang w:bidi="ar-SA"/>
        </w:rPr>
        <w:t>.</w:t>
      </w:r>
    </w:p>
    <w:p>
      <w:pPr>
        <w:pStyle w:val="Heading6"/>
        <w:numPr>
          <w:ilvl w:val="5"/>
          <w:numId w:val="1"/>
        </w:numPr>
        <w:rPr/>
      </w:pPr>
      <w:bookmarkStart w:id="437" w:name="__RefHeading___Toc746963_222507752"/>
      <w:bookmarkStart w:id="438" w:name="_Toc172"/>
      <w:bookmarkEnd w:id="437"/>
      <w:r>
        <w:rPr>
          <w:rtl w:val="true"/>
        </w:rPr>
        <w:t>النوع الثّاني</w:t>
      </w:r>
      <w:r>
        <w:rPr>
          <w:rtl w:val="true"/>
        </w:rPr>
        <w:t>:</w:t>
      </w:r>
      <w:r>
        <w:rPr>
          <w:rtl w:val="true"/>
        </w:rPr>
        <w:t>ما يوجب نزح كرّ</w:t>
      </w:r>
      <w:bookmarkEnd w:id="438"/>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الحمار،و البغل،و الفرس،و البقر و أشباهها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الحمار،فقد ذهب إليه أكثر أصحابنا </w:t>
      </w:r>
      <w:r>
        <w:rPr>
          <w:rStyle w:val="FootnoteAnchor"/>
          <w:rtl w:val="true"/>
        </w:rPr>
        <w:footnoteReference w:id="398"/>
      </w:r>
      <w:r>
        <w:rPr>
          <w:rFonts w:ascii="Amiri" w:hAnsi="Amiri" w:eastAsia="Amiri" w:cs="Amiri"/>
          <w:color w:val="111111"/>
          <w:sz w:val="28"/>
          <w:sz w:val="28"/>
          <w:szCs w:val="28"/>
          <w:rtl w:val="true"/>
          <w:lang w:bidi="ar-SA"/>
        </w:rPr>
        <w:t>مستدلّين برواية عمرو بن سعيد،عن الباقر عليه السّلام،و هي ضعيفة من حيث السّند،و من حيث التّسوية بين الحمار و الجمل،إلاّ انّ أصحابنا عملوا فيها بالحمار،و التّسوية سقطت باعتبار حصول المعارض، فلا يلزم نفي الحكم عمّا فقد عنه المعارض</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البقرة و الفرس،فقد قال الشّيخ و السّيّد المرتضى و المفيد بمساواتهما للحمار في الكرّ </w:t>
      </w:r>
      <w:r>
        <w:rPr>
          <w:rStyle w:val="FootnoteAnchor"/>
          <w:rtl w:val="true"/>
        </w:rPr>
        <w:footnoteReference w:id="399"/>
      </w:r>
      <w:r>
        <w:rPr>
          <w:rFonts w:ascii="Amiri" w:hAnsi="Amiri" w:eastAsia="Amiri" w:cs="Amiri"/>
          <w:color w:val="111111"/>
          <w:sz w:val="28"/>
          <w:sz w:val="28"/>
          <w:szCs w:val="28"/>
          <w:rtl w:val="true"/>
          <w:lang w:bidi="ar-SA"/>
        </w:rPr>
        <w:t xml:space="preserve">،و لم نقف في ذلك على حديث،إلاّ ما رواه الشّيخ في الصّحيح،عن زرارة، </w:t>
      </w:r>
    </w:p>
    <w:p>
      <w:pPr>
        <w:pStyle w:val="BookText"/>
        <w:rPr/>
      </w:pPr>
      <w:r>
        <w:rPr>
          <w:rFonts w:ascii="Amiri" w:hAnsi="Amiri" w:eastAsia="Amiri" w:cs="Amiri"/>
          <w:color w:val="111111"/>
          <w:sz w:val="28"/>
          <w:sz w:val="28"/>
          <w:szCs w:val="28"/>
          <w:rtl w:val="true"/>
          <w:lang w:bidi="ar-SA"/>
        </w:rPr>
        <w:t xml:space="preserve">و محمّد بن مسلم،و بريد بن معاوية العجليّ </w:t>
      </w:r>
      <w:r>
        <w:rPr>
          <w:rStyle w:val="FootnoteAnchor"/>
          <w:rtl w:val="true"/>
        </w:rPr>
        <w:footnoteReference w:id="400"/>
      </w:r>
      <w:r>
        <w:rPr>
          <w:rFonts w:ascii="Amiri" w:hAnsi="Amiri" w:eastAsia="Amiri" w:cs="Amiri"/>
          <w:color w:val="111111"/>
          <w:sz w:val="28"/>
          <w:sz w:val="28"/>
          <w:szCs w:val="28"/>
          <w:rtl w:val="true"/>
          <w:lang w:bidi="ar-SA"/>
        </w:rPr>
        <w:t>،عن أبي عبد اللّه عليه السّلام و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البئر يقع فيها الدّابّة،و الفأرة،و الكلب،و الطّير،فيموت؟قال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يخرج،ثمَّ ينزح من البئر دلاء،ثمَّ اشرب و توضّأ</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صاحب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لكلّ ما يدبّ على الأرض،و الدّابّة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لكلّ ما يركب </w:t>
      </w:r>
      <w:r>
        <w:rPr>
          <w:rStyle w:val="FootnoteAnchor"/>
          <w:rtl w:val="true"/>
        </w:rPr>
        <w:footnoteReference w:id="402"/>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 حمله على المعنى الأوّل و إلاّ لعمّ،و هو باطل لما يأتي، فيجب حمله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 و 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الدّابّة</w:t>
      </w:r>
      <w:r>
        <w:rPr>
          <w:rFonts w:eastAsia="Amiri" w:cs="Amiri" w:ascii="Amiri" w:hAnsi="Amiri"/>
          <w:color w:val="111111"/>
          <w:sz w:val="28"/>
          <w:szCs w:val="28"/>
          <w:rtl w:val="true"/>
          <w:lang w:bidi="ar-SA"/>
        </w:rPr>
        <w:t xml:space="preserve">) </w:t>
      </w:r>
      <w:r>
        <w:rPr>
          <w:rStyle w:val="FootnoteAnchor"/>
          <w:rtl w:val="true"/>
        </w:rPr>
        <w:footnoteReference w:id="403"/>
      </w:r>
      <w:r>
        <w:rPr>
          <w:rFonts w:ascii="Amiri" w:hAnsi="Amiri" w:eastAsia="Amiri" w:cs="Amiri"/>
          <w:color w:val="111111"/>
          <w:sz w:val="28"/>
          <w:sz w:val="28"/>
          <w:szCs w:val="28"/>
          <w:rtl w:val="true"/>
          <w:lang w:bidi="ar-SA"/>
        </w:rPr>
        <w:t xml:space="preserve">ليست للعهد،لعدم سبق معهود يرجع إليه، فإمّا أن يكون للعموم،كما ذهب إليه الجبائيّان </w:t>
      </w:r>
      <w:r>
        <w:rPr>
          <w:rStyle w:val="FootnoteAnchor"/>
          <w:rtl w:val="true"/>
        </w:rPr>
        <w:footnoteReference w:id="404"/>
      </w:r>
      <w:r>
        <w:rPr>
          <w:rFonts w:ascii="Amiri" w:hAnsi="Amiri" w:eastAsia="Amiri" w:cs="Amiri"/>
          <w:color w:val="111111"/>
          <w:sz w:val="28"/>
          <w:sz w:val="28"/>
          <w:szCs w:val="28"/>
          <w:rtl w:val="true"/>
          <w:lang w:bidi="ar-SA"/>
        </w:rPr>
        <w:t>،أو لتعريف الماهيّة على المذهب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التّقديرين يلزم العموم في كلّ مركوب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فظاهر</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تعليق الحكم على الماهيّة يستدعي ثبوته في جميع صور وجودها،و إلاّ لم يكن 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خلف،و إذا ثبت العموم دخل فيه الحمار،و الفرس،و البغل، و الإبل،و البقر نادرا غير انّ الإبل،و الثّور،خرجا بما دلّ بمنطوقه على نزح الجميع،فيكون </w:t>
      </w:r>
      <w:bookmarkStart w:id="439" w:name="pg12672_159826"/>
    </w:p>
    <w:p>
      <w:pPr>
        <w:pStyle w:val="BookText"/>
        <w:rPr/>
      </w:pPr>
      <w:bookmarkEnd w:id="439"/>
      <w:r>
        <w:rPr>
          <w:rFonts w:ascii="Amiri" w:hAnsi="Amiri" w:eastAsia="Amiri" w:cs="Amiri"/>
          <w:color w:val="111111"/>
          <w:sz w:val="28"/>
          <w:sz w:val="28"/>
          <w:szCs w:val="28"/>
          <w:rtl w:val="true"/>
          <w:lang w:bidi="ar-SA"/>
        </w:rPr>
        <w:t>الحكم ثابتا في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 التّسوية بين ما عدّده الإمامان عليهما السّلام،قلت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ما استثني لدليل منفصل،فيبقى الباقي،لعدم المعارض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التّسوية حاصلة من حيث الحكم بوجوب نزح الدّلاء </w:t>
      </w:r>
      <w:r>
        <w:rPr>
          <w:rStyle w:val="FootnoteAnchor"/>
          <w:rtl w:val="true"/>
        </w:rPr>
        <w:footnoteReference w:id="405"/>
      </w:r>
      <w:r>
        <w:rPr>
          <w:rFonts w:ascii="Amiri" w:hAnsi="Amiri" w:eastAsia="Amiri" w:cs="Amiri"/>
          <w:color w:val="111111"/>
          <w:sz w:val="28"/>
          <w:sz w:val="28"/>
          <w:szCs w:val="28"/>
          <w:rtl w:val="true"/>
          <w:lang w:bidi="ar-SA"/>
        </w:rPr>
        <w:t>،و إن افترقت بالكثرة و القلّة،و ذلك شيء لم يتعرّضا له عليهما السّلام،إلاّ انّ لقائل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ما ذكرتموه لا يدلّ على بلوغ الكرّيّة،و يمكن التّمحّل بأن يحمل الدّلاء على ما يبلغ الكرّ جمعا بين المطلق و المقيّد خصوصا مع الإتيان بصيغة جمع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حمل الجمع على الكثرة استحال إرادة القلّة منه،و إلاّ لزم الجمع بين إرادتي الحقيقة و المجاز،و إن حمل على القلّة فكذلك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نسلّم استحالة التّالي </w:t>
      </w:r>
      <w:r>
        <w:rPr>
          <w:rStyle w:val="FootnoteAnchor"/>
          <w:rtl w:val="true"/>
        </w:rPr>
        <w:footnoteReference w:id="4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سلّمنا،لكن إن حمل على معناه المجازيّ و هو مطلق الجمع،لم يلزم ما ذكرتم،على انّ لنا في كون الصّيغ المذكورة حقائق أو مجازات في القلّة و الكثرة نظرا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بعض المتأخّرين استدلّ بهذه الرّواية على وجوب النّزح للحمار دون الفرس و البقرة،و ألحقهما بما لم يرد فيه نصّ </w:t>
      </w:r>
      <w:r>
        <w:rPr>
          <w:rStyle w:val="FootnoteAnchor"/>
          <w:rtl w:val="true"/>
        </w:rPr>
        <w:footnoteReference w:id="407"/>
      </w:r>
      <w:r>
        <w:rPr>
          <w:rFonts w:ascii="Amiri" w:hAnsi="Amiri" w:eastAsia="Amiri" w:cs="Amiri"/>
          <w:color w:val="111111"/>
          <w:sz w:val="28"/>
          <w:sz w:val="28"/>
          <w:szCs w:val="28"/>
          <w:rtl w:val="true"/>
          <w:lang w:bidi="ar-SA"/>
        </w:rPr>
        <w:t>،و قد ظهر بطلانه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مثل هذه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البقباق عن أبي عبد اللّه عليه السّلام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0" w:name="__RefHeading___Toc746965_222507752"/>
      <w:bookmarkStart w:id="441" w:name="_Toc173"/>
      <w:bookmarkEnd w:id="440"/>
      <w:r>
        <w:rPr>
          <w:rtl w:val="true"/>
        </w:rPr>
        <w:t>الثّالث</w:t>
      </w:r>
      <w:r>
        <w:rPr>
          <w:rtl w:val="true"/>
        </w:rPr>
        <w:t>:</w:t>
      </w:r>
      <w:r>
        <w:rPr>
          <w:rtl w:val="true"/>
        </w:rPr>
        <w:t>الإنسان</w:t>
      </w:r>
      <w:bookmarkEnd w:id="441"/>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ينزح لموته سبعون دلوا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مذهب القائلين بالتّنجيس أجمع،و استدلّ عليه الشّيخ برواية ابن فضّال </w:t>
      </w:r>
      <w:r>
        <w:rPr>
          <w:rStyle w:val="FootnoteAnchor"/>
          <w:rtl w:val="true"/>
        </w:rPr>
        <w:footnoteReference w:id="409"/>
      </w:r>
      <w:r>
        <w:rPr>
          <w:rFonts w:ascii="IRNazanin" w:hAnsi="IRNazanin" w:eastAsia="IRNazanin"/>
          <w:color w:val="111111"/>
          <w:sz w:val="28"/>
          <w:sz w:val="28"/>
          <w:szCs w:val="28"/>
          <w:rtl w:val="true"/>
          <w:lang w:bidi="fa-IR"/>
        </w:rPr>
        <w:t xml:space="preserve">،عن عمرو بن </w:t>
      </w:r>
    </w:p>
    <w:p>
      <w:pPr>
        <w:pStyle w:val="BookText"/>
        <w:rPr/>
      </w:pPr>
      <w:r>
        <w:rPr>
          <w:rFonts w:ascii="Amiri" w:hAnsi="Amiri" w:eastAsia="Amiri" w:cs="Amiri"/>
          <w:color w:val="111111"/>
          <w:sz w:val="28"/>
          <w:sz w:val="28"/>
          <w:szCs w:val="28"/>
          <w:rtl w:val="true"/>
          <w:lang w:bidi="ar-SA"/>
        </w:rPr>
        <w:t xml:space="preserve">سعيد </w:t>
      </w:r>
      <w:r>
        <w:rPr>
          <w:rStyle w:val="FootnoteAnchor"/>
          <w:rtl w:val="true"/>
        </w:rPr>
        <w:footnoteReference w:id="410"/>
      </w:r>
      <w:r>
        <w:rPr>
          <w:rFonts w:ascii="IRNazanin" w:hAnsi="IRNazanin" w:eastAsia="IRNazanin"/>
          <w:color w:val="111111"/>
          <w:sz w:val="28"/>
          <w:sz w:val="28"/>
          <w:szCs w:val="28"/>
          <w:rtl w:val="true"/>
          <w:lang w:bidi="fa-IR"/>
        </w:rPr>
        <w:t xml:space="preserve">،عن مصدّق بن صدقه </w:t>
      </w:r>
      <w:r>
        <w:rPr>
          <w:rStyle w:val="FootnoteAnchor"/>
          <w:rtl w:val="true"/>
        </w:rPr>
        <w:footnoteReference w:id="411"/>
      </w:r>
      <w:r>
        <w:rPr>
          <w:rFonts w:ascii="Amiri" w:hAnsi="Amiri" w:eastAsia="Amiri" w:cs="Amiri"/>
          <w:color w:val="111111"/>
          <w:sz w:val="28"/>
          <w:sz w:val="28"/>
          <w:szCs w:val="28"/>
          <w:rtl w:val="true"/>
          <w:lang w:bidi="ar-SA"/>
        </w:rPr>
        <w:t xml:space="preserve">،عن عمّار </w:t>
      </w:r>
      <w:r>
        <w:rPr>
          <w:rStyle w:val="FootnoteAnchor"/>
          <w:rtl w:val="true"/>
        </w:rPr>
        <w:footnoteReference w:id="4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عليه السّلام عن رجل ذبح طيرا فوقع بدمه في البئر؟فقال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ينزح منها دلاء هذا إذا كان ذكيّا فهو هكذا ،و ما سوى ذلك ممّا يقع في بئر الماء فيموت فيه فأكبره </w:t>
      </w:r>
      <w:r>
        <w:rPr>
          <w:rStyle w:val="FootnoteAnchor"/>
          <w:rtl w:val="true"/>
        </w:rPr>
        <w:footnoteReference w:id="413"/>
      </w:r>
      <w:r>
        <w:rPr>
          <w:rFonts w:ascii="Amiri" w:hAnsi="Amiri" w:eastAsia="Amiri" w:cs="Amiri"/>
          <w:color w:val="111111"/>
          <w:sz w:val="28"/>
          <w:sz w:val="28"/>
          <w:szCs w:val="28"/>
          <w:rtl w:val="true"/>
          <w:lang w:bidi="ar-SA"/>
        </w:rPr>
        <w:t>،الإنسان ينزح منها سبعون دلوا، و أقلّه العصفور و ينزح منها دلو واحد،و ما سوى ذلك فيما بين هذين</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الاستدلال بهذه الرّواية ضعيف فإنّ رواتها فطحيّة،و لم أقف على غيرها إلاّ ما يدلّ بمفهومه لا على هذا الحكم،و هو ما رواه الشّيخ،عن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بئر قطر فيها قطرة 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 الرّواية،و قد تقدّمت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في الحسن،عن محمّد بن مسلم،عن أحدهما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البئر تقع فيها الميتة،قال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لها ريح،نزح منها عشرون دلوا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الجنب البئر نزح منها سبع دلاء</w:t>
      </w:r>
      <w:r>
        <w:rPr>
          <w:rFonts w:eastAsia="Amiri" w:cs="Amiri" w:ascii="Amiri" w:hAnsi="Amiri"/>
          <w:color w:val="111111"/>
          <w:sz w:val="28"/>
          <w:szCs w:val="28"/>
          <w:rtl w:val="true"/>
          <w:lang w:bidi="ar-SA"/>
        </w:rPr>
        <w:t xml:space="preserve">) </w:t>
      </w:r>
      <w:r>
        <w:rPr>
          <w:rStyle w:val="FootnoteAnchor"/>
          <w:rtl w:val="true"/>
        </w:rPr>
        <w:footnoteReference w:id="416"/>
      </w:r>
      <w:r>
        <w:rPr>
          <w:rFonts w:ascii="Amiri" w:hAnsi="Amiri" w:eastAsia="Amiri" w:cs="Amiri"/>
          <w:color w:val="111111"/>
          <w:sz w:val="28"/>
          <w:sz w:val="28"/>
          <w:szCs w:val="28"/>
          <w:rtl w:val="true"/>
          <w:lang w:bidi="ar-SA"/>
        </w:rPr>
        <w:t xml:space="preserve">و وجه الاستدلال من الحديثين انّ الحكم علّق تارة على لفظ الميّت و تارة على لفظ الميتة،و هو تعليق على الماهيّة،فيعمّ في موارد عمومها،إلاّ انّ أصحابنا لم يعملوا </w:t>
      </w:r>
    </w:p>
    <w:p>
      <w:pPr>
        <w:pStyle w:val="BookText"/>
        <w:rPr/>
      </w:pPr>
      <w:r>
        <w:rPr>
          <w:rFonts w:ascii="Amiri" w:hAnsi="Amiri" w:eastAsia="Amiri" w:cs="Amiri"/>
          <w:color w:val="111111"/>
          <w:sz w:val="28"/>
          <w:sz w:val="28"/>
          <w:szCs w:val="28"/>
          <w:rtl w:val="true"/>
          <w:lang w:bidi="ar-SA"/>
        </w:rPr>
        <w:t xml:space="preserve">بالعشرين </w:t>
      </w:r>
      <w:r>
        <w:rPr>
          <w:rStyle w:val="FootnoteAnchor"/>
          <w:rtl w:val="true"/>
        </w:rPr>
        <w:footnoteReference w:id="417"/>
      </w:r>
      <w:r>
        <w:rPr>
          <w:rFonts w:ascii="Amiri" w:hAnsi="Amiri" w:eastAsia="Amiri" w:cs="Amiri"/>
          <w:color w:val="111111"/>
          <w:sz w:val="28"/>
          <w:sz w:val="28"/>
          <w:szCs w:val="28"/>
          <w:rtl w:val="true"/>
          <w:lang w:bidi="ar-SA"/>
        </w:rPr>
        <w:t>،فيكون الاستدلال بهما ساقطا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الحنفيّة أوجبوا نزح الجميع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 انّ هذا الحكم عند القائلين به سار في الصّغير و الكبير،و السّمين و المهزول، و الذّكر و الأنثى،أمّا المسلم و الكافر،فهل يستويان فيه؟منع ابن إدريس منه،لأنّ بملاقاته حيّا يجب نزح الجميع،فلا يطهر بالموت،و منع من تناول المطلق له،قياسا على الجنب في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ينزح له 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يختصّ المسلم </w:t>
      </w:r>
      <w:r>
        <w:rPr>
          <w:rStyle w:val="FootnoteAnchor"/>
          <w:rtl w:val="true"/>
        </w:rPr>
        <w:footnoteReference w:id="419"/>
      </w:r>
      <w:r>
        <w:rPr>
          <w:rFonts w:ascii="Amiri" w:hAnsi="Amiri" w:eastAsia="Amiri" w:cs="Amiri"/>
          <w:color w:val="111111"/>
          <w:sz w:val="28"/>
          <w:sz w:val="28"/>
          <w:szCs w:val="28"/>
          <w:rtl w:val="true"/>
          <w:lang w:bidi="ar-SA"/>
        </w:rPr>
        <w:t xml:space="preserve">،و هو ضعيف،فإنّ المقدّمة الأولى تبنى </w:t>
      </w:r>
      <w:r>
        <w:rPr>
          <w:rStyle w:val="FootnoteAnchor"/>
          <w:rtl w:val="true"/>
        </w:rPr>
        <w:footnoteReference w:id="420"/>
      </w:r>
      <w:r>
        <w:rPr>
          <w:rFonts w:ascii="Amiri" w:hAnsi="Amiri" w:eastAsia="Amiri" w:cs="Amiri"/>
          <w:color w:val="111111"/>
          <w:sz w:val="28"/>
          <w:sz w:val="28"/>
          <w:szCs w:val="28"/>
          <w:rtl w:val="true"/>
          <w:lang w:bidi="ar-SA"/>
        </w:rPr>
        <w:t>على انّ ملاقاة النّجاسة الّتي لم يرد فيها نصّ يوجب نزح الجميع،و هو ممنوع و سيأتي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القياس الّذي ذكره ضعيف،فإنّه لا مناسبة بين الموضعين،إلاّ من حيث انّ لفظة الإنسان مطلق،و لفظة الجنب مطلق،و هذا لا يوجب انّ أحد المطلقين إذا قيّد بوصف لدليل وجب تقييد الآخر</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يختصّ النّقص </w:t>
      </w:r>
      <w:r>
        <w:rPr>
          <w:rStyle w:val="FootnoteAnchor"/>
          <w:rtl w:val="true"/>
        </w:rPr>
        <w:footnoteReference w:id="421"/>
      </w:r>
      <w:r>
        <w:rPr>
          <w:rFonts w:ascii="Amiri" w:hAnsi="Amiri" w:eastAsia="Amiri" w:cs="Amiri"/>
          <w:color w:val="111111"/>
          <w:sz w:val="28"/>
          <w:sz w:val="28"/>
          <w:szCs w:val="28"/>
          <w:rtl w:val="true"/>
          <w:lang w:bidi="ar-SA"/>
        </w:rPr>
        <w:t>بصورة النّزاع،بل في كلّ اسم جنس حلي بلام التّعريف،بأن يقال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لفظ البيع في قوله تعالى وَ أَحَلَّ اللّهُ الْبَيْعَ </w:t>
      </w:r>
      <w:r>
        <w:rPr>
          <w:rStyle w:val="FootnoteAnchor"/>
          <w:rtl w:val="true"/>
        </w:rPr>
        <w:footnoteReference w:id="422"/>
      </w:r>
      <w:r>
        <w:rPr>
          <w:rFonts w:ascii="Amiri" w:hAnsi="Amiri" w:eastAsia="Amiri" w:cs="Amiri"/>
          <w:color w:val="111111"/>
          <w:sz w:val="28"/>
          <w:sz w:val="28"/>
          <w:szCs w:val="28"/>
          <w:rtl w:val="true"/>
          <w:lang w:bidi="ar-SA"/>
        </w:rPr>
        <w:t xml:space="preserve">و كذا لفظ اَلزّانِيَةُ وَ الزّانِي </w:t>
      </w:r>
      <w:r>
        <w:rPr>
          <w:rStyle w:val="FootnoteAnchor"/>
          <w:rtl w:val="true"/>
        </w:rPr>
        <w:footnoteReference w:id="423"/>
      </w:r>
      <w:r>
        <w:rPr>
          <w:rFonts w:ascii="Amiri" w:hAnsi="Amiri" w:eastAsia="Amiri" w:cs="Amiri"/>
          <w:color w:val="111111"/>
          <w:sz w:val="28"/>
          <w:sz w:val="28"/>
          <w:szCs w:val="28"/>
          <w:rtl w:val="true"/>
          <w:lang w:bidi="ar-SA"/>
        </w:rPr>
        <w:t xml:space="preserve">و اَلسّارِقُ وَ السّارِقَةُ </w:t>
      </w:r>
      <w:r>
        <w:rPr>
          <w:rStyle w:val="FootnoteAnchor"/>
          <w:rtl w:val="true"/>
        </w:rPr>
        <w:footnoteReference w:id="424"/>
      </w:r>
      <w:r>
        <w:rPr>
          <w:rFonts w:ascii="Amiri" w:hAnsi="Amiri" w:eastAsia="Amiri" w:cs="Amiri"/>
          <w:color w:val="111111"/>
          <w:sz w:val="28"/>
          <w:sz w:val="28"/>
          <w:szCs w:val="28"/>
          <w:rtl w:val="true"/>
          <w:lang w:bidi="ar-SA"/>
        </w:rPr>
        <w:t>ليس للعموم،لأنّ لفظ الجنب ليس للعموم،و لا شكّ في فساده،على انّا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وجد ما يخصّص لفظ الجنب أم لا؟فإن وجد،امتنع القياس للفارق،و إن لم يوجد منع من التّقييد فيه بالإسلام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سلّمنا،لكن لا نسلّم عدم النّصّ،فإنّ النّصّ كما يدلّ بمنطوقه يدلّ بمفهومه،و هو ثابت هنا،لأنّ الإنسان لفظ مطلق يتناول المسلم و الكافر،فيجري مجرى النّطق بهما،فإذا وجب في موته سبعون لم يجب في مباشرته أكثر،لأنّ الموت يتضمّن المباشرة،فيعلم نفي ما زاد من مفهوم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سلّمنا، </w:t>
      </w:r>
      <w:bookmarkStart w:id="442" w:name="pg12672_159829"/>
    </w:p>
    <w:p>
      <w:pPr>
        <w:pStyle w:val="BookText"/>
        <w:rPr/>
      </w:pPr>
      <w:bookmarkEnd w:id="442"/>
      <w:r>
        <w:rPr>
          <w:rFonts w:ascii="Amiri" w:hAnsi="Amiri" w:eastAsia="Amiri" w:cs="Amiri"/>
          <w:color w:val="111111"/>
          <w:sz w:val="28"/>
          <w:sz w:val="28"/>
          <w:szCs w:val="28"/>
          <w:rtl w:val="true"/>
          <w:lang w:bidi="ar-SA"/>
        </w:rPr>
        <w:t>لكن نمنع بقاء نجاسة المشرك بعد موته،و إنّما يحصل له نجاسة الموت مغايرة لنجاسة حال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النّجاسة حكم شرعيّ يتبع مورد النّصّ،لتساوي الجواهر في الجسميّة، فالمشرك إنّما لحقه حكم التّنجيس باعتبار كفره و قد انتفى بموته،فينتفي الحكم التّابع له و يلحقه حكم آخر شرعيّ تابع للموت،و الحكمان متغايران </w:t>
      </w:r>
      <w:r>
        <w:rPr>
          <w:rFonts w:eastAsia="Amiri" w:cs="Amiri" w:ascii="Amiri" w:hAnsi="Amiri"/>
          <w:color w:val="111111"/>
          <w:sz w:val="28"/>
          <w:szCs w:val="28"/>
          <w:rtl w:val="true"/>
          <w:lang w:bidi="ar-SA"/>
        </w:rPr>
        <w:t>.</w:t>
      </w:r>
    </w:p>
    <w:p>
      <w:pPr>
        <w:pStyle w:val="Heading6"/>
        <w:numPr>
          <w:ilvl w:val="5"/>
          <w:numId w:val="1"/>
        </w:numPr>
        <w:rPr/>
      </w:pPr>
      <w:bookmarkStart w:id="443" w:name="__RefHeading___Toc746967_222507752"/>
      <w:bookmarkStart w:id="444" w:name="_Toc174"/>
      <w:bookmarkEnd w:id="443"/>
      <w:r>
        <w:rPr>
          <w:rtl w:val="true"/>
        </w:rPr>
        <w:t>الرّابع</w:t>
      </w:r>
      <w:r>
        <w:rPr>
          <w:rtl w:val="true"/>
        </w:rPr>
        <w:t>:</w:t>
      </w:r>
      <w:r>
        <w:rPr>
          <w:rtl w:val="true"/>
        </w:rPr>
        <w:t>ما يوجب نزح خمسين</w:t>
      </w:r>
      <w:bookmarkEnd w:id="444"/>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 الكثير،و العذرة الرّطبة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الدّم،فقال الشّيخ في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للكثير خمسون،و كذا في المبسوط </w:t>
      </w:r>
      <w:r>
        <w:rPr>
          <w:rStyle w:val="FootnoteAnchor"/>
          <w:rtl w:val="true"/>
        </w:rPr>
        <w:footnoteReference w:id="4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الكثير عشر </w:t>
      </w:r>
      <w:r>
        <w:rPr>
          <w:rStyle w:val="FootnoteAnchor"/>
          <w:rtl w:val="true"/>
        </w:rPr>
        <w:footnoteReference w:id="4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دم ذبح الشّاة من ثلاثين إلى أربعين </w:t>
      </w:r>
      <w:r>
        <w:rPr>
          <w:rStyle w:val="FootnoteAnchor"/>
          <w:rtl w:val="true"/>
        </w:rPr>
        <w:footnoteReference w:id="4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علم الهدى في 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الدّم ما بين الدّلو الواحدة إلى العشرين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القليل،فقال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ينزح له دلاء يسيرة </w:t>
      </w:r>
      <w:r>
        <w:rPr>
          <w:rStyle w:val="FootnoteAnchor"/>
          <w:rtl w:val="true"/>
        </w:rPr>
        <w:footnoteReference w:id="429"/>
      </w:r>
      <w:r>
        <w:rPr>
          <w:rFonts w:ascii="Amiri" w:hAnsi="Amiri" w:eastAsia="Amiri" w:cs="Amiri"/>
          <w:color w:val="111111"/>
          <w:sz w:val="28"/>
          <w:sz w:val="28"/>
          <w:szCs w:val="28"/>
          <w:rtl w:val="true"/>
          <w:lang w:bidi="ar-SA"/>
        </w:rPr>
        <w:t>و قال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دلاء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النّهاية و المبسوط </w:t>
      </w:r>
      <w:r>
        <w:rPr>
          <w:rStyle w:val="FootnoteAnchor"/>
          <w:rtl w:val="true"/>
        </w:rPr>
        <w:footnoteReference w:id="4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الأقوى ما ذكره ابن بابويه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عليه ما رواه الشّيخ في الصّحيح،عن عليّ بن جعفر،عن أخيه موسى بن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ذبح شاة فاضطربت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وقعت</w:t>
      </w:r>
      <w:r>
        <w:rPr>
          <w:rFonts w:eastAsia="Amiri" w:cs="Amiri" w:ascii="Amiri" w:hAnsi="Amiri"/>
          <w:color w:val="111111"/>
          <w:sz w:val="28"/>
          <w:szCs w:val="28"/>
          <w:rtl w:val="true"/>
          <w:lang w:bidi="ar-SA"/>
        </w:rPr>
        <w:t xml:space="preserve">] </w:t>
      </w:r>
      <w:r>
        <w:rPr>
          <w:rStyle w:val="FootnoteAnchor"/>
          <w:rtl w:val="true"/>
        </w:rPr>
        <w:footnoteReference w:id="432"/>
      </w:r>
      <w:r>
        <w:rPr>
          <w:rFonts w:ascii="Amiri" w:hAnsi="Amiri" w:eastAsia="Amiri" w:cs="Amiri"/>
          <w:color w:val="111111"/>
          <w:sz w:val="28"/>
          <w:sz w:val="28"/>
          <w:szCs w:val="28"/>
          <w:rtl w:val="true"/>
          <w:lang w:bidi="ar-SA"/>
        </w:rPr>
        <w:t>في بئر ماء و أوداجها تشخب دما،هل يتوضّأ من ذلك البئر؟قال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ينزح منها ما بين الثّلاثين إلى الأربعين دلوا ثمَّ يتوضّأ منها و 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 عن رجل ذبح دجاجة أو حمامة فوقعت في بئر،هل يصلح أن يتوضّأ منها؟قال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ينزح منها دلاء يسيرة ثمَّ يتوضّأ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سألته عن </w:t>
      </w:r>
    </w:p>
    <w:p>
      <w:pPr>
        <w:pStyle w:val="BookText"/>
        <w:rPr/>
      </w:pPr>
      <w:r>
        <w:rPr>
          <w:rFonts w:ascii="Amiri" w:hAnsi="Amiri" w:eastAsia="Amiri" w:cs="Amiri"/>
          <w:color w:val="111111"/>
          <w:sz w:val="28"/>
          <w:sz w:val="28"/>
          <w:szCs w:val="28"/>
          <w:rtl w:val="true"/>
          <w:lang w:bidi="ar-SA"/>
        </w:rPr>
        <w:t>رجل يستقي من بئر و يرعف فيها،هل يتوضّأ منها؟قال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ينزح منها دلاء يسيرة</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ذكره السّيّد المرتضى،فيمكن الاحتجاج له برواية زرارة،عن أبي عبد اللّه عليه السّلام،و هي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 و الخمر و الميّت و لحم الخنزير في ذلك كلّه واحد نزح منه عشرون دلوا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تقدّمت </w:t>
      </w:r>
      <w:r>
        <w:rPr>
          <w:rStyle w:val="FootnoteAnchor"/>
          <w:rtl w:val="true"/>
        </w:rPr>
        <w:footnoteReference w:id="434"/>
      </w:r>
      <w:r>
        <w:rPr>
          <w:rFonts w:ascii="Amiri" w:hAnsi="Amiri" w:eastAsia="Amiri" w:cs="Amiri"/>
          <w:color w:val="111111"/>
          <w:sz w:val="28"/>
          <w:sz w:val="28"/>
          <w:szCs w:val="28"/>
          <w:rtl w:val="true"/>
          <w:lang w:bidi="ar-SA"/>
        </w:rPr>
        <w:t>،إلاّ انّ هذا الحديث دلّ على نزح العشرين،فقول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دلو إلى عشرين،غير مطابق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يتناول الكثير،و قول السّيّد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واحد إلى عشرين، يحمل على التّفصيل إن كان الدّم قليلا فواحدة و إلاّ فعشرون،و ما بينهما بحسب تفاوت الكثرة و القلّة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ضعيف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ليس في قول المرتضى دلالة على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الحديث وقع جوابا عن قول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بئر قطر فيها قطرة دم أو خمر؟قال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 و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فالألف و اللاّم هاهنا للعهد لمسبوقيّة الذّكر لفظا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الشّيخ في التّهذيب على قول المفيد برواية محمّد بن إسماعيل بن بزيع في الصّحيح،قال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رجل أسأله أن يسأل أبا الحسن الرّضا عليه السّلام عن البئر يكون في المنزل للوضوء،فيقطر فيها قطرات من بول أو دم أو يسقط فيها شيء من العذرة كالبعرة أو نحوها،ما الّذي يطهّرها حتّى يحلّ الوضوء منها للصّلاة؟فوقّع عليه السّلام في كتابي بخطّه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ينزح منها دلاء</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الاستدلال انّ أكثر عدد يضاف إلى هذا الجمع عشرة،فيجب الأخذ به،إذ لا دليل على ما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 المتأخّرين سلّم المقدّمة الاولى،ثمَّ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نسلّم انّه </w:t>
      </w:r>
    </w:p>
    <w:p>
      <w:pPr>
        <w:pStyle w:val="BookText"/>
        <w:rPr/>
      </w:pPr>
      <w:r>
        <w:rPr>
          <w:rFonts w:ascii="Amiri" w:hAnsi="Amiri" w:eastAsia="Amiri" w:cs="Amiri"/>
          <w:color w:val="111111"/>
          <w:sz w:val="28"/>
          <w:sz w:val="28"/>
          <w:szCs w:val="28"/>
          <w:rtl w:val="true"/>
          <w:lang w:bidi="ar-SA"/>
        </w:rPr>
        <w:t>إذا جرّد عن الإضافة كان حاله كذا،فإنّه لا يعلم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عندي دراهم،انّه لم يخبر عن زيادة عن عشرة،فإنّ دعوى ذلك باطلة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الشّيخ،لأنّ الإضافة هاهنا و إن جرّدت لفظا،لكنّها مقدّرة،و إلاّ لزم تأخير البيان عن وقت الحاجة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إضمار عدد يضاف إليه تقديرا،فيحمل على العشرة الّتي هي أقلّ ما يصلح إضافته إلى هذا الجمع أخذا بالمتيقّن،و حوالة على الأصل من براءة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يجب على الإمام بيانه،لما ذكرتم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أن يكون الإمام عليه السّلام عرف من المخاطب علمه بالحاجة إلى الإضمار،و بالبراءة الأصليّة،فكان ذلك بمنزلة التّنصيص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هاهنا نوع من التّحقيق،و هو انّ هذا الحديث يمكن أن يستدلّ به على ما ذهب الشّيخ إليه في القليل،لأنّ السّؤال يضمن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قطرات دم،و هو جمع تصحيح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نصّ سيبويه </w:t>
      </w:r>
      <w:r>
        <w:rPr>
          <w:rStyle w:val="FootnoteAnchor"/>
          <w:rtl w:val="true"/>
        </w:rPr>
        <w:footnoteReference w:id="437"/>
      </w:r>
      <w:r>
        <w:rPr>
          <w:rFonts w:ascii="Amiri" w:hAnsi="Amiri" w:eastAsia="Amiri" w:cs="Amiri"/>
          <w:color w:val="111111"/>
          <w:sz w:val="28"/>
          <w:sz w:val="28"/>
          <w:szCs w:val="28"/>
          <w:rtl w:val="true"/>
          <w:lang w:bidi="ar-SA"/>
        </w:rPr>
        <w:t>على انّ جمع التّصحيح للقلّة،فيكون السّؤال يضمن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الحكم بالعدد،فإمّا لما ذكره الشّيخ،و إمّا لأنّه جمع كثرة فيحمل على أقلّها و هو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العذرة،فقال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لها عشر،فإن ذابت فأربعون أو خمسون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المفيد في المقنعة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للرّطبة أو الذّائبة خمسون،و لليابسة عشر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للرّطبة خمسون،و لليابسة عشر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xml:space="preserve">. </w:t>
      </w:r>
      <w:bookmarkStart w:id="445" w:name="pg12672_159832"/>
    </w:p>
    <w:p>
      <w:pPr>
        <w:pStyle w:val="BookText"/>
        <w:rPr/>
      </w:pPr>
      <w:bookmarkEnd w:id="445"/>
      <w:r>
        <w:rPr>
          <w:rFonts w:ascii="Amiri" w:hAnsi="Amiri" w:eastAsia="Amiri" w:cs="Amiri"/>
          <w:color w:val="111111"/>
          <w:sz w:val="28"/>
          <w:sz w:val="28"/>
          <w:szCs w:val="28"/>
          <w:rtl w:val="true"/>
          <w:lang w:bidi="ar-SA"/>
        </w:rPr>
        <w:t>و قال المرتضى في 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لليابسة عشر،فإن ذابت و تقطّعت خمسون دلوا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الأقوال متقاربة،فإنّ الرّطبة و الذّائبة اشتركتا في شياع أجزائهما في أجزاء الماء،فتعلّق بهما حكم واحد بخلاف اليابسة،و الرّواية تتضمّن ما ذكره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بصير، عن أبي عبد اللّه عليه السّلام عن العذرة تقع في البئر؟فقال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ينزح منها عشر دلاء فإن ذابت فأربعون أو خمسون دلوا</w:t>
      </w:r>
      <w:r>
        <w:rPr>
          <w:rFonts w:eastAsia="Amiri" w:cs="Amiri" w:ascii="Amiri" w:hAnsi="Amiri"/>
          <w:color w:val="111111"/>
          <w:sz w:val="28"/>
          <w:szCs w:val="28"/>
          <w:rtl w:val="true"/>
          <w:lang w:bidi="ar-SA"/>
        </w:rPr>
        <w:t xml:space="preserve">) </w:t>
      </w:r>
      <w:r>
        <w:rPr>
          <w:rStyle w:val="FootnoteAnchor"/>
          <w:rtl w:val="true"/>
        </w:rPr>
        <w:footnoteReference w:id="442"/>
      </w:r>
      <w:r>
        <w:rPr>
          <w:rFonts w:ascii="Amiri" w:hAnsi="Amiri" w:eastAsia="Amiri" w:cs="Amiri"/>
          <w:color w:val="111111"/>
          <w:sz w:val="28"/>
          <w:sz w:val="28"/>
          <w:szCs w:val="28"/>
          <w:rtl w:val="true"/>
          <w:lang w:bidi="ar-SA"/>
        </w:rPr>
        <w:t xml:space="preserve">و يمكن التّعدية إلى الرّطبة،للاشتراك في شياع الأجزاء أو لأنّها تصير حينئذ رطبة </w:t>
      </w:r>
      <w:r>
        <w:rPr>
          <w:rFonts w:eastAsia="Amiri" w:cs="Amiri" w:ascii="Amiri" w:hAnsi="Amiri"/>
          <w:color w:val="111111"/>
          <w:sz w:val="28"/>
          <w:szCs w:val="28"/>
          <w:rtl w:val="true"/>
          <w:lang w:bidi="ar-SA"/>
        </w:rPr>
        <w:t>.</w:t>
      </w:r>
    </w:p>
    <w:p>
      <w:pPr>
        <w:pStyle w:val="Heading6"/>
        <w:numPr>
          <w:ilvl w:val="5"/>
          <w:numId w:val="1"/>
        </w:numPr>
        <w:rPr/>
      </w:pPr>
      <w:bookmarkStart w:id="446" w:name="__RefHeading___Toc746969_222507752"/>
      <w:bookmarkStart w:id="447" w:name="_Toc175"/>
      <w:bookmarkEnd w:id="446"/>
      <w:r>
        <w:rPr>
          <w:rtl w:val="true"/>
        </w:rPr>
        <w:t>الخامس</w:t>
      </w:r>
      <w:r>
        <w:rPr>
          <w:rtl w:val="true"/>
        </w:rPr>
        <w:t>:</w:t>
      </w:r>
      <w:r>
        <w:rPr>
          <w:rtl w:val="true"/>
        </w:rPr>
        <w:t>ما يوجب نزح أربعين</w:t>
      </w:r>
      <w:bookmarkEnd w:id="447"/>
    </w:p>
    <w:p>
      <w:pPr>
        <w:pStyle w:val="BookText"/>
        <w:rPr/>
      </w:pPr>
      <w:r>
        <w:rPr>
          <w:rFonts w:ascii="Amiri" w:hAnsi="Amiri" w:eastAsia="Amiri" w:cs="Amiri"/>
          <w:color w:val="111111"/>
          <w:sz w:val="28"/>
          <w:sz w:val="28"/>
          <w:szCs w:val="28"/>
          <w:rtl w:val="true"/>
          <w:lang w:bidi="ar-SA"/>
        </w:rPr>
        <w:t>،و هو موت الكلب،و الخنزير،و الثّعلب،و الأرنب، و الشّاة،و السّنّور،و ما أشبهها،و بول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مذهب الشّيخين </w:t>
      </w:r>
      <w:r>
        <w:rPr>
          <w:rStyle w:val="FootnoteAnchor"/>
          <w:rtl w:val="true"/>
        </w:rPr>
        <w:footnoteReference w:id="443"/>
      </w:r>
      <w:r>
        <w:rPr>
          <w:rFonts w:ascii="Amiri" w:hAnsi="Amiri" w:eastAsia="Amiri" w:cs="Amiri"/>
          <w:color w:val="111111"/>
          <w:sz w:val="28"/>
          <w:sz w:val="28"/>
          <w:szCs w:val="28"/>
          <w:rtl w:val="true"/>
          <w:lang w:bidi="ar-SA"/>
        </w:rPr>
        <w:t xml:space="preserve">،و وافقهما السّيّد المرتضى في الكلب،و وافقهما مع ابني بابويه في البول </w:t>
      </w:r>
      <w:r>
        <w:rPr>
          <w:rStyle w:val="FootnoteAnchor"/>
          <w:rtl w:val="true"/>
        </w:rPr>
        <w:footnoteReference w:id="4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لنذكر ما وصل إلينا من الرّوايات في ذلك،فإنّها غير دالّة على مقصودهم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الكلب و السّنّور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فروى الشّيخ في الحسن،عن أبي أسامة </w:t>
      </w:r>
      <w:r>
        <w:rPr>
          <w:rStyle w:val="FootnoteAnchor"/>
          <w:rtl w:val="true"/>
        </w:rPr>
        <w:footnoteReference w:id="445"/>
      </w:r>
      <w:r>
        <w:rPr>
          <w:rFonts w:ascii="Amiri" w:hAnsi="Amiri" w:eastAsia="Amiri" w:cs="Amiri"/>
          <w:color w:val="111111"/>
          <w:sz w:val="28"/>
          <w:sz w:val="28"/>
          <w:szCs w:val="28"/>
          <w:rtl w:val="true"/>
          <w:lang w:bidi="ar-SA"/>
        </w:rPr>
        <w:t>،عن أبي عبد اللّه عليه السّلام في الفأرة و السّنّور و الدّجاجة و الطّير و الكلب؟قال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يتفسّخ أو يتغيّر طعم الماء،فيكفيك خمس دلاء فإن تغيّر الماء،فخذه حتّى يذهب الرّيح</w:t>
      </w:r>
      <w:r>
        <w:rPr>
          <w:rFonts w:eastAsia="Amiri" w:cs="Amiri" w:ascii="Amiri" w:hAnsi="Amiri"/>
          <w:color w:val="111111"/>
          <w:sz w:val="28"/>
          <w:szCs w:val="28"/>
          <w:rtl w:val="true"/>
          <w:lang w:bidi="ar-SA"/>
        </w:rPr>
        <w:t xml:space="preserve">) </w:t>
      </w:r>
      <w:r>
        <w:rPr>
          <w:rStyle w:val="FootnoteAnchor"/>
          <w:rtl w:val="true"/>
        </w:rPr>
        <w:footnoteReference w:id="446"/>
      </w:r>
      <w:r>
        <w:rPr>
          <w:rFonts w:ascii="Amiri" w:hAnsi="Amiri" w:eastAsia="Amiri" w:cs="Amiri"/>
          <w:color w:val="111111"/>
          <w:sz w:val="28"/>
          <w:sz w:val="28"/>
          <w:szCs w:val="28"/>
          <w:rtl w:val="true"/>
          <w:lang w:bidi="ar-SA"/>
        </w:rPr>
        <w:t>و في موضع آخر</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 منه حتّى يذهب الرّيح</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روى في الضّعيف،عن عمرو بن سعيد بن هلال،قال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عمّا يقع في البئر ما بين الفأرة و السّنّور إلى الشّاة؟فقال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دلاء</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الشّيخ،عن الحسين بن سعيد </w:t>
      </w:r>
      <w:r>
        <w:rPr>
          <w:rStyle w:val="FootnoteAnchor"/>
          <w:rtl w:val="true"/>
        </w:rPr>
        <w:footnoteReference w:id="449"/>
      </w:r>
      <w:r>
        <w:rPr>
          <w:rFonts w:ascii="IRNazanin" w:hAnsi="IRNazanin" w:eastAsia="IRNazanin"/>
          <w:color w:val="111111"/>
          <w:sz w:val="28"/>
          <w:sz w:val="28"/>
          <w:szCs w:val="28"/>
          <w:rtl w:val="true"/>
          <w:lang w:bidi="fa-IR"/>
        </w:rPr>
        <w:t xml:space="preserve">،عن القاسم </w:t>
      </w:r>
      <w:r>
        <w:rPr>
          <w:rStyle w:val="FootnoteAnchor"/>
          <w:rtl w:val="true"/>
        </w:rPr>
        <w:footnoteReference w:id="450"/>
      </w:r>
      <w:r>
        <w:rPr>
          <w:rFonts w:ascii="Amiri" w:hAnsi="Amiri" w:eastAsia="Amiri" w:cs="Amiri"/>
          <w:color w:val="111111"/>
          <w:sz w:val="28"/>
          <w:sz w:val="28"/>
          <w:szCs w:val="28"/>
          <w:rtl w:val="true"/>
          <w:lang w:bidi="ar-SA"/>
        </w:rPr>
        <w:t xml:space="preserve">،عن عليّ </w:t>
      </w:r>
      <w:r>
        <w:rPr>
          <w:rStyle w:val="FootnoteAnchor"/>
          <w:rtl w:val="true"/>
        </w:rPr>
        <w:footnoteReference w:id="45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عبد اللّه عليه السّلام عن الفأرة تقع في البئر؟قال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دلاء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 عن الطّير و الدّجاجة تقع في البئر؟قال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دلاء،و السّنّور عشرون أو ثلاثون أو أربعون دلوا و الكلب و شبهه</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الرّواية ضعيفة،فإنّ القاسم بن محمّد و عليّ بن أبي حمزة واقفيّان</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عقيب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يدخل فيه الشّاة،و الغزال،و الثّعلب،و الخنزير </w:t>
      </w:r>
    </w:p>
    <w:p>
      <w:pPr>
        <w:pStyle w:val="BookText"/>
        <w:rPr/>
      </w:pPr>
      <w:r>
        <w:rPr>
          <w:rFonts w:ascii="Amiri" w:hAnsi="Amiri" w:eastAsia="Amiri" w:cs="Amiri"/>
          <w:color w:val="111111"/>
          <w:sz w:val="28"/>
          <w:sz w:val="28"/>
          <w:szCs w:val="28"/>
          <w:rtl w:val="true"/>
          <w:lang w:bidi="ar-SA"/>
        </w:rPr>
        <w:t xml:space="preserve">و كلّ ما ذكر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في الضّعيف،عن سماعة </w:t>
      </w:r>
      <w:r>
        <w:rPr>
          <w:rStyle w:val="FootnoteAnchor"/>
          <w:rtl w:val="true"/>
        </w:rPr>
        <w:footnoteReference w:id="4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سنّورا أو أكبر منه نزحت منها ثلاثين دلوا أو أربعين دلوا</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 الصحيح،عن زرارة،و محمّد بن مسلم،و بريد بن معاوية العجليّ،عن أبي عبد اللّه و أبي جعفر عليهما السّلام في البئر يقع فيها الدّابّة و الفأرة و الكلب و الطّير فيموت؟قال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ثمَّ ينزح من البئر دلاء،ثمَّ اشرب و توضّأ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البحث في هذه الرّواية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في الضّعيف،عن إسحاق بن عمّار </w:t>
      </w:r>
      <w:r>
        <w:rPr>
          <w:rStyle w:val="FootnoteAnchor"/>
          <w:rtl w:val="true"/>
        </w:rPr>
        <w:footnoteReference w:id="457"/>
      </w:r>
      <w:r>
        <w:rPr>
          <w:rFonts w:ascii="Amiri" w:hAnsi="Amiri" w:eastAsia="Amiri" w:cs="Amiri"/>
          <w:color w:val="111111"/>
          <w:sz w:val="28"/>
          <w:sz w:val="28"/>
          <w:szCs w:val="28"/>
          <w:rtl w:val="true"/>
          <w:lang w:bidi="ar-SA"/>
        </w:rPr>
        <w:t>،عن جعفر،عن أبيه،انّ عليّا عليه السّلام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الدّجاجة و مثلها يموت في البئر ينزح منها دلوان و ثلاثة </w:t>
      </w:r>
      <w:r>
        <w:rPr>
          <w:rStyle w:val="FootnoteAnchor"/>
          <w:rtl w:val="true"/>
        </w:rPr>
        <w:footnoteReference w:id="458"/>
      </w:r>
      <w:r>
        <w:rPr>
          <w:rFonts w:ascii="Amiri" w:hAnsi="Amiri" w:eastAsia="Amiri" w:cs="Amiri"/>
          <w:color w:val="111111"/>
          <w:sz w:val="28"/>
          <w:sz w:val="28"/>
          <w:szCs w:val="28"/>
          <w:rtl w:val="true"/>
          <w:lang w:bidi="ar-SA"/>
        </w:rPr>
        <w:t>فإذا كانت شاة و ما أشبهها فتسعة أو عشرة</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روى،عن البقباق </w:t>
      </w:r>
      <w:r>
        <w:rPr>
          <w:rStyle w:val="FootnoteAnchor"/>
          <w:rtl w:val="true"/>
        </w:rPr>
        <w:footnoteReference w:id="460"/>
      </w:r>
      <w:r>
        <w:rPr>
          <w:rFonts w:ascii="Amiri" w:hAnsi="Amiri" w:eastAsia="Amiri" w:cs="Amiri"/>
          <w:color w:val="111111"/>
          <w:sz w:val="28"/>
          <w:sz w:val="28"/>
          <w:szCs w:val="28"/>
          <w:rtl w:val="true"/>
          <w:lang w:bidi="ar-SA"/>
        </w:rPr>
        <w:t>مثل رواية زرارة،و محمّد بن مسلم،و بريد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مثلها روى عليّ بن يقطين،عن الكاظم عليه السّلام،إلاّ انّه ذكر عوض الدّابّة و الطّير الحمامة و الدّجاجة،و زاد أو الهرّة،و ذكر العطف بأو،و قد تقدّمت أيضا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رواية أبي مريم </w:t>
      </w:r>
      <w:r>
        <w:rPr>
          <w:rStyle w:val="FootnoteAnchor"/>
          <w:rtl w:val="true"/>
        </w:rPr>
        <w:footnoteReference w:id="462"/>
      </w:r>
      <w:r>
        <w:rPr>
          <w:rFonts w:ascii="Amiri" w:hAnsi="Amiri" w:eastAsia="Amiri" w:cs="Amiri"/>
          <w:color w:val="111111"/>
          <w:sz w:val="28"/>
          <w:sz w:val="28"/>
          <w:szCs w:val="28"/>
          <w:rtl w:val="true"/>
          <w:lang w:bidi="ar-SA"/>
        </w:rPr>
        <w:t>في الصّحيح،عن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الكلب في البئر نزحت</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ياسين،عن حريز،عن زرارة،عن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 و الخمر و الميّت و لحم الخنزير في ذلك كلّه واحد،ينزح منه عشرون دلوا</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عمّار،عن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ينزف البئر كلّها لوقوع الكلب أو الفأرة أو الخنزير</w:t>
      </w:r>
      <w:r>
        <w:rPr>
          <w:rFonts w:eastAsia="Amiri" w:cs="Amiri" w:ascii="Amiri" w:hAnsi="Amiri"/>
          <w:color w:val="111111"/>
          <w:sz w:val="28"/>
          <w:szCs w:val="28"/>
          <w:rtl w:val="true"/>
          <w:lang w:bidi="ar-SA"/>
        </w:rPr>
        <w:t xml:space="preserve">) </w:t>
      </w:r>
      <w:r>
        <w:rPr>
          <w:rStyle w:val="FootnoteAnchor"/>
          <w:rtl w:val="true"/>
        </w:rPr>
        <w:footnoteReference w:id="465"/>
      </w:r>
      <w:r>
        <w:rPr>
          <w:rFonts w:ascii="Amiri" w:hAnsi="Amiri" w:eastAsia="Amiri" w:cs="Amiri"/>
          <w:color w:val="111111"/>
          <w:sz w:val="28"/>
          <w:sz w:val="28"/>
          <w:szCs w:val="28"/>
          <w:rtl w:val="true"/>
          <w:lang w:bidi="ar-SA"/>
        </w:rPr>
        <w:t>و رواتها فطحيّة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بابويه في 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ينزح الكلب من ثلاثين إلى أربعين،و في السّنّور سبع،و في الشّاة و ما أشبهها تسعة إلى عشرة </w:t>
      </w:r>
      <w:r>
        <w:rPr>
          <w:rStyle w:val="FootnoteAnchor"/>
          <w:rtl w:val="true"/>
        </w:rPr>
        <w:footnoteReference w:id="466"/>
      </w:r>
      <w:r>
        <w:rPr>
          <w:rFonts w:ascii="Amiri" w:hAnsi="Amiri" w:eastAsia="Amiri" w:cs="Amiri"/>
          <w:color w:val="111111"/>
          <w:sz w:val="28"/>
          <w:sz w:val="28"/>
          <w:szCs w:val="28"/>
          <w:rtl w:val="true"/>
          <w:lang w:bidi="ar-SA"/>
        </w:rPr>
        <w:t xml:space="preserve">،و يمكن أن يكون حجّته رواية إسحاق بن عمّار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xml:space="preserve">. </w:t>
      </w:r>
      <w:bookmarkStart w:id="448" w:name="pg12672_159836"/>
    </w:p>
    <w:p>
      <w:pPr>
        <w:pStyle w:val="BookText"/>
        <w:rPr/>
      </w:pPr>
      <w:bookmarkEnd w:id="448"/>
      <w:r>
        <w:rPr>
          <w:rFonts w:ascii="Amiri" w:hAnsi="Amiri" w:eastAsia="Amiri" w:cs="Amiri"/>
          <w:color w:val="111111"/>
          <w:sz w:val="28"/>
          <w:sz w:val="28"/>
          <w:szCs w:val="28"/>
          <w:rtl w:val="true"/>
          <w:lang w:bidi="ar-SA"/>
        </w:rPr>
        <w:t>و أمّا البول،فقد روى الشّيخ،عن عليّ بن أبي حمزة،عن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بول الصّبيّ الفطيم يقع في البئر؟فقال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دلو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 الرّجل؟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ينزح منها أربعون دلوا</w:t>
      </w:r>
      <w:r>
        <w:rPr>
          <w:rFonts w:eastAsia="Amiri" w:cs="Amiri" w:ascii="Amiri" w:hAnsi="Amiri"/>
          <w:color w:val="111111"/>
          <w:sz w:val="28"/>
          <w:szCs w:val="28"/>
          <w:rtl w:val="true"/>
          <w:lang w:bidi="ar-SA"/>
        </w:rPr>
        <w:t xml:space="preserve">) </w:t>
      </w:r>
      <w:r>
        <w:rPr>
          <w:rStyle w:val="FootnoteAnchor"/>
          <w:rtl w:val="true"/>
        </w:rPr>
        <w:footnoteReference w:id="468"/>
      </w:r>
      <w:r>
        <w:rPr>
          <w:rFonts w:ascii="Amiri" w:hAnsi="Amiri" w:eastAsia="Amiri" w:cs="Amiri"/>
          <w:color w:val="111111"/>
          <w:sz w:val="28"/>
          <w:sz w:val="28"/>
          <w:szCs w:val="28"/>
          <w:rtl w:val="true"/>
          <w:lang w:bidi="ar-SA"/>
        </w:rPr>
        <w:t>و عليّ بن أبي حمزة لا يعوّل على روايته،غير انّ الأصحاب قبلوها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معاوية بن عمّار في الحسن،عن أبي عبد اللّه عليه السّلام،في البئر يبول فيها الصّبيّ أو يصبّ فيها بول أو خمر؟قال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ينزح الماء كلّه</w:t>
      </w:r>
      <w:r>
        <w:rPr>
          <w:rFonts w:eastAsia="Amiri" w:cs="Amiri" w:ascii="Amiri" w:hAnsi="Amiri"/>
          <w:color w:val="111111"/>
          <w:sz w:val="28"/>
          <w:szCs w:val="28"/>
          <w:rtl w:val="true"/>
          <w:lang w:bidi="ar-SA"/>
        </w:rPr>
        <w:t xml:space="preserve">) </w:t>
      </w:r>
      <w:r>
        <w:rPr>
          <w:rStyle w:val="FootnoteAnchor"/>
          <w:rtl w:val="true"/>
        </w:rPr>
        <w:footnoteReference w:id="469"/>
      </w:r>
      <w:r>
        <w:rPr>
          <w:rFonts w:ascii="Amiri" w:hAnsi="Amiri" w:eastAsia="Amiri" w:cs="Amiri"/>
          <w:color w:val="111111"/>
          <w:sz w:val="28"/>
          <w:sz w:val="28"/>
          <w:szCs w:val="28"/>
          <w:rtl w:val="true"/>
          <w:lang w:bidi="ar-SA"/>
        </w:rPr>
        <w:t xml:space="preserve">و حمله الشّيخ على التّغيّر </w:t>
      </w:r>
      <w:r>
        <w:rPr>
          <w:rStyle w:val="FootnoteAnchor"/>
          <w:rtl w:val="true"/>
        </w:rPr>
        <w:footnoteReference w:id="470"/>
      </w:r>
      <w:r>
        <w:rPr>
          <w:rFonts w:ascii="Amiri" w:hAnsi="Amiri" w:eastAsia="Amiri" w:cs="Amiri"/>
          <w:color w:val="111111"/>
          <w:sz w:val="28"/>
          <w:sz w:val="28"/>
          <w:szCs w:val="28"/>
          <w:rtl w:val="true"/>
          <w:lang w:bidi="ar-SA"/>
        </w:rPr>
        <w:t>، و في رواية كردويه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ينزح 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تقدّمت </w:t>
      </w:r>
      <w:r>
        <w:rPr>
          <w:rStyle w:val="FootnoteAnchor"/>
          <w:rtl w:val="true"/>
        </w:rPr>
        <w:footnoteReference w:id="471"/>
      </w:r>
      <w:r>
        <w:rPr>
          <w:rFonts w:ascii="Amiri" w:hAnsi="Amiri" w:eastAsia="Amiri" w:cs="Amiri"/>
          <w:color w:val="111111"/>
          <w:sz w:val="28"/>
          <w:sz w:val="28"/>
          <w:szCs w:val="28"/>
          <w:rtl w:val="true"/>
          <w:lang w:bidi="ar-SA"/>
        </w:rPr>
        <w:t>،و في رواية محمّد بن بزيع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ينزح منها دلاء</w:t>
      </w:r>
      <w:r>
        <w:rPr>
          <w:rFonts w:eastAsia="Amiri" w:cs="Amiri" w:ascii="Amiri" w:hAnsi="Amiri"/>
          <w:color w:val="111111"/>
          <w:sz w:val="28"/>
          <w:szCs w:val="28"/>
          <w:rtl w:val="true"/>
          <w:lang w:bidi="ar-SA"/>
        </w:rPr>
        <w:t xml:space="preserve">) </w:t>
      </w:r>
      <w:r>
        <w:rPr>
          <w:rStyle w:val="FootnoteAnchor"/>
          <w:rtl w:val="true"/>
        </w:rPr>
        <w:footnoteReference w:id="472"/>
      </w:r>
      <w:r>
        <w:rPr>
          <w:rFonts w:ascii="Amiri" w:hAnsi="Amiri" w:eastAsia="Amiri" w:cs="Amiri"/>
          <w:color w:val="111111"/>
          <w:sz w:val="28"/>
          <w:sz w:val="28"/>
          <w:szCs w:val="28"/>
          <w:rtl w:val="true"/>
          <w:lang w:bidi="ar-SA"/>
        </w:rPr>
        <w:t>من غير ذكر تفصيل البول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الأقرب في العمل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الأخذ برواية محمّد بن بزيع لسلامة سندها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يحمل الدّلاء في البول على رواية كردويه،فإنّها لا بأس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معاوية بن عمّار،تحمل على التّغيّر في البول أو على الاستحباب</w:t>
      </w:r>
      <w:r>
        <w:rPr>
          <w:rFonts w:eastAsia="Amiri" w:cs="Amiri" w:ascii="Amiri" w:hAnsi="Amiri"/>
          <w:color w:val="111111"/>
          <w:sz w:val="28"/>
          <w:szCs w:val="28"/>
          <w:rtl w:val="true"/>
          <w:lang w:bidi="ar-SA"/>
        </w:rPr>
        <w:t>.</w:t>
      </w:r>
    </w:p>
    <w:p>
      <w:pPr>
        <w:pStyle w:val="Heading6"/>
        <w:numPr>
          <w:ilvl w:val="5"/>
          <w:numId w:val="1"/>
        </w:numPr>
        <w:rPr/>
      </w:pPr>
      <w:bookmarkStart w:id="449" w:name="__RefHeading___Toc746971_222507752"/>
      <w:bookmarkStart w:id="450" w:name="_Toc176"/>
      <w:bookmarkEnd w:id="449"/>
      <w:r>
        <w:rPr>
          <w:rtl w:val="true"/>
        </w:rPr>
        <w:t>فرعان</w:t>
      </w:r>
      <w:r>
        <w:rPr>
          <w:rtl w:val="true"/>
        </w:rPr>
        <w:t>:</w:t>
      </w:r>
      <w:bookmarkEnd w:id="450"/>
    </w:p>
    <w:p>
      <w:pPr>
        <w:pStyle w:val="Heading6"/>
        <w:numPr>
          <w:ilvl w:val="5"/>
          <w:numId w:val="1"/>
        </w:numPr>
        <w:rPr/>
      </w:pPr>
      <w:bookmarkStart w:id="451" w:name="__RefHeading___Toc746973_222507752"/>
      <w:bookmarkStart w:id="452" w:name="_Toc177"/>
      <w:bookmarkEnd w:id="451"/>
      <w:r>
        <w:rPr>
          <w:rtl w:val="true"/>
        </w:rPr>
        <w:t>الأوّل</w:t>
      </w:r>
      <w:r>
        <w:rPr>
          <w:rtl w:val="true"/>
        </w:rPr>
        <w:t>:</w:t>
      </w:r>
      <w:r>
        <w:rPr>
          <w:rtl w:val="true"/>
        </w:rPr>
        <w:t>لا فرق بين بول الكافر و المسلم</w:t>
      </w:r>
      <w:bookmarkEnd w:id="452"/>
    </w:p>
    <w:p>
      <w:pPr>
        <w:pStyle w:val="BookText"/>
        <w:rPr/>
      </w:pPr>
      <w:r>
        <w:rPr>
          <w:rFonts w:ascii="IRNazanin" w:hAnsi="IRNazanin" w:eastAsia="IRNazanin"/>
          <w:color w:val="111111"/>
          <w:sz w:val="28"/>
          <w:sz w:val="28"/>
          <w:szCs w:val="28"/>
          <w:rtl w:val="true"/>
          <w:lang w:bidi="fa-IR"/>
        </w:rPr>
        <w:t xml:space="preserve">لإطلاق الاسم </w:t>
      </w:r>
      <w:r>
        <w:rPr>
          <w:rFonts w:eastAsia="IRNazanin" w:cs="IRNazanin"/>
          <w:color w:val="111111"/>
          <w:sz w:val="28"/>
          <w:szCs w:val="28"/>
          <w:rtl w:val="true"/>
          <w:lang w:bidi="fa-IR"/>
        </w:rPr>
        <w:t>.</w:t>
      </w:r>
    </w:p>
    <w:p>
      <w:pPr>
        <w:pStyle w:val="Heading6"/>
        <w:numPr>
          <w:ilvl w:val="5"/>
          <w:numId w:val="1"/>
        </w:numPr>
        <w:rPr/>
      </w:pPr>
      <w:bookmarkStart w:id="453" w:name="__RefHeading___Toc746975_222507752"/>
      <w:bookmarkStart w:id="454" w:name="_Toc178"/>
      <w:bookmarkEnd w:id="453"/>
      <w:r>
        <w:rPr>
          <w:rtl w:val="true"/>
        </w:rPr>
        <w:t>الثّاني</w:t>
      </w:r>
      <w:r>
        <w:rPr>
          <w:rtl w:val="true"/>
        </w:rPr>
        <w:t>:</w:t>
      </w:r>
      <w:r>
        <w:rPr>
          <w:rtl w:val="true"/>
        </w:rPr>
        <w:t>لا فرق بين بول المرأة و الرّجل</w:t>
      </w:r>
      <w:bookmarkEnd w:id="454"/>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عملنا برواية محمّد بن بزيع أو برواية كردويه،و إن عملنا برواية عليّ بن أبي حمزة حصل الفرق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إدريس لم يفرّق بينهما من مأخذ آخر،قال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لأنّها إنسان،و الحكم معلّق عليه معرّفا باللام الدّالّ على </w:t>
      </w:r>
      <w:bookmarkStart w:id="455" w:name="pg12672_159837"/>
    </w:p>
    <w:p>
      <w:pPr>
        <w:pStyle w:val="BookText"/>
        <w:rPr/>
      </w:pPr>
      <w:bookmarkEnd w:id="455"/>
      <w:r>
        <w:rPr>
          <w:rFonts w:ascii="IRNazanin" w:hAnsi="IRNazanin" w:eastAsia="IRNazanin"/>
          <w:color w:val="111111"/>
          <w:sz w:val="28"/>
          <w:sz w:val="28"/>
          <w:szCs w:val="28"/>
          <w:rtl w:val="true"/>
          <w:lang w:bidi="fa-IR"/>
        </w:rPr>
        <w:t xml:space="preserve">العموم </w:t>
      </w:r>
      <w:r>
        <w:rPr>
          <w:rStyle w:val="FootnoteAnchor"/>
          <w:rtl w:val="true"/>
        </w:rPr>
        <w:footnoteReference w:id="4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مقدّماته كلّها فاسدة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نعم،لا فرق في المرأة بين الصّغيرة و الكبيرة في وجوب الأربعين </w:t>
      </w:r>
      <w:r>
        <w:rPr>
          <w:rFonts w:eastAsia="Amiri" w:cs="Amiri" w:ascii="Amiri" w:hAnsi="Amiri"/>
          <w:color w:val="111111"/>
          <w:sz w:val="28"/>
          <w:szCs w:val="28"/>
          <w:rtl w:val="true"/>
          <w:lang w:bidi="ar-SA"/>
        </w:rPr>
        <w:t>.</w:t>
      </w:r>
    </w:p>
    <w:p>
      <w:pPr>
        <w:pStyle w:val="Heading6"/>
        <w:numPr>
          <w:ilvl w:val="5"/>
          <w:numId w:val="1"/>
        </w:numPr>
        <w:rPr/>
      </w:pPr>
      <w:bookmarkStart w:id="456" w:name="__RefHeading___Toc746977_222507752"/>
      <w:bookmarkStart w:id="457" w:name="_Toc179"/>
      <w:bookmarkEnd w:id="456"/>
      <w:r>
        <w:rPr>
          <w:rtl w:val="true"/>
        </w:rPr>
        <w:t>السّادس</w:t>
      </w:r>
      <w:r>
        <w:rPr>
          <w:rtl w:val="true"/>
        </w:rPr>
        <w:t>:</w:t>
      </w:r>
      <w:r>
        <w:rPr>
          <w:rtl w:val="true"/>
        </w:rPr>
        <w:t>ما يوجب نزح ثلاثين</w:t>
      </w:r>
      <w:bookmarkEnd w:id="457"/>
    </w:p>
    <w:p>
      <w:pPr>
        <w:pStyle w:val="BookText"/>
        <w:rPr/>
      </w:pPr>
      <w:r>
        <w:rPr>
          <w:rFonts w:ascii="Amiri" w:hAnsi="Amiri" w:eastAsia="Amiri" w:cs="Amiri"/>
          <w:color w:val="111111"/>
          <w:sz w:val="28"/>
          <w:sz w:val="28"/>
          <w:szCs w:val="28"/>
          <w:rtl w:val="true"/>
          <w:lang w:bidi="ar-SA"/>
        </w:rPr>
        <w:t>،و ذلك روى الشّيخ،عن كردويه،قال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بئر يدخلها ماء المطر فيه البول و العذرة و أبوال الدّواب و أرواثها و خرء الكلاب؟قال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ينزح منها ثلاثون دلوا،و إن كانت مبخرة</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8" w:name="__RefHeading___Toc746979_222507752"/>
      <w:bookmarkStart w:id="459" w:name="_Toc180"/>
      <w:bookmarkEnd w:id="458"/>
      <w:r>
        <w:rPr>
          <w:rtl w:val="true"/>
        </w:rPr>
        <w:t>السّابع</w:t>
      </w:r>
      <w:r>
        <w:rPr>
          <w:rtl w:val="true"/>
        </w:rPr>
        <w:t>:</w:t>
      </w:r>
      <w:r>
        <w:rPr>
          <w:rtl w:val="true"/>
        </w:rPr>
        <w:t>ما يوجب نزح عشر</w:t>
      </w:r>
      <w:bookmarkEnd w:id="459"/>
    </w:p>
    <w:p>
      <w:pPr>
        <w:pStyle w:val="BookText"/>
        <w:rPr/>
      </w:pPr>
      <w:r>
        <w:rPr>
          <w:rFonts w:ascii="Amiri" w:hAnsi="Amiri" w:eastAsia="Amiri" w:cs="Amiri"/>
          <w:color w:val="111111"/>
          <w:sz w:val="28"/>
          <w:sz w:val="28"/>
          <w:szCs w:val="28"/>
          <w:rtl w:val="true"/>
          <w:lang w:bidi="ar-SA"/>
        </w:rPr>
        <w:t xml:space="preserve">،و هو الدّم القليل،و العذرة اليابسة،على ما ذكره الأصحاب و قد تقدّم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60" w:name="__RefHeading___Toc746981_222507752"/>
      <w:bookmarkStart w:id="461" w:name="_Toc181"/>
      <w:bookmarkEnd w:id="460"/>
      <w:r>
        <w:rPr>
          <w:rtl w:val="true"/>
        </w:rPr>
        <w:t>الثّامن</w:t>
      </w:r>
      <w:r>
        <w:rPr>
          <w:rtl w:val="true"/>
        </w:rPr>
        <w:t>:</w:t>
      </w:r>
      <w:r>
        <w:rPr>
          <w:rtl w:val="true"/>
        </w:rPr>
        <w:t>ما يوجب نزح سبع</w:t>
      </w:r>
      <w:bookmarkEnd w:id="461"/>
    </w:p>
    <w:p>
      <w:pPr>
        <w:pStyle w:val="BookText"/>
        <w:rPr/>
      </w:pPr>
      <w:r>
        <w:rPr>
          <w:rFonts w:ascii="IRNazanin" w:hAnsi="IRNazanin" w:eastAsia="IRNazanin"/>
          <w:color w:val="111111"/>
          <w:sz w:val="28"/>
          <w:sz w:val="28"/>
          <w:szCs w:val="28"/>
          <w:rtl w:val="true"/>
          <w:lang w:bidi="fa-IR"/>
        </w:rPr>
        <w:t>،و هو أقسام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 الطّير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اختاره الشّيخان </w:t>
      </w:r>
      <w:r>
        <w:rPr>
          <w:rStyle w:val="FootnoteAnchor"/>
          <w:rtl w:val="true"/>
        </w:rPr>
        <w:footnoteReference w:id="476"/>
      </w:r>
      <w:r>
        <w:rPr>
          <w:rFonts w:ascii="Amiri" w:hAnsi="Amiri" w:eastAsia="Amiri" w:cs="Amiri"/>
          <w:color w:val="111111"/>
          <w:sz w:val="28"/>
          <w:sz w:val="28"/>
          <w:szCs w:val="28"/>
          <w:rtl w:val="true"/>
          <w:lang w:bidi="ar-SA"/>
        </w:rPr>
        <w:t xml:space="preserve">،و السّيّد المرتضى </w:t>
      </w:r>
      <w:r>
        <w:rPr>
          <w:rStyle w:val="FootnoteAnchor"/>
          <w:rtl w:val="true"/>
        </w:rPr>
        <w:footnoteReference w:id="477"/>
      </w:r>
      <w:r>
        <w:rPr>
          <w:rFonts w:ascii="IRNazanin" w:hAnsi="IRNazanin" w:eastAsia="IRNazanin"/>
          <w:color w:val="111111"/>
          <w:sz w:val="28"/>
          <w:sz w:val="28"/>
          <w:szCs w:val="28"/>
          <w:rtl w:val="true"/>
          <w:lang w:bidi="fa-IR"/>
        </w:rPr>
        <w:t xml:space="preserve">،و من تابعهم </w:t>
      </w:r>
      <w:r>
        <w:rPr>
          <w:rStyle w:val="FootnoteAnchor"/>
          <w:rtl w:val="true"/>
        </w:rPr>
        <w:footnoteReference w:id="478"/>
      </w:r>
      <w:r>
        <w:rPr>
          <w:rFonts w:ascii="Amiri" w:hAnsi="Amiri" w:eastAsia="Amiri" w:cs="Amiri"/>
          <w:color w:val="111111"/>
          <w:sz w:val="28"/>
          <w:sz w:val="28"/>
          <w:szCs w:val="28"/>
          <w:rtl w:val="true"/>
          <w:lang w:bidi="ar-SA"/>
        </w:rPr>
        <w:t xml:space="preserve">، و يدلّ عليه رواية أبي أسامة و أبي يوسف يعقوب بن عيثم </w:t>
      </w:r>
      <w:r>
        <w:rPr>
          <w:rStyle w:val="FootnoteAnchor"/>
          <w:rtl w:val="true"/>
        </w:rPr>
        <w:footnoteReference w:id="479"/>
      </w:r>
      <w:r>
        <w:rPr>
          <w:rFonts w:ascii="Amiri" w:hAnsi="Amiri" w:eastAsia="Amiri" w:cs="Amiri"/>
          <w:color w:val="111111"/>
          <w:sz w:val="28"/>
          <w:sz w:val="28"/>
          <w:szCs w:val="28"/>
          <w:rtl w:val="true"/>
          <w:lang w:bidi="ar-SA"/>
        </w:rPr>
        <w:t xml:space="preserve">،عن أبي عبد اللّه عليه </w:t>
      </w:r>
    </w:p>
    <w:p>
      <w:pPr>
        <w:pStyle w:val="BookText"/>
        <w:rPr/>
      </w:pPr>
      <w:r>
        <w:rPr>
          <w:rFonts w:ascii="Amiri" w:hAnsi="Amiri" w:eastAsia="Amiri" w:cs="Amiri"/>
          <w:color w:val="111111"/>
          <w:sz w:val="28"/>
          <w:sz w:val="28"/>
          <w:szCs w:val="28"/>
          <w:rtl w:val="true"/>
          <w:lang w:bidi="ar-SA"/>
        </w:rPr>
        <w:t>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 في البئر الطّير و الدّجاجة و الفأرة،فانزح منها سبع دلاء</w:t>
      </w:r>
      <w:r>
        <w:rPr>
          <w:rFonts w:eastAsia="Amiri" w:cs="Amiri" w:ascii="Amiri" w:hAnsi="Amiri"/>
          <w:color w:val="111111"/>
          <w:sz w:val="28"/>
          <w:szCs w:val="28"/>
          <w:rtl w:val="true"/>
          <w:lang w:bidi="ar-SA"/>
        </w:rPr>
        <w:t xml:space="preserve">) </w:t>
      </w:r>
      <w:r>
        <w:rPr>
          <w:rStyle w:val="FootnoteAnchor"/>
          <w:rtl w:val="true"/>
        </w:rPr>
        <w:footnoteReference w:id="480"/>
      </w:r>
      <w:r>
        <w:rPr>
          <w:rFonts w:ascii="Amiri" w:hAnsi="Amiri" w:eastAsia="Amiri" w:cs="Amiri"/>
          <w:color w:val="111111"/>
          <w:sz w:val="28"/>
          <w:sz w:val="28"/>
          <w:szCs w:val="28"/>
          <w:rtl w:val="true"/>
          <w:lang w:bidi="ar-SA"/>
        </w:rPr>
        <w:t>و كذا في رواية عليّ بن أبي حمزة،و قد تقدّمت في قسم الكلب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في رواية سماعة،عن أبي عبد اللّه عليه السّلام،و في رواية زرارة،و محمّد بن مسلم،و بريد بن معاوية، عنهما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في رواية البقباق </w:t>
      </w:r>
      <w:r>
        <w:rPr>
          <w:rStyle w:val="FootnoteAnchor"/>
          <w:rtl w:val="true"/>
        </w:rPr>
        <w:footnoteReference w:id="481"/>
      </w:r>
      <w:r>
        <w:rPr>
          <w:rFonts w:ascii="Amiri" w:hAnsi="Amiri" w:eastAsia="Amiri" w:cs="Amiri"/>
          <w:color w:val="111111"/>
          <w:sz w:val="28"/>
          <w:sz w:val="28"/>
          <w:szCs w:val="28"/>
          <w:rtl w:val="true"/>
          <w:lang w:bidi="ar-SA"/>
        </w:rPr>
        <w:t xml:space="preserve">،و رواية عليّ بن يقطين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الحلبيّ في الصّحيح،عن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سقط في البئر حيوان صغير فمات فيها،فانزح منها دلاء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وقع فيها جنب،فانزح منها سبع دلاء،و إن مات فيها بعير أو صبّ فيها خمر،فلينزح</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عبد اللّه بن سنان في الحسن،عن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سقط في البئر دابّة صغيرة أو نزل فيها جنب،نزح منها سبع دلاء</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إسحاق بن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الدّجاجة و مثلها يموت في البئر،تنزح منها دلوان أو ثلاثة</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أبي أسامة في الحسن،عن أبي عبد اللّه عليه السّلام،في الفأرة و السّنّور و الدّجاجة و الطّير و الكلب؟قال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يتفسّخ أو يتغيّر طعم الماء،فيكفيك خمس دلاء، فإن تغيّر الماء،فخذه حتّى يذهب الرّيح</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السّبع يجب للنّعامة و الحمامة و ما بينهما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اغتسال الجنب،و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الحلبيّ و ابن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الجنب يدخل البئر فيغتسل منها؟قال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ينزح منها سبع دلاء</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الشّيخ في الصّحيح،عن محمّد بن مسلم،عن أحدهما عليهما السّلام،في البئر يقع فيها الميتة؟قال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له ريح نزح منها عشرون دلوا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الجنب البئر نزح منها سبع دلاء</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يتعلّق </w:t>
      </w:r>
      <w:r>
        <w:rPr>
          <w:rStyle w:val="FootnoteAnchor"/>
          <w:rtl w:val="true"/>
        </w:rPr>
        <w:footnoteReference w:id="490"/>
      </w:r>
      <w:r>
        <w:rPr>
          <w:rFonts w:ascii="Amiri" w:hAnsi="Amiri" w:eastAsia="Amiri" w:cs="Amiri"/>
          <w:color w:val="111111"/>
          <w:sz w:val="28"/>
          <w:sz w:val="28"/>
          <w:szCs w:val="28"/>
          <w:rtl w:val="true"/>
          <w:lang w:bidi="ar-SA"/>
        </w:rPr>
        <w:t xml:space="preserve">بالارتماس بحيث يغطّي ماء البئر رأسه لا بالنّزول </w:t>
      </w:r>
      <w:r>
        <w:rPr>
          <w:rStyle w:val="FootnoteAnchor"/>
          <w:rtl w:val="true"/>
        </w:rPr>
        <w:footnoteReference w:id="4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الرّوايات الّتي أوردناها ليس فيها إشعار بذلك،فرواية الحلبيّ بعبارة الوقوع و رواية ابن سنان بعبارة النّزول،و رواية أبي بصير بالدّخول و الاغتسال،و رواية محمّد بن مسلم بالدّخول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الحكم إنّما يتعلّق مع الخلوّ عن النّجاسة العينيّة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ذكره ابن إدريس </w:t>
      </w:r>
      <w:r>
        <w:rPr>
          <w:rStyle w:val="FootnoteAnchor"/>
          <w:rtl w:val="true"/>
        </w:rPr>
        <w:footnoteReference w:id="492"/>
      </w:r>
      <w:r>
        <w:rPr>
          <w:rFonts w:ascii="Amiri" w:hAnsi="Amiri" w:eastAsia="Amiri" w:cs="Amiri"/>
          <w:color w:val="111111"/>
          <w:sz w:val="28"/>
          <w:sz w:val="28"/>
          <w:szCs w:val="28"/>
          <w:rtl w:val="true"/>
          <w:lang w:bidi="ar-SA"/>
        </w:rPr>
        <w:t>بناء منه على انّ المنيّ يوجب نزح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لمّا لم تقم عندنا دلالة على وجوب النّزح للمنيّ،لا جرم توقّفنا في هذا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ينبغي أن يعلم انّ القائلين بتنجيس البئر،منهم من قال بالمنع من المستعمل في الكبرى فأوجب النّزح للجنب كالشّيخين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 النّزح</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 من لم يمنع منه فلم يتعرّض للنّزح</w:t>
      </w:r>
    </w:p>
    <w:p>
      <w:pPr>
        <w:pStyle w:val="BookText"/>
        <w:rPr/>
      </w:pPr>
      <w:r>
        <w:rPr>
          <w:rFonts w:ascii="Amiri" w:hAnsi="Amiri" w:eastAsia="Amiri" w:cs="Amiri"/>
          <w:color w:val="111111"/>
          <w:sz w:val="28"/>
          <w:sz w:val="28"/>
          <w:szCs w:val="28"/>
          <w:rtl w:val="true"/>
          <w:lang w:bidi="ar-SA"/>
        </w:rPr>
        <w:t xml:space="preserve">كالمرتضى </w:t>
      </w:r>
      <w:r>
        <w:rPr>
          <w:rStyle w:val="FootnoteAnchor"/>
          <w:rtl w:val="true"/>
        </w:rPr>
        <w:footnoteReference w:id="494"/>
      </w:r>
      <w:r>
        <w:rPr>
          <w:rFonts w:ascii="Amiri" w:hAnsi="Amiri" w:eastAsia="Amiri" w:cs="Amiri"/>
          <w:color w:val="111111"/>
          <w:sz w:val="28"/>
          <w:sz w:val="28"/>
          <w:szCs w:val="28"/>
          <w:rtl w:val="true"/>
          <w:lang w:bidi="ar-SA"/>
        </w:rPr>
        <w:t xml:space="preserve">،إلاّ سلاّر،فإنّه أوجب النّزح و لم يمنع من الاستعمال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المراسم بجواز الطّهارة بالماء المستعمل في الطّهارة الكبرى،و في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،أوجب سبع دلاء لارتماس الجنب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نحن فلمّا أوجبنا النّزح للتعبّد،قلنا بالوجوب هاهنا،عملا بهذه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الكلب حيّا بعد وقوعه،لرواية أبي مريم في الصّحيح،قال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الكلب في البئر نزحت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 فيها ثمَّ اخرج منها حيّا نزح منها سبع دلاء</w:t>
      </w:r>
      <w:r>
        <w:rPr>
          <w:rFonts w:eastAsia="Amiri" w:cs="Amiri" w:ascii="Amiri" w:hAnsi="Amiri"/>
          <w:color w:val="111111"/>
          <w:sz w:val="28"/>
          <w:szCs w:val="28"/>
          <w:rtl w:val="true"/>
          <w:lang w:bidi="ar-SA"/>
        </w:rPr>
        <w:t xml:space="preserve">) </w:t>
      </w:r>
      <w:r>
        <w:rPr>
          <w:rStyle w:val="FootnoteAnchor"/>
          <w:rtl w:val="true"/>
        </w:rPr>
        <w:footnoteReference w:id="496"/>
      </w:r>
      <w:r>
        <w:rPr>
          <w:rFonts w:ascii="Amiri" w:hAnsi="Amiri" w:eastAsia="Amiri" w:cs="Amiri"/>
          <w:color w:val="111111"/>
          <w:sz w:val="28"/>
          <w:sz w:val="28"/>
          <w:szCs w:val="28"/>
          <w:rtl w:val="true"/>
          <w:lang w:bidi="ar-SA"/>
        </w:rPr>
        <w:t xml:space="preserve">و هو اختيار الشّيخ في المبسوط </w:t>
      </w:r>
      <w:r>
        <w:rPr>
          <w:rStyle w:val="FootnoteAnchor"/>
          <w:rtl w:val="true"/>
        </w:rPr>
        <w:footnoteReference w:id="4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روي إذا وقع فيها كلب و خرج حيّا،نزح منها سبع دلاء </w:t>
      </w:r>
      <w:r>
        <w:rPr>
          <w:rStyle w:val="FootnoteAnchor"/>
          <w:rtl w:val="true"/>
        </w:rPr>
        <w:footnoteReference w:id="4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إدريس استضعف هذه الرّواية،و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ينزح منها أربعون دلوا </w:t>
      </w:r>
      <w:r>
        <w:rPr>
          <w:rStyle w:val="FootnoteAnchor"/>
          <w:rtl w:val="true"/>
        </w:rPr>
        <w:footnoteReference w:id="499"/>
      </w:r>
      <w:r>
        <w:rPr>
          <w:rFonts w:ascii="Amiri" w:hAnsi="Amiri" w:eastAsia="Amiri" w:cs="Amiri"/>
          <w:color w:val="111111"/>
          <w:sz w:val="28"/>
          <w:sz w:val="28"/>
          <w:szCs w:val="28"/>
          <w:rtl w:val="true"/>
          <w:lang w:bidi="ar-SA"/>
        </w:rPr>
        <w:t>،و لا أعرف من أين هذا الاستضعاف و التّقدير الّذي صار إليه،فإن كان استضعافه لقول الشّيخ في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w:t>
      </w:r>
      <w:r>
        <w:rPr>
          <w:rStyle w:val="FootnoteAnchor"/>
          <w:rtl w:val="true"/>
        </w:rPr>
        <w:footnoteReference w:id="500"/>
      </w:r>
      <w:r>
        <w:rPr>
          <w:rFonts w:ascii="Amiri" w:hAnsi="Amiri" w:eastAsia="Amiri" w:cs="Amiri"/>
          <w:color w:val="111111"/>
          <w:sz w:val="28"/>
          <w:sz w:val="28"/>
          <w:szCs w:val="28"/>
          <w:rtl w:val="true"/>
          <w:lang w:bidi="ar-SA"/>
        </w:rPr>
        <w:t>،فهو خيال فاسد</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الفأرة إذا تفسّخت أو انتفخت </w:t>
      </w:r>
      <w:r>
        <w:rPr>
          <w:rStyle w:val="FootnoteAnchor"/>
          <w:rtl w:val="true"/>
        </w:rPr>
        <w:footnoteReference w:id="5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قال المفيد </w:t>
      </w:r>
      <w:r>
        <w:rPr>
          <w:rStyle w:val="FootnoteAnchor"/>
          <w:rtl w:val="true"/>
        </w:rPr>
        <w:footnoteReference w:id="502"/>
      </w:r>
      <w:r>
        <w:rPr>
          <w:rFonts w:ascii="IRNazanin" w:hAnsi="IRNazanin" w:eastAsia="IRNazanin"/>
          <w:color w:val="111111"/>
          <w:sz w:val="28"/>
          <w:sz w:val="28"/>
          <w:szCs w:val="28"/>
          <w:rtl w:val="true"/>
          <w:lang w:bidi="fa-IR"/>
        </w:rPr>
        <w:t xml:space="preserve">و أبو الصّلاح </w:t>
      </w:r>
      <w:r>
        <w:rPr>
          <w:rStyle w:val="FootnoteAnchor"/>
          <w:rtl w:val="true"/>
        </w:rPr>
        <w:footnoteReference w:id="503"/>
      </w:r>
      <w:r>
        <w:rPr>
          <w:rFonts w:ascii="Amiri" w:hAnsi="Amiri" w:eastAsia="Amiri" w:cs="Amiri"/>
          <w:color w:val="111111"/>
          <w:sz w:val="28"/>
          <w:sz w:val="28"/>
          <w:szCs w:val="28"/>
          <w:rtl w:val="true"/>
          <w:lang w:bidi="ar-SA"/>
        </w:rPr>
        <w:t xml:space="preserve">و سلاّر </w:t>
      </w:r>
      <w:r>
        <w:rPr>
          <w:rStyle w:val="FootnoteAnchor"/>
          <w:rtl w:val="true"/>
        </w:rPr>
        <w:footnoteReference w:id="504"/>
      </w: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تفسّخت فسبع دلاء </w:t>
      </w:r>
      <w:r>
        <w:rPr>
          <w:rStyle w:val="FootnoteAnchor"/>
          <w:rtl w:val="true"/>
        </w:rPr>
        <w:footnoteReference w:id="5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المرتضى في 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الفأرة سبع دلاء و قد روي ثلاث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وقع فيها فأرة،فدلو واحدة،و إن تفسّخت،فسبع دلاء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 تفسّخها انتفاخها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أبو عيينة </w:t>
      </w:r>
      <w:r>
        <w:rPr>
          <w:rStyle w:val="FootnoteAnchor"/>
          <w:rtl w:val="true"/>
        </w:rPr>
        <w:footnoteReference w:id="5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عليه السّلام عن الفأرة تقع في البئر؟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خرجت فلا بأس،و إن تفسّخت فسبع دلاء</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رواه أبو سعيد المكاري </w:t>
      </w:r>
      <w:r>
        <w:rPr>
          <w:rStyle w:val="FootnoteAnchor"/>
          <w:rtl w:val="true"/>
        </w:rPr>
        <w:footnoteReference w:id="511"/>
      </w:r>
      <w:r>
        <w:rPr>
          <w:rFonts w:ascii="Amiri" w:hAnsi="Amiri" w:eastAsia="Amiri" w:cs="Amiri"/>
          <w:color w:val="111111"/>
          <w:sz w:val="28"/>
          <w:sz w:val="28"/>
          <w:szCs w:val="28"/>
          <w:rtl w:val="true"/>
          <w:lang w:bidi="ar-SA"/>
        </w:rPr>
        <w:t>،عن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وقعت الفأرة في البئر فتسلّخت،فانزح منها سبع دلاء</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رواه منصور </w:t>
      </w:r>
      <w:r>
        <w:rPr>
          <w:rStyle w:val="FootnoteAnchor"/>
          <w:rtl w:val="true"/>
        </w:rPr>
        <w:footnoteReference w:id="5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عدّة من أصحابنا،عن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ينزح منها سبع إذا بال فيها الصّبيّ أو وقعت فيها فأرة أو نحوها</w:t>
      </w:r>
      <w:r>
        <w:rPr>
          <w:rFonts w:eastAsia="Amiri" w:cs="Amiri" w:ascii="Amiri" w:hAnsi="Amiri"/>
          <w:color w:val="111111"/>
          <w:sz w:val="28"/>
          <w:szCs w:val="28"/>
          <w:rtl w:val="true"/>
          <w:lang w:bidi="ar-SA"/>
        </w:rPr>
        <w:t xml:space="preserve">) </w:t>
      </w:r>
      <w:r>
        <w:rPr>
          <w:rStyle w:val="FootnoteAnchor"/>
          <w:rtl w:val="true"/>
        </w:rPr>
        <w:footnoteReference w:id="514"/>
      </w:r>
      <w:r>
        <w:rPr>
          <w:rFonts w:ascii="Amiri" w:hAnsi="Amiri" w:eastAsia="Amiri" w:cs="Amiri"/>
          <w:color w:val="111111"/>
          <w:sz w:val="28"/>
          <w:sz w:val="28"/>
          <w:szCs w:val="28"/>
          <w:rtl w:val="true"/>
          <w:lang w:bidi="ar-SA"/>
        </w:rPr>
        <w:t xml:space="preserve">و لا يحضرني </w:t>
      </w:r>
    </w:p>
    <w:p>
      <w:pPr>
        <w:pStyle w:val="BookText"/>
        <w:rPr/>
      </w:pPr>
      <w:r>
        <w:rPr>
          <w:rFonts w:ascii="Amiri" w:hAnsi="Amiri" w:eastAsia="Amiri" w:cs="Amiri"/>
          <w:color w:val="111111"/>
          <w:sz w:val="28"/>
          <w:sz w:val="28"/>
          <w:szCs w:val="28"/>
          <w:rtl w:val="true"/>
          <w:lang w:bidi="ar-SA"/>
        </w:rPr>
        <w:t>الآن حال رواه هذه الأحاديث،لكن روى الشّيخ في الصّحيح،عن معاوية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الفأرة و الوزغة تقع في البئر؟قال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ينزح منها ثلاث دلاء</w:t>
      </w:r>
      <w:r>
        <w:rPr>
          <w:rFonts w:eastAsia="Amiri" w:cs="Amiri" w:ascii="Amiri" w:hAnsi="Amiri"/>
          <w:color w:val="111111"/>
          <w:sz w:val="28"/>
          <w:szCs w:val="28"/>
          <w:rtl w:val="true"/>
          <w:lang w:bidi="ar-SA"/>
        </w:rPr>
        <w:t xml:space="preserve">) </w:t>
      </w:r>
      <w:r>
        <w:rPr>
          <w:rStyle w:val="FootnoteAnchor"/>
          <w:rtl w:val="true"/>
        </w:rPr>
        <w:footnoteReference w:id="515"/>
      </w:r>
      <w:r>
        <w:rPr>
          <w:rFonts w:ascii="Amiri" w:hAnsi="Amiri" w:eastAsia="Amiri" w:cs="Amiri"/>
          <w:color w:val="111111"/>
          <w:sz w:val="28"/>
          <w:sz w:val="28"/>
          <w:szCs w:val="28"/>
          <w:rtl w:val="true"/>
          <w:lang w:bidi="ar-SA"/>
        </w:rPr>
        <w:t xml:space="preserve">و مثله روى في الصّحيح،عن ابن سنان،عن أبي عبد اللّه عليه السّلام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 الصّحيح،عن الحلبيّ،عن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سقط في البئر شيء صغير فمات فيها،فانزح منها دلاء</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 الحسن،عن عبد اللّه بن سنان،عن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سقط في البئر دابّة صغيرة أو نزل فيها جنب نزح منها سبع دلاء</w:t>
      </w:r>
      <w:r>
        <w:rPr>
          <w:rFonts w:eastAsia="Amiri" w:cs="Amiri" w:ascii="Amiri" w:hAnsi="Amiri"/>
          <w:color w:val="111111"/>
          <w:sz w:val="28"/>
          <w:szCs w:val="28"/>
          <w:rtl w:val="true"/>
          <w:lang w:bidi="ar-SA"/>
        </w:rPr>
        <w:t xml:space="preserve">) </w:t>
      </w:r>
      <w:r>
        <w:rPr>
          <w:rStyle w:val="FootnoteAnchor"/>
          <w:rtl w:val="true"/>
        </w:rPr>
        <w:footnoteReference w:id="518"/>
      </w:r>
      <w:r>
        <w:rPr>
          <w:rFonts w:ascii="Amiri" w:hAnsi="Amiri" w:eastAsia="Amiri" w:cs="Amiri"/>
          <w:color w:val="111111"/>
          <w:sz w:val="28"/>
          <w:sz w:val="28"/>
          <w:szCs w:val="28"/>
          <w:rtl w:val="true"/>
          <w:lang w:bidi="ar-SA"/>
        </w:rPr>
        <w:t>علّق الحكم على موت صغير الحيوان الصّادق على الفأرة،فيوجد عند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روى،عن سماعة،عن أبي عبد اللّه عليه السّلام،في الفأرة تقع في البئر أو الطّير؟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أدركته قبل أن ينتن نزحت منه سبع دلاء</w:t>
      </w:r>
      <w:r>
        <w:rPr>
          <w:rFonts w:eastAsia="Amiri" w:cs="Amiri" w:ascii="Amiri" w:hAnsi="Amiri"/>
          <w:color w:val="111111"/>
          <w:sz w:val="28"/>
          <w:szCs w:val="28"/>
          <w:rtl w:val="true"/>
          <w:lang w:bidi="ar-SA"/>
        </w:rPr>
        <w:t xml:space="preserve">) </w:t>
      </w:r>
      <w:r>
        <w:rPr>
          <w:rStyle w:val="FootnoteAnchor"/>
          <w:rtl w:val="true"/>
        </w:rPr>
        <w:footnoteReference w:id="519"/>
      </w:r>
      <w:r>
        <w:rPr>
          <w:rFonts w:ascii="Amiri" w:hAnsi="Amiri" w:eastAsia="Amiri" w:cs="Amiri"/>
          <w:color w:val="111111"/>
          <w:sz w:val="28"/>
          <w:sz w:val="28"/>
          <w:szCs w:val="28"/>
          <w:rtl w:val="true"/>
          <w:lang w:bidi="ar-SA"/>
        </w:rPr>
        <w:t xml:space="preserve">و سماعة واقفيّ،و الرّاوي عنه عثمان بن عيسى واقفيّ </w:t>
      </w:r>
      <w:r>
        <w:rPr>
          <w:rStyle w:val="FootnoteAnchor"/>
          <w:rtl w:val="true"/>
        </w:rPr>
        <w:footnoteReference w:id="520"/>
      </w:r>
      <w:r>
        <w:rPr>
          <w:rFonts w:ascii="Amiri" w:hAnsi="Amiri" w:eastAsia="Amiri" w:cs="Amiri"/>
          <w:color w:val="111111"/>
          <w:sz w:val="28"/>
          <w:sz w:val="28"/>
          <w:szCs w:val="28"/>
          <w:rtl w:val="true"/>
          <w:lang w:bidi="ar-SA"/>
        </w:rPr>
        <w:t>،فالاستدلال بها ضعيف</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عليّ بن يقطين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ينزح منها دلاء</w:t>
      </w:r>
      <w:r>
        <w:rPr>
          <w:rFonts w:eastAsia="Amiri" w:cs="Amiri" w:ascii="Amiri" w:hAnsi="Amiri"/>
          <w:color w:val="111111"/>
          <w:sz w:val="28"/>
          <w:szCs w:val="28"/>
          <w:rtl w:val="true"/>
          <w:lang w:bidi="ar-SA"/>
        </w:rPr>
        <w:t xml:space="preserve">) </w:t>
      </w:r>
      <w:r>
        <w:rPr>
          <w:rStyle w:val="FootnoteAnchor"/>
          <w:rtl w:val="true"/>
        </w:rPr>
        <w:footnoteReference w:id="521"/>
      </w:r>
      <w:r>
        <w:rPr>
          <w:rFonts w:ascii="Amiri" w:hAnsi="Amiri" w:eastAsia="Amiri" w:cs="Amiri"/>
          <w:color w:val="111111"/>
          <w:sz w:val="28"/>
          <w:sz w:val="28"/>
          <w:szCs w:val="28"/>
          <w:rtl w:val="true"/>
          <w:lang w:bidi="ar-SA"/>
        </w:rPr>
        <w:t xml:space="preserve">من غير ذكر التّفسّخ </w:t>
      </w:r>
    </w:p>
    <w:p>
      <w:pPr>
        <w:pStyle w:val="BookText"/>
        <w:rPr/>
      </w:pPr>
      <w:r>
        <w:rPr>
          <w:rFonts w:ascii="IRNazanin" w:hAnsi="IRNazanin" w:eastAsia="IRNazanin"/>
          <w:color w:val="111111"/>
          <w:sz w:val="28"/>
          <w:sz w:val="28"/>
          <w:szCs w:val="28"/>
          <w:rtl w:val="true"/>
          <w:lang w:bidi="fa-IR"/>
        </w:rPr>
        <w:t xml:space="preserve">و لا العدد </w:t>
      </w:r>
      <w:r>
        <w:rPr>
          <w:rStyle w:val="FootnoteAnchor"/>
          <w:rtl w:val="true"/>
        </w:rPr>
        <w:footnoteReference w:id="5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في رواية زرارة،و محمّد،و بريد عنهما،و قد تقدّمت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أبي أسامة في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يتفسّخ أو يتغيّر طعم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فيكفيك</w:t>
      </w:r>
      <w:r>
        <w:rPr>
          <w:rFonts w:eastAsia="Amiri" w:cs="Amiri" w:ascii="Amiri" w:hAnsi="Amiri"/>
          <w:color w:val="111111"/>
          <w:sz w:val="28"/>
          <w:szCs w:val="28"/>
          <w:rtl w:val="true"/>
          <w:lang w:bidi="ar-SA"/>
        </w:rPr>
        <w:t xml:space="preserve">] </w:t>
      </w:r>
      <w:r>
        <w:rPr>
          <w:rStyle w:val="FootnoteAnchor"/>
          <w:rtl w:val="true"/>
        </w:rPr>
        <w:footnoteReference w:id="524"/>
      </w:r>
      <w:r>
        <w:rPr>
          <w:rFonts w:ascii="IRNazanin" w:hAnsi="IRNazanin" w:eastAsia="IRNazanin"/>
          <w:color w:val="111111"/>
          <w:sz w:val="28"/>
          <w:sz w:val="28"/>
          <w:szCs w:val="28"/>
          <w:rtl w:val="true"/>
          <w:lang w:bidi="fa-IR"/>
        </w:rPr>
        <w:t>خمس دلاء</w:t>
      </w:r>
      <w:r>
        <w:rPr>
          <w:rFonts w:eastAsia="IRNazanin" w:cs="IRNazanin"/>
          <w:color w:val="111111"/>
          <w:sz w:val="28"/>
          <w:szCs w:val="28"/>
          <w:rtl w:val="true"/>
          <w:lang w:bidi="fa-IR"/>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عليّ بن أبي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دلاء</w:t>
      </w:r>
      <w:r>
        <w:rPr>
          <w:rFonts w:eastAsia="Amiri" w:cs="Amiri" w:ascii="Amiri" w:hAnsi="Amiri"/>
          <w:color w:val="111111"/>
          <w:sz w:val="28"/>
          <w:szCs w:val="28"/>
          <w:rtl w:val="true"/>
          <w:lang w:bidi="ar-SA"/>
        </w:rPr>
        <w:t xml:space="preserve">) </w:t>
      </w:r>
      <w:r>
        <w:rPr>
          <w:rStyle w:val="FootnoteAnchor"/>
          <w:rtl w:val="true"/>
        </w:rPr>
        <w:footnoteReference w:id="526"/>
      </w:r>
      <w:r>
        <w:rPr>
          <w:rFonts w:ascii="Amiri" w:hAnsi="Amiri" w:eastAsia="Amiri" w:cs="Amiri"/>
          <w:color w:val="111111"/>
          <w:sz w:val="28"/>
          <w:sz w:val="28"/>
          <w:szCs w:val="28"/>
          <w:rtl w:val="true"/>
          <w:lang w:bidi="ar-SA"/>
        </w:rPr>
        <w:t>،و لم يذكر التّفسّخ،و هي ضعيفة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في رواية عمرو بن سعيد بن هلال </w:t>
      </w:r>
      <w:r>
        <w:rPr>
          <w:rStyle w:val="FootnoteAnchor"/>
          <w:rtl w:val="true"/>
        </w:rPr>
        <w:footnoteReference w:id="527"/>
      </w:r>
      <w:r>
        <w:rPr>
          <w:rFonts w:ascii="Amiri" w:hAnsi="Amiri" w:eastAsia="Amiri" w:cs="Amiri"/>
          <w:color w:val="111111"/>
          <w:sz w:val="28"/>
          <w:sz w:val="28"/>
          <w:szCs w:val="28"/>
          <w:rtl w:val="true"/>
          <w:lang w:bidi="ar-SA"/>
        </w:rPr>
        <w:t xml:space="preserve">،و هي ضعيفة أيضا،و كذا في رواية أبي أسامة و أبي يوسف يعقوب بن عثيم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 الصّحيح،عن ابن مسكان،قال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عمّا يقع في الآبار؟قال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الفأرة،فينزح منها حتّى تطيب،و إن سقط فيها كلب فقدرت على أن تنزح ما فيها فافعل،و كلّ شيء سقط في البئر ليس له دم مثل العقارب و الخنافس و أشباه ذلك،فلا بأس</w:t>
      </w:r>
      <w:r>
        <w:rPr>
          <w:rFonts w:eastAsia="Amiri" w:cs="Amiri" w:ascii="Amiri" w:hAnsi="Amiri"/>
          <w:color w:val="111111"/>
          <w:sz w:val="28"/>
          <w:szCs w:val="28"/>
          <w:rtl w:val="true"/>
          <w:lang w:bidi="ar-SA"/>
        </w:rPr>
        <w:t xml:space="preserve">) </w:t>
      </w:r>
      <w:r>
        <w:rPr>
          <w:rStyle w:val="FootnoteAnchor"/>
          <w:rtl w:val="true"/>
        </w:rPr>
        <w:footnoteReference w:id="529"/>
      </w:r>
      <w:r>
        <w:rPr>
          <w:rFonts w:ascii="Amiri" w:hAnsi="Amiri" w:eastAsia="Amiri" w:cs="Amiri"/>
          <w:color w:val="111111"/>
          <w:sz w:val="28"/>
          <w:sz w:val="28"/>
          <w:szCs w:val="28"/>
          <w:rtl w:val="true"/>
          <w:lang w:bidi="ar-SA"/>
        </w:rPr>
        <w:t>و لكنّ هذه الرّواية إنّما تدلّ على ما وجد فيه التّغيّر لدلالة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أبو خديجة </w:t>
      </w:r>
      <w:r>
        <w:rPr>
          <w:rStyle w:val="FootnoteAnchor"/>
          <w:rtl w:val="true"/>
        </w:rPr>
        <w:footnoteReference w:id="530"/>
      </w:r>
      <w:r>
        <w:rPr>
          <w:rFonts w:ascii="Amiri" w:hAnsi="Amiri" w:eastAsia="Amiri" w:cs="Amiri"/>
          <w:color w:val="111111"/>
          <w:sz w:val="28"/>
          <w:sz w:val="28"/>
          <w:szCs w:val="28"/>
          <w:rtl w:val="true"/>
          <w:lang w:bidi="ar-SA"/>
        </w:rPr>
        <w:t>،عن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عن الفأرة تقع في </w:t>
      </w:r>
      <w:bookmarkStart w:id="462" w:name="pg12672_159844"/>
    </w:p>
    <w:p>
      <w:pPr>
        <w:pStyle w:val="BookText"/>
        <w:rPr/>
      </w:pPr>
      <w:bookmarkEnd w:id="462"/>
      <w:r>
        <w:rPr>
          <w:rFonts w:ascii="Amiri" w:hAnsi="Amiri" w:eastAsia="Amiri" w:cs="Amiri"/>
          <w:color w:val="111111"/>
          <w:sz w:val="28"/>
          <w:sz w:val="28"/>
          <w:szCs w:val="28"/>
          <w:rtl w:val="true"/>
          <w:lang w:bidi="ar-SA"/>
        </w:rPr>
        <w:t>البئر؟قال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ماتت و لم تنتن،نزح أربعين دلوا</w:t>
      </w:r>
      <w:r>
        <w:rPr>
          <w:rFonts w:eastAsia="Amiri" w:cs="Amiri" w:ascii="Amiri" w:hAnsi="Amiri"/>
          <w:color w:val="111111"/>
          <w:sz w:val="28"/>
          <w:szCs w:val="28"/>
          <w:rtl w:val="true"/>
          <w:lang w:bidi="ar-SA"/>
        </w:rPr>
        <w:t xml:space="preserve">) </w:t>
      </w:r>
      <w:r>
        <w:rPr>
          <w:rStyle w:val="FootnoteAnchor"/>
          <w:rtl w:val="true"/>
        </w:rPr>
        <w:footnoteReference w:id="531"/>
      </w:r>
      <w:r>
        <w:rPr>
          <w:rFonts w:ascii="Amiri" w:hAnsi="Amiri" w:eastAsia="Amiri" w:cs="Amiri"/>
          <w:color w:val="111111"/>
          <w:sz w:val="28"/>
          <w:sz w:val="28"/>
          <w:szCs w:val="28"/>
          <w:rtl w:val="true"/>
          <w:lang w:bidi="ar-SA"/>
        </w:rPr>
        <w:t xml:space="preserve">و حمل الشّيخ هذه الرّواية على الاستحباب </w:t>
      </w:r>
      <w:r>
        <w:rPr>
          <w:rStyle w:val="FootnoteAnchor"/>
          <w:rtl w:val="true"/>
        </w:rPr>
        <w:footnoteReference w:id="532"/>
      </w:r>
      <w:r>
        <w:rPr>
          <w:rFonts w:ascii="Amiri" w:hAnsi="Amiri" w:eastAsia="Amiri" w:cs="Amiri"/>
          <w:color w:val="111111"/>
          <w:sz w:val="28"/>
          <w:sz w:val="28"/>
          <w:szCs w:val="28"/>
          <w:rtl w:val="true"/>
          <w:lang w:bidi="ar-SA"/>
        </w:rPr>
        <w:t>و إطلاق الرّواية بالسّبع على التّفسّخ،و بالثّلاث على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عرّفناك ضعف الرّوايات الدّالة على التّفصيل مع أنّ في رواية أبي أسامة </w:t>
      </w:r>
      <w:r>
        <w:rPr>
          <w:rStyle w:val="FootnoteAnchor"/>
          <w:rtl w:val="true"/>
        </w:rPr>
        <w:footnoteReference w:id="533"/>
      </w:r>
      <w:r>
        <w:rPr>
          <w:rFonts w:ascii="Amiri" w:hAnsi="Amiri" w:eastAsia="Amiri" w:cs="Amiri"/>
          <w:color w:val="111111"/>
          <w:sz w:val="28"/>
          <w:sz w:val="28"/>
          <w:szCs w:val="28"/>
          <w:rtl w:val="true"/>
          <w:lang w:bidi="ar-SA"/>
        </w:rPr>
        <w:t>نزح خمس مع عدم التّفسّخ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بول الصّبيّ،و تدلّ </w:t>
      </w:r>
      <w:r>
        <w:rPr>
          <w:rStyle w:val="FootnoteAnchor"/>
          <w:rtl w:val="true"/>
        </w:rPr>
        <w:footnoteReference w:id="534"/>
      </w:r>
      <w:r>
        <w:rPr>
          <w:rFonts w:ascii="Amiri" w:hAnsi="Amiri" w:eastAsia="Amiri" w:cs="Amiri"/>
          <w:color w:val="111111"/>
          <w:sz w:val="28"/>
          <w:sz w:val="28"/>
          <w:szCs w:val="28"/>
          <w:rtl w:val="true"/>
          <w:lang w:bidi="ar-SA"/>
        </w:rPr>
        <w:t>عليه رواية منصور،عن عدّة 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تقدّمت في الفأرة </w:t>
      </w:r>
      <w:r>
        <w:rPr>
          <w:rStyle w:val="FootnoteAnchor"/>
          <w:rtl w:val="true"/>
        </w:rPr>
        <w:footnoteReference w:id="5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رواية عليّ بن أبي حمزة نزح لبول الصّبيّ الفطيم دلو واحد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63" w:name="__RefHeading___Toc746983_222507752"/>
      <w:bookmarkStart w:id="464" w:name="_Toc182"/>
      <w:bookmarkEnd w:id="463"/>
      <w:r>
        <w:rPr>
          <w:rtl w:val="true"/>
        </w:rPr>
        <w:t>التّاسع</w:t>
      </w:r>
      <w:r>
        <w:rPr>
          <w:rtl w:val="true"/>
        </w:rPr>
        <w:t>:</w:t>
      </w:r>
      <w:r>
        <w:rPr>
          <w:rtl w:val="true"/>
        </w:rPr>
        <w:t>ما يوجب نزح خمس دلاء و هو ذرق الدّجاج</w:t>
      </w:r>
      <w:bookmarkEnd w:id="4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اختاره الشّيخ </w:t>
      </w:r>
      <w:r>
        <w:rPr>
          <w:rStyle w:val="FootnoteAnchor"/>
          <w:rtl w:val="true"/>
        </w:rPr>
        <w:footnoteReference w:id="537"/>
      </w:r>
      <w:r>
        <w:rPr>
          <w:rFonts w:ascii="Amiri" w:hAnsi="Amiri" w:eastAsia="Amiri" w:cs="Amiri"/>
          <w:color w:val="111111"/>
          <w:sz w:val="28"/>
          <w:sz w:val="28"/>
          <w:szCs w:val="28"/>
          <w:rtl w:val="true"/>
          <w:lang w:bidi="ar-SA"/>
        </w:rPr>
        <w:t xml:space="preserve">،و قيّده المفيد و ابن إدريس بالجلاّل </w:t>
      </w:r>
      <w:r>
        <w:rPr>
          <w:rStyle w:val="FootnoteAnchor"/>
          <w:rtl w:val="true"/>
        </w:rPr>
        <w:footnoteReference w:id="538"/>
      </w:r>
      <w:r>
        <w:rPr>
          <w:rFonts w:ascii="Amiri" w:hAnsi="Amiri" w:eastAsia="Amiri" w:cs="Amiri"/>
          <w:color w:val="111111"/>
          <w:sz w:val="28"/>
          <w:sz w:val="28"/>
          <w:szCs w:val="28"/>
          <w:rtl w:val="true"/>
          <w:lang w:bidi="ar-SA"/>
        </w:rPr>
        <w:t xml:space="preserve">،و لم أقف على حديث يدلّ على شيء منهما </w:t>
      </w:r>
      <w:r>
        <w:rPr>
          <w:rFonts w:eastAsia="Amiri" w:cs="Amiri" w:ascii="Amiri" w:hAnsi="Amiri"/>
          <w:color w:val="111111"/>
          <w:sz w:val="28"/>
          <w:szCs w:val="28"/>
          <w:rtl w:val="true"/>
          <w:lang w:bidi="ar-SA"/>
        </w:rPr>
        <w:t>.</w:t>
      </w:r>
    </w:p>
    <w:p>
      <w:pPr>
        <w:pStyle w:val="Heading6"/>
        <w:numPr>
          <w:ilvl w:val="5"/>
          <w:numId w:val="1"/>
        </w:numPr>
        <w:rPr/>
      </w:pPr>
      <w:bookmarkStart w:id="465" w:name="__RefHeading___Toc746985_222507752"/>
      <w:bookmarkStart w:id="466" w:name="_Toc183"/>
      <w:bookmarkEnd w:id="465"/>
      <w:r>
        <w:rPr>
          <w:rtl w:val="true"/>
        </w:rPr>
        <w:t>العاشر</w:t>
      </w:r>
      <w:r>
        <w:rPr>
          <w:rtl w:val="true"/>
        </w:rPr>
        <w:t>:</w:t>
      </w:r>
      <w:r>
        <w:rPr>
          <w:rtl w:val="true"/>
        </w:rPr>
        <w:t>ما يوجب نزح ثلاث</w:t>
      </w:r>
      <w:bookmarkEnd w:id="466"/>
    </w:p>
    <w:p>
      <w:pPr>
        <w:pStyle w:val="BookText"/>
        <w:rPr/>
      </w:pPr>
      <w:r>
        <w:rPr>
          <w:rFonts w:ascii="Amiri" w:hAnsi="Amiri" w:eastAsia="Amiri" w:cs="Amiri"/>
          <w:color w:val="111111"/>
          <w:sz w:val="28"/>
          <w:sz w:val="28"/>
          <w:szCs w:val="28"/>
          <w:rtl w:val="true"/>
          <w:lang w:bidi="ar-SA"/>
        </w:rPr>
        <w:t xml:space="preserve">،و هو موت الفأرة مع عدم التّفسّخ على ما ذكره الشّيخ </w:t>
      </w:r>
      <w:r>
        <w:rPr>
          <w:rStyle w:val="FootnoteAnchor"/>
          <w:rtl w:val="true"/>
        </w:rPr>
        <w:footnoteReference w:id="539"/>
      </w:r>
      <w:r>
        <w:rPr>
          <w:rFonts w:ascii="Amiri" w:hAnsi="Amiri" w:eastAsia="Amiri" w:cs="Amiri"/>
          <w:color w:val="111111"/>
          <w:sz w:val="28"/>
          <w:sz w:val="28"/>
          <w:szCs w:val="28"/>
          <w:rtl w:val="true"/>
          <w:lang w:bidi="ar-SA"/>
        </w:rPr>
        <w:t xml:space="preserve">، و بول الصّبيّ إذا أكل الطّعام على ما ذكره السّيّد المرتضى </w:t>
      </w:r>
      <w:r>
        <w:rPr>
          <w:rStyle w:val="FootnoteAnchor"/>
          <w:rtl w:val="true"/>
        </w:rPr>
        <w:footnoteReference w:id="540"/>
      </w:r>
      <w:r>
        <w:rPr>
          <w:rFonts w:ascii="Amiri" w:hAnsi="Amiri" w:eastAsia="Amiri" w:cs="Amiri"/>
          <w:color w:val="111111"/>
          <w:sz w:val="28"/>
          <w:sz w:val="28"/>
          <w:szCs w:val="28"/>
          <w:rtl w:val="true"/>
          <w:lang w:bidi="ar-SA"/>
        </w:rPr>
        <w:t xml:space="preserve">،و بول الصّبيّ الرّضيع على ما ذكره أبو الصّلاح </w:t>
      </w:r>
      <w:r>
        <w:rPr>
          <w:rStyle w:val="FootnoteAnchor"/>
          <w:rtl w:val="true"/>
        </w:rPr>
        <w:footnoteReference w:id="541"/>
      </w:r>
      <w:r>
        <w:rPr>
          <w:rFonts w:ascii="Amiri" w:hAnsi="Amiri" w:eastAsia="Amiri" w:cs="Amiri"/>
          <w:color w:val="111111"/>
          <w:sz w:val="28"/>
          <w:sz w:val="28"/>
          <w:szCs w:val="28"/>
          <w:rtl w:val="true"/>
          <w:lang w:bidi="ar-SA"/>
        </w:rPr>
        <w:t xml:space="preserve">،و قد تقدّم البحث في ذلك كلّه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لموت الحيّة سواء تفسّخت أو لا،و ألحق الشّيخ بها الوزغة </w:t>
      </w:r>
      <w:r>
        <w:rPr>
          <w:rStyle w:val="FootnoteAnchor"/>
          <w:rtl w:val="true"/>
        </w:rPr>
        <w:footnoteReference w:id="543"/>
      </w:r>
      <w:r>
        <w:rPr>
          <w:rFonts w:ascii="IRNazanin" w:hAnsi="IRNazanin" w:eastAsia="IRNazanin"/>
          <w:color w:val="111111"/>
          <w:sz w:val="28"/>
          <w:sz w:val="28"/>
          <w:szCs w:val="28"/>
          <w:rtl w:val="true"/>
          <w:lang w:bidi="fa-IR"/>
        </w:rPr>
        <w:t xml:space="preserve">،و العقرب،و اقتصر </w:t>
      </w:r>
    </w:p>
    <w:p>
      <w:pPr>
        <w:pStyle w:val="BookText"/>
        <w:rPr/>
      </w:pPr>
      <w:r>
        <w:rPr>
          <w:rFonts w:ascii="Amiri" w:hAnsi="Amiri" w:eastAsia="Amiri" w:cs="Amiri"/>
          <w:color w:val="111111"/>
          <w:sz w:val="28"/>
          <w:sz w:val="28"/>
          <w:szCs w:val="28"/>
          <w:rtl w:val="true"/>
          <w:lang w:bidi="ar-SA"/>
        </w:rPr>
        <w:t xml:space="preserve">المفيد على الوزغة </w:t>
      </w:r>
      <w:r>
        <w:rPr>
          <w:rStyle w:val="FootnoteAnchor"/>
          <w:rtl w:val="true"/>
        </w:rPr>
        <w:footnoteReference w:id="544"/>
      </w:r>
      <w:r>
        <w:rPr>
          <w:rFonts w:ascii="Amiri" w:hAnsi="Amiri" w:eastAsia="Amiri" w:cs="Amiri"/>
          <w:color w:val="111111"/>
          <w:sz w:val="28"/>
          <w:sz w:val="28"/>
          <w:szCs w:val="28"/>
          <w:rtl w:val="true"/>
          <w:lang w:bidi="ar-SA"/>
        </w:rPr>
        <w:t>و قال أبو الصّلاح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للحيّة و العقرب ثلاث دلاء،و للوزغة دلو واحدة </w:t>
      </w:r>
      <w:r>
        <w:rPr>
          <w:rStyle w:val="FootnoteAnchor"/>
          <w:rtl w:val="true"/>
        </w:rPr>
        <w:footnoteReference w:id="5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عليّ بن بابويه </w:t>
      </w:r>
      <w:r>
        <w:rPr>
          <w:rStyle w:val="FootnoteAnchor"/>
          <w:rtl w:val="true"/>
        </w:rPr>
        <w:footnoteReference w:id="5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وقع فيها حيّة أو عقرب أو خنافس أو بنات وردان </w:t>
      </w:r>
      <w:r>
        <w:rPr>
          <w:rStyle w:val="FootnoteAnchor"/>
          <w:rtl w:val="true"/>
        </w:rPr>
        <w:footnoteReference w:id="547"/>
      </w:r>
      <w:r>
        <w:rPr>
          <w:rFonts w:ascii="Amiri" w:hAnsi="Amiri" w:eastAsia="Amiri" w:cs="Amiri"/>
          <w:color w:val="111111"/>
          <w:sz w:val="28"/>
          <w:sz w:val="28"/>
          <w:szCs w:val="28"/>
          <w:rtl w:val="true"/>
          <w:lang w:bidi="ar-SA"/>
        </w:rPr>
        <w:t xml:space="preserve">،فاستق للحيّة دلوا،و ليس عليك فيما سواها شيء </w:t>
      </w:r>
      <w:r>
        <w:rPr>
          <w:rStyle w:val="FootnoteAnchor"/>
          <w:rtl w:val="true"/>
        </w:rPr>
        <w:footnoteReference w:id="5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ابن إدريس اقتصر على الحيّة بثلاث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الحيّة،فلم نقف على حديث يدلّ على ما ذكروه فيها،و يمكن التّمسّك فيها بحديث عبد اللّه بن سنان </w:t>
      </w:r>
      <w:r>
        <w:rPr>
          <w:rStyle w:val="FootnoteAnchor"/>
          <w:rtl w:val="true"/>
        </w:rPr>
        <w:footnoteReference w:id="550"/>
      </w:r>
      <w:r>
        <w:rPr>
          <w:rFonts w:ascii="Amiri" w:hAnsi="Amiri" w:eastAsia="Amiri" w:cs="Amiri"/>
          <w:color w:val="111111"/>
          <w:sz w:val="28"/>
          <w:sz w:val="28"/>
          <w:szCs w:val="28"/>
          <w:rtl w:val="true"/>
          <w:lang w:bidi="ar-SA"/>
        </w:rPr>
        <w:t>،الدّالّ على حكم الدّابّة الصّغيرة،لكنّه يدلّ على نزح سبع دلاء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الوزغة،فيدلّ عليه روايتا معاوية و ابن سنان في الصّحيح،و قد تقدّمتا في فصل الفأرة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الحلبيّ في الصّحيح،عن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سقط في البئر حيوان صغير،فانزح منها دلاء</w:t>
      </w:r>
      <w:r>
        <w:rPr>
          <w:rFonts w:eastAsia="Amiri" w:cs="Amiri" w:ascii="Amiri" w:hAnsi="Amiri"/>
          <w:color w:val="111111"/>
          <w:sz w:val="28"/>
          <w:szCs w:val="28"/>
          <w:rtl w:val="true"/>
          <w:lang w:bidi="ar-SA"/>
        </w:rPr>
        <w:t xml:space="preserve">) </w:t>
      </w:r>
      <w:r>
        <w:rPr>
          <w:rStyle w:val="FootnoteAnchor"/>
          <w:rtl w:val="true"/>
        </w:rPr>
        <w:footnoteReference w:id="552"/>
      </w:r>
      <w:r>
        <w:rPr>
          <w:rFonts w:ascii="Amiri" w:hAnsi="Amiri" w:eastAsia="Amiri" w:cs="Amiri"/>
          <w:color w:val="111111"/>
          <w:sz w:val="28"/>
          <w:sz w:val="28"/>
          <w:szCs w:val="28"/>
          <w:rtl w:val="true"/>
          <w:lang w:bidi="ar-SA"/>
        </w:rPr>
        <w:t>و هي دالّة على الوزغة و الحيّة أيضا،و يحمل على الثّلاثة أخذا بالمتيقّن في أقلّ الجمع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رواية يعقوب بن عثيم،قال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 أبرص وجدناه قد تفسّخ في البئر؟قال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عليك أن تنزح منه سبع دلاء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فثيابنا الّتي صلّينا فيها،نغسلها و نعيد الصّلاة؟قال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سأل جابر بن يزيد الجعفيّ </w:t>
      </w:r>
      <w:r>
        <w:rPr>
          <w:rStyle w:val="FootnoteAnchor"/>
          <w:rtl w:val="true"/>
        </w:rPr>
        <w:footnoteReference w:id="554"/>
      </w:r>
      <w:r>
        <w:rPr>
          <w:rFonts w:ascii="Amiri" w:hAnsi="Amiri" w:eastAsia="Amiri" w:cs="Amiri"/>
          <w:color w:val="111111"/>
          <w:sz w:val="28"/>
          <w:sz w:val="28"/>
          <w:szCs w:val="28"/>
          <w:rtl w:val="true"/>
          <w:lang w:bidi="ar-SA"/>
        </w:rPr>
        <w:t>أبا جعفر عليه السّلام عن السّام أبرص يقع في البئر؟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بشيء،حرّك الماء بالدّلو</w:t>
      </w:r>
      <w:r>
        <w:rPr>
          <w:rFonts w:eastAsia="Amiri" w:cs="Amiri" w:ascii="Amiri" w:hAnsi="Amiri"/>
          <w:color w:val="111111"/>
          <w:sz w:val="28"/>
          <w:szCs w:val="28"/>
          <w:rtl w:val="true"/>
          <w:lang w:bidi="ar-SA"/>
        </w:rPr>
        <w:t xml:space="preserve">) </w:t>
      </w:r>
      <w:r>
        <w:rPr>
          <w:rStyle w:val="FootnoteAnchor"/>
          <w:rtl w:val="true"/>
        </w:rPr>
        <w:footnoteReference w:id="555"/>
      </w:r>
      <w:r>
        <w:rPr>
          <w:rFonts w:ascii="Amiri" w:hAnsi="Amiri" w:eastAsia="Amiri" w:cs="Amiri"/>
          <w:color w:val="111111"/>
          <w:sz w:val="28"/>
          <w:sz w:val="28"/>
          <w:szCs w:val="28"/>
          <w:rtl w:val="true"/>
          <w:lang w:bidi="ar-SA"/>
        </w:rPr>
        <w:t>و جمع الشّيخ بينهما،بأن حمل الثّاني على عدم التّفسّخ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عندي تعلّق الحكم،و هو نزح الثّلاث بالحيّة دون غيرها ممّا عدّدناه،لوجود النّفس السّائلة لها دون غيرها،و ميتتها نجسة،و أحمل رواية يعقوب في سام أبرص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فلرواية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فلأنّها لو كانت نجسة بوقوعه،لما أسقط عنه غسل الثّوب</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 يعقوب بن عثيم أبا عبد اللّه عليه السّلام،فقال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بئر ماء في مائها ريح يخرج منها قطع جلود؟فقال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بشيء،انّ الوزغ ربّما طرح جلده و إنّما يكفيك من ذلك دلو واحد</w:t>
      </w:r>
      <w:r>
        <w:rPr>
          <w:rFonts w:eastAsia="Amiri" w:cs="Amiri" w:ascii="Amiri" w:hAnsi="Amiri"/>
          <w:color w:val="111111"/>
          <w:sz w:val="28"/>
          <w:szCs w:val="28"/>
          <w:rtl w:val="true"/>
          <w:lang w:bidi="ar-SA"/>
        </w:rPr>
        <w:t xml:space="preserve">) </w:t>
      </w:r>
      <w:r>
        <w:rPr>
          <w:rStyle w:val="FootnoteAnchor"/>
          <w:rtl w:val="true"/>
        </w:rPr>
        <w:footnoteReference w:id="556"/>
      </w:r>
      <w:r>
        <w:rPr>
          <w:rFonts w:ascii="Amiri" w:hAnsi="Amiri" w:eastAsia="Amiri" w:cs="Amiri"/>
          <w:color w:val="111111"/>
          <w:sz w:val="28"/>
          <w:sz w:val="28"/>
          <w:szCs w:val="28"/>
          <w:rtl w:val="true"/>
          <w:lang w:bidi="ar-SA"/>
        </w:rPr>
        <w:t xml:space="preserve">و ربّما كان ذلك اعتماد أبي الصّلاح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 رواية هارون بن حمزة الغنويّ </w:t>
      </w:r>
      <w:r>
        <w:rPr>
          <w:rStyle w:val="FootnoteAnchor"/>
          <w:rtl w:val="true"/>
        </w:rPr>
        <w:footnoteReference w:id="558"/>
      </w:r>
      <w:r>
        <w:rPr>
          <w:rFonts w:ascii="Amiri" w:hAnsi="Amiri" w:eastAsia="Amiri" w:cs="Amiri"/>
          <w:color w:val="111111"/>
          <w:sz w:val="28"/>
          <w:sz w:val="28"/>
          <w:szCs w:val="28"/>
          <w:rtl w:val="true"/>
          <w:lang w:bidi="ar-SA"/>
        </w:rPr>
        <w:t>،عن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الفأرة و العقرب و أشباه ذلك يقع في الماء فيخرج حيّا،هل يشرب من ذلك الماء و يتوضّأ منه؟قال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يسكب منه ثلاث مرّات،و قليله و كثيره بمنزلة واحدة،ثمَّ يشرب منه و يتوضّأ غير الوزغ فإنّه لا ينتفع بما يقع فيه</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الأقرب عندي تفريعا على القول بالتّنجيس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النّزح للعقرب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عليه ما رواه ابن مسكان في الصّحيح،عن أبي عبد اللّه عليه السّلام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شيء سقط في البئر ليس له دم مثل العقارب و الخنافس و أشباه ذلك فلا بأس</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رواية المنهال بن عمرو </w:t>
      </w:r>
      <w:r>
        <w:rPr>
          <w:rStyle w:val="FootnoteAnchor"/>
          <w:rtl w:val="true"/>
        </w:rPr>
        <w:footnoteReference w:id="5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العقرب تخرج من البئر ميّتة؟قال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 منها عشرة دلاء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فغيرها من الجيف؟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الجيف كلّها سواء إلاّ جيفة قد أجيفت،فإن كانت جيفة قد أجيفت فاستق منها مائة دلو،فإن غلب عليها الرّيح بعد مائة دلو،فانزحها كلّها</w:t>
      </w:r>
      <w:r>
        <w:rPr>
          <w:rFonts w:eastAsia="Amiri" w:cs="Amiri" w:ascii="Amiri" w:hAnsi="Amiri"/>
          <w:color w:val="111111"/>
          <w:sz w:val="28"/>
          <w:szCs w:val="28"/>
          <w:rtl w:val="true"/>
          <w:lang w:bidi="ar-SA"/>
        </w:rPr>
        <w:t xml:space="preserve">) </w:t>
      </w:r>
      <w:r>
        <w:rPr>
          <w:rStyle w:val="FootnoteAnchor"/>
          <w:rtl w:val="true"/>
        </w:rPr>
        <w:footnoteReference w:id="562"/>
      </w:r>
      <w:r>
        <w:rPr>
          <w:rFonts w:ascii="Amiri" w:hAnsi="Amiri" w:eastAsia="Amiri" w:cs="Amiri"/>
          <w:color w:val="111111"/>
          <w:sz w:val="28"/>
          <w:sz w:val="28"/>
          <w:szCs w:val="28"/>
          <w:rtl w:val="true"/>
          <w:lang w:bidi="ar-SA"/>
        </w:rPr>
        <w:t>فما تضمّنت هذه الرّواية من نزح العشرة على جهة الاستحباب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منهال،لا يحضرني الآن حاله،فإن كان ثقة فالرّواية صحيحة</w:t>
      </w:r>
      <w:r>
        <w:rPr>
          <w:rFonts w:eastAsia="Amiri" w:cs="Amiri" w:ascii="Amiri" w:hAnsi="Amiri"/>
          <w:color w:val="111111"/>
          <w:sz w:val="28"/>
          <w:szCs w:val="28"/>
          <w:rtl w:val="true"/>
          <w:lang w:bidi="ar-SA"/>
        </w:rPr>
        <w:t xml:space="preserve">. </w:t>
      </w:r>
      <w:bookmarkStart w:id="467" w:name="pg12672_159848"/>
    </w:p>
    <w:p>
      <w:pPr>
        <w:pStyle w:val="BookText"/>
        <w:rPr/>
      </w:pPr>
      <w:bookmarkEnd w:id="467"/>
      <w:r>
        <w:rPr>
          <w:rFonts w:ascii="Amiri" w:hAnsi="Amiri" w:eastAsia="Amiri" w:cs="Amiri"/>
          <w:color w:val="111111"/>
          <w:sz w:val="28"/>
          <w:sz w:val="28"/>
          <w:szCs w:val="28"/>
          <w:rtl w:val="true"/>
          <w:lang w:bidi="ar-SA"/>
        </w:rPr>
        <w:t>و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يفسد الماء إلاّ ما كانت له نفس سائلة</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68" w:name="__RefHeading___Toc746987_222507752"/>
      <w:bookmarkStart w:id="469" w:name="_Toc184"/>
      <w:bookmarkEnd w:id="468"/>
      <w:r>
        <w:rPr>
          <w:rtl w:val="true"/>
        </w:rPr>
        <w:t>الحادي عشر</w:t>
      </w:r>
      <w:r>
        <w:rPr>
          <w:rtl w:val="true"/>
        </w:rPr>
        <w:t>:</w:t>
      </w:r>
      <w:r>
        <w:rPr>
          <w:rtl w:val="true"/>
        </w:rPr>
        <w:t>ما نزح له دلو واحدة</w:t>
      </w:r>
      <w:bookmarkEnd w:id="469"/>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العصفور و ما أشبهه،و بول الرّضيع،و أمّا العصفور و شبهه،فقال به الشّيخان </w:t>
      </w:r>
      <w:r>
        <w:rPr>
          <w:rStyle w:val="FootnoteAnchor"/>
          <w:rtl w:val="true"/>
        </w:rPr>
        <w:footnoteReference w:id="564"/>
      </w:r>
      <w:r>
        <w:rPr>
          <w:rFonts w:ascii="IRNazanin" w:hAnsi="IRNazanin" w:eastAsia="IRNazanin"/>
          <w:color w:val="111111"/>
          <w:sz w:val="28"/>
          <w:sz w:val="28"/>
          <w:szCs w:val="28"/>
          <w:rtl w:val="true"/>
          <w:lang w:bidi="fa-IR"/>
        </w:rPr>
        <w:t xml:space="preserve">و أتباعهما </w:t>
      </w:r>
      <w:r>
        <w:rPr>
          <w:rStyle w:val="FootnoteAnchor"/>
          <w:rtl w:val="true"/>
        </w:rPr>
        <w:footnoteReference w:id="5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تدلّ عليه رواية عمّار السّاباطيّ، 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عليه السّلام،و ذكر الحديث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أقلّ ما يقع في البئر عصفور نزح منها دلو واحد</w:t>
      </w:r>
      <w:r>
        <w:rPr>
          <w:rFonts w:eastAsia="Amiri" w:cs="Amiri" w:ascii="Amiri" w:hAnsi="Amiri"/>
          <w:color w:val="111111"/>
          <w:sz w:val="28"/>
          <w:szCs w:val="28"/>
          <w:rtl w:val="true"/>
          <w:lang w:bidi="ar-SA"/>
        </w:rPr>
        <w:t xml:space="preserve">) </w:t>
      </w:r>
      <w:r>
        <w:rPr>
          <w:rStyle w:val="FootnoteAnchor"/>
          <w:rtl w:val="true"/>
        </w:rPr>
        <w:footnoteReference w:id="566"/>
      </w:r>
      <w:r>
        <w:rPr>
          <w:rFonts w:ascii="Amiri" w:hAnsi="Amiri" w:eastAsia="Amiri" w:cs="Amiri"/>
          <w:color w:val="111111"/>
          <w:sz w:val="28"/>
          <w:sz w:val="28"/>
          <w:szCs w:val="28"/>
          <w:rtl w:val="true"/>
          <w:lang w:bidi="ar-SA"/>
        </w:rPr>
        <w:t xml:space="preserve">و عمّار فطحيّ </w:t>
      </w:r>
      <w:r>
        <w:rPr>
          <w:rStyle w:val="FootnoteAnchor"/>
          <w:rtl w:val="true"/>
        </w:rPr>
        <w:footnoteReference w:id="567"/>
      </w:r>
      <w:r>
        <w:rPr>
          <w:rFonts w:ascii="Amiri" w:hAnsi="Amiri" w:eastAsia="Amiri" w:cs="Amiri"/>
          <w:color w:val="111111"/>
          <w:sz w:val="28"/>
          <w:sz w:val="28"/>
          <w:szCs w:val="28"/>
          <w:rtl w:val="true"/>
          <w:lang w:bidi="ar-SA"/>
        </w:rPr>
        <w:t>،لكنّ الأصحاب قبلوا روايته و شهدوا له بالثّقة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الحلبيّ في الصّحيح،و رواية ابن سنان في الحسن،دلالة على نزح ما هو أكثر،و قد تقدّمتا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البول،فقد مضى الكلام فيه </w:t>
      </w:r>
      <w:r>
        <w:rPr>
          <w:rStyle w:val="FootnoteAnchor"/>
          <w:rtl w:val="true"/>
        </w:rPr>
        <w:footnoteReference w:id="5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 ابن إدريس الرّضيع بمن كان له دون الحولين،سواء أكل الطّعام أو لا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الصّلاح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لبول الصّبيّ الرّضيع ثلاث دلاء </w:t>
      </w:r>
      <w:r>
        <w:rPr>
          <w:rStyle w:val="FootnoteAnchor"/>
          <w:rtl w:val="true"/>
        </w:rPr>
        <w:footnoteReference w:id="5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ألحق الصّهرشتيّ </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 xml:space="preserve">بالعصفور كلّ طائر في حال صغره </w:t>
      </w:r>
      <w:r>
        <w:rPr>
          <w:rStyle w:val="FootnoteAnchor"/>
          <w:rtl w:val="true"/>
        </w:rPr>
        <w:footnoteReference w:id="5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الأقرب إلحاقه بنوعه،لتناول الاسم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اشترط الرّاونديّ فيه أن يكون مأكولا،قال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احترز بذلك عن الخفّاش،فإنّه نجس </w:t>
      </w:r>
      <w:r>
        <w:rPr>
          <w:rStyle w:val="FootnoteAnchor"/>
          <w:rtl w:val="true"/>
        </w:rPr>
        <w:footnoteReference w:id="574"/>
      </w:r>
      <w:r>
        <w:rPr>
          <w:rFonts w:ascii="Amiri" w:hAnsi="Amiri" w:eastAsia="Amiri" w:cs="Amiri"/>
          <w:color w:val="111111"/>
          <w:sz w:val="28"/>
          <w:sz w:val="28"/>
          <w:szCs w:val="28"/>
          <w:rtl w:val="true"/>
          <w:lang w:bidi="ar-SA"/>
        </w:rPr>
        <w:t>،و هو أشدّ إشكالا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للحنفيّة تقسيم آخر للنّجاسة الواقعة في البئر،قالوا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يكون ذا روح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يوجب نزح الجميع،كالبول،و الدّم،و الخمر قلّت أو كثرت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الأوّل لا يخلو إمّا أن يكون فأرة و نحوها،كالعصفور و شبهه،أو دجاجة و نحوها كالسّنّور،أو شاة و نحوها كالإنسان،فلا يخلو إمّا أن يخرج حيّا،أو ميّتا،و بعد الموت لا يخلو إمّا أن تكون منتفخة،أو منفسخة </w:t>
      </w:r>
      <w:r>
        <w:rPr>
          <w:rStyle w:val="FootnoteAnchor"/>
          <w:rtl w:val="true"/>
        </w:rPr>
        <w:footnoteReference w:id="575"/>
      </w:r>
      <w:r>
        <w:rPr>
          <w:rFonts w:ascii="Amiri" w:hAnsi="Amiri" w:eastAsia="Amiri" w:cs="Amiri"/>
          <w:color w:val="111111"/>
          <w:sz w:val="28"/>
          <w:sz w:val="28"/>
          <w:szCs w:val="28"/>
          <w:rtl w:val="true"/>
          <w:lang w:bidi="ar-SA"/>
        </w:rPr>
        <w:t xml:space="preserve">تمعّط </w:t>
      </w:r>
      <w:r>
        <w:rPr>
          <w:rStyle w:val="FootnoteAnchor"/>
          <w:rtl w:val="true"/>
        </w:rPr>
        <w:footnoteReference w:id="576"/>
      </w:r>
      <w:r>
        <w:rPr>
          <w:rFonts w:ascii="Amiri" w:hAnsi="Amiri" w:eastAsia="Amiri" w:cs="Amiri"/>
          <w:color w:val="111111"/>
          <w:sz w:val="28"/>
          <w:sz w:val="28"/>
          <w:szCs w:val="28"/>
          <w:rtl w:val="true"/>
          <w:lang w:bidi="ar-SA"/>
        </w:rPr>
        <w:t xml:space="preserve">شعرها،أو غير منتفخة و غير منفسخة </w:t>
      </w:r>
      <w:r>
        <w:rPr>
          <w:rStyle w:val="FootnoteAnchor"/>
          <w:rtl w:val="true"/>
        </w:rPr>
        <w:footnoteReference w:id="577"/>
      </w:r>
      <w:r>
        <w:rPr>
          <w:rFonts w:ascii="Amiri" w:hAnsi="Amiri" w:eastAsia="Amiri" w:cs="Amiri"/>
          <w:color w:val="111111"/>
          <w:sz w:val="28"/>
          <w:sz w:val="28"/>
          <w:szCs w:val="28"/>
          <w:rtl w:val="true"/>
          <w:lang w:bidi="ar-SA"/>
        </w:rPr>
        <w:t>و لم يتمعّط شعرها،فإن خرج حيّا فلا يوجب النّزح شيء منها إلاّ الكلب و الخنزير،ذكره القاضي الشّهيد في نكته،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الفأرة إذا وقعت في البئر هاربة من الهرّ،فإنّها توجب تنجيس ماء البئر،و إن خرجت حيّة لأنّها تبول من فزعها،و كذا الهرّة إذا وقعت هاربة من الكلب و غير الكلب، و الخنزير إذا خرج حيّا لم ينزح له شيء إذا لم يصب الماء فمه،فإن أصاب فمه،فإن كان سؤره طاهرا فالماء طاهر،و إن كان نجسا فالماء نجس،و إن كان مكروها فالماء مكروه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أن ينزح منها عشر دلاء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كان سؤره مشكوكا كالبغل،و الحمار،نزح الماء كلّه،كذا ذكر في الفتاوي عن أبي يوسف </w:t>
      </w:r>
      <w:r>
        <w:rPr>
          <w:rStyle w:val="FootnoteAnchor"/>
          <w:rtl w:val="true"/>
        </w:rPr>
        <w:footnoteReference w:id="578"/>
      </w:r>
      <w:r>
        <w:rPr>
          <w:rFonts w:ascii="Amiri" w:hAnsi="Amiri" w:eastAsia="Amiri" w:cs="Amiri"/>
          <w:color w:val="111111"/>
          <w:sz w:val="28"/>
          <w:sz w:val="28"/>
          <w:szCs w:val="28"/>
          <w:rtl w:val="true"/>
          <w:lang w:bidi="ar-SA"/>
        </w:rPr>
        <w:t>،و إن استخرج بعد التّفسّخ و تمعّط الشّعر، نزح الماء كلّه في الفصول بأسرها،و إن استخرج قبله بعد الموت،فإن كان فأرة و نحوها نزح منها عشرون دلوا أو ثلاثون بعد إخراجها،و إن كان سنّورا و شبهه،نزح منها أربعون أو خمسون،و إن كانت شاة و شبهها،نزح الماء كلّه حتّى يغلبهم الماء،و في الإوزّة، و السّخلة،و الجدي روايتان عن أبي حنيفة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كالشّاة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كالدّجاجة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اختلفوا في نزح الماء كلّه </w:t>
      </w:r>
      <w:r>
        <w:rPr>
          <w:rStyle w:val="FootnoteAnchor"/>
          <w:rtl w:val="true"/>
        </w:rPr>
        <w:footnoteReference w:id="579"/>
      </w:r>
      <w:r>
        <w:rPr>
          <w:rFonts w:ascii="Amiri" w:hAnsi="Amiri" w:eastAsia="Amiri" w:cs="Amiri"/>
          <w:color w:val="111111"/>
          <w:sz w:val="28"/>
          <w:sz w:val="28"/>
          <w:szCs w:val="28"/>
          <w:rtl w:val="true"/>
          <w:lang w:bidi="ar-SA"/>
        </w:rPr>
        <w:t xml:space="preserve">،فقال محمّد </w:t>
      </w:r>
      <w:r>
        <w:rPr>
          <w:rStyle w:val="FootnoteAnchor"/>
          <w:rtl w:val="true"/>
        </w:rPr>
        <w:footnoteReference w:id="580"/>
      </w:r>
      <w:r>
        <w:rPr>
          <w:rFonts w:ascii="Amiri" w:hAnsi="Amiri" w:eastAsia="Amiri" w:cs="Amiri"/>
          <w:color w:val="111111"/>
          <w:sz w:val="28"/>
          <w:sz w:val="28"/>
          <w:szCs w:val="28"/>
          <w:rtl w:val="true"/>
          <w:lang w:bidi="ar-SA"/>
        </w:rPr>
        <w:t>في النّوادر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نزح ثلاثمائة دلو أو مائتا دلو </w:t>
      </w:r>
      <w:r>
        <w:rPr>
          <w:rStyle w:val="FootnoteAnchor"/>
          <w:rtl w:val="true"/>
        </w:rPr>
        <w:footnoteReference w:id="581"/>
      </w:r>
      <w:r>
        <w:rPr>
          <w:rFonts w:ascii="Amiri" w:hAnsi="Amiri" w:eastAsia="Amiri" w:cs="Amiri"/>
          <w:color w:val="111111"/>
          <w:sz w:val="28"/>
          <w:sz w:val="28"/>
          <w:szCs w:val="28"/>
          <w:rtl w:val="true"/>
          <w:lang w:bidi="ar-SA"/>
        </w:rPr>
        <w:t>فإن لم ينزف فقد غلبهم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أبي حنيفة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ينزح منها مائتا دلو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مائة دلو </w:t>
      </w:r>
      <w:r>
        <w:rPr>
          <w:rStyle w:val="FootnoteAnchor"/>
          <w:rtl w:val="true"/>
        </w:rPr>
        <w:footnoteReference w:id="5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يوسف روايتان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يحفر من جانبها حفرة مقدار عرض الماء و طوله و عمقه فتجصّص و ينزح ماؤها فيصبّ فيها حتّى تملأ،فإذا امتلأت حكم بطهارتها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يرسل فيها قصبة أو خشبة،فيجعل لمبلغ الماء علامة،ثمَّ ينزح منها عشرون دلوا أو ثلاثون </w:t>
      </w:r>
      <w:r>
        <w:rPr>
          <w:rStyle w:val="FootnoteAnchor"/>
          <w:rtl w:val="true"/>
        </w:rPr>
        <w:footnoteReference w:id="583"/>
      </w:r>
      <w:r>
        <w:rPr>
          <w:rFonts w:ascii="Amiri" w:hAnsi="Amiri" w:eastAsia="Amiri" w:cs="Amiri"/>
          <w:color w:val="111111"/>
          <w:sz w:val="28"/>
          <w:sz w:val="28"/>
          <w:szCs w:val="28"/>
          <w:rtl w:val="true"/>
          <w:lang w:bidi="ar-SA"/>
        </w:rPr>
        <w:t xml:space="preserve">،فينظر كم انتقص،فإن انتقص شبر،نزح لكلّ شبر ذلك المقدار إلى آخره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يؤتى برجلين عارفين بأمر الماء فيحكمان فيه،فينزح مقدار ما حكما به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الكرخيّ </w:t>
      </w:r>
      <w:r>
        <w:rPr>
          <w:rStyle w:val="FootnoteAnchor"/>
          <w:rtl w:val="true"/>
        </w:rPr>
        <w:footnoteReference w:id="5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 بالاجتهاد و إن سكن قلبه انّه طهر حكم به،قالوا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w:t>
      </w:r>
      <w:bookmarkStart w:id="470" w:name="pg12672_159851"/>
    </w:p>
    <w:p>
      <w:pPr>
        <w:pStyle w:val="BookText"/>
        <w:rPr/>
      </w:pPr>
      <w:bookmarkEnd w:id="470"/>
      <w:r>
        <w:rPr>
          <w:rFonts w:ascii="Amiri" w:hAnsi="Amiri" w:eastAsia="Amiri" w:cs="Amiri"/>
          <w:color w:val="111111"/>
          <w:sz w:val="28"/>
          <w:sz w:val="28"/>
          <w:szCs w:val="28"/>
          <w:rtl w:val="true"/>
          <w:lang w:bidi="ar-SA"/>
        </w:rPr>
        <w:t>كلّه استحسان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القياس إمّا أن لا يحكم بنجاسة الماء كما قال الشّافعيّ </w:t>
      </w:r>
      <w:r>
        <w:rPr>
          <w:rStyle w:val="FootnoteAnchor"/>
          <w:rtl w:val="true"/>
        </w:rPr>
        <w:footnoteReference w:id="587"/>
      </w:r>
      <w:r>
        <w:rPr>
          <w:rFonts w:ascii="Amiri" w:hAnsi="Amiri" w:eastAsia="Amiri" w:cs="Amiri"/>
          <w:color w:val="111111"/>
          <w:sz w:val="28"/>
          <w:sz w:val="28"/>
          <w:szCs w:val="28"/>
          <w:rtl w:val="true"/>
          <w:lang w:bidi="ar-SA"/>
        </w:rPr>
        <w:t xml:space="preserve">،أو إذا حكم بالنّجاسة لا يحكم بالطّهارة بعد ذلك،كما قال بشر </w:t>
      </w:r>
      <w:r>
        <w:rPr>
          <w:rStyle w:val="FootnoteAnchor"/>
          <w:rtl w:val="true"/>
        </w:rPr>
        <w:footnoteReference w:id="5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يطمّ البئر طمّا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نحن قد عرفت ما عندنا فيه من انّ المراد بنزح كلّ الماء نزح الجميع بحيث لا يبقى منه شيء و لا يتقدّر بقدر،و مع التّعذّر بالتّراوح عملا بالنّصّ </w:t>
      </w:r>
      <w:r>
        <w:rPr>
          <w:rFonts w:eastAsia="Amiri" w:cs="Amiri" w:ascii="Amiri" w:hAnsi="Amiri"/>
          <w:color w:val="111111"/>
          <w:sz w:val="28"/>
          <w:szCs w:val="28"/>
          <w:rtl w:val="true"/>
          <w:lang w:bidi="ar-SA"/>
        </w:rPr>
        <w:t>.</w:t>
      </w:r>
    </w:p>
    <w:p>
      <w:pPr>
        <w:pStyle w:val="Heading6"/>
        <w:numPr>
          <w:ilvl w:val="5"/>
          <w:numId w:val="1"/>
        </w:numPr>
        <w:rPr/>
      </w:pPr>
      <w:bookmarkStart w:id="471" w:name="__RefHeading___Toc746989_222507752"/>
      <w:bookmarkStart w:id="472" w:name="_Toc185"/>
      <w:bookmarkEnd w:id="471"/>
      <w:r>
        <w:rPr>
          <w:rtl w:val="true"/>
        </w:rPr>
        <w:t>فروع</w:t>
      </w:r>
      <w:r>
        <w:rPr>
          <w:rtl w:val="true"/>
        </w:rPr>
        <w:t>:</w:t>
      </w:r>
      <w:bookmarkEnd w:id="472"/>
    </w:p>
    <w:p>
      <w:pPr>
        <w:pStyle w:val="Heading6"/>
        <w:numPr>
          <w:ilvl w:val="5"/>
          <w:numId w:val="1"/>
        </w:numPr>
        <w:rPr/>
      </w:pPr>
      <w:bookmarkStart w:id="473" w:name="__RefHeading___Toc746991_222507752"/>
      <w:bookmarkStart w:id="474" w:name="_Toc186"/>
      <w:bookmarkEnd w:id="473"/>
      <w:r>
        <w:rPr>
          <w:rtl w:val="true"/>
        </w:rPr>
        <w:t>الأوّل</w:t>
      </w:r>
      <w:r>
        <w:rPr>
          <w:rtl w:val="true"/>
        </w:rPr>
        <w:t>:</w:t>
      </w:r>
      <w:r>
        <w:rPr>
          <w:rtl w:val="true"/>
        </w:rPr>
        <w:t>إذا تغيّر ماء البئر بالنّجاسة نجس</w:t>
      </w:r>
      <w:bookmarkEnd w:id="4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اتّفاق علماء الإسلام،و اختلف الأصحاب في تطهيره،فقال الشّيخان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ينزح الجميع،فإن تعذّر نزح حتّى تطيب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السّيّد المرتضى </w:t>
      </w:r>
      <w:r>
        <w:rPr>
          <w:rStyle w:val="FootnoteAnchor"/>
          <w:rtl w:val="true"/>
        </w:rPr>
        <w:footnoteReference w:id="591"/>
      </w:r>
      <w:r>
        <w:rPr>
          <w:rFonts w:ascii="Amiri" w:hAnsi="Amiri" w:eastAsia="Amiri" w:cs="Amiri"/>
          <w:color w:val="111111"/>
          <w:sz w:val="28"/>
          <w:sz w:val="28"/>
          <w:szCs w:val="28"/>
          <w:rtl w:val="true"/>
          <w:lang w:bidi="ar-SA"/>
        </w:rPr>
        <w:t>و ابنا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التّعذّر يتراوح عليها أربعة رجال يوما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الصّلاح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نزح حتّى يزول التّغيّر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كانت ممّا يوجب نزح الجميع نزح،و مع التّعذّر يتراوح الأربعة يوما،فإن زال التّغيّر طهرت،و إلاّ نزحت حتّى يزول التّغيّر،و لا يتقدّر بعد ذلك بمدّة بل بالزّوال،و إن كانت ممّا يوجب نزح مقدار محدود نزح المقدّر،فإن زال التّغيّر طهرت و إلاّ نزحت حتّى يزول </w:t>
      </w:r>
      <w:r>
        <w:rPr>
          <w:rStyle w:val="FootnoteAnchor"/>
          <w:rtl w:val="true"/>
        </w:rPr>
        <w:footnoteReference w:id="5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الأولى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أبو الصّلاح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أبي أسامة في الحسن،عن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تغيّر الماء فخذه حتّى يذهب الرّيح</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ابن بزيع في الصّحيح،عن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فينزح منه حتّى يذهب الرّيح و يطيب طعمه،لأنّه </w:t>
      </w:r>
      <w:r>
        <w:rPr>
          <w:rStyle w:val="FootnoteAnchor"/>
          <w:rtl w:val="true"/>
        </w:rPr>
        <w:footnoteReference w:id="596"/>
      </w:r>
      <w:r>
        <w:rPr>
          <w:rFonts w:ascii="Amiri" w:hAnsi="Amiri" w:eastAsia="Amiri" w:cs="Amiri"/>
          <w:color w:val="111111"/>
          <w:sz w:val="28"/>
          <w:sz w:val="28"/>
          <w:szCs w:val="28"/>
          <w:rtl w:val="true"/>
          <w:lang w:bidi="ar-SA"/>
        </w:rPr>
        <w:t>له مادّة</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سماعة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أنتن حتّى يوجد ريح النّتن في الماء،نزحت البئر حتّى يذهب النّتن من الماء</w:t>
      </w:r>
      <w:r>
        <w:rPr>
          <w:rFonts w:eastAsia="Amiri" w:cs="Amiri" w:ascii="Amiri" w:hAnsi="Amiri"/>
          <w:color w:val="111111"/>
          <w:sz w:val="28"/>
          <w:szCs w:val="28"/>
          <w:rtl w:val="true"/>
          <w:lang w:bidi="ar-SA"/>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غلبت الرّيح،نزحت حتّى تطيب</w:t>
      </w:r>
      <w:r>
        <w:rPr>
          <w:rFonts w:eastAsia="Amiri" w:cs="Amiri" w:ascii="Amiri" w:hAnsi="Amiri"/>
          <w:color w:val="111111"/>
          <w:sz w:val="28"/>
          <w:szCs w:val="28"/>
          <w:rtl w:val="true"/>
          <w:lang w:bidi="ar-SA"/>
        </w:rPr>
        <w:t xml:space="preserve">) </w:t>
      </w:r>
      <w:r>
        <w:rPr>
          <w:rStyle w:val="FootnoteAnchor"/>
          <w:rtl w:val="true"/>
        </w:rPr>
        <w:footnoteReference w:id="599"/>
      </w:r>
      <w:r>
        <w:rPr>
          <w:rFonts w:ascii="Amiri" w:hAnsi="Amiri" w:eastAsia="Amiri" w:cs="Amiri"/>
          <w:color w:val="111111"/>
          <w:sz w:val="28"/>
          <w:sz w:val="28"/>
          <w:szCs w:val="28"/>
          <w:rtl w:val="true"/>
          <w:lang w:bidi="ar-SA"/>
        </w:rPr>
        <w:t>و لأنّ العلّة هي التّغيّر بالنّصّ و الدّوران في الطّرفين على مذهبنا،و قد زال،فيزول الحكم التّابع،و لأنّه قبل وقوع المغيّر طاهر،فكذا بعده مع زوال التّغيّر،و الجامع المصلحة النّاشئة من الطّهارة في الحالين، و لأنّ نزح الجميع حرج و ضرر،فيكون منفيّا،و لأنّه لو لم يكن زوال التّغيّر غاية،لزم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خرق الإجماع،أو الفرق بين الأمور المتساوية بمجرّد التّحكّم </w:t>
      </w:r>
      <w:r>
        <w:rPr>
          <w:rStyle w:val="FootnoteAnchor"/>
          <w:rtl w:val="true"/>
        </w:rPr>
        <w:footnoteReference w:id="600"/>
      </w:r>
      <w:r>
        <w:rPr>
          <w:rFonts w:ascii="Amiri" w:hAnsi="Amiri" w:eastAsia="Amiri" w:cs="Amiri"/>
          <w:color w:val="111111"/>
          <w:sz w:val="28"/>
          <w:sz w:val="28"/>
          <w:szCs w:val="28"/>
          <w:rtl w:val="true"/>
          <w:lang w:bidi="ar-SA"/>
        </w:rPr>
        <w:t>،أو إلحاق الأمور المختلفة بعضها ببعض لمعنى غير معتبر شرعا،و التّالي بأقسامه باطل،فالمقدّم مثله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حينئذ إمّا أن لا يطهر بالنّزح و هو خرق الإجماع،أو يطهر،فإمّا بنزح الجميع حالتي الضّرورة و الاختيار،و هو خرق الإجماع أيضا،و إمّا بنزح الجميع حالة الاختيار،و بالزّوال حالة الضّرورة و العجز،و هو الفرق بين الأمور المتساوية،ضرورة تساوي الحالتين في التّنجيس،أو بالجميع في الاختيار،و بالتّراوح عند الضّرورة،قياسا على الأشياء المعيّنة الموجبة لنزح الجميع،و هو قياس أحد المختلفين على الآخر،ضرورة عدم </w:t>
      </w:r>
    </w:p>
    <w:p>
      <w:pPr>
        <w:pStyle w:val="BookText"/>
        <w:rPr/>
      </w:pPr>
      <w:r>
        <w:rPr>
          <w:rFonts w:ascii="Amiri" w:hAnsi="Amiri" w:eastAsia="Amiri" w:cs="Amiri"/>
          <w:color w:val="111111"/>
          <w:sz w:val="28"/>
          <w:sz w:val="28"/>
          <w:szCs w:val="28"/>
          <w:rtl w:val="true"/>
          <w:lang w:bidi="ar-SA"/>
        </w:rPr>
        <w:t>النّصّ الدّالّ على الإلحاق،أو ينزح شيء معيّن،و هو خرق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عدم القائل به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تساوي حالتي الضّرورة و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نعني بالتّساوي هاهنا اتّحادهما في الحكم بالتّنجيس،مع سقوط التّعليل بالمشقّة و الحرج في نظر الشّرع،إذ هو حوالة على وصف خفيّ مضطرب،و مثل هذا لا يجعله الشّارع مناطا للحكم،و لأنّه يشبه الجاري بمادّته فيشبهه في الحكم،و قد نصّ الرّضا عليه السّلام على هذه العلّة </w:t>
      </w:r>
      <w:r>
        <w:rPr>
          <w:rStyle w:val="FootnoteAnchor"/>
          <w:rtl w:val="true"/>
        </w:rPr>
        <w:footnoteReference w:id="6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شكّ في انّ الجاري يطهر بتواتر جريانه حتّى يزول التّغيّر، فكذا البئر إذا زال التّغيّر بالنّزح،يعلم حصول الجريان من النّابع الموجب لزوال 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في الصّحيح،عن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أنتن غسل الثّوب و أعاد الصّلاة و نزحت البئر</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منهال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كان </w:t>
      </w:r>
      <w:r>
        <w:rPr>
          <w:rStyle w:val="FootnoteAnchor"/>
          <w:rtl w:val="true"/>
        </w:rPr>
        <w:footnoteReference w:id="603"/>
      </w:r>
      <w:r>
        <w:rPr>
          <w:rFonts w:ascii="Amiri" w:hAnsi="Amiri" w:eastAsia="Amiri" w:cs="Amiri"/>
          <w:color w:val="111111"/>
          <w:sz w:val="28"/>
          <w:sz w:val="28"/>
          <w:szCs w:val="28"/>
          <w:rtl w:val="true"/>
          <w:lang w:bidi="ar-SA"/>
        </w:rPr>
        <w:t>جيفة قد أجيفت فاستق منها مائة دلو،فإن غلب عليها الرّيح بعد مائة دلو،فانزحها كلّها</w:t>
      </w:r>
      <w:r>
        <w:rPr>
          <w:rFonts w:eastAsia="Amiri" w:cs="Amiri" w:ascii="Amiri" w:hAnsi="Amiri"/>
          <w:color w:val="111111"/>
          <w:sz w:val="28"/>
          <w:szCs w:val="28"/>
          <w:rtl w:val="true"/>
          <w:lang w:bidi="ar-SA"/>
        </w:rPr>
        <w:t xml:space="preserve">) </w:t>
      </w:r>
      <w:r>
        <w:rPr>
          <w:rStyle w:val="FootnoteAnchor"/>
          <w:rtl w:val="true"/>
        </w:rPr>
        <w:footnoteReference w:id="604"/>
      </w:r>
      <w:r>
        <w:rPr>
          <w:rFonts w:ascii="Amiri" w:hAnsi="Amiri" w:eastAsia="Amiri" w:cs="Amiri"/>
          <w:color w:val="111111"/>
          <w:sz w:val="28"/>
          <w:sz w:val="28"/>
          <w:szCs w:val="28"/>
          <w:rtl w:val="true"/>
          <w:lang w:bidi="ar-SA"/>
        </w:rPr>
        <w:t>،و لأنّه ماء محكوم بنجاسته إجماعا،فالتّقدير 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الحديث الأوّل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نزحت البئر حتّى تطيب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المصير إليه جمعا بين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انّ الماء قد تغيّر تغيّرا لا يزيله إلاّ نزح الجميع،إمّا لقلّته أو لغلبة النّجاسة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بالوجه الثّاني من هذين،و يدلّ عليه العادة،فإنّ من المستبعد نزح مائة دلو من ماء متغيّر،و لا يزول تغيّره إلاّ لغلبة النّجاسة و ضيق مجاري الماء و قلّة الجريان</w:t>
      </w:r>
      <w:r>
        <w:rPr>
          <w:rFonts w:eastAsia="Amiri" w:cs="Amiri" w:ascii="Amiri" w:hAnsi="Amiri"/>
          <w:color w:val="111111"/>
          <w:sz w:val="28"/>
          <w:szCs w:val="28"/>
          <w:rtl w:val="true"/>
          <w:lang w:bidi="ar-SA"/>
        </w:rPr>
        <w:t xml:space="preserve">. </w:t>
      </w:r>
      <w:bookmarkStart w:id="475" w:name="pg12672_159854"/>
    </w:p>
    <w:p>
      <w:pPr>
        <w:pStyle w:val="BookText"/>
        <w:rPr/>
      </w:pPr>
      <w:bookmarkEnd w:id="475"/>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بالمنع من التّحكّم،و بالخصوص مع وجود النّصّ المتقدّم </w:t>
      </w:r>
      <w:r>
        <w:rPr>
          <w:rFonts w:eastAsia="Amiri" w:cs="Amiri" w:ascii="Amiri" w:hAnsi="Amiri"/>
          <w:color w:val="111111"/>
          <w:sz w:val="28"/>
          <w:szCs w:val="28"/>
          <w:rtl w:val="true"/>
          <w:lang w:bidi="ar-SA"/>
        </w:rPr>
        <w:t>.</w:t>
      </w:r>
    </w:p>
    <w:p>
      <w:pPr>
        <w:pStyle w:val="Heading6"/>
        <w:numPr>
          <w:ilvl w:val="5"/>
          <w:numId w:val="1"/>
        </w:numPr>
        <w:rPr/>
      </w:pPr>
      <w:bookmarkStart w:id="476" w:name="__RefHeading___Toc746993_222507752"/>
      <w:bookmarkStart w:id="477" w:name="_Toc187"/>
      <w:bookmarkEnd w:id="476"/>
      <w:r>
        <w:rPr>
          <w:rtl w:val="true"/>
        </w:rPr>
        <w:t>الثّاني</w:t>
      </w:r>
      <w:r>
        <w:rPr>
          <w:rtl w:val="true"/>
        </w:rPr>
        <w:t>:</w:t>
      </w:r>
      <w:r>
        <w:rPr>
          <w:rtl w:val="true"/>
        </w:rPr>
        <w:t>إذا وقع فيها نجاسة لم يقدّر لها الشّارع منزوحا و لم يغيّر الماء</w:t>
      </w:r>
      <w:bookmarkEnd w:id="477"/>
    </w:p>
    <w:p>
      <w:pPr>
        <w:pStyle w:val="BookText"/>
        <w:rPr/>
      </w:pPr>
      <w:r>
        <w:rPr>
          <w:rFonts w:ascii="Amiri" w:hAnsi="Amiri" w:eastAsia="Amiri" w:cs="Amiri"/>
          <w:color w:val="111111"/>
          <w:sz w:val="28"/>
          <w:sz w:val="28"/>
          <w:szCs w:val="28"/>
          <w:rtl w:val="true"/>
          <w:lang w:bidi="ar-SA"/>
        </w:rPr>
        <w:t>،فعندنا لا يتعلّق به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القائلون بالتّنجيس اختلفوا،فقال بعضهم بالجميع،لأنّه ماء محكوم بنجاسته،فلا بدّ من النّزح </w:t>
      </w:r>
      <w:r>
        <w:rPr>
          <w:rStyle w:val="FootnoteAnchor"/>
          <w:rtl w:val="true"/>
        </w:rPr>
        <w:footnoteReference w:id="605"/>
      </w:r>
      <w:r>
        <w:rPr>
          <w:rFonts w:ascii="Amiri" w:hAnsi="Amiri" w:eastAsia="Amiri" w:cs="Amiri"/>
          <w:color w:val="111111"/>
          <w:sz w:val="28"/>
          <w:sz w:val="28"/>
          <w:szCs w:val="28"/>
          <w:rtl w:val="true"/>
          <w:lang w:bidi="ar-SA"/>
        </w:rPr>
        <w:t>،و التّخصيص ببعض المقادير ترجيح من غير مرجّح،فوجب نزح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بعضهم أوجب نزح أربعين </w:t>
      </w:r>
      <w:r>
        <w:rPr>
          <w:rStyle w:val="FootnoteAnchor"/>
          <w:rtl w:val="true"/>
        </w:rPr>
        <w:footnoteReference w:id="606"/>
      </w:r>
      <w:r>
        <w:rPr>
          <w:rFonts w:ascii="Amiri" w:hAnsi="Amiri" w:eastAsia="Amiri" w:cs="Amiri"/>
          <w:color w:val="111111"/>
          <w:sz w:val="28"/>
          <w:sz w:val="28"/>
          <w:szCs w:val="28"/>
          <w:rtl w:val="true"/>
          <w:lang w:bidi="ar-SA"/>
        </w:rPr>
        <w:t xml:space="preserve">،لرواية كردويه </w:t>
      </w:r>
      <w:r>
        <w:rPr>
          <w:rStyle w:val="FootnoteAnchor"/>
          <w:rtl w:val="true"/>
        </w:rPr>
        <w:footnoteReference w:id="607"/>
      </w:r>
      <w:r>
        <w:rPr>
          <w:rFonts w:ascii="Amiri" w:hAnsi="Amiri" w:eastAsia="Amiri" w:cs="Amiri"/>
          <w:color w:val="111111"/>
          <w:sz w:val="28"/>
          <w:sz w:val="28"/>
          <w:szCs w:val="28"/>
          <w:rtl w:val="true"/>
          <w:lang w:bidi="ar-SA"/>
        </w:rPr>
        <w:t xml:space="preserve">،و هي إنّما تدلّ على نزح ثلاثين، و مع ذلك فالاستدلال بها لا يخلو من تعسّف،و تردّد الشّيخ في المبسوط </w:t>
      </w:r>
      <w:r>
        <w:rPr>
          <w:rStyle w:val="FootnoteAnchor"/>
          <w:rtl w:val="true"/>
        </w:rPr>
        <w:footnoteReference w:id="6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الأقوى عندي تفريعا على التّنجيس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p>
    <w:p>
      <w:pPr>
        <w:pStyle w:val="Heading6"/>
        <w:numPr>
          <w:ilvl w:val="5"/>
          <w:numId w:val="1"/>
        </w:numPr>
        <w:rPr/>
      </w:pPr>
      <w:bookmarkStart w:id="478" w:name="__RefHeading___Toc746995_222507752"/>
      <w:bookmarkStart w:id="479" w:name="_Toc188"/>
      <w:bookmarkEnd w:id="478"/>
      <w:r>
        <w:rPr>
          <w:rtl w:val="true"/>
        </w:rPr>
        <w:t>الثّالث</w:t>
      </w:r>
      <w:r>
        <w:rPr>
          <w:rtl w:val="true"/>
        </w:rPr>
        <w:t>:</w:t>
      </w:r>
      <w:r>
        <w:rPr>
          <w:rtl w:val="true"/>
        </w:rPr>
        <w:t>المعتبر في الدّلو العادة،لعدم النّصّ الدّالّ على التّقدير</w:t>
      </w:r>
      <w:bookmarkEnd w:id="479"/>
    </w:p>
    <w:p>
      <w:pPr>
        <w:pStyle w:val="BookText"/>
        <w:rPr/>
      </w:pPr>
      <w:r>
        <w:rPr>
          <w:rFonts w:ascii="Amiri" w:hAnsi="Amiri" w:eastAsia="Amiri" w:cs="Amiri"/>
          <w:color w:val="111111"/>
          <w:sz w:val="28"/>
          <w:sz w:val="28"/>
          <w:szCs w:val="28"/>
          <w:rtl w:val="true"/>
          <w:lang w:bidi="ar-SA"/>
        </w:rPr>
        <w:t>،و أبو حنيفة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لها دلو معروف نزح به،و إلاّ اتّخذ دلوا تسع عشرة أرطال،و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ثمانية أرطال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0" w:name="__RefHeading___Toc746997_222507752"/>
      <w:bookmarkStart w:id="481" w:name="_Toc189"/>
      <w:bookmarkEnd w:id="480"/>
      <w:r>
        <w:rPr>
          <w:rtl w:val="true"/>
        </w:rPr>
        <w:t>الرّابع</w:t>
      </w:r>
      <w:r>
        <w:rPr>
          <w:rtl w:val="true"/>
        </w:rPr>
        <w:t>:</w:t>
      </w:r>
      <w:r>
        <w:rPr>
          <w:rtl w:val="true"/>
        </w:rPr>
        <w:t>لو تعلّق الحكم بعدد معيّن،فنزح بدلو عظيم يسع ذلك العدد</w:t>
      </w:r>
      <w:bookmarkEnd w:id="481"/>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لأصحابنا فيه نصّ،و الوجه عدم الإجزاء،لأنّ الحكم تعلّق بعدد معيّن،و مقدار معيّن،فالمساوي لأحدهما غير مجز،و هو اختيار زفر </w:t>
      </w:r>
      <w:r>
        <w:rPr>
          <w:rStyle w:val="FootnoteAnchor"/>
          <w:rtl w:val="true"/>
        </w:rPr>
        <w:footnoteReference w:id="610"/>
      </w:r>
      <w:r>
        <w:rPr>
          <w:rFonts w:ascii="IRNazanin" w:hAnsi="IRNazanin" w:eastAsia="IRNazanin"/>
          <w:color w:val="111111"/>
          <w:sz w:val="28"/>
          <w:sz w:val="28"/>
          <w:szCs w:val="28"/>
          <w:rtl w:val="true"/>
          <w:lang w:bidi="fa-IR"/>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 xml:space="preserve">. </w:t>
      </w:r>
      <w:bookmarkStart w:id="482" w:name="pg12672_159855"/>
    </w:p>
    <w:p>
      <w:pPr>
        <w:pStyle w:val="BookText"/>
        <w:rPr/>
      </w:pPr>
      <w:bookmarkEnd w:id="482"/>
      <w:r>
        <w:rPr>
          <w:rFonts w:ascii="Amiri" w:hAnsi="Amiri" w:eastAsia="Amiri" w:cs="Amiri"/>
          <w:color w:val="111111"/>
          <w:sz w:val="28"/>
          <w:sz w:val="28"/>
          <w:szCs w:val="28"/>
          <w:rtl w:val="true"/>
          <w:lang w:bidi="ar-SA"/>
        </w:rPr>
        <w:t xml:space="preserve">و قال أبو حنيفة و صاحباه </w:t>
      </w:r>
      <w:r>
        <w:rPr>
          <w:rStyle w:val="FootnoteAnchor"/>
          <w:rtl w:val="true"/>
        </w:rPr>
        <w:footnoteReference w:id="6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يحكم بالطّهارة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3" w:name="__RefHeading___Toc746999_222507752"/>
      <w:bookmarkStart w:id="484" w:name="_Toc190"/>
      <w:bookmarkEnd w:id="483"/>
      <w:r>
        <w:rPr>
          <w:rtl w:val="true"/>
        </w:rPr>
        <w:t>الخامس</w:t>
      </w:r>
      <w:r>
        <w:rPr>
          <w:rtl w:val="true"/>
        </w:rPr>
        <w:t>:</w:t>
      </w:r>
      <w:r>
        <w:rPr>
          <w:rtl w:val="true"/>
        </w:rPr>
        <w:t>لا تنجس جوانب البئر بما يصيبها من المنزوح للمشقّة المنفيّة</w:t>
      </w:r>
      <w:bookmarkEnd w:id="484"/>
    </w:p>
    <w:p>
      <w:pPr>
        <w:pStyle w:val="BookText"/>
        <w:rPr/>
      </w:pPr>
      <w:r>
        <w:rPr>
          <w:rStyle w:val="FootnoteAnchor"/>
          <w:rtl w:val="true"/>
        </w:rPr>
        <w:footnoteReference w:id="614"/>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أحد وجهي الشافعيّة،و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تنجس </w:t>
      </w:r>
      <w:r>
        <w:rPr>
          <w:rStyle w:val="FootnoteAnchor"/>
          <w:rtl w:val="true"/>
        </w:rPr>
        <w:footnoteReference w:id="6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فيغسل لو أريد تطهيرها،و ليس بجيّد للضرر،و عدم إمكان التّطهير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أحمد روايتان كالوجهين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5" w:name="__RefHeading___Toc747001_222507752"/>
      <w:bookmarkStart w:id="486" w:name="_Toc191"/>
      <w:bookmarkEnd w:id="485"/>
      <w:r>
        <w:rPr>
          <w:rtl w:val="true"/>
        </w:rPr>
        <w:t>السّادس</w:t>
      </w:r>
      <w:r>
        <w:rPr>
          <w:rtl w:val="true"/>
        </w:rPr>
        <w:t>:</w:t>
      </w:r>
      <w:r>
        <w:rPr>
          <w:rtl w:val="true"/>
        </w:rPr>
        <w:t>لا يجب غسل الدّلو بعد الانتهاء من النّزح</w:t>
      </w:r>
      <w:bookmarkEnd w:id="486"/>
    </w:p>
    <w:p>
      <w:pPr>
        <w:pStyle w:val="BookText"/>
        <w:rPr/>
      </w:pPr>
      <w:r>
        <w:rPr>
          <w:rFonts w:ascii="Amiri" w:hAnsi="Amiri" w:eastAsia="Amiri" w:cs="Amiri"/>
          <w:color w:val="111111"/>
          <w:sz w:val="28"/>
          <w:sz w:val="28"/>
          <w:szCs w:val="28"/>
          <w:rtl w:val="true"/>
          <w:lang w:bidi="ar-SA"/>
        </w:rPr>
        <w:t xml:space="preserve">،لعدم الدّليل الدّالّ على ذلك،و لأنّه حكم شرعيّ،فكان يجب على الشّرع بيانه،و لأنّه يستحبّ زيادة النّزح في البعض،و لو كان نجسا لتعدّت نجاسته إلى الماء </w:t>
      </w:r>
      <w:r>
        <w:rPr>
          <w:rFonts w:eastAsia="Amiri" w:cs="Amiri" w:ascii="Amiri" w:hAnsi="Amiri"/>
          <w:color w:val="111111"/>
          <w:sz w:val="28"/>
          <w:szCs w:val="28"/>
          <w:rtl w:val="true"/>
          <w:lang w:bidi="ar-SA"/>
        </w:rPr>
        <w:t>.</w:t>
      </w:r>
    </w:p>
    <w:p>
      <w:pPr>
        <w:pStyle w:val="Heading6"/>
        <w:numPr>
          <w:ilvl w:val="5"/>
          <w:numId w:val="1"/>
        </w:numPr>
        <w:rPr/>
      </w:pPr>
      <w:bookmarkStart w:id="487" w:name="__RefHeading___Toc747003_222507752"/>
      <w:bookmarkStart w:id="488" w:name="_Toc192"/>
      <w:bookmarkEnd w:id="487"/>
      <w:r>
        <w:rPr>
          <w:rtl w:val="true"/>
        </w:rPr>
        <w:t>السّابع</w:t>
      </w:r>
      <w:r>
        <w:rPr>
          <w:rtl w:val="true"/>
        </w:rPr>
        <w:t>:</w:t>
      </w:r>
      <w:r>
        <w:rPr>
          <w:rtl w:val="true"/>
        </w:rPr>
        <w:t>لا تجب النّيّة في النّزح</w:t>
      </w:r>
      <w:bookmarkEnd w:id="488"/>
    </w:p>
    <w:p>
      <w:pPr>
        <w:pStyle w:val="BookText"/>
        <w:rPr/>
      </w:pPr>
      <w:r>
        <w:rPr>
          <w:rFonts w:ascii="Amiri" w:hAnsi="Amiri" w:eastAsia="Amiri" w:cs="Amiri"/>
          <w:color w:val="111111"/>
          <w:sz w:val="28"/>
          <w:sz w:val="28"/>
          <w:szCs w:val="28"/>
          <w:rtl w:val="true"/>
          <w:lang w:bidi="ar-SA"/>
        </w:rPr>
        <w:t xml:space="preserve">،لعدم الدّليل الدّالّ على الوجوب،و لأنّه ليس في نفسه عبادة مطلوبة،بل معنى وجوب النّزح عدم جواز الاستعمال إلاّ به،لا انّه مستقرّ في الذّمّة، فجرى مجرى إزالة النّجاسات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أن يتولّى النّزح البالغ و غيره،و المسلم و غيره مع عدم المباشرة،للمقتضي،و هو النّزح السّالم عن معارضة اشتراط النّيّة </w:t>
      </w:r>
      <w:r>
        <w:rPr>
          <w:rFonts w:eastAsia="Amiri" w:cs="Amiri" w:ascii="Amiri" w:hAnsi="Amiri"/>
          <w:color w:val="111111"/>
          <w:sz w:val="28"/>
          <w:szCs w:val="28"/>
          <w:rtl w:val="true"/>
          <w:lang w:bidi="ar-SA"/>
        </w:rPr>
        <w:t>.</w:t>
      </w:r>
    </w:p>
    <w:p>
      <w:pPr>
        <w:pStyle w:val="Heading6"/>
        <w:numPr>
          <w:ilvl w:val="5"/>
          <w:numId w:val="1"/>
        </w:numPr>
        <w:rPr/>
      </w:pPr>
      <w:bookmarkStart w:id="489" w:name="__RefHeading___Toc747005_222507752"/>
      <w:bookmarkStart w:id="490" w:name="_Toc193"/>
      <w:bookmarkEnd w:id="489"/>
      <w:r>
        <w:rPr>
          <w:rtl w:val="true"/>
        </w:rPr>
        <w:t>الثّامن</w:t>
      </w:r>
      <w:r>
        <w:rPr>
          <w:rtl w:val="true"/>
        </w:rPr>
        <w:t>:</w:t>
      </w:r>
      <w:r>
        <w:rPr>
          <w:rtl w:val="true"/>
        </w:rPr>
        <w:t>يحكم بالطّهارة عند مفارقة آخر الدّلاء لوجه الماء</w:t>
      </w:r>
      <w:bookmarkEnd w:id="490"/>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المتساقط من الدّلو معفوّ عنه للمشقّة،و لأنّ الحكم بالطّهارة معلّق </w:t>
      </w:r>
      <w:r>
        <w:rPr>
          <w:rStyle w:val="FootnoteAnchor"/>
          <w:rtl w:val="true"/>
        </w:rPr>
        <w:footnoteReference w:id="618"/>
      </w:r>
      <w:r>
        <w:rPr>
          <w:rFonts w:ascii="Amiri" w:hAnsi="Amiri" w:eastAsia="Amiri" w:cs="Amiri"/>
          <w:color w:val="111111"/>
          <w:sz w:val="28"/>
          <w:sz w:val="28"/>
          <w:szCs w:val="28"/>
          <w:rtl w:val="true"/>
          <w:lang w:bidi="ar-SA"/>
        </w:rPr>
        <w:t>بالنّزح و قد حصل،و لأنّ البئر معدن الطّاهر، و الدّلو معدن النّجس،فإذا انفصل عن وجه الماء،تميّز النّجس عن الطّاهر،فيطهر،كما لو نحّي عن رأس البئر</w:t>
      </w:r>
      <w:r>
        <w:rPr>
          <w:rFonts w:eastAsia="Amiri" w:cs="Amiri" w:ascii="Amiri" w:hAnsi="Amiri"/>
          <w:color w:val="111111"/>
          <w:sz w:val="28"/>
          <w:szCs w:val="28"/>
          <w:rtl w:val="true"/>
          <w:lang w:bidi="ar-SA"/>
        </w:rPr>
        <w:t xml:space="preserve">. </w:t>
      </w:r>
      <w:bookmarkStart w:id="491" w:name="pg12672_159856"/>
    </w:p>
    <w:p>
      <w:pPr>
        <w:pStyle w:val="BookText"/>
        <w:rPr/>
      </w:pPr>
      <w:bookmarkEnd w:id="491"/>
      <w:r>
        <w:rPr>
          <w:rFonts w:ascii="Amiri" w:hAnsi="Amiri" w:eastAsia="Amiri" w:cs="Amiri"/>
          <w:color w:val="111111"/>
          <w:sz w:val="28"/>
          <w:sz w:val="28"/>
          <w:szCs w:val="28"/>
          <w:rtl w:val="true"/>
          <w:lang w:bidi="ar-SA"/>
        </w:rPr>
        <w:t>و قال أبو حنيفة و أبو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يطهر إلاّ إذا نحّي عن رأس البئر،لأنّ الفصل بين ماء البئر و ماء الدّلو 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الفصل </w:t>
      </w:r>
      <w:r>
        <w:rPr>
          <w:rStyle w:val="FootnoteAnchor"/>
          <w:rtl w:val="true"/>
        </w:rPr>
        <w:footnoteReference w:id="6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الظّرفين،و ماء البئر متّصل بالدّلو حكما،لأنّه لا ينجس الماء بما يتقاطر منه،فحكم المتقاطر حكم ماء البئر،فلا يقع الانفصال من كلّ وجه،بخلاف ما إذا نحّي عن رأس البئر،لأنّه انفصال حقيقيّ،و لهذا لو عاد شيء من ماء الدّلو إليه،وجب النّزح ثانيا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92" w:name="__RefHeading___Toc747007_222507752"/>
      <w:bookmarkStart w:id="493" w:name="_Toc194"/>
      <w:bookmarkEnd w:id="492"/>
      <w:r>
        <w:rPr>
          <w:rtl w:val="true"/>
        </w:rPr>
        <w:t>التّاسع</w:t>
      </w:r>
      <w:r>
        <w:rPr>
          <w:rtl w:val="true"/>
        </w:rPr>
        <w:t>:</w:t>
      </w:r>
      <w:r>
        <w:rPr>
          <w:rtl w:val="true"/>
        </w:rPr>
        <w:t>إذا وجدت الجيفة في البئر</w:t>
      </w:r>
      <w:bookmarkEnd w:id="493"/>
    </w:p>
    <w:p>
      <w:pPr>
        <w:pStyle w:val="BookText"/>
        <w:rPr/>
      </w:pPr>
      <w:r>
        <w:rPr>
          <w:rFonts w:ascii="Amiri" w:hAnsi="Amiri" w:eastAsia="Amiri" w:cs="Amiri"/>
          <w:color w:val="111111"/>
          <w:sz w:val="28"/>
          <w:sz w:val="28"/>
          <w:szCs w:val="28"/>
          <w:rtl w:val="true"/>
          <w:lang w:bidi="ar-SA"/>
        </w:rPr>
        <w:t>،فإن غيّرت الماء،حكم بنجاسته من حين الوقوف على التّغيّر،و إلاّ فلا،سواء وجدت منتفخة أو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على رأينا،و أمّا القائلون بالتّنجيس،فحكموا به من حين الوجدان </w:t>
      </w:r>
      <w:r>
        <w:rPr>
          <w:rStyle w:val="FootnoteAnchor"/>
          <w:rtl w:val="true"/>
        </w:rPr>
        <w:footnoteReference w:id="621"/>
      </w:r>
      <w:r>
        <w:rPr>
          <w:rFonts w:ascii="Amiri" w:hAnsi="Amiri" w:eastAsia="Amiri" w:cs="Amiri"/>
          <w:color w:val="111111"/>
          <w:sz w:val="28"/>
          <w:sz w:val="28"/>
          <w:szCs w:val="28"/>
          <w:rtl w:val="true"/>
          <w:lang w:bidi="ar-SA"/>
        </w:rPr>
        <w:t xml:space="preserve">،و هو اختيار أبي يوسف و محمّد </w:t>
      </w:r>
      <w:r>
        <w:rPr>
          <w:rStyle w:val="FootnoteAnchor"/>
          <w:rtl w:val="true"/>
        </w:rPr>
        <w:footnoteReference w:id="622"/>
      </w:r>
      <w:r>
        <w:rPr>
          <w:rFonts w:ascii="Amiri" w:hAnsi="Amiri" w:eastAsia="Amiri" w:cs="Amiri"/>
          <w:color w:val="111111"/>
          <w:sz w:val="28"/>
          <w:sz w:val="28"/>
          <w:szCs w:val="28"/>
          <w:rtl w:val="true"/>
          <w:lang w:bidi="ar-SA"/>
        </w:rPr>
        <w:t xml:space="preserve">،لأنّ النّجاسة في الحال متيقّنة،و في الماضي مشكوك فيه </w:t>
      </w:r>
      <w:r>
        <w:rPr>
          <w:rStyle w:val="FootnoteAnchor"/>
          <w:rtl w:val="true"/>
        </w:rPr>
        <w:footnoteReference w:id="623"/>
      </w:r>
      <w:r>
        <w:rPr>
          <w:rFonts w:ascii="Amiri" w:hAnsi="Amiri" w:eastAsia="Amiri" w:cs="Amiri"/>
          <w:color w:val="111111"/>
          <w:sz w:val="28"/>
          <w:sz w:val="28"/>
          <w:szCs w:val="28"/>
          <w:rtl w:val="true"/>
          <w:lang w:bidi="ar-SA"/>
        </w:rPr>
        <w:t>،لاحتمال موتها خارجا و انتفاخها ثمَّ سقوطها،فلا تثبت النّجاسة في الماضي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 أبي حنيفة إن وجدت منتفخة حكم بنجاستها منذ ثلاثة أيّام و لياليها،و إن كانت غير منتفخة منذ يوم و ليلة </w:t>
      </w:r>
      <w:r>
        <w:rPr>
          <w:rStyle w:val="FootnoteAnchor"/>
          <w:rtl w:val="true"/>
        </w:rPr>
        <w:footnoteReference w:id="624"/>
      </w:r>
      <w:r>
        <w:rPr>
          <w:rFonts w:ascii="Amiri" w:hAnsi="Amiri" w:eastAsia="Amiri" w:cs="Amiri"/>
          <w:color w:val="111111"/>
          <w:sz w:val="28"/>
          <w:sz w:val="28"/>
          <w:szCs w:val="28"/>
          <w:rtl w:val="true"/>
          <w:lang w:bidi="ar-SA"/>
        </w:rPr>
        <w:t>،لأنّ الموت حادث لا بدّ له من سبب ظاهر،و الوقوع في الماء سبب صالح،فيضاف إليه للمناسبة،و من المعلوم انّه لا يموت بالسّقوط في زمان قصير، بل يمضي مدّة كثيرة و نهايتها غير مضبوطة،فقدّرناها بيوم و ليلة الّذي هو أدنى الكثرة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الانتفاخ يفتقر إلى زمان أكثر من زمان الموت،و هو غير ممكن أن يوقف عليه،فقدّرناه بثلاثة أيّام و لياليها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ذكره أبو حنيفة ليس بجيّد،لأنّ الوصف الّذي ذكره مناسبا، مرسل غريب،فإنّه لم يشهد له أصل من الأصول بالاعتبار بطريق من الطّرق،فكان مرسلا،و لم يعتبر جنسه البعيد في جنس الحكم،فكان غريبا،فيكون مردودا اتّفاقا</w:t>
      </w:r>
      <w:r>
        <w:rPr>
          <w:rFonts w:eastAsia="Amiri" w:cs="Amiri" w:ascii="Amiri" w:hAnsi="Amiri"/>
          <w:color w:val="111111"/>
          <w:sz w:val="28"/>
          <w:szCs w:val="28"/>
          <w:rtl w:val="true"/>
          <w:lang w:bidi="ar-SA"/>
        </w:rPr>
        <w:t xml:space="preserve">. </w:t>
      </w:r>
      <w:bookmarkStart w:id="494" w:name="pg12672_159857"/>
    </w:p>
    <w:p>
      <w:pPr>
        <w:pStyle w:val="BookText"/>
        <w:rPr/>
      </w:pPr>
      <w:bookmarkEnd w:id="494"/>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المناسبة إنّما تتمّ على تقدير عدم وجود مفسدة راجحة أو مساوية </w:t>
      </w:r>
      <w:r>
        <w:rPr>
          <w:rStyle w:val="FootnoteAnchor"/>
          <w:rtl w:val="true"/>
        </w:rPr>
        <w:footnoteReference w:id="625"/>
      </w:r>
      <w:r>
        <w:rPr>
          <w:rFonts w:ascii="Amiri" w:hAnsi="Amiri" w:eastAsia="Amiri" w:cs="Amiri"/>
          <w:color w:val="111111"/>
          <w:sz w:val="28"/>
          <w:sz w:val="28"/>
          <w:szCs w:val="28"/>
          <w:rtl w:val="true"/>
          <w:lang w:bidi="ar-SA"/>
        </w:rPr>
        <w:t>،و المفسدة هنا موجودة،و هي الضّرر الحاصل من التّنجيس في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حاصل من اللّه تعالى،فكيف يطلب له سبب ظاهر،و بالخصوص مع عدم توقّف الموت على السّبب دائما و لا أكثريّا؟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التّقييد لأدنى كثرة الموت بيوم و ليلة و لأدنى الانتفاخ بثلاث،تخمين غير مطابق للوجود،بل في الغالب يحصلان لأقلّ من المقدّرين </w:t>
      </w:r>
      <w:r>
        <w:rPr>
          <w:rFonts w:eastAsia="Amiri" w:cs="Amiri" w:ascii="Amiri" w:hAnsi="Amiri"/>
          <w:color w:val="111111"/>
          <w:sz w:val="28"/>
          <w:szCs w:val="28"/>
          <w:rtl w:val="true"/>
          <w:lang w:bidi="ar-SA"/>
        </w:rPr>
        <w:t>.</w:t>
      </w:r>
    </w:p>
    <w:p>
      <w:pPr>
        <w:pStyle w:val="Heading6"/>
        <w:numPr>
          <w:ilvl w:val="5"/>
          <w:numId w:val="1"/>
        </w:numPr>
        <w:rPr/>
      </w:pPr>
      <w:bookmarkStart w:id="495" w:name="__RefHeading___Toc747009_222507752"/>
      <w:bookmarkStart w:id="496" w:name="_Toc195"/>
      <w:bookmarkEnd w:id="495"/>
      <w:r>
        <w:rPr>
          <w:rtl w:val="true"/>
        </w:rPr>
        <w:t>العاشر</w:t>
      </w:r>
      <w:r>
        <w:rPr>
          <w:rtl w:val="true"/>
        </w:rPr>
        <w:t>:</w:t>
      </w:r>
      <w:r>
        <w:rPr>
          <w:rtl w:val="true"/>
        </w:rPr>
        <w:t>إذا تكرّرت النّجاسة</w:t>
      </w:r>
      <w:bookmarkEnd w:id="496"/>
    </w:p>
    <w:p>
      <w:pPr>
        <w:pStyle w:val="BookText"/>
        <w:rPr/>
      </w:pPr>
      <w:r>
        <w:rPr>
          <w:rStyle w:val="FootnoteAnchor"/>
          <w:rtl w:val="true"/>
        </w:rPr>
        <w:footnoteReference w:id="6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من نوع واحد،فالأقرب سقوط التّكرير في النّزح،لأنّ الحكم معلّق على الاسم المتناول للقليل و الكثير لغة،أمّا إذا تغايرت،فالأشبه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بفعل الأكثر يمتثل الأمرين،فيحصل الإجزاء،و قد بيّنا انّ النّيّة غير معتبرة، فلا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يجب عليه النّزحان </w:t>
      </w:r>
      <w:r>
        <w:rPr>
          <w:rStyle w:val="FootnoteAnchor"/>
          <w:rtl w:val="true"/>
        </w:rPr>
        <w:footnoteReference w:id="627"/>
      </w:r>
      <w:r>
        <w:rPr>
          <w:rFonts w:ascii="Amiri" w:hAnsi="Amiri" w:eastAsia="Amiri" w:cs="Amiri"/>
          <w:color w:val="111111"/>
          <w:sz w:val="28"/>
          <w:sz w:val="28"/>
          <w:szCs w:val="28"/>
          <w:rtl w:val="true"/>
          <w:lang w:bidi="ar-SA"/>
        </w:rPr>
        <w:t>لكلّ نجاسة مقدار مغاير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 تعليل الشّيء الواحد بعلل متغايرة،و 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انّ هذه علامات و معرّفات لا علل عقليّة،و لا استحالة في اجتماع المعرّفات،و يحتمل التّزايد،لأنّ كثرة الواقع يزيد مقدار النّجاسة،فيؤثّر زيادة شياع للنّجاسة في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لهذا اختلف النّزح بزيادة </w:t>
      </w:r>
      <w:r>
        <w:rPr>
          <w:rStyle w:val="FootnoteAnchor"/>
          <w:rtl w:val="true"/>
        </w:rPr>
        <w:footnoteReference w:id="628"/>
      </w:r>
      <w:r>
        <w:rPr>
          <w:rFonts w:ascii="Amiri" w:hAnsi="Amiri" w:eastAsia="Amiri" w:cs="Amiri"/>
          <w:color w:val="111111"/>
          <w:sz w:val="28"/>
          <w:sz w:val="28"/>
          <w:szCs w:val="28"/>
          <w:rtl w:val="true"/>
          <w:lang w:bidi="ar-SA"/>
        </w:rPr>
        <w:t xml:space="preserve">مقدار الواقع و موته و إن كان طاهرا في الحياة </w:t>
      </w:r>
      <w:r>
        <w:rPr>
          <w:rFonts w:eastAsia="Amiri" w:cs="Amiri" w:ascii="Amiri" w:hAnsi="Amiri"/>
          <w:color w:val="111111"/>
          <w:sz w:val="28"/>
          <w:szCs w:val="28"/>
          <w:rtl w:val="true"/>
          <w:lang w:bidi="ar-SA"/>
        </w:rPr>
        <w:t>.</w:t>
      </w:r>
    </w:p>
    <w:p>
      <w:pPr>
        <w:pStyle w:val="Heading6"/>
        <w:numPr>
          <w:ilvl w:val="5"/>
          <w:numId w:val="1"/>
        </w:numPr>
        <w:rPr/>
      </w:pPr>
      <w:bookmarkStart w:id="497" w:name="__RefHeading___Toc747011_222507752"/>
      <w:bookmarkStart w:id="498" w:name="_Toc196"/>
      <w:bookmarkEnd w:id="497"/>
      <w:r>
        <w:rPr>
          <w:rtl w:val="true"/>
        </w:rPr>
        <w:t>الحادي عشر</w:t>
      </w:r>
      <w:r>
        <w:rPr>
          <w:rtl w:val="true"/>
        </w:rPr>
        <w:t>:</w:t>
      </w:r>
      <w:r>
        <w:rPr>
          <w:rtl w:val="true"/>
        </w:rPr>
        <w:t>لو وقع جزء الحيوان في البئر،كيده و رجله،يلحق بحكمه</w:t>
      </w:r>
      <w:bookmarkEnd w:id="498"/>
    </w:p>
    <w:p>
      <w:pPr>
        <w:pStyle w:val="BookText"/>
        <w:rPr/>
      </w:pPr>
      <w:r>
        <w:rPr>
          <w:rFonts w:ascii="Amiri" w:hAnsi="Amiri" w:eastAsia="Amiri" w:cs="Amiri"/>
          <w:color w:val="111111"/>
          <w:sz w:val="28"/>
          <w:sz w:val="28"/>
          <w:szCs w:val="28"/>
          <w:rtl w:val="true"/>
          <w:lang w:bidi="ar-SA"/>
        </w:rPr>
        <w:t xml:space="preserve">،عملا بالاحتياط الدّالّ على المساواة،و بأصالة البراءة الدّالّة على عدم الزّيادة </w:t>
      </w:r>
      <w:r>
        <w:rPr>
          <w:rFonts w:eastAsia="Amiri" w:cs="Amiri" w:ascii="Amiri" w:hAnsi="Amiri"/>
          <w:color w:val="111111"/>
          <w:sz w:val="28"/>
          <w:szCs w:val="28"/>
          <w:rtl w:val="true"/>
          <w:lang w:bidi="ar-SA"/>
        </w:rPr>
        <w:t>.</w:t>
      </w:r>
    </w:p>
    <w:p>
      <w:pPr>
        <w:pStyle w:val="Heading6"/>
        <w:numPr>
          <w:ilvl w:val="5"/>
          <w:numId w:val="1"/>
        </w:numPr>
        <w:rPr/>
      </w:pPr>
      <w:bookmarkStart w:id="499" w:name="__RefHeading___Toc747013_222507752"/>
      <w:bookmarkStart w:id="500" w:name="_Toc197"/>
      <w:bookmarkEnd w:id="499"/>
      <w:r>
        <w:rPr>
          <w:rtl w:val="true"/>
        </w:rPr>
        <w:t>الثّاني عشر</w:t>
      </w:r>
      <w:r>
        <w:rPr>
          <w:rtl w:val="true"/>
        </w:rPr>
        <w:t>:</w:t>
      </w:r>
      <w:r>
        <w:rPr>
          <w:rtl w:val="true"/>
        </w:rPr>
        <w:t>النّزح إنّما يجب بعد إخراج النّجاسة</w:t>
      </w:r>
      <w:bookmarkEnd w:id="500"/>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متّفق عليه بين القائلين بالتّنجيس،فإنّه قبل الإخراج لا فائدة فيه و إن كثر</w:t>
      </w:r>
      <w:r>
        <w:rPr>
          <w:rFonts w:eastAsia="Amiri" w:cs="Amiri" w:ascii="Amiri" w:hAnsi="Amiri"/>
          <w:color w:val="111111"/>
          <w:sz w:val="28"/>
          <w:szCs w:val="28"/>
          <w:rtl w:val="true"/>
          <w:lang w:bidi="ar-SA"/>
        </w:rPr>
        <w:t xml:space="preserve">. </w:t>
      </w:r>
      <w:bookmarkStart w:id="501" w:name="pg12672_159858"/>
    </w:p>
    <w:p>
      <w:pPr>
        <w:pStyle w:val="Heading6"/>
        <w:numPr>
          <w:ilvl w:val="5"/>
          <w:numId w:val="1"/>
        </w:numPr>
        <w:rPr/>
      </w:pPr>
      <w:bookmarkStart w:id="502" w:name="__RefHeading___Toc747015_222507752"/>
      <w:bookmarkStart w:id="503" w:name="_Toc198"/>
      <w:bookmarkEnd w:id="501"/>
      <w:bookmarkEnd w:id="502"/>
      <w:r>
        <w:rPr>
          <w:rtl w:val="true"/>
        </w:rPr>
        <w:t>الثّالث عشر</w:t>
      </w:r>
      <w:r>
        <w:rPr>
          <w:rtl w:val="true"/>
        </w:rPr>
        <w:t>:</w:t>
      </w:r>
      <w:r>
        <w:rPr>
          <w:rtl w:val="true"/>
        </w:rPr>
        <w:t>لو وجب نزح عدد معيّن،فنزح الدّلو الأوّل ثمَّ صبّ فيها</w:t>
      </w:r>
      <w:bookmarkEnd w:id="503"/>
    </w:p>
    <w:p>
      <w:pPr>
        <w:pStyle w:val="BookText"/>
        <w:rPr/>
      </w:pPr>
      <w:r>
        <w:rPr>
          <w:rFonts w:ascii="Amiri" w:hAnsi="Amiri" w:eastAsia="Amiri" w:cs="Amiri"/>
          <w:color w:val="111111"/>
          <w:sz w:val="28"/>
          <w:sz w:val="28"/>
          <w:szCs w:val="28"/>
          <w:rtl w:val="true"/>
          <w:lang w:bidi="ar-SA"/>
        </w:rPr>
        <w:t>،فالّذي أقوله تفريعا على القول بالتّنجيس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لا يجب نزح ما زاد على العدد عملا بالأصل،و لأنّه لم تزد </w:t>
      </w:r>
      <w:r>
        <w:rPr>
          <w:rStyle w:val="FootnoteAnchor"/>
          <w:rtl w:val="true"/>
        </w:rPr>
        <w:footnoteReference w:id="629"/>
      </w:r>
      <w:r>
        <w:rPr>
          <w:rFonts w:ascii="Amiri" w:hAnsi="Amiri" w:eastAsia="Amiri" w:cs="Amiri"/>
          <w:color w:val="111111"/>
          <w:sz w:val="28"/>
          <w:sz w:val="28"/>
          <w:szCs w:val="28"/>
          <w:rtl w:val="true"/>
          <w:lang w:bidi="ar-SA"/>
        </w:rPr>
        <w:t>النّجاسة بالنّزح و الإلقاء،و كذا إذا القي الدّلو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القي الدّلو الأخير بعد انفصاله عنها،فالوجه دخوله تحت النّجاسة الّتي لم يرد فيها 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رمي الدّلو الأوّل في بئر طاهرة الحق بغير المنصوص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تطهر البئر الثّانية بما تطهر به البئر الاولى </w:t>
      </w:r>
      <w:r>
        <w:rPr>
          <w:rStyle w:val="FootnoteAnchor"/>
          <w:rtl w:val="true"/>
        </w:rPr>
        <w:footnoteReference w:id="630"/>
      </w:r>
      <w:r>
        <w:rPr>
          <w:rFonts w:ascii="Amiri" w:hAnsi="Amiri" w:eastAsia="Amiri" w:cs="Amiri"/>
          <w:color w:val="111111"/>
          <w:sz w:val="28"/>
          <w:sz w:val="28"/>
          <w:szCs w:val="28"/>
          <w:rtl w:val="true"/>
          <w:lang w:bidi="ar-SA"/>
        </w:rPr>
        <w:t>و ليس بجيّد،لأنّ النّزح الأوّل وجب لنجاسة معيّنة،و الماء المصبوب مغاير لها،فلا يلحقه حكمها من حيث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القياس فيه فباطل،خصوصا على رأيهم في انّه لا يجري القياس في الأمور المقدّرة،كالحدود و الكفّارات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ألقيت النّجاسة العينيّة و ما وجب لها من المنزوح في الطّاهرة،فالأولى التّداخل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مذهب الحنفيّة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04" w:name="__RefHeading___Toc747017_222507752"/>
      <w:bookmarkStart w:id="505" w:name="_Toc199"/>
      <w:bookmarkEnd w:id="504"/>
      <w:r>
        <w:rPr>
          <w:rtl w:val="true"/>
        </w:rPr>
        <w:t>الرّابع عشر</w:t>
      </w:r>
      <w:r>
        <w:rPr>
          <w:rtl w:val="true"/>
        </w:rPr>
        <w:t>:</w:t>
      </w:r>
      <w:r>
        <w:rPr>
          <w:rtl w:val="true"/>
        </w:rPr>
        <w:t>لو غار ماؤها قبل النّزح ثمَّ ظهر فيها بعد الجفاف ماء</w:t>
      </w:r>
      <w:bookmarkEnd w:id="505"/>
    </w:p>
    <w:p>
      <w:pPr>
        <w:pStyle w:val="BookText"/>
        <w:rPr/>
      </w:pPr>
      <w:r>
        <w:rPr>
          <w:rStyle w:val="FootnoteAnchor"/>
          <w:rtl w:val="true"/>
        </w:rPr>
        <w:footnoteReference w:id="6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فيه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الماء عقيب الجفاف أمارة على انّ العائد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أن يكون هو الأوّل،و جاز أن يكون قد انصبّ إليها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مواد جهات</w:t>
      </w:r>
      <w:r>
        <w:rPr>
          <w:rFonts w:eastAsia="Amiri" w:cs="Amiri" w:ascii="Amiri" w:hAnsi="Amiri"/>
          <w:color w:val="111111"/>
          <w:sz w:val="28"/>
          <w:szCs w:val="28"/>
          <w:rtl w:val="true"/>
          <w:lang w:bidi="ar-SA"/>
        </w:rPr>
        <w:t xml:space="preserve">) </w:t>
      </w:r>
      <w:r>
        <w:rPr>
          <w:rStyle w:val="FootnoteAnchor"/>
          <w:rtl w:val="true"/>
        </w:rPr>
        <w:footnoteReference w:id="633"/>
      </w:r>
      <w:r>
        <w:rPr>
          <w:rFonts w:ascii="Amiri" w:hAnsi="Amiri" w:eastAsia="Amiri" w:cs="Amiri"/>
          <w:color w:val="111111"/>
          <w:sz w:val="28"/>
          <w:sz w:val="28"/>
          <w:szCs w:val="28"/>
          <w:rtl w:val="true"/>
          <w:lang w:bidi="ar-SA"/>
        </w:rPr>
        <w:t>لها،و إذا جاز الأمران جوازا متساويا،كيف يجعل الإعادة أمارة على أحد الجائزين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البئر قد تعلّق عليها الحكم بوجوب النّزح،فلا يسقط إلاّ به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النّزح لم يتعلّق بالبئر،بل بمائها المحكوم بنجاسته الّذي لا يعلم وجوده، فالتّكليف بالنّزح منه،تكليف بما لا يطاق،و لأنّ التّكليف سقط وقت الذّهاب،فعوده </w:t>
      </w:r>
      <w:bookmarkStart w:id="506" w:name="pg12672_159859"/>
    </w:p>
    <w:p>
      <w:pPr>
        <w:pStyle w:val="BookText"/>
        <w:rPr/>
      </w:pPr>
      <w:bookmarkEnd w:id="506"/>
      <w:r>
        <w:rPr>
          <w:rFonts w:ascii="Amiri" w:hAnsi="Amiri" w:eastAsia="Amiri" w:cs="Amiri"/>
          <w:color w:val="111111"/>
          <w:sz w:val="28"/>
          <w:sz w:val="28"/>
          <w:szCs w:val="28"/>
          <w:rtl w:val="true"/>
          <w:lang w:bidi="ar-SA"/>
        </w:rPr>
        <w:t xml:space="preserve">يحتاج إلى دليل مستأنف </w:t>
      </w:r>
      <w:r>
        <w:rPr>
          <w:rFonts w:eastAsia="Amiri" w:cs="Amiri" w:ascii="Amiri" w:hAnsi="Amiri"/>
          <w:color w:val="111111"/>
          <w:sz w:val="28"/>
          <w:szCs w:val="28"/>
          <w:rtl w:val="true"/>
          <w:lang w:bidi="ar-SA"/>
        </w:rPr>
        <w:t>.</w:t>
      </w:r>
    </w:p>
    <w:p>
      <w:pPr>
        <w:pStyle w:val="Heading6"/>
        <w:numPr>
          <w:ilvl w:val="5"/>
          <w:numId w:val="1"/>
        </w:numPr>
        <w:rPr/>
      </w:pPr>
      <w:bookmarkStart w:id="507" w:name="__RefHeading___Toc747019_222507752"/>
      <w:bookmarkStart w:id="508" w:name="_Toc200"/>
      <w:bookmarkEnd w:id="507"/>
      <w:r>
        <w:rPr>
          <w:rtl w:val="true"/>
        </w:rPr>
        <w:t>الخامس عشر</w:t>
      </w:r>
      <w:r>
        <w:rPr>
          <w:rtl w:val="true"/>
        </w:rPr>
        <w:t>:</w:t>
      </w:r>
      <w:r>
        <w:rPr>
          <w:rtl w:val="true"/>
        </w:rPr>
        <w:t>لو سيق إليها نهر من الماء الجاري و صارت متّصلة به</w:t>
      </w:r>
      <w:bookmarkEnd w:id="508"/>
    </w:p>
    <w:p>
      <w:pPr>
        <w:pStyle w:val="BookText"/>
        <w:rPr/>
      </w:pPr>
      <w:r>
        <w:rPr>
          <w:rFonts w:ascii="Amiri" w:hAnsi="Amiri" w:eastAsia="Amiri" w:cs="Amiri"/>
          <w:color w:val="111111"/>
          <w:sz w:val="28"/>
          <w:sz w:val="28"/>
          <w:szCs w:val="28"/>
          <w:rtl w:val="true"/>
          <w:lang w:bidi="ar-SA"/>
        </w:rPr>
        <w:t>،فالأولى على التّخريج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بالطّهارة،لأنّ المتّصل بالجاري كأحد أجزائه،فيخرج عنه حكم البئر </w:t>
      </w:r>
      <w:r>
        <w:rPr>
          <w:rFonts w:eastAsia="Amiri" w:cs="Amiri" w:ascii="Amiri" w:hAnsi="Amiri"/>
          <w:color w:val="111111"/>
          <w:sz w:val="28"/>
          <w:szCs w:val="28"/>
          <w:rtl w:val="true"/>
          <w:lang w:bidi="ar-SA"/>
        </w:rPr>
        <w:t>.</w:t>
      </w:r>
    </w:p>
    <w:p>
      <w:pPr>
        <w:pStyle w:val="Heading6"/>
        <w:numPr>
          <w:ilvl w:val="5"/>
          <w:numId w:val="1"/>
        </w:numPr>
        <w:rPr/>
      </w:pPr>
      <w:bookmarkStart w:id="509" w:name="__RefHeading___Toc747021_222507752"/>
      <w:bookmarkStart w:id="510" w:name="_Toc201"/>
      <w:bookmarkEnd w:id="509"/>
      <w:r>
        <w:rPr>
          <w:rtl w:val="true"/>
        </w:rPr>
        <w:t>السّادس عشر</w:t>
      </w:r>
      <w:r>
        <w:rPr>
          <w:rtl w:val="true"/>
        </w:rPr>
        <w:t>:</w:t>
      </w:r>
      <w:r>
        <w:rPr>
          <w:rtl w:val="true"/>
        </w:rPr>
        <w:t>الجنب إذا ارتمس فيها هل يطهر أم لا؟</w:t>
      </w:r>
      <w:bookmarkEnd w:id="510"/>
    </w:p>
    <w:p>
      <w:pPr>
        <w:pStyle w:val="BookText"/>
        <w:rPr/>
      </w:pPr>
      <w:r>
        <w:rPr>
          <w:rFonts w:ascii="Amiri" w:hAnsi="Amiri" w:eastAsia="Amiri" w:cs="Amiri"/>
          <w:color w:val="111111"/>
          <w:sz w:val="28"/>
          <w:sz w:val="28"/>
          <w:szCs w:val="28"/>
          <w:rtl w:val="true"/>
          <w:lang w:bidi="ar-SA"/>
        </w:rPr>
        <w:t xml:space="preserve">نصّ في المبسوط انّه لا يطهر </w:t>
      </w:r>
      <w:r>
        <w:rPr>
          <w:rStyle w:val="FootnoteAnchor"/>
          <w:rtl w:val="true"/>
        </w:rPr>
        <w:footnoteReference w:id="634"/>
      </w:r>
      <w:r>
        <w:rPr>
          <w:rFonts w:ascii="Amiri" w:hAnsi="Amiri" w:eastAsia="Amiri" w:cs="Amiri"/>
          <w:color w:val="111111"/>
          <w:sz w:val="28"/>
          <w:sz w:val="28"/>
          <w:szCs w:val="28"/>
          <w:rtl w:val="true"/>
          <w:lang w:bidi="ar-SA"/>
        </w:rPr>
        <w:t xml:space="preserve">و يمكن أن يكون ذلك منه بناء على مذهبه من انّ الماء المستعمل في الكبرى لا يجوز استعماله لا من حيث انّه نجس لعدم ملاقاته للنّجاسة </w:t>
      </w:r>
      <w:r>
        <w:rPr>
          <w:rStyle w:val="FootnoteAnchor"/>
          <w:rtl w:val="true"/>
        </w:rPr>
        <w:footnoteReference w:id="635"/>
      </w:r>
      <w:r>
        <w:rPr>
          <w:rFonts w:ascii="Amiri" w:hAnsi="Amiri" w:eastAsia="Amiri" w:cs="Amiri"/>
          <w:color w:val="111111"/>
          <w:sz w:val="28"/>
          <w:sz w:val="28"/>
          <w:szCs w:val="28"/>
          <w:rtl w:val="true"/>
          <w:lang w:bidi="ar-SA"/>
        </w:rPr>
        <w:t xml:space="preserve">،و العجب انّ ابن إدريس القائل بطهارة المستعمل،حكم هنا بنجاسة البئر </w:t>
      </w:r>
      <w:r>
        <w:rPr>
          <w:rStyle w:val="FootnoteAnchor"/>
          <w:rtl w:val="true"/>
        </w:rPr>
        <w:footnoteReference w:id="636"/>
      </w:r>
      <w:r>
        <w:rPr>
          <w:rFonts w:ascii="Amiri" w:hAnsi="Amiri" w:eastAsia="Amiri" w:cs="Amiri"/>
          <w:color w:val="111111"/>
          <w:sz w:val="28"/>
          <w:sz w:val="28"/>
          <w:szCs w:val="28"/>
          <w:rtl w:val="true"/>
          <w:lang w:bidi="ar-SA"/>
        </w:rPr>
        <w:t>،و لم يوجد في الأحاديث شيء يدلّ عليه، و لا في لفظ أصحابنا ذلك،و الحق عندي بناء على التّنجيس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تنجيس الماء و الاكتفاء بالطّهارة،و لا ينافي ذلك وجوب النّزح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ارتمس بغير نيّة الاغتسال،فالماء نجس و الرّجل طاهر،لأنّ الماء مطهّر بذاته،و إنّما يتنجّس بعد مزايلته عن البدن </w:t>
      </w:r>
      <w:r>
        <w:rPr>
          <w:rStyle w:val="FootnoteAnchor"/>
          <w:rtl w:val="true"/>
        </w:rPr>
        <w:footnoteReference w:id="637"/>
      </w:r>
      <w:r>
        <w:rPr>
          <w:rFonts w:ascii="Amiri" w:hAnsi="Amiri" w:eastAsia="Amiri" w:cs="Amiri"/>
          <w:color w:val="111111"/>
          <w:sz w:val="28"/>
          <w:sz w:val="28"/>
          <w:szCs w:val="28"/>
          <w:rtl w:val="true"/>
          <w:lang w:bidi="ar-SA"/>
        </w:rPr>
        <w:t>،و هو بناء على تنجيس المستعمل و عدم اشتراط النّيّة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البحث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جنب و الماء نجس </w:t>
      </w:r>
      <w:r>
        <w:rPr>
          <w:rStyle w:val="FootnoteAnchor"/>
          <w:rtl w:val="true"/>
        </w:rPr>
        <w:footnoteReference w:id="6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صبّ الماء عنده شرط لإزالة الحدث،و لم يوجد،و الماء نجس لملاقاته البدن و هو النّجس،و المقدّمتان ممنوعتان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الماء طاهر و الرّجل طاهر </w:t>
      </w:r>
      <w:r>
        <w:rPr>
          <w:rStyle w:val="FootnoteAnchor"/>
          <w:rtl w:val="true"/>
        </w:rPr>
        <w:footnoteReference w:id="639"/>
      </w:r>
      <w:r>
        <w:rPr>
          <w:rFonts w:ascii="Amiri" w:hAnsi="Amiri" w:eastAsia="Amiri" w:cs="Amiri"/>
          <w:color w:val="111111"/>
          <w:sz w:val="28"/>
          <w:sz w:val="28"/>
          <w:szCs w:val="28"/>
          <w:rtl w:val="true"/>
          <w:lang w:bidi="ar-SA"/>
        </w:rPr>
        <w:t xml:space="preserve">،لأنّ الماء لاقى بدنه و هو مطهّر،فيطهر،و لا ينجس الماء،لاشتراط نيّة التّقرّب عنده في صيرورة الماء مستعملا،و لم يوجد </w:t>
      </w:r>
      <w:r>
        <w:rPr>
          <w:rFonts w:eastAsia="Amiri" w:cs="Amiri" w:ascii="Amiri" w:hAnsi="Amiri"/>
          <w:color w:val="111111"/>
          <w:sz w:val="28"/>
          <w:szCs w:val="28"/>
          <w:rtl w:val="true"/>
          <w:lang w:bidi="ar-SA"/>
        </w:rPr>
        <w:t>.</w:t>
      </w:r>
    </w:p>
    <w:p>
      <w:pPr>
        <w:pStyle w:val="Heading6"/>
        <w:numPr>
          <w:ilvl w:val="5"/>
          <w:numId w:val="1"/>
        </w:numPr>
        <w:rPr/>
      </w:pPr>
      <w:bookmarkStart w:id="511" w:name="__RefHeading___Toc747023_222507752"/>
      <w:bookmarkStart w:id="512" w:name="_Toc202"/>
      <w:bookmarkEnd w:id="511"/>
      <w:r>
        <w:rPr>
          <w:rtl w:val="true"/>
        </w:rPr>
        <w:t>مسألة</w:t>
      </w:r>
      <w:r>
        <w:rPr>
          <w:rtl w:val="true"/>
        </w:rPr>
        <w:t>:</w:t>
      </w:r>
      <w:r>
        <w:rPr>
          <w:rtl w:val="true"/>
        </w:rPr>
        <w:t>لا تنجس البئر بالبالوعة و إن قربت ما لم تتّصل بالنّجاسة</w:t>
      </w:r>
      <w:bookmarkEnd w:id="512"/>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محمّد بن القاسم </w:t>
      </w:r>
      <w:r>
        <w:rPr>
          <w:rStyle w:val="FootnoteAnchor"/>
          <w:rtl w:val="true"/>
        </w:rPr>
        <w:footnoteReference w:id="640"/>
      </w:r>
      <w:r>
        <w:rPr>
          <w:rFonts w:ascii="Amiri" w:hAnsi="Amiri" w:eastAsia="Amiri" w:cs="Amiri"/>
          <w:color w:val="111111"/>
          <w:sz w:val="28"/>
          <w:sz w:val="28"/>
          <w:szCs w:val="28"/>
          <w:rtl w:val="true"/>
          <w:lang w:bidi="ar-SA"/>
        </w:rPr>
        <w:t>،عن أبي الحسن عليه السّلام،في البئر يكون بينها و بين الكنيف خمس و أقلّ و أكثر يتوضّأ منها؟فقال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يكره من قرب و لا بعد،يتوضّأ منها و يغتسل ما لم يتغيّر الماء</w:t>
      </w:r>
      <w:r>
        <w:rPr>
          <w:rFonts w:eastAsia="Amiri" w:cs="Amiri" w:ascii="Amiri" w:hAnsi="Amiri"/>
          <w:color w:val="111111"/>
          <w:sz w:val="28"/>
          <w:szCs w:val="28"/>
          <w:rtl w:val="true"/>
          <w:lang w:bidi="ar-SA"/>
        </w:rPr>
        <w:t xml:space="preserve">) </w:t>
      </w:r>
      <w:r>
        <w:rPr>
          <w:rStyle w:val="FootnoteAnchor"/>
          <w:rtl w:val="true"/>
        </w:rPr>
        <w:footnoteReference w:id="641"/>
      </w:r>
      <w:r>
        <w:rPr>
          <w:rFonts w:ascii="Amiri" w:hAnsi="Amiri" w:eastAsia="Amiri" w:cs="Amiri"/>
          <w:color w:val="111111"/>
          <w:sz w:val="28"/>
          <w:sz w:val="28"/>
          <w:szCs w:val="28"/>
          <w:rtl w:val="true"/>
          <w:lang w:bidi="ar-SA"/>
        </w:rPr>
        <w:t>و لأنّ طهارة الماء معلومة فلا تزول إلاّ مع تيقّن السّبب، و لأنّه حرج،فيكون منفيّا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نعم،يستحبّ تباعدهما قدر خمسة أذرع إن </w:t>
      </w:r>
      <w:r>
        <w:rPr>
          <w:rStyle w:val="FootnoteAnchor"/>
          <w:rtl w:val="true"/>
        </w:rPr>
        <w:footnoteReference w:id="642"/>
      </w:r>
      <w:r>
        <w:rPr>
          <w:rFonts w:ascii="Amiri" w:hAnsi="Amiri" w:eastAsia="Amiri" w:cs="Amiri"/>
          <w:color w:val="111111"/>
          <w:sz w:val="28"/>
          <w:sz w:val="28"/>
          <w:szCs w:val="28"/>
          <w:rtl w:val="true"/>
          <w:lang w:bidi="ar-SA"/>
        </w:rPr>
        <w:t xml:space="preserve">كانت البئر فوق البالوعة أو كانت الأرض صلبة،و مع فقدهما سبعة،لما رواه الحسن بن رباط </w:t>
      </w:r>
      <w:r>
        <w:rPr>
          <w:rStyle w:val="FootnoteAnchor"/>
          <w:rtl w:val="true"/>
        </w:rPr>
        <w:footnoteReference w:id="643"/>
      </w:r>
      <w:r>
        <w:rPr>
          <w:rFonts w:ascii="Amiri" w:hAnsi="Amiri" w:eastAsia="Amiri" w:cs="Amiri"/>
          <w:color w:val="111111"/>
          <w:sz w:val="28"/>
          <w:sz w:val="28"/>
          <w:szCs w:val="28"/>
          <w:rtl w:val="true"/>
          <w:lang w:bidi="ar-SA"/>
        </w:rPr>
        <w:t>،عن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البالوعة تكون فوق البئر؟قال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أسفل من البئر فخمسة أذرع و إن كانت فوق البئر فسبعة أذرع من كلّ ناحية و ذلك كثير</w:t>
      </w:r>
      <w:r>
        <w:rPr>
          <w:rFonts w:eastAsia="Amiri" w:cs="Amiri" w:ascii="Amiri" w:hAnsi="Amiri"/>
          <w:color w:val="111111"/>
          <w:sz w:val="28"/>
          <w:szCs w:val="28"/>
          <w:rtl w:val="true"/>
          <w:lang w:bidi="ar-SA"/>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رواية قدامة بن أبي زيد الحمّار </w:t>
      </w:r>
      <w:r>
        <w:rPr>
          <w:rStyle w:val="FootnoteAnchor"/>
          <w:rtl w:val="true"/>
        </w:rPr>
        <w:footnoteReference w:id="645"/>
      </w:r>
      <w:r>
        <w:rPr>
          <w:rFonts w:ascii="Amiri" w:hAnsi="Amiri" w:eastAsia="Amiri" w:cs="Amiri"/>
          <w:color w:val="111111"/>
          <w:sz w:val="28"/>
          <w:sz w:val="28"/>
          <w:szCs w:val="28"/>
          <w:rtl w:val="true"/>
          <w:lang w:bidi="ar-SA"/>
        </w:rPr>
        <w:t>،عن بعض أصحابنا،عن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سألته،كم أدنى ما يكون بين البئر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بئر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البالوعة؟فقال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سهلا فسبعة أذرع،و إن كان جبلا فخمسة</w:t>
      </w:r>
      <w:r>
        <w:rPr>
          <w:rFonts w:eastAsia="Amiri" w:cs="Amiri" w:ascii="Amiri" w:hAnsi="Amiri"/>
          <w:color w:val="111111"/>
          <w:sz w:val="28"/>
          <w:szCs w:val="28"/>
          <w:rtl w:val="true"/>
          <w:lang w:bidi="ar-SA"/>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 رواية محمّد بن سليمان الدّيلميّ </w:t>
      </w:r>
      <w:r>
        <w:rPr>
          <w:rStyle w:val="FootnoteAnchor"/>
          <w:rtl w:val="true"/>
        </w:rPr>
        <w:footnoteReference w:id="647"/>
      </w:r>
      <w:r>
        <w:rPr>
          <w:rFonts w:ascii="Amiri" w:hAnsi="Amiri" w:eastAsia="Amiri" w:cs="Amiri"/>
          <w:color w:val="111111"/>
          <w:sz w:val="28"/>
          <w:sz w:val="28"/>
          <w:szCs w:val="28"/>
          <w:rtl w:val="true"/>
          <w:lang w:bidi="ar-SA"/>
        </w:rPr>
        <w:t>،عن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البئر يكون إلى جنبها الكنيف؟فقال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مجرى العيون كلّها مع مهبّ الشّمال،فإذا كانت البئر النّظيفة فوق الشّمال و الكنيف أسفل منها،لم يضرّها إذا كان بينهما أذرع،و إن كان الكنيف فوق النّظيفة،فلا أقلّ من اثني عشر ذراعا،و إن كان تجاها بحذاء القبلة و هما مستويان في مهبّ الشّمال،فسبعة أذرع</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زرارة و محمّد بن مسلم،و أبي بصير في الحسن،قالوا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بئر يتوضّأ منها يجري البول قريبا منها،أ ينجّسها؟قال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كانت البئر في أعلى الوادي، فالوادي </w:t>
      </w:r>
      <w:r>
        <w:rPr>
          <w:rStyle w:val="FootnoteAnchor"/>
          <w:rtl w:val="true"/>
        </w:rPr>
        <w:footnoteReference w:id="649"/>
      </w:r>
      <w:r>
        <w:rPr>
          <w:rFonts w:ascii="Amiri" w:hAnsi="Amiri" w:eastAsia="Amiri" w:cs="Amiri"/>
          <w:color w:val="111111"/>
          <w:sz w:val="28"/>
          <w:sz w:val="28"/>
          <w:szCs w:val="28"/>
          <w:rtl w:val="true"/>
          <w:lang w:bidi="ar-SA"/>
        </w:rPr>
        <w:t xml:space="preserve">يجري فيه البول من تحتها و كان بينهما قدر ثلاثة أذرع أو أربعة أذرع لم ينجّس ذلك شيء،و إن كانت البئر في أسفل الوادي و يمرّ عليها الماء و كان بين البئر و بينه تسعة </w:t>
      </w:r>
      <w:r>
        <w:rPr>
          <w:rStyle w:val="FootnoteAnchor"/>
          <w:rtl w:val="true"/>
        </w:rPr>
        <w:footnoteReference w:id="650"/>
      </w:r>
      <w:r>
        <w:rPr>
          <w:rFonts w:ascii="Amiri" w:hAnsi="Amiri" w:eastAsia="Amiri" w:cs="Amiri"/>
          <w:color w:val="111111"/>
          <w:sz w:val="28"/>
          <w:sz w:val="28"/>
          <w:szCs w:val="28"/>
          <w:rtl w:val="true"/>
          <w:lang w:bidi="ar-SA"/>
        </w:rPr>
        <w:t>أذرع،لم ينجّسها،و ما كان أقلّ من ذلك،لم يتوضّأ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كان يجري يلزقها </w:t>
      </w:r>
      <w:r>
        <w:rPr>
          <w:rStyle w:val="FootnoteAnchor"/>
          <w:rtl w:val="true"/>
        </w:rPr>
        <w:footnoteReference w:id="651"/>
      </w:r>
      <w:r>
        <w:rPr>
          <w:rFonts w:ascii="Amiri" w:hAnsi="Amiri" w:eastAsia="Amiri" w:cs="Amiri"/>
          <w:color w:val="111111"/>
          <w:sz w:val="28"/>
          <w:sz w:val="28"/>
          <w:szCs w:val="28"/>
          <w:rtl w:val="true"/>
          <w:lang w:bidi="ar-SA"/>
        </w:rPr>
        <w:t xml:space="preserve">و كان لا يلبث </w:t>
      </w:r>
      <w:r>
        <w:rPr>
          <w:rStyle w:val="FootnoteAnchor"/>
          <w:rtl w:val="true"/>
        </w:rPr>
        <w:footnoteReference w:id="652"/>
      </w:r>
      <w:r>
        <w:rPr>
          <w:rFonts w:ascii="Amiri" w:hAnsi="Amiri" w:eastAsia="Amiri" w:cs="Amiri"/>
          <w:color w:val="111111"/>
          <w:sz w:val="28"/>
          <w:sz w:val="28"/>
          <w:szCs w:val="28"/>
          <w:rtl w:val="true"/>
          <w:lang w:bidi="ar-SA"/>
        </w:rPr>
        <w:t>على الأرض؟فقال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يكن له قرار فليس به بأس،فإن استقرّ منه قليل فإنّه لا يثقب الأرض و لا يغوله حتى يبلغ البئر،و ليس على البئر منه بأس،فتوضّأ منه إنّما ذلك إذا استنقع كلّه</w:t>
      </w:r>
      <w:r>
        <w:rPr>
          <w:rFonts w:eastAsia="Amiri" w:cs="Amiri" w:ascii="Amiri" w:hAnsi="Amiri"/>
          <w:color w:val="111111"/>
          <w:sz w:val="28"/>
          <w:szCs w:val="28"/>
          <w:rtl w:val="true"/>
          <w:lang w:bidi="ar-SA"/>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يدلّ على التّنجيس من 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علّق عدم التّنجيس بعدد،فينتفي عند انتفائه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أقلّ من ذلك لم يتوضّأ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ذاك إلاّ للتّنجيس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يكن له قرار،فليس به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 من حيث المفهوم على ثبوت البأس مع الاستقرار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منه قليل لا يثقب الأرض،فليس به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 على ثبوت البأس مع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ذلك إذا استنقع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 بالنّصوصيّة على ثبوت التّنجيس مع الاستنقاع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 عمّا ذكرتموه من حيث الإجمال و من حيث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الإجمال فمن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هؤلاء الرّواة لم يسندوها عن إمام،و يجوز أن يكون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بعض العلماء،و إن كان هذا الاحتمال مرجوحا إلاّ انّه غير 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الوجوه الّتي ذكرتموها،غير دالّة على التّنجيس بمنصوص الخطاب،بل بمفهومه،فلا يعارض النّصّ</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التّفصيل،فالجواب عن الأوّل بالمنع من عدم الحكم عند عدم العدد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لنزد هذا تحقيقا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w:t>
      </w:r>
      <w:r>
        <w:rPr>
          <w:rStyle w:val="FootnoteAnchor"/>
          <w:rtl w:val="true"/>
        </w:rPr>
        <w:footnoteReference w:id="654"/>
      </w:r>
      <w:r>
        <w:rPr>
          <w:rFonts w:ascii="Amiri" w:hAnsi="Amiri" w:eastAsia="Amiri" w:cs="Amiri"/>
          <w:color w:val="111111"/>
          <w:sz w:val="28"/>
          <w:sz w:val="28"/>
          <w:szCs w:val="28"/>
          <w:rtl w:val="true"/>
          <w:lang w:bidi="ar-SA"/>
        </w:rPr>
        <w:t xml:space="preserve">كان العدد النّاقص علّة للعدم،امتنع الوجود في الزّائد لوجود علّة العدم فيه،أمّا لو كان النّاقص موصوفا بحكم لم يجب اتصاف الزّائد به،فإنّه لا يلزم من إيجاب الثّمانين إيجاب الزّائد،و إذا كان العدد موصوفا بوصف الإباحة،كان النّاقص عنه إذا كان داخلا تحته في كلّ حال موصوفا بها،كإباحة جلد الثّمانين المستلزم لإباحة العشرين، و إن لم يدخل تحته البتّة لم يتعدّ الوصف إليه،كإباحة العمل بالشّاهدين،و إن دخل في حال دون أخرى كإباحة استعمال ألف و مائتي رطل إذا وقع فيها نجاسة،لم تدلّ على الثّبوت في الأقلّ،أمّا لو حرّم عددا،فقد يكون الأقل أولى بالتّحريم،كما في تحريم استعمال ما نقص عن الكرّ مع وقوع النّجاسة المستلزم لتحريم استعمال ما نقص عن </w:t>
      </w:r>
    </w:p>
    <w:p>
      <w:pPr>
        <w:pStyle w:val="BookText"/>
        <w:rPr/>
      </w:pPr>
      <w:r>
        <w:rPr>
          <w:rFonts w:ascii="Amiri" w:hAnsi="Amiri" w:eastAsia="Amiri" w:cs="Amiri"/>
          <w:color w:val="111111"/>
          <w:sz w:val="28"/>
          <w:sz w:val="28"/>
          <w:szCs w:val="28"/>
          <w:rtl w:val="true"/>
          <w:lang w:bidi="ar-SA"/>
        </w:rPr>
        <w:t>النّاقص،و قد لا يكون،فإنّه لا يستلزم تحريم جلد القاذف مائة،تحريم الثّماني،و حكم الإيجاب حكم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انّ النّهي نهي تحريم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سلّمنا،لكن لا نسلّم انّه للتّنجيس، و كيف يحكم بذلك من يستدلّ على التّنجيس من أصحابنا و هم قد اتّفقوا على عدم التّنجيس بالتّقارب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الثّالث انّ هذا مفهوم دليل الخطاب،و هو ضعيف،و لو سلّم فلا نسلّم انّ البأس يستلزم التّحريم،و هو الجواب عن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ليس دالاّ على التّنجيس،بل على ثبوت البأس،و لو سلّم لكن ليس مطلق الاستقرار مقتضيا للتّنجيس،بل الاستقرار الموجب للنّفوذ،و يدلّ عليه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استقرّ منه قليل فإنّه لا يثقب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نقول بموجبة،فإنّه مع النّفوذ من المستبعد أن لا يغيّر الماء فيحكم بالتّنجيس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ابن بابويه،عن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نزلنا في دار فيها بئر و إلى جانبها بالوعة ليس بينهما إلاّ نحو من ذراعين،فامتنعوا من الوضوء منها و شقّ ذلك عليهم،فدخلنا على أبي عبد اللّه عليه السّلام،فأخبرناه 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توضّأوا منها فإن لتلك البالوعة مجاري تصبّ في واد تصبّ </w:t>
      </w:r>
      <w:r>
        <w:rPr>
          <w:rStyle w:val="FootnoteAnchor"/>
          <w:rtl w:val="true"/>
        </w:rPr>
        <w:footnoteReference w:id="655"/>
      </w:r>
      <w:r>
        <w:rPr>
          <w:rFonts w:ascii="Amiri" w:hAnsi="Amiri" w:eastAsia="Amiri" w:cs="Amiri"/>
          <w:color w:val="111111"/>
          <w:sz w:val="28"/>
          <w:sz w:val="28"/>
          <w:szCs w:val="28"/>
          <w:rtl w:val="true"/>
          <w:lang w:bidi="ar-SA"/>
        </w:rPr>
        <w:t xml:space="preserve">في البحر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هذه الرّواية مناسبة للمذهب و إن كان في طريقها عليّ بن أبي حمزة،فيعمل عليها بموافقة الأصل،و غيرها من الأحاديث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تغيّر ماؤها تغيّرا يصلح استناده إلى البالوعة،فهو على الطّهارة ما لم يحصل اليقين بالاستناد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غير البالوعة من النّجاسات</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وقع حيوان غير مأكول اللّحم في البئر،لم ينجّسها مع خروجه حيّا،لأنّ المخرج ينضمّ انضماما شديدا لخوفه،فلا يحصل ملاقاة الماء لموضع النّجاسة،و ما نقلناه عن أبي </w:t>
      </w:r>
      <w:bookmarkStart w:id="513" w:name="pg12672_159864"/>
    </w:p>
    <w:p>
      <w:pPr>
        <w:pStyle w:val="BookText"/>
        <w:rPr/>
      </w:pPr>
      <w:bookmarkEnd w:id="513"/>
      <w:r>
        <w:rPr>
          <w:rFonts w:ascii="Amiri" w:hAnsi="Amiri" w:eastAsia="Amiri" w:cs="Amiri"/>
          <w:color w:val="111111"/>
          <w:sz w:val="28"/>
          <w:sz w:val="28"/>
          <w:szCs w:val="28"/>
          <w:rtl w:val="true"/>
          <w:lang w:bidi="ar-SA"/>
        </w:rPr>
        <w:t>حنيفة أوّلا فليس شيئا البتّة</w:t>
      </w:r>
      <w:r>
        <w:rPr>
          <w:rFonts w:eastAsia="Amiri" w:cs="Amiri" w:ascii="Amiri" w:hAnsi="Amiri"/>
          <w:color w:val="111111"/>
          <w:sz w:val="28"/>
          <w:szCs w:val="28"/>
          <w:rtl w:val="true"/>
          <w:lang w:bidi="ar-SA"/>
        </w:rPr>
        <w:t>.</w:t>
      </w:r>
    </w:p>
    <w:p>
      <w:pPr>
        <w:pStyle w:val="Heading6"/>
        <w:numPr>
          <w:ilvl w:val="5"/>
          <w:numId w:val="1"/>
        </w:numPr>
        <w:rPr/>
      </w:pPr>
      <w:bookmarkStart w:id="514" w:name="__RefHeading___Toc747025_222507752"/>
      <w:bookmarkStart w:id="515" w:name="_Toc203"/>
      <w:bookmarkEnd w:id="514"/>
      <w:r>
        <w:rPr>
          <w:rtl w:val="true"/>
        </w:rPr>
        <w:t>البحث الثّالث</w:t>
      </w:r>
      <w:r>
        <w:rPr>
          <w:rtl w:val="true"/>
        </w:rPr>
        <w:t>:</w:t>
      </w:r>
      <w:r>
        <w:rPr>
          <w:rtl w:val="true"/>
        </w:rPr>
        <w:t>في المضاف</w:t>
      </w:r>
      <w:bookmarkEnd w:id="515"/>
    </w:p>
    <w:p>
      <w:pPr>
        <w:pStyle w:val="BookText"/>
        <w:rPr/>
      </w:pPr>
      <w:r>
        <w:rPr>
          <w:rFonts w:ascii="Amiri" w:hAnsi="Amiri" w:eastAsia="Amiri" w:cs="Amiri"/>
          <w:color w:val="111111"/>
          <w:sz w:val="28"/>
          <w:sz w:val="28"/>
          <w:szCs w:val="28"/>
          <w:rtl w:val="true"/>
          <w:lang w:bidi="ar-SA"/>
        </w:rPr>
        <w:t>و هو كلّ ما افتقر صدق اسم الماء عليه إلى تقييد و صحّ سلب المطلق عنه،سواء اعتصر من جسم،أو استخرج منه،أو مزج به ما يسلبه الإطلاق،كماء الرّمّان،و الورد، و الزّعفران،و هو طاهر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الطّهارة،و النّجاسة طارئ،فيفتقر إلى السّبب،و لا يرفع حدثا إجماعا منّا،و ما اخترناه مذهب الشّافعيّ </w:t>
      </w:r>
      <w:r>
        <w:rPr>
          <w:rStyle w:val="FootnoteAnchor"/>
          <w:rtl w:val="true"/>
        </w:rPr>
        <w:footnoteReference w:id="658"/>
      </w:r>
      <w:r>
        <w:rPr>
          <w:rFonts w:ascii="Amiri" w:hAnsi="Amiri" w:eastAsia="Amiri" w:cs="Amiri"/>
          <w:color w:val="111111"/>
          <w:sz w:val="28"/>
          <w:sz w:val="28"/>
          <w:szCs w:val="28"/>
          <w:rtl w:val="true"/>
          <w:lang w:bidi="ar-SA"/>
        </w:rPr>
        <w:t xml:space="preserve">،و مالك </w:t>
      </w:r>
      <w:r>
        <w:rPr>
          <w:rStyle w:val="FootnoteAnchor"/>
          <w:rtl w:val="true"/>
        </w:rPr>
        <w:footnoteReference w:id="659"/>
      </w:r>
      <w:r>
        <w:rPr>
          <w:rFonts w:ascii="IRNazanin" w:hAnsi="IRNazanin" w:eastAsia="IRNazanin"/>
          <w:color w:val="111111"/>
          <w:sz w:val="28"/>
          <w:sz w:val="28"/>
          <w:szCs w:val="28"/>
          <w:rtl w:val="true"/>
          <w:lang w:bidi="fa-IR"/>
        </w:rPr>
        <w:t xml:space="preserve">،و أحمد </w:t>
      </w:r>
      <w:r>
        <w:rPr>
          <w:rStyle w:val="FootnoteAnchor"/>
          <w:rtl w:val="true"/>
        </w:rPr>
        <w:footnoteReference w:id="660"/>
      </w:r>
      <w:r>
        <w:rPr>
          <w:rFonts w:ascii="Amiri" w:hAnsi="Amiri" w:eastAsia="Amiri" w:cs="Amiri"/>
          <w:color w:val="111111"/>
          <w:sz w:val="28"/>
          <w:sz w:val="28"/>
          <w:szCs w:val="28"/>
          <w:rtl w:val="true"/>
          <w:lang w:bidi="ar-SA"/>
        </w:rPr>
        <w:t xml:space="preserve">،و أبي عبيدة </w:t>
      </w:r>
      <w:r>
        <w:rPr>
          <w:rStyle w:val="FootnoteAnchor"/>
          <w:rtl w:val="true"/>
        </w:rPr>
        <w:footnoteReference w:id="661"/>
      </w:r>
      <w:r>
        <w:rPr>
          <w:rFonts w:ascii="IRNazanin" w:hAnsi="IRNazanin" w:eastAsia="IRNazanin"/>
          <w:color w:val="111111"/>
          <w:sz w:val="28"/>
          <w:sz w:val="28"/>
          <w:szCs w:val="28"/>
          <w:rtl w:val="true"/>
          <w:lang w:bidi="fa-IR"/>
        </w:rPr>
        <w:t xml:space="preserve">، </w:t>
      </w:r>
      <w:r>
        <w:rPr>
          <w:rStyle w:val="FootnoteAnchor"/>
          <w:rtl w:val="true"/>
        </w:rPr>
        <w:footnoteReference w:id="662"/>
      </w:r>
      <w:r>
        <w:rPr>
          <w:rFonts w:ascii="Amiri" w:hAnsi="Amiri" w:eastAsia="Amiri" w:cs="Amiri"/>
          <w:color w:val="111111"/>
          <w:sz w:val="28"/>
          <w:sz w:val="28"/>
          <w:szCs w:val="28"/>
          <w:rtl w:val="true"/>
          <w:lang w:bidi="ar-SA"/>
        </w:rPr>
        <w:t xml:space="preserve">، خلافا لأبي حنيفة،فإنّه جوّز الوضوء بنبيذ التّمر مع عدم الماء إذا كان حلوا أو قارسا </w:t>
      </w:r>
      <w:r>
        <w:rPr>
          <w:rStyle w:val="FootnoteAnchor"/>
          <w:rtl w:val="true"/>
        </w:rPr>
        <w:footnoteReference w:id="663"/>
      </w:r>
      <w:r>
        <w:rPr>
          <w:rFonts w:ascii="IRNazanin" w:hAnsi="IRNazanin" w:eastAsia="IRNazanin"/>
          <w:color w:val="111111"/>
          <w:sz w:val="28"/>
          <w:sz w:val="28"/>
          <w:szCs w:val="28"/>
          <w:rtl w:val="true"/>
          <w:lang w:bidi="fa-IR"/>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غلى و اشتدّ و قذف بالزّبد،لم يجز التّوضّؤ به في رواية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لو انّه طبخ أدنى طبخة،فحكمه حكم المثلّث من العنب،فإنّه يجوز شربه في قول أبي حنيفة و أبي يوسف </w:t>
      </w:r>
      <w:r>
        <w:rPr>
          <w:rStyle w:val="FootnoteAnchor"/>
          <w:rtl w:val="true"/>
        </w:rPr>
        <w:footnoteReference w:id="666"/>
      </w:r>
      <w:r>
        <w:rPr>
          <w:rFonts w:ascii="Amiri" w:hAnsi="Amiri" w:eastAsia="Amiri" w:cs="Amiri"/>
          <w:color w:val="111111"/>
          <w:sz w:val="28"/>
          <w:sz w:val="28"/>
          <w:szCs w:val="28"/>
          <w:rtl w:val="true"/>
          <w:lang w:bidi="ar-SA"/>
        </w:rPr>
        <w:t>،و عند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يتصوّر،فما دام حلوا فهو على الاختلاف المذكور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غلى و اشتدّ،قال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أن يتوضّأ به </w:t>
      </w:r>
      <w:r>
        <w:rPr>
          <w:rStyle w:val="FootnoteAnchor"/>
          <w:rtl w:val="true"/>
        </w:rPr>
        <w:footnoteReference w:id="6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له أن يتوضّأ به </w:t>
      </w:r>
      <w:r>
        <w:rPr>
          <w:rStyle w:val="FootnoteAnchor"/>
          <w:rtl w:val="true"/>
        </w:rPr>
        <w:footnoteReference w:id="6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اختلفوا في شربه </w:t>
      </w:r>
      <w:r>
        <w:rPr>
          <w:rStyle w:val="FootnoteAnchor"/>
          <w:rtl w:val="true"/>
        </w:rPr>
        <w:footnoteReference w:id="670"/>
      </w:r>
      <w:r>
        <w:rPr>
          <w:rFonts w:ascii="Amiri" w:hAnsi="Amiri" w:eastAsia="Amiri" w:cs="Amiri"/>
          <w:color w:val="111111"/>
          <w:sz w:val="28"/>
          <w:sz w:val="28"/>
          <w:szCs w:val="28"/>
          <w:rtl w:val="true"/>
          <w:lang w:bidi="ar-SA"/>
        </w:rPr>
        <w:t>،و قال الأوزاعيّ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التّوضّؤ بالأنبذة كلّها،حلوا كان أو غير حلو،مسكرا كان أو غير مسكر،إلاّ الخمر خاصّة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نوح بن أبي مريم </w:t>
      </w:r>
      <w:r>
        <w:rPr>
          <w:rStyle w:val="FootnoteAnchor"/>
          <w:rtl w:val="true"/>
        </w:rPr>
        <w:footnoteReference w:id="672"/>
      </w:r>
      <w:r>
        <w:rPr>
          <w:rFonts w:ascii="Amiri" w:hAnsi="Amiri" w:eastAsia="Amiri" w:cs="Amiri"/>
          <w:color w:val="111111"/>
          <w:sz w:val="28"/>
          <w:sz w:val="28"/>
          <w:szCs w:val="28"/>
          <w:rtl w:val="true"/>
          <w:lang w:bidi="ar-SA"/>
        </w:rPr>
        <w:t xml:space="preserve">عن أبي حنيفة انّ التّوضؤ بنبيذ التّمر منسوخ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يتيمّم و لا يتوضّأ بالنّبيذ </w:t>
      </w:r>
      <w:r>
        <w:rPr>
          <w:rStyle w:val="FootnoteAnchor"/>
          <w:rtl w:val="true"/>
        </w:rPr>
        <w:footnoteReference w:id="6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الحسن </w:t>
      </w:r>
      <w:r>
        <w:rPr>
          <w:rStyle w:val="FootnoteAnchor"/>
          <w:rtl w:val="true"/>
        </w:rPr>
        <w:footnoteReference w:id="675"/>
      </w:r>
      <w:r>
        <w:rPr>
          <w:rFonts w:ascii="Amiri" w:hAnsi="Amiri" w:eastAsia="Amiri" w:cs="Amiri"/>
          <w:color w:val="111111"/>
          <w:sz w:val="28"/>
          <w:sz w:val="28"/>
          <w:szCs w:val="28"/>
          <w:rtl w:val="true"/>
          <w:lang w:bidi="ar-SA"/>
        </w:rPr>
        <w:t>عن أبي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يجمع بين التّيمّم و النّبيذ،فإن ترك أحدهما،لم تجز صلاته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أن يجمع بينهما احتياطا أيّهما ترك لا يجوز،و أيّهما قدّم و أخّر جاز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الحسن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بالوضوء بالنّبيذ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عكرمة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النّبيذ وضوء لمن لم يجد الماء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النّبيذ حلوا أحبّ إلى من التّيمّم،و جمعهما أحبّ إليّ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فَلَمْ تَجِدُوا ماءً فَتَيَمَّمُوا </w:t>
      </w:r>
      <w:r>
        <w:rPr>
          <w:rStyle w:val="FootnoteAnchor"/>
          <w:rtl w:val="true"/>
        </w:rPr>
        <w:footnoteReference w:id="681"/>
      </w:r>
      <w:r>
        <w:rPr>
          <w:rFonts w:ascii="Amiri" w:hAnsi="Amiri" w:eastAsia="Amiri" w:cs="Amiri"/>
          <w:color w:val="111111"/>
          <w:sz w:val="28"/>
          <w:sz w:val="28"/>
          <w:szCs w:val="28"/>
          <w:rtl w:val="true"/>
          <w:lang w:bidi="ar-SA"/>
        </w:rPr>
        <w:t>أوجب التّيمّم عند عدم الماء المطلق،و واجد المضاف غير واجد للمطلق،فانتفت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أبي بصير،عن أبي عبد اللّه عليه السّلام،عن الرّجل يكون معه اللّبن، أ يتوضّأ منه للصّلاة؟قال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لا،إنّما هو الماء و الصّعيد</w:t>
      </w:r>
      <w:r>
        <w:rPr>
          <w:rFonts w:eastAsia="Amiri" w:cs="Amiri" w:ascii="Amiri" w:hAnsi="Amiri"/>
          <w:color w:val="111111"/>
          <w:sz w:val="28"/>
          <w:szCs w:val="28"/>
          <w:rtl w:val="true"/>
          <w:lang w:bidi="ar-SA"/>
        </w:rPr>
        <w:t xml:space="preserve">) </w:t>
      </w:r>
      <w:r>
        <w:rPr>
          <w:rStyle w:val="FootnoteAnchor"/>
          <w:rtl w:val="true"/>
        </w:rPr>
        <w:footnoteReference w:id="682"/>
      </w:r>
      <w:r>
        <w:rPr>
          <w:rFonts w:ascii="Amiri" w:hAnsi="Amiri" w:eastAsia="Amiri" w:cs="Amiri"/>
          <w:color w:val="111111"/>
          <w:sz w:val="28"/>
          <w:sz w:val="28"/>
          <w:szCs w:val="28"/>
          <w:rtl w:val="true"/>
          <w:lang w:bidi="ar-SA"/>
        </w:rPr>
        <w:t>نفي أن يكون غير الماء المطلق و التّراب مطهّرا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حكم شرعيّ،فيقف تحصيله على الشّرع،و الّذي قطع الشّرع الحصول به،الماء المطلق،فيبقى الباقي غير مجز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الدّخول في الصّلاة لأجل الحدث مستفاد من الشّرع،فيستمرّ ما لم يظهر دلالة شرعيّة على زواله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حصل رفع الحدث بالنّبيذ لحصل بماء الباقلاّء المغليّ،و المقدّم كالتّالي باطل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الشّرطيّة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الارتفاع لو حصل في محلّ النّزاع،كان لرجحان صفة المائيّة الأصليّة على صفة الحلاوة الفرعيّة عملا بالمناسبة،و لو كان كذلك،لزم حصول الارتفاع بماء الباقلاّء ترجيحا للمائيّة الأصليّة على صفة الآدميّة </w:t>
      </w:r>
      <w:r>
        <w:rPr>
          <w:rStyle w:val="FootnoteAnchor"/>
          <w:rtl w:val="true"/>
        </w:rPr>
        <w:footnoteReference w:id="683"/>
      </w:r>
      <w:r>
        <w:rPr>
          <w:rFonts w:ascii="Amiri" w:hAnsi="Amiri" w:eastAsia="Amiri" w:cs="Amiri"/>
          <w:color w:val="111111"/>
          <w:sz w:val="28"/>
          <w:sz w:val="28"/>
          <w:szCs w:val="28"/>
          <w:rtl w:val="true"/>
          <w:lang w:bidi="ar-SA"/>
        </w:rPr>
        <w:t>،إذ القول بالافتراق مع التّساوي في الدّاعي ممتنع اتّفاقا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حصل الرّفع بالمضاف،لكان لكونه منصوصا عليه أو في معناه أو بغيرها، و الحصر ظاهر،و الأوّل باطل،لأنّ المنصوص عليه هو المطلق،ضرورة انّ الإطلاق في الأسماء ينصرف إلى الكامل من المسمّيات،اعتبره بإجزاء السّليم في الزّكاة دون غيرها، و الكامل من الماء هو الباقي على الصّفات الأصليّة،فإذا تبدّلت بأضدادها،خرجت عن الكمال،فلا ينصرف لفظ الإطلاق إليه،و لأنّ النّصوص إنّما وردت بالماء في أوّل خلقه و نزوله،و هو حينئذ عار من 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فالنّاس قائلان،منهم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يعلّل الطّهوريّة في الماء،و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علّلها بتحصيل النّظافة </w:t>
      </w:r>
      <w:r>
        <w:rPr>
          <w:rStyle w:val="FootnoteAnchor"/>
          <w:rtl w:val="true"/>
        </w:rPr>
        <w:footnoteReference w:id="684"/>
      </w:r>
      <w:r>
        <w:rPr>
          <w:rFonts w:ascii="Amiri" w:hAnsi="Amiri" w:eastAsia="Amiri" w:cs="Amiri"/>
          <w:color w:val="111111"/>
          <w:sz w:val="28"/>
          <w:sz w:val="28"/>
          <w:szCs w:val="28"/>
          <w:rtl w:val="true"/>
          <w:lang w:bidi="ar-SA"/>
        </w:rPr>
        <w:t>،و على القول الأوّل لا قياس،و المعنى الثّاني غير موجود في ماء الزّعفران مثلا،لأنّه غير صالح للتّنزّه و التّنظيف،و الثّالث باطل،لأنّه يصير تحكّما محضا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روى يونس </w:t>
      </w:r>
      <w:r>
        <w:rPr>
          <w:rStyle w:val="FootnoteAnchor"/>
          <w:rtl w:val="true"/>
        </w:rPr>
        <w:footnoteReference w:id="685"/>
      </w:r>
      <w:r>
        <w:rPr>
          <w:rFonts w:ascii="Amiri" w:hAnsi="Amiri" w:eastAsia="Amiri" w:cs="Amiri"/>
          <w:color w:val="111111"/>
          <w:sz w:val="28"/>
          <w:sz w:val="28"/>
          <w:szCs w:val="28"/>
          <w:rtl w:val="true"/>
          <w:lang w:bidi="ar-SA"/>
        </w:rPr>
        <w:t>،عن أبي الحسن عليه السّلام في الرّجل يتوضّأ بماء الورد و يغتسل 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686"/>
      </w:r>
      <w:r>
        <w:rPr>
          <w:rFonts w:ascii="Amiri" w:hAnsi="Amiri" w:eastAsia="Amiri" w:cs="Amiri"/>
          <w:color w:val="111111"/>
          <w:sz w:val="28"/>
          <w:sz w:val="28"/>
          <w:szCs w:val="28"/>
          <w:rtl w:val="true"/>
          <w:lang w:bidi="ar-SA"/>
        </w:rPr>
        <w:t>و هذه الرّواية ضعيفة السّند</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 ابن بابويه أيضا عن ابن الوليد </w:t>
      </w:r>
      <w:r>
        <w:rPr>
          <w:rStyle w:val="FootnoteAnchor"/>
          <w:rtl w:val="true"/>
        </w:rPr>
        <w:footnoteReference w:id="687"/>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يعتمد على حديث محمّد بن </w:t>
      </w:r>
    </w:p>
    <w:p>
      <w:pPr>
        <w:pStyle w:val="BookText"/>
        <w:rPr/>
      </w:pPr>
      <w:r>
        <w:rPr>
          <w:rFonts w:ascii="Amiri" w:hAnsi="Amiri" w:eastAsia="Amiri" w:cs="Amiri"/>
          <w:color w:val="111111"/>
          <w:sz w:val="28"/>
          <w:sz w:val="28"/>
          <w:szCs w:val="28"/>
          <w:rtl w:val="true"/>
          <w:lang w:bidi="ar-SA"/>
        </w:rPr>
        <w:t xml:space="preserve">عيسى </w:t>
      </w:r>
      <w:r>
        <w:rPr>
          <w:rStyle w:val="FootnoteAnchor"/>
          <w:rtl w:val="true"/>
        </w:rPr>
        <w:footnoteReference w:id="688"/>
      </w:r>
      <w:r>
        <w:rPr>
          <w:rFonts w:ascii="Amiri" w:hAnsi="Amiri" w:eastAsia="Amiri" w:cs="Amiri"/>
          <w:color w:val="111111"/>
          <w:sz w:val="28"/>
          <w:sz w:val="28"/>
          <w:szCs w:val="28"/>
          <w:rtl w:val="true"/>
          <w:lang w:bidi="ar-SA"/>
        </w:rPr>
        <w:t>عن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نقله النّجاشيّ </w:t>
      </w:r>
      <w:r>
        <w:rPr>
          <w:rStyle w:val="FootnoteAnchor"/>
          <w:rtl w:val="true"/>
        </w:rPr>
        <w:footnoteReference w:id="689"/>
      </w:r>
      <w:r>
        <w:rPr>
          <w:rFonts w:ascii="IRNazanin" w:hAnsi="IRNazanin" w:eastAsia="IRNazanin"/>
          <w:color w:val="111111"/>
          <w:sz w:val="28"/>
          <w:sz w:val="28"/>
          <w:szCs w:val="28"/>
          <w:rtl w:val="true"/>
          <w:lang w:bidi="fa-IR"/>
        </w:rPr>
        <w:t xml:space="preserve">، </w:t>
      </w:r>
      <w:r>
        <w:rPr>
          <w:rStyle w:val="FootnoteAnchor"/>
          <w:rtl w:val="true"/>
        </w:rPr>
        <w:footnoteReference w:id="690"/>
      </w:r>
      <w:r>
        <w:rPr>
          <w:rFonts w:ascii="Amiri" w:hAnsi="Amiri" w:eastAsia="Amiri" w:cs="Amiri"/>
          <w:color w:val="111111"/>
          <w:sz w:val="28"/>
          <w:sz w:val="28"/>
          <w:szCs w:val="28"/>
          <w:rtl w:val="true"/>
          <w:lang w:bidi="ar-SA"/>
        </w:rPr>
        <w:t>،و يحتمل أن يكون الورد قليلا غير مؤثّر في سلب الاسم،قال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الحديث شاذّ شديد الشّذوذ،أجمعت العصابة على ترك العمل به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أبو حنيفة </w:t>
      </w:r>
      <w:r>
        <w:rPr>
          <w:rStyle w:val="FootnoteAnchor"/>
          <w:rtl w:val="true"/>
        </w:rPr>
        <w:footnoteReference w:id="692"/>
      </w:r>
      <w:r>
        <w:rPr>
          <w:rFonts w:ascii="Amiri" w:hAnsi="Amiri" w:eastAsia="Amiri" w:cs="Amiri"/>
          <w:color w:val="111111"/>
          <w:sz w:val="28"/>
          <w:sz w:val="28"/>
          <w:szCs w:val="28"/>
          <w:rtl w:val="true"/>
          <w:lang w:bidi="ar-SA"/>
        </w:rPr>
        <w:t xml:space="preserve">بما روي،عن النّبيّ صلّى اللّه عليه و آله،قال لابن مسعود </w:t>
      </w:r>
      <w:r>
        <w:rPr>
          <w:rStyle w:val="FootnoteAnchor"/>
          <w:rtl w:val="true"/>
        </w:rPr>
        <w:footnoteReference w:id="693"/>
      </w:r>
      <w:r>
        <w:rPr>
          <w:rFonts w:ascii="Amiri" w:hAnsi="Amiri" w:eastAsia="Amiri" w:cs="Amiri"/>
          <w:color w:val="111111"/>
          <w:sz w:val="28"/>
          <w:sz w:val="28"/>
          <w:szCs w:val="28"/>
          <w:rtl w:val="true"/>
          <w:lang w:bidi="ar-SA"/>
        </w:rPr>
        <w:t>ليلة الجنّ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معك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لا،إلاّ نبيذ التّمر في إداوة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تمرة طيّبة و ماء طهور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فأخذه و توضّأ به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هذا الحديث مردود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أبا يوسف لم يصحّحه،و لو كان صحيحا لما خفي عنه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راويه أبو زيد </w:t>
      </w:r>
      <w:r>
        <w:rPr>
          <w:rStyle w:val="FootnoteAnchor"/>
          <w:rtl w:val="true"/>
        </w:rPr>
        <w:footnoteReference w:id="696"/>
      </w:r>
      <w:r>
        <w:rPr>
          <w:rFonts w:ascii="IRNazanin" w:hAnsi="IRNazanin" w:eastAsia="IRNazanin"/>
          <w:color w:val="111111"/>
          <w:sz w:val="28"/>
          <w:sz w:val="28"/>
          <w:szCs w:val="28"/>
          <w:rtl w:val="true"/>
          <w:lang w:bidi="fa-IR"/>
        </w:rPr>
        <w:t>،و هو 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عبد اللّه بن مسعود سئل هل كنت مع رسول اللّه صلّى اللّه عليه و آله ليلة الجنّ؟فقال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معه منّا أحد،و وردت انّي كنت معه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أن يكون المراد بالنّبيذ هاهنا ما ترك فيه قليل تمر أزال ملوحة الماء فلم يبلغ الشّدّة،و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ورد من طريق الأصحاب عن أبي عبد اللّه عليه السّلام،قال</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عن النّبيذ،فقال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ننبذه فنطرح فيه العكر </w:t>
      </w:r>
      <w:r>
        <w:rPr>
          <w:rStyle w:val="FootnoteAnchor"/>
          <w:rtl w:val="true"/>
        </w:rPr>
        <w:footnoteReference w:id="698"/>
      </w:r>
      <w:r>
        <w:rPr>
          <w:rFonts w:ascii="Amiri" w:hAnsi="Amiri" w:eastAsia="Amiri" w:cs="Amiri"/>
          <w:color w:val="111111"/>
          <w:sz w:val="28"/>
          <w:sz w:val="28"/>
          <w:szCs w:val="28"/>
          <w:rtl w:val="true"/>
          <w:lang w:bidi="ar-SA"/>
        </w:rPr>
        <w:t>و ما سوى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 شه </w:t>
      </w:r>
      <w:r>
        <w:rPr>
          <w:rStyle w:val="FootnoteAnchor"/>
          <w:rtl w:val="true"/>
        </w:rPr>
        <w:footnoteReference w:id="699"/>
      </w:r>
      <w:r>
        <w:rPr>
          <w:rFonts w:ascii="Amiri" w:hAnsi="Amiri" w:eastAsia="Amiri" w:cs="Amiri"/>
          <w:color w:val="111111"/>
          <w:sz w:val="28"/>
          <w:sz w:val="28"/>
          <w:szCs w:val="28"/>
          <w:rtl w:val="true"/>
          <w:lang w:bidi="ar-SA"/>
        </w:rPr>
        <w:t>،تلك الخمرة المنتنة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فداك،فأيّ نبيذ تعني؟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أهل المدينة شكوا إلى رسول اللّه صلّى اللّه عليه و آله تغيّر الماء و فساد طبائعهم، فأمرهم أن ينبذوا،فكان الرّجل يأمر خادمه أن ينبذ له فيعمه إلى كفّ من تمر فيقذف به في الشّنّ فمنه شربه و منه طهوره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كان عدد التّمر الّذي في الكفّ؟فقال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حمل الكفّ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واحدة أو اثنتين </w:t>
      </w:r>
      <w:r>
        <w:rPr>
          <w:rStyle w:val="FootnoteAnchor"/>
          <w:rtl w:val="true"/>
        </w:rPr>
        <w:footnoteReference w:id="70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ربّما كانت واحدة،و ربّما كانت اثنتين </w:t>
      </w:r>
      <w:r>
        <w:rPr>
          <w:rStyle w:val="FootnoteAnchor"/>
          <w:rtl w:val="true"/>
        </w:rPr>
        <w:footnoteReference w:id="7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كم كان يسع الشنّ </w:t>
      </w:r>
      <w:r>
        <w:rPr>
          <w:rStyle w:val="FootnoteAnchor"/>
          <w:rtl w:val="true"/>
        </w:rPr>
        <w:footnoteReference w:id="70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الأربعين إلى الثّمانين إلى فوق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 الأرطال؟فقال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أرطال مكيال العراق</w:t>
      </w:r>
      <w:r>
        <w:rPr>
          <w:rFonts w:eastAsia="Amiri" w:cs="Amiri" w:ascii="Amiri" w:hAnsi="Amiri"/>
          <w:color w:val="111111"/>
          <w:sz w:val="28"/>
          <w:szCs w:val="28"/>
          <w:rtl w:val="true"/>
          <w:lang w:bidi="ar-SA"/>
        </w:rPr>
        <w:t xml:space="preserve">) </w:t>
      </w:r>
      <w:r>
        <w:rPr>
          <w:rStyle w:val="FootnoteAnchor"/>
          <w:rtl w:val="true"/>
        </w:rPr>
        <w:footnoteReference w:id="703"/>
      </w:r>
      <w:r>
        <w:rPr>
          <w:rFonts w:ascii="IRNazanin" w:hAnsi="IRNazanin" w:eastAsia="IRNazanin"/>
          <w:color w:val="111111"/>
          <w:sz w:val="28"/>
          <w:sz w:val="28"/>
          <w:szCs w:val="28"/>
          <w:rtl w:val="true"/>
          <w:lang w:bidi="fa-IR"/>
        </w:rPr>
        <w:t xml:space="preserve">و مع هذا الاحتمال </w:t>
      </w:r>
      <w:bookmarkStart w:id="516" w:name="pg12672_159870"/>
    </w:p>
    <w:p>
      <w:pPr>
        <w:pStyle w:val="BookText"/>
        <w:rPr/>
      </w:pPr>
      <w:bookmarkEnd w:id="516"/>
      <w:r>
        <w:rPr>
          <w:rFonts w:ascii="Amiri" w:hAnsi="Amiri" w:eastAsia="Amiri" w:cs="Amiri"/>
          <w:color w:val="111111"/>
          <w:sz w:val="28"/>
          <w:sz w:val="28"/>
          <w:szCs w:val="28"/>
          <w:rtl w:val="true"/>
          <w:lang w:bidi="ar-SA"/>
        </w:rPr>
        <w:t>يندفع الاستدلال</w:t>
      </w:r>
      <w:r>
        <w:rPr>
          <w:rFonts w:eastAsia="Amiri" w:cs="Amiri" w:ascii="Amiri" w:hAnsi="Amiri"/>
          <w:color w:val="111111"/>
          <w:sz w:val="28"/>
          <w:szCs w:val="28"/>
          <w:rtl w:val="true"/>
          <w:lang w:bidi="ar-SA"/>
        </w:rPr>
        <w:t>.</w:t>
      </w:r>
    </w:p>
    <w:p>
      <w:pPr>
        <w:pStyle w:val="Heading6"/>
        <w:numPr>
          <w:ilvl w:val="5"/>
          <w:numId w:val="1"/>
        </w:numPr>
        <w:rPr/>
      </w:pPr>
      <w:bookmarkStart w:id="517" w:name="__RefHeading___Toc747027_222507752"/>
      <w:bookmarkStart w:id="518" w:name="_Toc204"/>
      <w:bookmarkEnd w:id="517"/>
      <w:r>
        <w:rPr>
          <w:rtl w:val="true"/>
        </w:rPr>
        <w:t>فرع</w:t>
      </w:r>
      <w:r>
        <w:rPr>
          <w:rtl w:val="true"/>
        </w:rPr>
        <w:t>:</w:t>
      </w:r>
      <w:bookmarkEnd w:id="518"/>
    </w:p>
    <w:p>
      <w:pPr>
        <w:pStyle w:val="BookText"/>
        <w:rPr/>
      </w:pPr>
      <w:r>
        <w:rPr>
          <w:rFonts w:ascii="IRNazanin" w:hAnsi="IRNazanin" w:eastAsia="IRNazanin"/>
          <w:color w:val="111111"/>
          <w:sz w:val="28"/>
          <w:sz w:val="28"/>
          <w:szCs w:val="28"/>
          <w:rtl w:val="true"/>
          <w:lang w:bidi="fa-IR"/>
        </w:rPr>
        <w:t>المضاف إن اعتصر من الجسم</w:t>
      </w:r>
    </w:p>
    <w:p>
      <w:pPr>
        <w:pStyle w:val="BookText"/>
        <w:rPr/>
      </w:pPr>
      <w:r>
        <w:rPr>
          <w:rFonts w:ascii="Amiri" w:hAnsi="Amiri" w:eastAsia="Amiri" w:cs="Amiri"/>
          <w:color w:val="111111"/>
          <w:sz w:val="28"/>
          <w:sz w:val="28"/>
          <w:szCs w:val="28"/>
          <w:rtl w:val="true"/>
          <w:lang w:bidi="ar-SA"/>
        </w:rPr>
        <w:t xml:space="preserve">كماء الورد أو خالطه فغيّر اسمه كالمرق أو طبخ فيه كماء الباقلاّء المغليّ،لم يجز الوضوء و لا الغسل به،في قول عامّة أهل العلم،إلاّ ما حكي عن ابن أبي ليلى و الأصمّ </w:t>
      </w:r>
      <w:r>
        <w:rPr>
          <w:rStyle w:val="FootnoteAnchor"/>
          <w:rtl w:val="true"/>
        </w:rPr>
        <w:footnoteReference w:id="704"/>
      </w:r>
      <w:r>
        <w:rPr>
          <w:rFonts w:ascii="Amiri" w:hAnsi="Amiri" w:eastAsia="Amiri" w:cs="Amiri"/>
          <w:color w:val="111111"/>
          <w:sz w:val="28"/>
          <w:sz w:val="28"/>
          <w:szCs w:val="28"/>
          <w:rtl w:val="true"/>
          <w:lang w:bidi="ar-SA"/>
        </w:rPr>
        <w:t xml:space="preserve">،في المياه المعتصرة انّها طهور يرفع بها الحدث و يزال بها الخبث </w:t>
      </w:r>
      <w:r>
        <w:rPr>
          <w:rStyle w:val="FootnoteAnchor"/>
          <w:rtl w:val="true"/>
        </w:rPr>
        <w:footnoteReference w:id="705"/>
      </w:r>
      <w:r>
        <w:rPr>
          <w:rFonts w:ascii="Amiri" w:hAnsi="Amiri" w:eastAsia="Amiri" w:cs="Amiri"/>
          <w:color w:val="111111"/>
          <w:sz w:val="28"/>
          <w:sz w:val="28"/>
          <w:szCs w:val="28"/>
          <w:rtl w:val="true"/>
          <w:lang w:bidi="ar-SA"/>
        </w:rPr>
        <w:t xml:space="preserve">،و للشّافعيّة وجه في ماء الباقلاّء المغليّ </w:t>
      </w:r>
      <w:r>
        <w:rPr>
          <w:rStyle w:val="FootnoteAnchor"/>
          <w:rtl w:val="true"/>
        </w:rPr>
        <w:footnoteReference w:id="7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النّبيذ،فإنّا قد بيّنا الخلاف فيه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19" w:name="__RefHeading___Toc747029_222507752"/>
      <w:bookmarkStart w:id="520" w:name="_Toc205"/>
      <w:bookmarkEnd w:id="519"/>
      <w:r>
        <w:rPr>
          <w:rtl w:val="true"/>
        </w:rPr>
        <w:t xml:space="preserve">مسألة </w:t>
      </w:r>
      <w:r>
        <w:rPr>
          <w:rtl w:val="true"/>
        </w:rPr>
        <w:t>:</w:t>
      </w:r>
      <w:r>
        <w:rPr>
          <w:rtl w:val="true"/>
        </w:rPr>
        <w:t>للأصحاب في إزالة النّجاسة بالمضاف قولان</w:t>
      </w:r>
      <w:bookmarkEnd w:id="520"/>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المنع </w:t>
      </w:r>
      <w:r>
        <w:rPr>
          <w:rStyle w:val="FootnoteAnchor"/>
          <w:rtl w:val="true"/>
        </w:rPr>
        <w:footnoteReference w:id="7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مالك </w:t>
      </w:r>
      <w:r>
        <w:rPr>
          <w:rStyle w:val="FootnoteAnchor"/>
          <w:rtl w:val="true"/>
        </w:rPr>
        <w:footnoteReference w:id="710"/>
      </w:r>
      <w:r>
        <w:rPr>
          <w:rFonts w:ascii="Amiri" w:hAnsi="Amiri" w:eastAsia="Amiri" w:cs="Amiri"/>
          <w:color w:val="111111"/>
          <w:sz w:val="28"/>
          <w:sz w:val="28"/>
          <w:szCs w:val="28"/>
          <w:rtl w:val="true"/>
          <w:lang w:bidi="ar-SA"/>
        </w:rPr>
        <w:t xml:space="preserve">،و الشّافعيّ </w:t>
      </w:r>
      <w:r>
        <w:rPr>
          <w:rStyle w:val="FootnoteAnchor"/>
          <w:rtl w:val="true"/>
        </w:rPr>
        <w:footnoteReference w:id="711"/>
      </w:r>
      <w:r>
        <w:rPr>
          <w:rFonts w:ascii="IRNazanin" w:hAnsi="IRNazanin" w:eastAsia="IRNazanin"/>
          <w:color w:val="111111"/>
          <w:sz w:val="28"/>
          <w:sz w:val="28"/>
          <w:szCs w:val="28"/>
          <w:rtl w:val="true"/>
          <w:lang w:bidi="fa-IR"/>
        </w:rPr>
        <w:t xml:space="preserve">،و محمّد بن الحسن،و زفر </w:t>
      </w:r>
      <w:r>
        <w:rPr>
          <w:rStyle w:val="FootnoteAnchor"/>
          <w:rtl w:val="true"/>
        </w:rPr>
        <w:footnoteReference w:id="712"/>
      </w:r>
      <w:r>
        <w:rPr>
          <w:rFonts w:ascii="Amiri" w:hAnsi="Amiri" w:eastAsia="Amiri" w:cs="Amiri"/>
          <w:color w:val="111111"/>
          <w:sz w:val="28"/>
          <w:sz w:val="28"/>
          <w:szCs w:val="28"/>
          <w:rtl w:val="true"/>
          <w:lang w:bidi="ar-SA"/>
        </w:rPr>
        <w:t xml:space="preserve">،خلافا لأبي حنيفة </w:t>
      </w:r>
      <w:r>
        <w:rPr>
          <w:rStyle w:val="FootnoteAnchor"/>
          <w:rtl w:val="true"/>
        </w:rPr>
        <w:footnoteReference w:id="713"/>
      </w:r>
      <w:r>
        <w:rPr>
          <w:rFonts w:ascii="Amiri" w:hAnsi="Amiri" w:eastAsia="Amiri" w:cs="Amiri"/>
          <w:color w:val="111111"/>
          <w:sz w:val="28"/>
          <w:sz w:val="28"/>
          <w:szCs w:val="28"/>
          <w:rtl w:val="true"/>
          <w:lang w:bidi="ar-SA"/>
        </w:rPr>
        <w:t xml:space="preserve">،و عن أحمد روايتان كالقولين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ورد من وجوب الغسل بالماء عند الملاقاة،و الماء إنّما يفهم منه عند الإطلاق،المطلق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المقدّمة الأولى نقليّة،رواها الجمهور عن النّبيّ صلّى اللّه عليه و آله في صحيحي مسلم </w:t>
      </w:r>
      <w:r>
        <w:rPr>
          <w:rStyle w:val="FootnoteAnchor"/>
          <w:rtl w:val="true"/>
        </w:rPr>
        <w:footnoteReference w:id="715"/>
      </w:r>
      <w:r>
        <w:rPr>
          <w:rFonts w:ascii="Amiri" w:hAnsi="Amiri" w:eastAsia="Amiri" w:cs="Amiri"/>
          <w:color w:val="111111"/>
          <w:sz w:val="28"/>
          <w:sz w:val="28"/>
          <w:szCs w:val="28"/>
          <w:rtl w:val="true"/>
          <w:lang w:bidi="ar-SA"/>
        </w:rPr>
        <w:t xml:space="preserve">و البخاريّ </w:t>
      </w:r>
      <w:r>
        <w:rPr>
          <w:rStyle w:val="FootnoteAnchor"/>
          <w:rtl w:val="true"/>
        </w:rPr>
        <w:footnoteReference w:id="716"/>
      </w:r>
      <w:r>
        <w:rPr>
          <w:rFonts w:ascii="Amiri" w:hAnsi="Amiri" w:eastAsia="Amiri" w:cs="Amiri"/>
          <w:color w:val="111111"/>
          <w:sz w:val="28"/>
          <w:sz w:val="28"/>
          <w:szCs w:val="28"/>
          <w:rtl w:val="true"/>
          <w:lang w:bidi="ar-SA"/>
        </w:rPr>
        <w:t xml:space="preserve">من حديث أسماء </w:t>
      </w:r>
      <w:r>
        <w:rPr>
          <w:rStyle w:val="FootnoteAnchor"/>
          <w:rtl w:val="true"/>
        </w:rPr>
        <w:footnoteReference w:id="717"/>
      </w:r>
      <w:r>
        <w:rPr>
          <w:rFonts w:ascii="Amiri" w:hAnsi="Amiri" w:eastAsia="Amiri" w:cs="Amiri"/>
          <w:color w:val="111111"/>
          <w:sz w:val="28"/>
          <w:sz w:val="28"/>
          <w:szCs w:val="28"/>
          <w:rtl w:val="true"/>
          <w:lang w:bidi="ar-SA"/>
        </w:rPr>
        <w:t>انّ امرأة سألت النّبيّ صلّى اللّه عليه و آله عن دم الحيض يصيب الثّوب،فقال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حتّيه،ثمَّ اقرصيه،ثمَّ اغسليه </w:t>
      </w:r>
      <w:r>
        <w:rPr>
          <w:rStyle w:val="FootnoteAnchor"/>
          <w:rtl w:val="true"/>
        </w:rPr>
        <w:footnoteReference w:id="718"/>
      </w:r>
      <w:r>
        <w:rPr>
          <w:rFonts w:ascii="IRNazanin" w:hAnsi="IRNazanin" w:eastAsia="IRNazanin"/>
          <w:color w:val="111111"/>
          <w:sz w:val="28"/>
          <w:sz w:val="28"/>
          <w:szCs w:val="28"/>
          <w:rtl w:val="true"/>
          <w:lang w:bidi="fa-IR"/>
        </w:rPr>
        <w:t>بالماء</w:t>
      </w:r>
      <w:r>
        <w:rPr>
          <w:rFonts w:eastAsia="IRNazanin" w:cs="IRNazanin"/>
          <w:color w:val="111111"/>
          <w:sz w:val="28"/>
          <w:szCs w:val="28"/>
          <w:rtl w:val="true"/>
          <w:lang w:bidi="fa-IR"/>
        </w:rPr>
        <w:t xml:space="preserve">)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رواه الأصحاب،عن أبي عبد اللّه عليه السّلام في الحسن،روى الحسين بن أبي العلاء </w:t>
      </w:r>
      <w:r>
        <w:rPr>
          <w:rStyle w:val="FootnoteAnchor"/>
          <w:rtl w:val="true"/>
        </w:rPr>
        <w:footnoteReference w:id="7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الصّبيّ يبول على الثّوب؟قال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يصبّ عليه الماء قليلا ثمَّ يعصره</w:t>
      </w:r>
      <w:r>
        <w:rPr>
          <w:rFonts w:eastAsia="Amiri" w:cs="Amiri" w:ascii="Amiri" w:hAnsi="Amiri"/>
          <w:color w:val="111111"/>
          <w:sz w:val="28"/>
          <w:szCs w:val="28"/>
          <w:rtl w:val="true"/>
          <w:lang w:bidi="ar-SA"/>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الحلبيّ،عنه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بول الصّبيّ؟قال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تصبّ عليه الماء</w:t>
      </w:r>
      <w:r>
        <w:rPr>
          <w:rFonts w:eastAsia="Amiri" w:cs="Amiri" w:ascii="Amiri" w:hAnsi="Amiri"/>
          <w:color w:val="111111"/>
          <w:sz w:val="28"/>
          <w:szCs w:val="28"/>
          <w:rtl w:val="true"/>
          <w:lang w:bidi="ar-SA"/>
        </w:rPr>
        <w:t xml:space="preserve">)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أيضا الحلبيّ في الحسن،عن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أجنب في ثوبه و ليس معه ثوب غيره؟قال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فيه،و إذا وجد الماء غسله</w:t>
      </w:r>
      <w:r>
        <w:rPr>
          <w:rFonts w:eastAsia="Amiri" w:cs="Amiri" w:ascii="Amiri" w:hAnsi="Amiri"/>
          <w:color w:val="111111"/>
          <w:sz w:val="28"/>
          <w:szCs w:val="28"/>
          <w:rtl w:val="true"/>
          <w:lang w:bidi="ar-SA"/>
        </w:rPr>
        <w:t xml:space="preserve">)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انّهم عليهم السّلام أمروا </w:t>
      </w:r>
      <w:r>
        <w:rPr>
          <w:rStyle w:val="FootnoteAnchor"/>
          <w:rtl w:val="true"/>
        </w:rPr>
        <w:footnoteReference w:id="724"/>
      </w:r>
      <w:r>
        <w:rPr>
          <w:rFonts w:ascii="IRNazanin" w:hAnsi="IRNazanin" w:eastAsia="IRNazanin"/>
          <w:color w:val="111111"/>
          <w:sz w:val="28"/>
          <w:sz w:val="28"/>
          <w:szCs w:val="28"/>
          <w:rtl w:val="true"/>
          <w:lang w:bidi="fa-IR"/>
        </w:rPr>
        <w:t xml:space="preserve">بالغسل بالماء جوابا للسّؤال </w:t>
      </w:r>
      <w:r>
        <w:rPr>
          <w:rStyle w:val="FootnoteAnchor"/>
          <w:rtl w:val="true"/>
        </w:rPr>
        <w:footnoteReference w:id="725"/>
      </w:r>
      <w:r>
        <w:rPr>
          <w:rFonts w:ascii="Amiri" w:hAnsi="Amiri" w:eastAsia="Amiri" w:cs="Amiri"/>
          <w:color w:val="111111"/>
          <w:sz w:val="28"/>
          <w:sz w:val="28"/>
          <w:szCs w:val="28"/>
          <w:rtl w:val="true"/>
          <w:lang w:bidi="ar-SA"/>
        </w:rPr>
        <w:t xml:space="preserve">و جعلوه طريقا في تحصيل الطّهارة،فلو حصلت بغيره لكان التّعيين تضييقا،و هو منفيّ،لما فيه من الحرج،و عبثا لخلّوه عن </w:t>
      </w:r>
      <w:r>
        <w:rPr>
          <w:rStyle w:val="FootnoteAnchor"/>
          <w:rtl w:val="true"/>
        </w:rPr>
        <w:footnoteReference w:id="726"/>
      </w:r>
      <w:r>
        <w:rPr>
          <w:rFonts w:ascii="Amiri" w:hAnsi="Amiri" w:eastAsia="Amiri" w:cs="Amiri"/>
          <w:color w:val="111111"/>
          <w:sz w:val="28"/>
          <w:sz w:val="28"/>
          <w:szCs w:val="28"/>
          <w:rtl w:val="true"/>
          <w:lang w:bidi="ar-SA"/>
        </w:rPr>
        <w:t>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قضيّة في عين،و قضايا الأعيان لا عموم لها لتناولها صورة واحدة،فيكون محلّ النزاع خاليا عن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نمنع دلالة التّخصيص على التّعيين،فإنّه قد يأتي لغيره كالتّنبيه </w:t>
      </w:r>
      <w:r>
        <w:rPr>
          <w:rStyle w:val="FootnoteAnchor"/>
          <w:rtl w:val="true"/>
        </w:rPr>
        <w:footnoteReference w:id="727"/>
      </w:r>
      <w:r>
        <w:rPr>
          <w:rFonts w:ascii="Amiri" w:hAnsi="Amiri" w:eastAsia="Amiri" w:cs="Amiri"/>
          <w:color w:val="111111"/>
          <w:sz w:val="28"/>
          <w:sz w:val="28"/>
          <w:szCs w:val="28"/>
          <w:rtl w:val="true"/>
          <w:lang w:bidi="ar-SA"/>
        </w:rPr>
        <w:t>كما في صورة التّأفيف،و كالتّعدية في غير محلّ التّنصيص للجامع المستنبط،و ككون المذكور أغلب،كما في الرّبيبة،فلم لا يجوز ذلك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التّخصيص إنّما دلّ على التّعيين على سبيل الاستحباب بدليل الأمر بالحتّ و القرص،و ليسا بواجبين و لا طريقين إلى حصول الطّهارة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نقول بالموجب،فإنّه أمر بإزالة العين المرئيّة،و مع زوالها بالحكّ مثلا لم يبق ما </w:t>
      </w:r>
    </w:p>
    <w:p>
      <w:pPr>
        <w:pStyle w:val="BookText"/>
        <w:rPr/>
      </w:pPr>
      <w:r>
        <w:rPr>
          <w:rFonts w:ascii="Amiri" w:hAnsi="Amiri" w:eastAsia="Amiri" w:cs="Amiri"/>
          <w:color w:val="111111"/>
          <w:sz w:val="28"/>
          <w:sz w:val="28"/>
          <w:szCs w:val="28"/>
          <w:rtl w:val="true"/>
          <w:lang w:bidi="ar-SA"/>
        </w:rPr>
        <w:t>يتوجّه الخطاب إليه،كمن نذر ذبح شاة فماتت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نجيب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قضايا الأعيان حجّة اتّفاقا إلاّ من داود،فلا يسمع من أبي حنيفة و السّيّد المرتضى هذا المنع،و هل أكثر الأحكام الشّرعيّة إلاّ مستندة إلى حكمه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الحكيم لا يخصّ شيئا بالذّكر مع انتفاء المقتضي للتّخصيص من التّعيين بسؤال أو قرينة حال،إلاّ لاختصاصه بالحكم خصوصا مع انّه ذكر جنس الغسل، فلو أراد التّعميم لاقتصر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الأمر قد ثبت انّه للوجوب،على انّا لم نتمسّك بالأمر في إثبات الإيجاب ليحمل على الاستحباب،و إنّما وقع التّمسّك بكونه نصّ على الماء بالذّكر في جهة البيان،فيختصّ بالتّطهير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الحتّ و القرص،فهما واجبان إذا لم يمكن الإزالة إلاّ بهما،على انّ خروج الدّليل عن الدّلالة في صورة المعيّن لا يقتضي الخروج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الرّابع،و هو سؤال القول بالموجب الّذي هو أقواها </w:t>
      </w:r>
      <w:r>
        <w:rPr>
          <w:rStyle w:val="FootnoteAnchor"/>
          <w:rtl w:val="true"/>
        </w:rPr>
        <w:footnoteReference w:id="7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لم نستدلّ على الإيجاب ليدّعي الخصم انتفاء الخطاب،و إنّما تمسّكنا به لإثبات تعيين الماء على 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 الإيجاب،لكنّ الضّمير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اغسليه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عائد إلى الثّوب بدليل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صلّي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إلى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إزالة النّجاسة الحكميّة و هو الحدث به،فلا يجوز إزالة الحقيقيّة به،بل أولى،لأنّ الحكميّ تقدير الحقيقيّ و هو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بملاقاة النّجاسة ينجس،فلا يطهر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ينتقض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يقتضي الدّليل نجاستهما،خالفناه في الماء للإجماع،فلا يتعدّى إلى غيره، لما فيه من كثرة مخالفة الدّليل</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الشّرع منع من الصّلاة في الثّوب النّجس و استصحاب النّجس في الصّلاة، </w:t>
      </w:r>
    </w:p>
    <w:p>
      <w:pPr>
        <w:pStyle w:val="BookText"/>
        <w:rPr/>
      </w:pPr>
      <w:r>
        <w:rPr>
          <w:rFonts w:ascii="Amiri" w:hAnsi="Amiri" w:eastAsia="Amiri" w:cs="Amiri"/>
          <w:color w:val="111111"/>
          <w:sz w:val="28"/>
          <w:sz w:val="28"/>
          <w:szCs w:val="28"/>
          <w:rtl w:val="true"/>
          <w:lang w:bidi="ar-SA"/>
        </w:rPr>
        <w:t>فيقف زوال المنع على الإذن،و يستصحب المنع إلى أن يظهر المنافي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 تراد لأجل الصّلاة،فلا تحصل بغير الماء كطهارة الحدث،و يؤيّده من حيث الشّبه و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الشّبه،فاعتبار إحدى الطّهارتين بالأخرى نظرا إلى الاشتراك في الاسم و المقصود،فإنّه مشعر باتّحاد الوسيلتين في الحكم إلاّ أن يبدي الخصم فارقا،و أمّا المعنى،فهو انّ المحلّ إذا نجس استدعى محيلا،و الإحالة من خصائص الماء دون غيره من المائعات،و دليل الاختصاص طهارة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يمنع الاشتراك لفظا من حيث انّ الإزالة ليست طهارة،بل إزالة نجاسة عن المحلّ الطّاهر في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 سلامته عن هذا،لكن لا نسلّم عن المطالبة،و ما ذكرتموه من التّقرير بالاشتراك في الاسم و المقصود لا يستقيم،فإنّه ما من شيئين إلاّ و يشتركان من جهة و يختلفان من اخرى،لكنّ الجمع لا يمكن إلاّ إذا اتّفقا في المعنى المحصّل للحكم و لم يثبتوا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 الطّهارتين بكون إحداهما مزيلة لعين مرئيّة دون الأخرى فلا فرق في زوال العين بالخلّ و بغيره،و بكون إحداهما يشترط فيها النّيّة و الموالاة و التّرتيب،فجاز اشتراطها بالماء دون الأخرى،و بأنّ طهارة الخبث أكثر توسعة في التّحصيل،فإنّها تحصل بفعل الصّبيّ و المجنون بخلاف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 بالخمر المنقلب،فإنّه يطهر الدّن و إن لم يحصل استعمال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القلب،فنقول طهارة تراد للصّلاة فتوجد بغير الماء كطهارة الحدث الحاصلة بالتّيمّم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نجيب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هذا غير مسموع فإنّا نعلم قطعا من عرف اللّغة إطلاق لفظ الطّهارة على إزالة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الشّارع نصّ على ذلك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طهور إناء أحدكم إذا ولغ فيه الكلب،أن يغسله سبعا</w:t>
      </w:r>
      <w:r>
        <w:rPr>
          <w:rFonts w:eastAsia="Amiri" w:cs="Amiri" w:ascii="Amiri" w:hAnsi="Amiri"/>
          <w:color w:val="111111"/>
          <w:sz w:val="28"/>
          <w:szCs w:val="28"/>
          <w:rtl w:val="true"/>
          <w:lang w:bidi="ar-SA"/>
        </w:rPr>
        <w:t xml:space="preserve">) </w:t>
      </w:r>
      <w:r>
        <w:rPr>
          <w:rStyle w:val="FootnoteAnchor"/>
          <w:rtl w:val="true"/>
        </w:rPr>
        <w:footnoteReference w:id="729"/>
      </w:r>
      <w:r>
        <w:rPr>
          <w:rFonts w:ascii="Amiri" w:hAnsi="Amiri" w:eastAsia="Amiri" w:cs="Amiri"/>
          <w:color w:val="111111"/>
          <w:sz w:val="28"/>
          <w:sz w:val="28"/>
          <w:szCs w:val="28"/>
          <w:rtl w:val="true"/>
          <w:lang w:bidi="ar-SA"/>
        </w:rPr>
        <w:t>و غير ذلك من الأحاديث الّتي نقلتموها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سؤال المطالبة ما بيّنّا من الجامع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الفرق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الخلّ ليس في معنى الماء،لسيلانه و شدّة رطوبته و لطافته، و غوصة في أجزاء الجسم،فيستأصل أجزاء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غير لائق من أبي حنيفة،فإنّه لا يقول باشتراط النّيّة و التّرتيب </w:t>
      </w:r>
      <w:r>
        <w:rPr>
          <w:rStyle w:val="FootnoteAnchor"/>
          <w:rtl w:val="true"/>
        </w:rPr>
        <w:footnoteReference w:id="730"/>
      </w:r>
      <w:r>
        <w:rPr>
          <w:rFonts w:ascii="Amiri" w:hAnsi="Amiri" w:eastAsia="Amiri" w:cs="Amiri"/>
          <w:color w:val="111111"/>
          <w:sz w:val="28"/>
          <w:sz w:val="28"/>
          <w:szCs w:val="28"/>
          <w:rtl w:val="true"/>
          <w:lang w:bidi="ar-SA"/>
        </w:rPr>
        <w:t>، 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وارد على أحد المأخذين،أعني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المقصود هو استعمال الماء،و قد وجد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بالفرق،فإنّ الحاجة ماسّة إلى الخلول،و هي مفتقرة إلى الظّروف،فلو حكمنا بنجاستها كان ذلك حكما بنجاسة الخلّ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بالمنع من حكم الأصل،فإنّ التّيمّم لا يرفع الحدث،و لا يسمّى طهارة حقيقة عند بعضهم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فهذا غير لائق من أبي حنيفة،فإنّه يرى انّ التّيمّم بدل </w:t>
      </w:r>
      <w:r>
        <w:rPr>
          <w:rStyle w:val="FootnoteAnchor"/>
          <w:rtl w:val="true"/>
        </w:rPr>
        <w:footnoteReference w:id="732"/>
      </w:r>
      <w:r>
        <w:rPr>
          <w:rFonts w:ascii="Amiri" w:hAnsi="Amiri" w:eastAsia="Amiri" w:cs="Amiri"/>
          <w:color w:val="111111"/>
          <w:sz w:val="28"/>
          <w:sz w:val="28"/>
          <w:szCs w:val="28"/>
          <w:rtl w:val="true"/>
          <w:lang w:bidi="ar-SA"/>
        </w:rPr>
        <w:t xml:space="preserve">،و لا يرى القياس في الأبدال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احتجّوا بأنّه قد ورد الأمر بالغسل،روى الجمهور،عن النّبيّ صلّى اللّه عليه و آله انّه قال لخولة بنت يسار </w:t>
      </w:r>
      <w:r>
        <w:rPr>
          <w:rStyle w:val="FootnoteAnchor"/>
          <w:rtl w:val="true"/>
        </w:rPr>
        <w:footnoteReference w:id="7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حتّيه،ثمَّ اقرصيه،ثمَّ اغسليه</w:t>
      </w:r>
      <w:r>
        <w:rPr>
          <w:rFonts w:eastAsia="Amiri" w:cs="Amiri" w:ascii="Amiri" w:hAnsi="Amiri"/>
          <w:color w:val="111111"/>
          <w:sz w:val="28"/>
          <w:szCs w:val="28"/>
          <w:rtl w:val="true"/>
          <w:lang w:bidi="ar-SA"/>
        </w:rPr>
        <w:t xml:space="preserve">)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الأصحاب،عن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أصاب الثّوب المنيّ، فليغسل</w:t>
      </w:r>
      <w:r>
        <w:rPr>
          <w:rFonts w:eastAsia="Amiri" w:cs="Amiri" w:ascii="Amiri" w:hAnsi="Amiri"/>
          <w:color w:val="111111"/>
          <w:sz w:val="28"/>
          <w:szCs w:val="28"/>
          <w:rtl w:val="true"/>
          <w:lang w:bidi="ar-SA"/>
        </w:rPr>
        <w:t xml:space="preserve">) </w:t>
      </w:r>
      <w:r>
        <w:rPr>
          <w:rStyle w:val="FootnoteAnchor"/>
          <w:rtl w:val="true"/>
        </w:rPr>
        <w:footnoteReference w:id="736"/>
      </w:r>
      <w:r>
        <w:rPr>
          <w:rFonts w:ascii="Amiri" w:hAnsi="Amiri" w:eastAsia="Amiri" w:cs="Amiri"/>
          <w:color w:val="111111"/>
          <w:sz w:val="28"/>
          <w:sz w:val="28"/>
          <w:szCs w:val="28"/>
          <w:rtl w:val="true"/>
          <w:lang w:bidi="ar-SA"/>
        </w:rPr>
        <w:t>و ليس في ذلك تقييد بالماء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الشّيخ في الحسن،عن حكم بن حكيم الصّيرفيّ </w:t>
      </w:r>
      <w:r>
        <w:rPr>
          <w:rStyle w:val="FootnoteAnchor"/>
          <w:rtl w:val="true"/>
        </w:rPr>
        <w:footnoteReference w:id="7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أبول فلا أصيب الماء،و قد أصاب يدي شيء من البول فأمسحه بالحائط و التّراب،ثمَّ تعرق يدي فأمسّ وجهي أو بعض جسدي أو يصيب ثوبي؟قال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غياث بن إبراهيم </w:t>
      </w:r>
      <w:r>
        <w:rPr>
          <w:rStyle w:val="FootnoteAnchor"/>
          <w:rtl w:val="true"/>
        </w:rPr>
        <w:footnoteReference w:id="739"/>
      </w:r>
      <w:r>
        <w:rPr>
          <w:rFonts w:ascii="Amiri" w:hAnsi="Amiri" w:eastAsia="Amiri" w:cs="Amiri"/>
          <w:color w:val="111111"/>
          <w:sz w:val="28"/>
          <w:sz w:val="28"/>
          <w:szCs w:val="28"/>
          <w:rtl w:val="true"/>
          <w:lang w:bidi="ar-SA"/>
        </w:rPr>
        <w:t>،عن أبي عبد اللّه عليه السّلام،عن أبيه،عن عليّ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تغسل الدّم بالبصاق</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النّجاسة تابعة للعين بالدّوران و قد زالت،فيزول معلولها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ينافي التّقييد بالماء،فيحمل عليه،لما قلناه من الأدلّة، و لأنّ إطلاق الغسل ينصرف إلى تحصيله بالماء كما في 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الرّواية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المراد،لا بأس بالصّلاة مع ذلك قبل الغسل للضّرورة،و ليس فيه دلالة على الطّهارة،و تحمل الرّواية حينئذ على ما إذا زالت الرّطوبة بالعرق ثمَّ يمسّ جسده أو وجهه أو ثوبه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انّها ضعيفة السّند فإنّ غياثا هذا بتريّ،فلا تعويل على روايته،على انّه يمكن حملها على الدّم الّذي ليس بنجس،كدم ما لا نفس له سائلة،أو يحمل على الاستعانة </w:t>
      </w:r>
      <w:bookmarkStart w:id="521" w:name="pg12672_159877"/>
    </w:p>
    <w:p>
      <w:pPr>
        <w:pStyle w:val="BookText"/>
        <w:rPr/>
      </w:pPr>
      <w:bookmarkEnd w:id="521"/>
      <w:r>
        <w:rPr>
          <w:rFonts w:ascii="Amiri" w:hAnsi="Amiri" w:eastAsia="Amiri" w:cs="Amiri"/>
          <w:color w:val="111111"/>
          <w:sz w:val="28"/>
          <w:sz w:val="28"/>
          <w:szCs w:val="28"/>
          <w:rtl w:val="true"/>
          <w:lang w:bidi="ar-SA"/>
        </w:rPr>
        <w:t>بالبصاق،لا انّه 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بالمنع من المقدّمتين </w:t>
      </w:r>
      <w:r>
        <w:rPr>
          <w:rFonts w:eastAsia="Amiri" w:cs="Amiri" w:ascii="Amiri" w:hAnsi="Amiri"/>
          <w:color w:val="111111"/>
          <w:sz w:val="28"/>
          <w:szCs w:val="28"/>
          <w:rtl w:val="true"/>
          <w:lang w:bidi="ar-SA"/>
        </w:rPr>
        <w:t>.</w:t>
      </w:r>
    </w:p>
    <w:p>
      <w:pPr>
        <w:pStyle w:val="Heading6"/>
        <w:numPr>
          <w:ilvl w:val="5"/>
          <w:numId w:val="1"/>
        </w:numPr>
        <w:rPr/>
      </w:pPr>
      <w:bookmarkStart w:id="522" w:name="__RefHeading___Toc747031_222507752"/>
      <w:bookmarkStart w:id="523" w:name="_Toc206"/>
      <w:bookmarkEnd w:id="522"/>
      <w:r>
        <w:rPr>
          <w:rtl w:val="true"/>
        </w:rPr>
        <w:t>مسألة</w:t>
      </w:r>
      <w:r>
        <w:rPr>
          <w:rtl w:val="true"/>
        </w:rPr>
        <w:t>:</w:t>
      </w:r>
      <w:r>
        <w:rPr>
          <w:rtl w:val="true"/>
        </w:rPr>
        <w:t>لا خلاف بيننا انّ المضاف ينجس بالملاقاة و إن كثر</w:t>
      </w:r>
      <w:bookmarkEnd w:id="523"/>
    </w:p>
    <w:p>
      <w:pPr>
        <w:pStyle w:val="BookText"/>
        <w:rPr/>
      </w:pPr>
      <w:r>
        <w:rPr>
          <w:rFonts w:ascii="Amiri" w:hAnsi="Amiri" w:eastAsia="Amiri" w:cs="Amiri"/>
          <w:color w:val="111111"/>
          <w:sz w:val="28"/>
          <w:sz w:val="28"/>
          <w:szCs w:val="28"/>
          <w:rtl w:val="true"/>
          <w:lang w:bidi="ar-SA"/>
        </w:rPr>
        <w:t>،سواء كانت النّجاسة قليلة أو كثيرة،و سواء غيّرت أحد أوصافه أو لم تغيّره،و هو إحدى الرّوايات عن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القلّتين،و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ما أصله الماء كالخلّ التّمريّ،فكالماء،و ما لا، فلا </w:t>
      </w:r>
      <w:r>
        <w:rPr>
          <w:rStyle w:val="FootnoteAnchor"/>
          <w:rtl w:val="true"/>
        </w:rPr>
        <w:footnoteReference w:id="7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الرّوايات في جميع المائعات و إن كانت من غير الماء،كالدّهن و 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النّبيّ صلّى اللّه عليه و آله،انّه سئل عن فأرة وقعت في سمن؟فقال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مائعا،فلا تقربوه</w:t>
      </w:r>
      <w:r>
        <w:rPr>
          <w:rFonts w:eastAsia="Amiri" w:cs="Amiri" w:ascii="Amiri" w:hAnsi="Amiri"/>
          <w:color w:val="111111"/>
          <w:sz w:val="28"/>
          <w:szCs w:val="28"/>
          <w:rtl w:val="true"/>
          <w:lang w:bidi="ar-SA"/>
        </w:rPr>
        <w:t xml:space="preserve">) </w:t>
      </w:r>
      <w:r>
        <w:rPr>
          <w:rStyle w:val="FootnoteAnchor"/>
          <w:rtl w:val="true"/>
        </w:rPr>
        <w:footnoteReference w:id="742"/>
      </w:r>
      <w:r>
        <w:rPr>
          <w:rFonts w:ascii="Amiri" w:hAnsi="Amiri" w:eastAsia="Amiri" w:cs="Amiri"/>
          <w:color w:val="111111"/>
          <w:sz w:val="28"/>
          <w:sz w:val="28"/>
          <w:szCs w:val="28"/>
          <w:rtl w:val="true"/>
          <w:lang w:bidi="ar-SA"/>
        </w:rPr>
        <w:t>و لم يفرّق بين القليل و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زرارة،عن الباقر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وقعت الفأرة في السّمن فماتت،فإن كان جامدا،فألقها و ما يليها و كلّ ما بقي،و إن كان ذائبا فلا تأكله،و لكن أسرج به</w:t>
      </w:r>
      <w:r>
        <w:rPr>
          <w:rFonts w:eastAsia="Amiri" w:cs="Amiri" w:ascii="Amiri" w:hAnsi="Amiri"/>
          <w:color w:val="111111"/>
          <w:sz w:val="28"/>
          <w:szCs w:val="28"/>
          <w:rtl w:val="true"/>
          <w:lang w:bidi="ar-SA"/>
        </w:rPr>
        <w:t xml:space="preserve">) </w:t>
      </w:r>
      <w:r>
        <w:rPr>
          <w:rStyle w:val="FootnoteAnchor"/>
          <w:rtl w:val="true"/>
        </w:rPr>
        <w:footnoteReference w:id="743"/>
      </w:r>
      <w:r>
        <w:rPr>
          <w:rFonts w:ascii="Amiri" w:hAnsi="Amiri" w:eastAsia="Amiri" w:cs="Amiri"/>
          <w:color w:val="111111"/>
          <w:sz w:val="28"/>
          <w:sz w:val="28"/>
          <w:szCs w:val="28"/>
          <w:rtl w:val="true"/>
          <w:lang w:bidi="ar-SA"/>
        </w:rPr>
        <w:t>و لأنّها لا قوّة لها على دفع النّجاسة،فإنّها لا تطهّر غيرها فلا يدفعها عن نفسها كالقليل،و الطّريق إلى تطهيره حينئذ،إلقاء كرّ فما زاد عليه من الماء المطلق،لأنّ بلوغ الكرّيّة سبب لعدم الانفعال عن الملاقي،و قد مازجه المضاف فاستهلكه، فلم يكن مؤثّرا في تنجيسه لوجود السّبب،و لا يمكن الإشارة إلى عين نجسة،فوجب الجزم بطهارة الجميع</w:t>
      </w:r>
      <w:r>
        <w:rPr>
          <w:rFonts w:eastAsia="Amiri" w:cs="Amiri" w:ascii="Amiri" w:hAnsi="Amiri"/>
          <w:color w:val="111111"/>
          <w:sz w:val="28"/>
          <w:szCs w:val="28"/>
          <w:rtl w:val="true"/>
          <w:lang w:bidi="ar-SA"/>
        </w:rPr>
        <w:t>.</w:t>
      </w:r>
    </w:p>
    <w:p>
      <w:pPr>
        <w:pStyle w:val="Heading6"/>
        <w:numPr>
          <w:ilvl w:val="5"/>
          <w:numId w:val="1"/>
        </w:numPr>
        <w:rPr/>
      </w:pPr>
      <w:bookmarkStart w:id="524" w:name="__RefHeading___Toc747033_222507752"/>
      <w:bookmarkStart w:id="525" w:name="_Toc207"/>
      <w:bookmarkEnd w:id="524"/>
      <w:r>
        <w:rPr>
          <w:rtl w:val="true"/>
        </w:rPr>
        <w:t>فرعان</w:t>
      </w:r>
      <w:r>
        <w:rPr>
          <w:rtl w:val="true"/>
        </w:rPr>
        <w:t>:</w:t>
      </w:r>
      <w:bookmarkEnd w:id="525"/>
    </w:p>
    <w:p>
      <w:pPr>
        <w:pStyle w:val="Heading6"/>
        <w:numPr>
          <w:ilvl w:val="5"/>
          <w:numId w:val="1"/>
        </w:numPr>
        <w:rPr/>
      </w:pPr>
      <w:bookmarkStart w:id="526" w:name="__RefHeading___Toc747035_222507752"/>
      <w:bookmarkStart w:id="527" w:name="_Toc208"/>
      <w:bookmarkEnd w:id="526"/>
      <w:r>
        <w:rPr>
          <w:rtl w:val="true"/>
        </w:rPr>
        <w:t>الأوّل</w:t>
      </w:r>
      <w:r>
        <w:rPr>
          <w:rtl w:val="true"/>
        </w:rPr>
        <w:t>:</w:t>
      </w:r>
      <w:r>
        <w:rPr>
          <w:rtl w:val="true"/>
        </w:rPr>
        <w:t>لو تغيّر الكثير بأحد أوصاف المضاف</w:t>
      </w:r>
      <w:r>
        <w:rPr>
          <w:rtl w:val="true"/>
        </w:rPr>
        <w:t>:</w:t>
      </w:r>
      <w:bookmarkEnd w:id="527"/>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نجس الكثير </w:t>
      </w:r>
      <w:r>
        <w:rPr>
          <w:rStyle w:val="FootnoteAnchor"/>
          <w:rtl w:val="true"/>
        </w:rPr>
        <w:footnoteReference w:id="745"/>
      </w:r>
      <w:r>
        <w:rPr>
          <w:rFonts w:ascii="Amiri" w:hAnsi="Amiri" w:eastAsia="Amiri" w:cs="Amiri"/>
          <w:color w:val="111111"/>
          <w:sz w:val="28"/>
          <w:sz w:val="28"/>
          <w:szCs w:val="28"/>
          <w:rtl w:val="true"/>
          <w:lang w:bidi="ar-SA"/>
        </w:rPr>
        <w:t>، و ليس بجيّد</w:t>
      </w:r>
      <w:r>
        <w:rPr>
          <w:rFonts w:eastAsia="Amiri" w:cs="Amiri" w:ascii="Amiri" w:hAnsi="Amiri"/>
          <w:color w:val="111111"/>
          <w:sz w:val="28"/>
          <w:szCs w:val="28"/>
          <w:rtl w:val="true"/>
          <w:lang w:bidi="ar-SA"/>
        </w:rPr>
        <w:t xml:space="preserve">. </w:t>
      </w:r>
      <w:bookmarkStart w:id="528" w:name="pg12672_159878"/>
    </w:p>
    <w:p>
      <w:pPr>
        <w:pStyle w:val="BookText"/>
        <w:rPr/>
      </w:pPr>
      <w:bookmarkEnd w:id="528"/>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الأصل الطّهارة،و انفعال الكرّ بالنّجس ليس انفعالا بالنّجاسة،و المؤثّر في التّنجيس إنّما هو الثّاني لا الأوّل </w:t>
      </w:r>
      <w:r>
        <w:rPr>
          <w:rFonts w:eastAsia="Amiri" w:cs="Amiri" w:ascii="Amiri" w:hAnsi="Amiri"/>
          <w:color w:val="111111"/>
          <w:sz w:val="28"/>
          <w:szCs w:val="28"/>
          <w:rtl w:val="true"/>
          <w:lang w:bidi="ar-SA"/>
        </w:rPr>
        <w:t>.</w:t>
      </w:r>
    </w:p>
    <w:p>
      <w:pPr>
        <w:pStyle w:val="Heading6"/>
        <w:numPr>
          <w:ilvl w:val="5"/>
          <w:numId w:val="1"/>
        </w:numPr>
        <w:rPr/>
      </w:pPr>
      <w:bookmarkStart w:id="529" w:name="__RefHeading___Toc747037_222507752"/>
      <w:bookmarkStart w:id="530" w:name="_Toc209"/>
      <w:bookmarkEnd w:id="529"/>
      <w:r>
        <w:rPr>
          <w:rtl w:val="true"/>
        </w:rPr>
        <w:t>الثّاني</w:t>
      </w:r>
      <w:r>
        <w:rPr>
          <w:rtl w:val="true"/>
        </w:rPr>
        <w:t>:</w:t>
      </w:r>
      <w:r>
        <w:rPr>
          <w:rtl w:val="true"/>
        </w:rPr>
        <w:t>لو سلبه المضاف إطلاق الاسم،</w:t>
      </w:r>
      <w:bookmarkEnd w:id="530"/>
    </w:p>
    <w:p>
      <w:pPr>
        <w:pStyle w:val="BookText"/>
        <w:rPr/>
      </w:pPr>
      <w:r>
        <w:rPr>
          <w:rFonts w:ascii="Amiri" w:hAnsi="Amiri" w:eastAsia="Amiri" w:cs="Amiri"/>
          <w:color w:val="111111"/>
          <w:sz w:val="28"/>
          <w:sz w:val="28"/>
          <w:szCs w:val="28"/>
          <w:rtl w:val="true"/>
          <w:lang w:bidi="ar-SA"/>
        </w:rPr>
        <w:t>فالأقوى حصول الطّهارة،و ارتفاع الطّهوريّة</w:t>
      </w:r>
      <w:r>
        <w:rPr>
          <w:rFonts w:eastAsia="Amiri" w:cs="Amiri" w:ascii="Amiri" w:hAnsi="Amiri"/>
          <w:color w:val="111111"/>
          <w:sz w:val="28"/>
          <w:szCs w:val="28"/>
          <w:rtl w:val="true"/>
          <w:lang w:bidi="ar-SA"/>
        </w:rPr>
        <w:t>.</w:t>
      </w:r>
    </w:p>
    <w:p>
      <w:pPr>
        <w:pStyle w:val="Heading6"/>
        <w:numPr>
          <w:ilvl w:val="5"/>
          <w:numId w:val="1"/>
        </w:numPr>
        <w:rPr/>
      </w:pPr>
      <w:bookmarkStart w:id="531" w:name="__RefHeading___Toc747039_222507752"/>
      <w:bookmarkStart w:id="532" w:name="_Toc210"/>
      <w:bookmarkEnd w:id="531"/>
      <w:r>
        <w:rPr>
          <w:rtl w:val="true"/>
        </w:rPr>
        <w:t>مسألة</w:t>
      </w:r>
      <w:r>
        <w:rPr>
          <w:rtl w:val="true"/>
        </w:rPr>
        <w:t>:</w:t>
      </w:r>
      <w:r>
        <w:rPr>
          <w:rtl w:val="true"/>
        </w:rPr>
        <w:t>الماء المستعمل في رفع الحدث الأصغر طاهر مطهّر إجماعا منّا</w:t>
      </w:r>
      <w:bookmarkEnd w:id="532"/>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الحسن البصريّ،و الزّهريّ </w:t>
      </w:r>
      <w:r>
        <w:rPr>
          <w:rStyle w:val="FootnoteAnchor"/>
          <w:rtl w:val="true"/>
        </w:rPr>
        <w:footnoteReference w:id="746"/>
      </w:r>
      <w:r>
        <w:rPr>
          <w:rFonts w:ascii="Amiri" w:hAnsi="Amiri" w:eastAsia="Amiri" w:cs="Amiri"/>
          <w:color w:val="111111"/>
          <w:sz w:val="28"/>
          <w:sz w:val="28"/>
          <w:szCs w:val="28"/>
          <w:rtl w:val="true"/>
          <w:lang w:bidi="ar-SA"/>
        </w:rPr>
        <w:t xml:space="preserve">،و النّخعيّ </w:t>
      </w:r>
      <w:r>
        <w:rPr>
          <w:rStyle w:val="FootnoteAnchor"/>
          <w:rtl w:val="true"/>
        </w:rPr>
        <w:footnoteReference w:id="747"/>
      </w:r>
      <w:r>
        <w:rPr>
          <w:rFonts w:ascii="Amiri" w:hAnsi="Amiri" w:eastAsia="Amiri" w:cs="Amiri"/>
          <w:color w:val="111111"/>
          <w:sz w:val="28"/>
          <w:sz w:val="28"/>
          <w:szCs w:val="28"/>
          <w:rtl w:val="true"/>
          <w:lang w:bidi="ar-SA"/>
        </w:rPr>
        <w:t xml:space="preserve">،و عطاء بن أبي رباح،و مكحول </w:t>
      </w:r>
      <w:r>
        <w:rPr>
          <w:rStyle w:val="FootnoteAnchor"/>
          <w:rtl w:val="true"/>
        </w:rPr>
        <w:footnoteReference w:id="748"/>
      </w:r>
      <w:r>
        <w:rPr>
          <w:rFonts w:ascii="Amiri" w:hAnsi="Amiri" w:eastAsia="Amiri" w:cs="Amiri"/>
          <w:color w:val="111111"/>
          <w:sz w:val="28"/>
          <w:sz w:val="28"/>
          <w:szCs w:val="28"/>
          <w:rtl w:val="true"/>
          <w:lang w:bidi="ar-SA"/>
        </w:rPr>
        <w:t xml:space="preserve">،و أبي ثور </w:t>
      </w:r>
      <w:r>
        <w:rPr>
          <w:rStyle w:val="FootnoteAnchor"/>
          <w:rtl w:val="true"/>
        </w:rPr>
        <w:footnoteReference w:id="749"/>
      </w:r>
      <w:r>
        <w:rPr>
          <w:rFonts w:ascii="IRNazanin" w:hAnsi="IRNazanin" w:eastAsia="IRNazanin"/>
          <w:color w:val="111111"/>
          <w:sz w:val="28"/>
          <w:sz w:val="28"/>
          <w:szCs w:val="28"/>
          <w:rtl w:val="true"/>
          <w:lang w:bidi="fa-IR"/>
        </w:rPr>
        <w:t xml:space="preserve">، </w:t>
      </w:r>
      <w:r>
        <w:rPr>
          <w:rStyle w:val="FootnoteAnchor"/>
          <w:rtl w:val="true"/>
        </w:rPr>
        <w:footnoteReference w:id="750"/>
      </w:r>
      <w:r>
        <w:rPr>
          <w:rFonts w:ascii="IRNazanin" w:hAnsi="IRNazanin" w:eastAsia="IRNazanin"/>
          <w:color w:val="111111"/>
          <w:sz w:val="28"/>
          <w:sz w:val="28"/>
          <w:szCs w:val="28"/>
          <w:rtl w:val="true"/>
          <w:lang w:bidi="fa-IR"/>
        </w:rPr>
        <w:t xml:space="preserve">،و داود،و أهل الظّاهر </w:t>
      </w:r>
      <w:r>
        <w:rPr>
          <w:rStyle w:val="FootnoteAnchor"/>
          <w:rtl w:val="true"/>
        </w:rPr>
        <w:footnoteReference w:id="751"/>
      </w:r>
      <w:r>
        <w:rPr>
          <w:rFonts w:ascii="Amiri" w:hAnsi="Amiri" w:eastAsia="Amiri" w:cs="Amiri"/>
          <w:color w:val="111111"/>
          <w:sz w:val="28"/>
          <w:sz w:val="28"/>
          <w:szCs w:val="28"/>
          <w:rtl w:val="true"/>
          <w:lang w:bidi="ar-SA"/>
        </w:rPr>
        <w:t xml:space="preserve">،و إحدى الرّوايتين عن مالك </w:t>
      </w:r>
      <w:r>
        <w:rPr>
          <w:rStyle w:val="FootnoteAnchor"/>
          <w:rtl w:val="true"/>
        </w:rPr>
        <w:footnoteReference w:id="752"/>
      </w:r>
      <w:r>
        <w:rPr>
          <w:rFonts w:ascii="IRNazanin" w:hAnsi="IRNazanin" w:eastAsia="IRNazanin"/>
          <w:color w:val="111111"/>
          <w:sz w:val="28"/>
          <w:sz w:val="28"/>
          <w:szCs w:val="28"/>
          <w:rtl w:val="true"/>
          <w:lang w:bidi="fa-IR"/>
        </w:rPr>
        <w:t xml:space="preserve">و أحمد </w:t>
      </w:r>
      <w:r>
        <w:rPr>
          <w:rStyle w:val="FootnoteAnchor"/>
          <w:rtl w:val="true"/>
        </w:rPr>
        <w:footnoteReference w:id="75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حكاه عيسى بن أبان </w:t>
      </w:r>
      <w:r>
        <w:rPr>
          <w:rStyle w:val="FootnoteAnchor"/>
          <w:rtl w:val="true"/>
        </w:rPr>
        <w:footnoteReference w:id="754"/>
      </w:r>
      <w:r>
        <w:rPr>
          <w:rFonts w:ascii="Amiri" w:hAnsi="Amiri" w:eastAsia="Amiri" w:cs="Amiri"/>
          <w:color w:val="111111"/>
          <w:sz w:val="28"/>
          <w:sz w:val="28"/>
          <w:szCs w:val="28"/>
          <w:rtl w:val="true"/>
          <w:lang w:bidi="ar-SA"/>
        </w:rPr>
        <w:t>عن الشّافعيّ في ردّه على الشّافعيّ،و حكى أبو ثور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توقّف فيه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طاهر غير طهور </w:t>
      </w:r>
      <w:r>
        <w:rPr>
          <w:rStyle w:val="FootnoteAnchor"/>
          <w:rtl w:val="true"/>
        </w:rPr>
        <w:footnoteReference w:id="7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الشّافعيّ في الجديد </w:t>
      </w:r>
      <w:r>
        <w:rPr>
          <w:rStyle w:val="FootnoteAnchor"/>
          <w:rtl w:val="true"/>
        </w:rPr>
        <w:footnoteReference w:id="757"/>
      </w:r>
      <w:r>
        <w:rPr>
          <w:rFonts w:ascii="Amiri" w:hAnsi="Amiri" w:eastAsia="Amiri" w:cs="Amiri"/>
          <w:color w:val="111111"/>
          <w:sz w:val="28"/>
          <w:sz w:val="28"/>
          <w:szCs w:val="28"/>
          <w:rtl w:val="true"/>
          <w:lang w:bidi="ar-SA"/>
        </w:rPr>
        <w:t xml:space="preserve">،و به قال الأوزاعيّ </w:t>
      </w:r>
      <w:r>
        <w:rPr>
          <w:rStyle w:val="FootnoteAnchor"/>
          <w:rtl w:val="true"/>
        </w:rPr>
        <w:footnoteReference w:id="758"/>
      </w:r>
      <w:r>
        <w:rPr>
          <w:rFonts w:ascii="Amiri" w:hAnsi="Amiri" w:eastAsia="Amiri" w:cs="Amiri"/>
          <w:color w:val="111111"/>
          <w:sz w:val="28"/>
          <w:sz w:val="28"/>
          <w:szCs w:val="28"/>
          <w:rtl w:val="true"/>
          <w:lang w:bidi="ar-SA"/>
        </w:rPr>
        <w:t xml:space="preserve">،و أحمد في إحدى الرّوايتين </w:t>
      </w:r>
      <w:r>
        <w:rPr>
          <w:rStyle w:val="FootnoteAnchor"/>
          <w:rtl w:val="true"/>
        </w:rPr>
        <w:footnoteReference w:id="759"/>
      </w:r>
      <w:r>
        <w:rPr>
          <w:rFonts w:ascii="Amiri" w:hAnsi="Amiri" w:eastAsia="Amiri" w:cs="Amiri"/>
          <w:color w:val="111111"/>
          <w:sz w:val="28"/>
          <w:sz w:val="28"/>
          <w:szCs w:val="28"/>
          <w:rtl w:val="true"/>
          <w:lang w:bidi="ar-SA"/>
        </w:rPr>
        <w:t xml:space="preserve">،و اللّيث بن سعد </w:t>
      </w:r>
      <w:r>
        <w:rPr>
          <w:rStyle w:val="FootnoteAnchor"/>
          <w:rtl w:val="true"/>
        </w:rPr>
        <w:footnoteReference w:id="760"/>
      </w:r>
      <w:r>
        <w:rPr>
          <w:rFonts w:ascii="IRNazanin" w:hAnsi="IRNazanin" w:eastAsia="IRNazanin"/>
          <w:color w:val="111111"/>
          <w:sz w:val="28"/>
          <w:sz w:val="28"/>
          <w:szCs w:val="28"/>
          <w:rtl w:val="true"/>
          <w:lang w:bidi="fa-IR"/>
        </w:rPr>
        <w:t xml:space="preserve">، </w:t>
      </w:r>
      <w:r>
        <w:rPr>
          <w:rStyle w:val="FootnoteAnchor"/>
          <w:rtl w:val="true"/>
        </w:rPr>
        <w:footnoteReference w:id="761"/>
      </w:r>
      <w:r>
        <w:rPr>
          <w:rFonts w:ascii="Amiri" w:hAnsi="Amiri" w:eastAsia="Amiri" w:cs="Amiri"/>
          <w:color w:val="111111"/>
          <w:sz w:val="28"/>
          <w:sz w:val="28"/>
          <w:szCs w:val="28"/>
          <w:rtl w:val="true"/>
          <w:lang w:bidi="ar-SA"/>
        </w:rPr>
        <w:t xml:space="preserve">،و هو مرويّ عن مالك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نجس نجاسة غليظة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 الحسن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كالدّم و البول و الخمر،حتّى انّه إذا أصاب الثّوب أكثر من قدر الدّرهم،منع أداء الصّلاة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نجس نجاسة خفيفة حتّى انّه إذا أصاب الثّوب أكثر من الدّرهم،لم يمنع من الصّلاة ما لم يكن كثيرا فاحشا،و رواه عن أبي حنيفة </w:t>
      </w:r>
      <w:r>
        <w:rPr>
          <w:rStyle w:val="FootnoteAnchor"/>
          <w:rtl w:val="true"/>
        </w:rPr>
        <w:footnoteReference w:id="764"/>
      </w:r>
      <w:r>
        <w:rPr>
          <w:rFonts w:ascii="IRNazanin" w:hAnsi="IRNazanin" w:eastAsia="IRNazanin"/>
          <w:color w:val="111111"/>
          <w:sz w:val="28"/>
          <w:sz w:val="28"/>
          <w:szCs w:val="28"/>
          <w:rtl w:val="true"/>
          <w:lang w:bidi="fa-IR"/>
        </w:rPr>
        <w:t xml:space="preserve">،و بقول </w:t>
      </w:r>
    </w:p>
    <w:p>
      <w:pPr>
        <w:pStyle w:val="BookText"/>
        <w:rPr/>
      </w:pPr>
      <w:r>
        <w:rPr>
          <w:rFonts w:ascii="Amiri" w:hAnsi="Amiri" w:eastAsia="Amiri" w:cs="Amiri"/>
          <w:color w:val="111111"/>
          <w:sz w:val="28"/>
          <w:sz w:val="28"/>
          <w:szCs w:val="28"/>
          <w:rtl w:val="true"/>
          <w:lang w:bidi="ar-SA"/>
        </w:rPr>
        <w:t xml:space="preserve">أبي يوسف أخذ مشايخ بلخ </w:t>
      </w:r>
      <w:r>
        <w:rPr>
          <w:rStyle w:val="FootnoteAnchor"/>
          <w:rtl w:val="true"/>
        </w:rPr>
        <w:footnoteReference w:id="765"/>
      </w:r>
      <w:r>
        <w:rPr>
          <w:rFonts w:ascii="Amiri" w:hAnsi="Amiri" w:eastAsia="Amiri" w:cs="Amiri"/>
          <w:color w:val="111111"/>
          <w:sz w:val="28"/>
          <w:sz w:val="28"/>
          <w:szCs w:val="28"/>
          <w:rtl w:val="true"/>
          <w:lang w:bidi="ar-SA"/>
        </w:rPr>
        <w:t xml:space="preserve">،و بقول محمّد أخذ مشايخ العراق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زفر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المتوضّي محدثا،فهو كما قال محمّد،و إن كان المتوضّي غير محدث،فهو طاهر و طهور </w:t>
      </w:r>
      <w:r>
        <w:rPr>
          <w:rStyle w:val="FootnoteAnchor"/>
          <w:rtl w:val="true"/>
        </w:rPr>
        <w:footnoteReference w:id="767"/>
      </w:r>
      <w:r>
        <w:rPr>
          <w:rFonts w:ascii="Amiri" w:hAnsi="Amiri" w:eastAsia="Amiri" w:cs="Amiri"/>
          <w:color w:val="111111"/>
          <w:sz w:val="28"/>
          <w:sz w:val="28"/>
          <w:szCs w:val="28"/>
          <w:rtl w:val="true"/>
          <w:lang w:bidi="ar-SA"/>
        </w:rPr>
        <w:t xml:space="preserve">،و هو قول الشّافعيّ أيضا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بلالا </w:t>
      </w:r>
      <w:r>
        <w:rPr>
          <w:rStyle w:val="FootnoteAnchor"/>
          <w:rtl w:val="true"/>
        </w:rPr>
        <w:footnoteReference w:id="769"/>
      </w:r>
      <w:r>
        <w:rPr>
          <w:rFonts w:ascii="Amiri" w:hAnsi="Amiri" w:eastAsia="Amiri" w:cs="Amiri"/>
          <w:color w:val="111111"/>
          <w:sz w:val="28"/>
          <w:sz w:val="28"/>
          <w:szCs w:val="28"/>
          <w:rtl w:val="true"/>
          <w:lang w:bidi="ar-SA"/>
        </w:rPr>
        <w:t xml:space="preserve">أخرج وضوء رسول اللّه صلّى اللّه عليه و آله،فتبادر إليه الصّحابة و مسحوا به وجوههم </w:t>
      </w:r>
      <w:r>
        <w:rPr>
          <w:rStyle w:val="FootnoteAnchor"/>
          <w:rtl w:val="true"/>
        </w:rPr>
        <w:footnoteReference w:id="7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نجسا لما 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الجمهور،عنه انّه صبّ على جابر </w:t>
      </w:r>
      <w:r>
        <w:rPr>
          <w:rStyle w:val="FootnoteAnchor"/>
          <w:rtl w:val="true"/>
        </w:rPr>
        <w:footnoteReference w:id="771"/>
      </w:r>
      <w:r>
        <w:rPr>
          <w:rFonts w:ascii="IRNazanin" w:hAnsi="IRNazanin" w:eastAsia="IRNazanin"/>
          <w:color w:val="111111"/>
          <w:sz w:val="28"/>
          <w:sz w:val="28"/>
          <w:szCs w:val="28"/>
          <w:rtl w:val="true"/>
          <w:lang w:bidi="fa-IR"/>
        </w:rPr>
        <w:t xml:space="preserve">من وضوئه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رووا أيضا عنه عليه السّلام،انّه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لا يجنب</w:t>
      </w:r>
      <w:r>
        <w:rPr>
          <w:rFonts w:eastAsia="Amiri" w:cs="Amiri" w:ascii="Amiri" w:hAnsi="Amiri"/>
          <w:color w:val="111111"/>
          <w:sz w:val="28"/>
          <w:szCs w:val="28"/>
          <w:rtl w:val="true"/>
          <w:lang w:bidi="ar-SA"/>
        </w:rPr>
        <w:t xml:space="preserve">)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عنه عليه السّلام،انّه قدّمت إليه امرأة من نسائه قصعة ليتوضّأ منها،فقالت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انّي غمست يدي فيها و أنا جنب،فقال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ليس عليه جنابة</w:t>
      </w:r>
      <w:r>
        <w:rPr>
          <w:rFonts w:eastAsia="Amiri" w:cs="Amiri" w:ascii="Amiri" w:hAnsi="Amiri"/>
          <w:color w:val="111111"/>
          <w:sz w:val="28"/>
          <w:szCs w:val="28"/>
          <w:rtl w:val="true"/>
          <w:lang w:bidi="ar-SA"/>
        </w:rPr>
        <w:t xml:space="preserve">)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الجمهور،عن ربيع </w:t>
      </w:r>
      <w:r>
        <w:rPr>
          <w:rStyle w:val="FootnoteAnchor"/>
          <w:rtl w:val="true"/>
        </w:rPr>
        <w:footnoteReference w:id="775"/>
      </w:r>
      <w:r>
        <w:rPr>
          <w:rFonts w:ascii="Amiri" w:hAnsi="Amiri" w:eastAsia="Amiri" w:cs="Amiri"/>
          <w:color w:val="111111"/>
          <w:sz w:val="28"/>
          <w:sz w:val="28"/>
          <w:szCs w:val="28"/>
          <w:rtl w:val="true"/>
          <w:lang w:bidi="ar-SA"/>
        </w:rPr>
        <w:t xml:space="preserve">انّ النّبيّ صلّى اللّه عليه و آله مسح رأسه بفضل ما كان في يده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الأصحاب،روى </w:t>
      </w:r>
      <w:r>
        <w:rPr>
          <w:rStyle w:val="FootnoteAnchor"/>
          <w:rtl w:val="true"/>
        </w:rPr>
        <w:footnoteReference w:id="777"/>
      </w:r>
      <w:r>
        <w:rPr>
          <w:rFonts w:ascii="Amiri" w:hAnsi="Amiri" w:eastAsia="Amiri" w:cs="Amiri"/>
          <w:color w:val="111111"/>
          <w:sz w:val="28"/>
          <w:sz w:val="28"/>
          <w:szCs w:val="28"/>
          <w:rtl w:val="true"/>
          <w:lang w:bidi="ar-SA"/>
        </w:rPr>
        <w:t>عبد اللّه بن سنان،عن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يتوضّأ بالماء المستعمل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الّذي يغسل به الثّوب و يغتسل به الرّجل من الجنابة،لا يجوز أن يتوضّأ به و أشباهه،و أمّا الماء الّذي يتوضّأ به الرّجل فيغسل وجهه و يده في شيء نظيف،فلا بأس أن يأخذه غيره و يتوضّأ به</w:t>
      </w:r>
      <w:r>
        <w:rPr>
          <w:rFonts w:eastAsia="Amiri" w:cs="Amiri" w:ascii="Amiri" w:hAnsi="Amiri"/>
          <w:color w:val="111111"/>
          <w:sz w:val="28"/>
          <w:szCs w:val="28"/>
          <w:rtl w:val="true"/>
          <w:lang w:bidi="ar-SA"/>
        </w:rPr>
        <w:t xml:space="preserve">)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زرارة،عن أحدهما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صلّى اللّه عليه و آله إذا توضّأ أخذوا ما سقط من وضوئه فيتوضّؤن به</w:t>
      </w:r>
      <w:r>
        <w:rPr>
          <w:rFonts w:eastAsia="Amiri" w:cs="Amiri" w:ascii="Amiri" w:hAnsi="Amiri"/>
          <w:color w:val="111111"/>
          <w:sz w:val="28"/>
          <w:szCs w:val="28"/>
          <w:rtl w:val="true"/>
          <w:lang w:bidi="ar-SA"/>
        </w:rPr>
        <w:t xml:space="preserve">)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حريز بن عبد اللّه في الصّحيح،عن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غلب الماء على ريح الجيفة فتوضّأ من الماء و اشرب</w:t>
      </w:r>
      <w:r>
        <w:rPr>
          <w:rFonts w:eastAsia="Amiri" w:cs="Amiri" w:ascii="Amiri" w:hAnsi="Amiri"/>
          <w:color w:val="111111"/>
          <w:sz w:val="28"/>
          <w:szCs w:val="28"/>
          <w:rtl w:val="true"/>
          <w:lang w:bidi="ar-SA"/>
        </w:rPr>
        <w:t xml:space="preserve">)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الاستدلال فيه من وجهين</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جواز الاستعمال سواء استعمل في الوضوء أم لا</w:t>
      </w:r>
      <w:r>
        <w:rPr>
          <w:rFonts w:eastAsia="Amiri" w:cs="Amiri" w:ascii="Amiri" w:hAnsi="Amiri"/>
          <w:color w:val="111111"/>
          <w:sz w:val="28"/>
          <w:szCs w:val="28"/>
          <w:rtl w:val="true"/>
          <w:lang w:bidi="ar-SA"/>
        </w:rPr>
        <w:t xml:space="preserve">. </w:t>
      </w:r>
      <w:bookmarkStart w:id="533" w:name="pg12672_159882"/>
    </w:p>
    <w:p>
      <w:pPr>
        <w:pStyle w:val="BookText"/>
        <w:rPr/>
      </w:pPr>
      <w:bookmarkEnd w:id="533"/>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إذا لاقى النّجاسة العينيّة،كان حكمه جواز الاستعمال ما دام وصف الماء باقيا،فالأولى انّه إذا رفع به الحدث مع عدم ملاقاة النّجاسة جاز استعماله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المقتضي موجود و هو الأمر باستعمال الماء المطلق،و المعارض و هو الاستعمال لا يصلح أن يكون معارضا،لأنّه لم يخرجه عن إطلاقه،و إضافته إلى الاستعمال لم يؤثّر تغيّر وصف و لا هيئة فيكون كإضافته إلى المحلّ،و لأنّه طاهر لاقى طاهرا،فلا يخرجه عن تأدية الفرض به ثانيا،كالثّوب إذا تعدّدت 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أبو حنيفة و أبو يوسف </w:t>
      </w:r>
      <w:r>
        <w:rPr>
          <w:rStyle w:val="FootnoteAnchor"/>
          <w:rtl w:val="true"/>
        </w:rPr>
        <w:footnoteReference w:id="781"/>
      </w:r>
      <w:r>
        <w:rPr>
          <w:rFonts w:ascii="Amiri" w:hAnsi="Amiri" w:eastAsia="Amiri" w:cs="Amiri"/>
          <w:color w:val="111111"/>
          <w:sz w:val="28"/>
          <w:sz w:val="28"/>
          <w:szCs w:val="28"/>
          <w:rtl w:val="true"/>
          <w:lang w:bidi="ar-SA"/>
        </w:rPr>
        <w:t xml:space="preserve">بأنّ هذا الفعل يسمّى طهارة،و ذلك يستدعي نجاسة المحلّ فشارك الّذي أزيلت به النّجاسة الحقيقيّة،و لمّا كانت النّجاسة مجتهدا فيها،خفّف حكمها كبول ما يؤكل </w:t>
      </w:r>
      <w:r>
        <w:rPr>
          <w:rStyle w:val="FootnoteAnchor"/>
          <w:rtl w:val="true"/>
        </w:rPr>
        <w:footnoteReference w:id="782"/>
      </w:r>
      <w:r>
        <w:rPr>
          <w:rFonts w:ascii="IRNazanin" w:hAnsi="IRNazanin" w:eastAsia="IRNazanin"/>
          <w:color w:val="111111"/>
          <w:sz w:val="28"/>
          <w:sz w:val="28"/>
          <w:szCs w:val="28"/>
          <w:rtl w:val="true"/>
          <w:lang w:bidi="fa-IR"/>
        </w:rPr>
        <w:t>لحمه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وقوع لفظ الطّهارة على مزيل الحدث و على مزيل الخبث بالاشتراك اللّفظيّ فلا جامع بينهما،و لا نسلّم أنّ التّسمية تستدعي سابقيّة النّجاسة،و الفرق بين مزيل الحدث و الخبث ملاقاة النّجاسة العينيّة الصّالحة للحوق حكم التّنجيس،فلا يتمّ القياس</w:t>
      </w:r>
      <w:r>
        <w:rPr>
          <w:rFonts w:eastAsia="Amiri" w:cs="Amiri" w:ascii="Amiri" w:hAnsi="Amiri"/>
          <w:color w:val="111111"/>
          <w:sz w:val="28"/>
          <w:szCs w:val="28"/>
          <w:rtl w:val="true"/>
          <w:lang w:bidi="ar-SA"/>
        </w:rPr>
        <w:t>.</w:t>
      </w:r>
    </w:p>
    <w:p>
      <w:pPr>
        <w:pStyle w:val="Heading6"/>
        <w:numPr>
          <w:ilvl w:val="5"/>
          <w:numId w:val="1"/>
        </w:numPr>
        <w:rPr/>
      </w:pPr>
      <w:bookmarkStart w:id="534" w:name="__RefHeading___Toc747041_222507752"/>
      <w:bookmarkStart w:id="535" w:name="_Toc211"/>
      <w:bookmarkEnd w:id="534"/>
      <w:r>
        <w:rPr>
          <w:rtl w:val="true"/>
        </w:rPr>
        <w:t>فروع</w:t>
      </w:r>
      <w:r>
        <w:rPr>
          <w:rtl w:val="true"/>
        </w:rPr>
        <w:t>:</w:t>
      </w:r>
      <w:bookmarkEnd w:id="535"/>
    </w:p>
    <w:p>
      <w:pPr>
        <w:pStyle w:val="Heading6"/>
        <w:numPr>
          <w:ilvl w:val="5"/>
          <w:numId w:val="1"/>
        </w:numPr>
        <w:rPr/>
      </w:pPr>
      <w:bookmarkStart w:id="536" w:name="__RefHeading___Toc747043_222507752"/>
      <w:bookmarkStart w:id="537" w:name="_Toc212"/>
      <w:bookmarkEnd w:id="536"/>
      <w:r>
        <w:rPr>
          <w:rtl w:val="true"/>
        </w:rPr>
        <w:t>الأوّل</w:t>
      </w:r>
      <w:r>
        <w:rPr>
          <w:rtl w:val="true"/>
        </w:rPr>
        <w:t>:</w:t>
      </w:r>
      <w:r>
        <w:rPr>
          <w:rtl w:val="true"/>
        </w:rPr>
        <w:t>الماء المستعمل في المرّة الثّانية،أو في المضمضة و الاستنشاق،أو التّجديد،</w:t>
      </w:r>
      <w:bookmarkEnd w:id="537"/>
    </w:p>
    <w:p>
      <w:pPr>
        <w:pStyle w:val="BookText"/>
        <w:rPr/>
      </w:pPr>
      <w:r>
        <w:rPr>
          <w:rFonts w:ascii="IRNazanin" w:hAnsi="IRNazanin" w:eastAsia="IRNazanin"/>
          <w:color w:val="111111"/>
          <w:sz w:val="28"/>
          <w:sz w:val="28"/>
          <w:szCs w:val="28"/>
          <w:rtl w:val="true"/>
          <w:lang w:bidi="fa-IR"/>
        </w:rPr>
        <w:t>عندنا طاهر</w:t>
      </w:r>
    </w:p>
    <w:p>
      <w:pPr>
        <w:pStyle w:val="BookText"/>
        <w:rPr/>
      </w:pPr>
      <w:r>
        <w:rPr>
          <w:rFonts w:ascii="Amiri" w:hAnsi="Amiri" w:eastAsia="Amiri" w:cs="Amiri"/>
          <w:color w:val="111111"/>
          <w:sz w:val="28"/>
          <w:sz w:val="28"/>
          <w:szCs w:val="28"/>
          <w:rtl w:val="true"/>
          <w:lang w:bidi="ar-SA"/>
        </w:rPr>
        <w:t>بالإجماع،و للشّافعيّة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ذلك،لأنّه لم يؤدّ به فرضا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المنع،لأنّه مستعمل في الطّهارة </w:t>
      </w:r>
      <w:r>
        <w:rPr>
          <w:rStyle w:val="FootnoteAnchor"/>
          <w:rtl w:val="true"/>
        </w:rPr>
        <w:footnoteReference w:id="7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أحمد روايتان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38" w:name="__RefHeading___Toc747045_222507752"/>
      <w:bookmarkStart w:id="539" w:name="_Toc213"/>
      <w:bookmarkEnd w:id="538"/>
      <w:r>
        <w:rPr>
          <w:rtl w:val="true"/>
        </w:rPr>
        <w:t>الثّاني</w:t>
      </w:r>
      <w:r>
        <w:rPr>
          <w:rtl w:val="true"/>
        </w:rPr>
        <w:t>:</w:t>
      </w:r>
      <w:r>
        <w:rPr>
          <w:rtl w:val="true"/>
        </w:rPr>
        <w:t>يجوز إزالة النّجاسة بماء الوضوء عندنا،</w:t>
      </w:r>
      <w:bookmarkEnd w:id="539"/>
    </w:p>
    <w:p>
      <w:pPr>
        <w:pStyle w:val="BookText"/>
        <w:rPr/>
      </w:pPr>
      <w:r>
        <w:rPr>
          <w:rFonts w:ascii="Amiri" w:hAnsi="Amiri" w:eastAsia="Amiri" w:cs="Amiri"/>
          <w:color w:val="111111"/>
          <w:sz w:val="28"/>
          <w:sz w:val="28"/>
          <w:szCs w:val="28"/>
          <w:rtl w:val="true"/>
          <w:lang w:bidi="ar-SA"/>
        </w:rPr>
        <w:t>و للشّافعيّ وجهان</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ذلك،لأنّ للماء فعلين،رفع الحدث و إزالة الخبث،فإذا رفع الحدث بقي </w:t>
      </w:r>
      <w:bookmarkStart w:id="540" w:name="pg12672_159883"/>
    </w:p>
    <w:p>
      <w:pPr>
        <w:pStyle w:val="BookText"/>
        <w:rPr/>
      </w:pPr>
      <w:bookmarkEnd w:id="540"/>
      <w:r>
        <w:rPr>
          <w:rFonts w:ascii="Amiri" w:hAnsi="Amiri" w:eastAsia="Amiri" w:cs="Amiri"/>
          <w:color w:val="111111"/>
          <w:sz w:val="28"/>
          <w:sz w:val="28"/>
          <w:szCs w:val="28"/>
          <w:rtl w:val="true"/>
          <w:lang w:bidi="ar-SA"/>
        </w:rPr>
        <w:t>تطهير الخبث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المنع،و هو المشهور عندهم،لأنّه مائع لا يزيل الحدث فلا يرفع الخبث كالمائعات </w:t>
      </w:r>
      <w:r>
        <w:rPr>
          <w:rStyle w:val="FootnoteAnchor"/>
          <w:rtl w:val="true"/>
        </w:rPr>
        <w:footnoteReference w:id="785"/>
      </w:r>
      <w:r>
        <w:rPr>
          <w:rFonts w:ascii="Amiri" w:hAnsi="Amiri" w:eastAsia="Amiri" w:cs="Amiri"/>
          <w:color w:val="111111"/>
          <w:sz w:val="28"/>
          <w:sz w:val="28"/>
          <w:szCs w:val="28"/>
          <w:rtl w:val="true"/>
          <w:lang w:bidi="ar-SA"/>
        </w:rPr>
        <w:t>،و ليس للماء فعلان،بل فعل واحد،و هو رفع أحدهما،أعني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النّجاسة أو الحدث لا بعينه،فأيّهما حصل زالت طهوريّته </w:t>
      </w:r>
      <w:r>
        <w:rPr>
          <w:rFonts w:eastAsia="Amiri" w:cs="Amiri" w:ascii="Amiri" w:hAnsi="Amiri"/>
          <w:color w:val="111111"/>
          <w:sz w:val="28"/>
          <w:szCs w:val="28"/>
          <w:rtl w:val="true"/>
          <w:lang w:bidi="ar-SA"/>
        </w:rPr>
        <w:t>.</w:t>
      </w:r>
    </w:p>
    <w:p>
      <w:pPr>
        <w:pStyle w:val="Heading6"/>
        <w:numPr>
          <w:ilvl w:val="5"/>
          <w:numId w:val="1"/>
        </w:numPr>
        <w:rPr/>
      </w:pPr>
      <w:bookmarkStart w:id="541" w:name="__RefHeading___Toc747047_222507752"/>
      <w:bookmarkStart w:id="542" w:name="_Toc214"/>
      <w:bookmarkEnd w:id="541"/>
      <w:r>
        <w:rPr>
          <w:rtl w:val="true"/>
        </w:rPr>
        <w:t>الثّالث</w:t>
      </w:r>
      <w:r>
        <w:rPr>
          <w:rtl w:val="true"/>
        </w:rPr>
        <w:t>:</w:t>
      </w:r>
      <w:r>
        <w:rPr>
          <w:rtl w:val="true"/>
        </w:rPr>
        <w:t>لو بلغ المستعمل حدّ الكثرة،</w:t>
      </w:r>
      <w:bookmarkEnd w:id="542"/>
    </w:p>
    <w:p>
      <w:pPr>
        <w:pStyle w:val="BookText"/>
        <w:rPr/>
      </w:pPr>
      <w:r>
        <w:rPr>
          <w:rFonts w:ascii="Amiri" w:hAnsi="Amiri" w:eastAsia="Amiri" w:cs="Amiri"/>
          <w:color w:val="111111"/>
          <w:sz w:val="28"/>
          <w:sz w:val="28"/>
          <w:szCs w:val="28"/>
          <w:rtl w:val="true"/>
          <w:lang w:bidi="ar-SA"/>
        </w:rPr>
        <w:t>للشّافعيّة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التّطهير به،لأنّ البلوغ مانع من قبول النّجاسة،فرفع حكم الاستعمال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المنع،لأنّه مستعمل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43" w:name="__RefHeading___Toc747049_222507752"/>
      <w:bookmarkStart w:id="544" w:name="_Toc215"/>
      <w:bookmarkEnd w:id="543"/>
      <w:r>
        <w:rPr>
          <w:rtl w:val="true"/>
        </w:rPr>
        <w:t>الرّابع</w:t>
      </w:r>
      <w:r>
        <w:rPr>
          <w:rtl w:val="true"/>
        </w:rPr>
        <w:t>:</w:t>
      </w:r>
      <w:r>
        <w:rPr>
          <w:rtl w:val="true"/>
        </w:rPr>
        <w:t>المستعمل في تعبّد من غير حدث كغسل اليدين من نوم اللّيل طاهر مطهّر</w:t>
      </w:r>
      <w:r>
        <w:rPr>
          <w:rtl w:val="true"/>
        </w:rPr>
        <w:t>.</w:t>
      </w:r>
      <w:bookmarkEnd w:id="544"/>
    </w:p>
    <w:p>
      <w:pPr>
        <w:pStyle w:val="BookText"/>
        <w:rPr/>
      </w:pPr>
      <w:r>
        <w:rPr>
          <w:rFonts w:ascii="Amiri" w:hAnsi="Amiri" w:eastAsia="Amiri" w:cs="Amiri"/>
          <w:color w:val="111111"/>
          <w:sz w:val="28"/>
          <w:sz w:val="28"/>
          <w:szCs w:val="28"/>
          <w:rtl w:val="true"/>
          <w:lang w:bidi="ar-SA"/>
        </w:rPr>
        <w:t>و عن أحمد في الحكم الثّاني روايتان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المنع،لأنّه مستعمل في طهارة تعبّد أشبه المستعمل في رفع الحدث </w:t>
      </w:r>
      <w:r>
        <w:rPr>
          <w:rStyle w:val="FootnoteAnchor"/>
          <w:rtl w:val="true"/>
        </w:rPr>
        <w:footnoteReference w:id="787"/>
      </w:r>
      <w:r>
        <w:rPr>
          <w:rFonts w:ascii="IRNazanin" w:hAnsi="IRNazanin" w:eastAsia="IRNazanin"/>
          <w:color w:val="111111"/>
          <w:sz w:val="28"/>
          <w:sz w:val="28"/>
          <w:szCs w:val="28"/>
          <w:rtl w:val="true"/>
          <w:lang w:bidi="fa-IR"/>
        </w:rPr>
        <w:t>، و الأصل عندنا باطل</w:t>
      </w:r>
      <w:r>
        <w:rPr>
          <w:rFonts w:eastAsia="IRNazanin" w:cs="IRNazanin"/>
          <w:color w:val="111111"/>
          <w:sz w:val="28"/>
          <w:szCs w:val="28"/>
          <w:rtl w:val="true"/>
          <w:lang w:bidi="fa-IR"/>
        </w:rPr>
        <w:t>.</w:t>
      </w:r>
    </w:p>
    <w:p>
      <w:pPr>
        <w:pStyle w:val="Heading6"/>
        <w:numPr>
          <w:ilvl w:val="5"/>
          <w:numId w:val="1"/>
        </w:numPr>
        <w:rPr/>
      </w:pPr>
      <w:bookmarkStart w:id="545" w:name="__RefHeading___Toc747051_222507752"/>
      <w:bookmarkStart w:id="546" w:name="_Toc216"/>
      <w:bookmarkEnd w:id="545"/>
      <w:r>
        <w:rPr>
          <w:rtl w:val="true"/>
        </w:rPr>
        <w:t>مسألة</w:t>
      </w:r>
      <w:r>
        <w:rPr>
          <w:rtl w:val="true"/>
        </w:rPr>
        <w:t>:</w:t>
      </w:r>
      <w:r>
        <w:rPr>
          <w:rtl w:val="true"/>
        </w:rPr>
        <w:t>المستعمل في رفع الحدث الأكبر كالجنابة</w:t>
      </w:r>
      <w:bookmarkEnd w:id="546"/>
    </w:p>
    <w:p>
      <w:pPr>
        <w:pStyle w:val="BookText"/>
        <w:rPr/>
      </w:pPr>
      <w:r>
        <w:rPr>
          <w:rFonts w:ascii="Amiri" w:hAnsi="Amiri" w:eastAsia="Amiri" w:cs="Amiri"/>
          <w:color w:val="111111"/>
          <w:sz w:val="28"/>
          <w:sz w:val="28"/>
          <w:szCs w:val="28"/>
          <w:rtl w:val="true"/>
          <w:lang w:bidi="ar-SA"/>
        </w:rPr>
        <w:t xml:space="preserve">،قال الشيخان </w:t>
      </w:r>
      <w:r>
        <w:rPr>
          <w:rStyle w:val="FootnoteAnchor"/>
          <w:rtl w:val="true"/>
        </w:rPr>
        <w:footnoteReference w:id="788"/>
      </w:r>
      <w:r>
        <w:rPr>
          <w:rFonts w:ascii="Amiri" w:hAnsi="Amiri" w:eastAsia="Amiri" w:cs="Amiri"/>
          <w:color w:val="111111"/>
          <w:sz w:val="28"/>
          <w:sz w:val="28"/>
          <w:szCs w:val="28"/>
          <w:rtl w:val="true"/>
          <w:lang w:bidi="ar-SA"/>
        </w:rPr>
        <w:t>و ابنا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طاهر غير مطهّر </w:t>
      </w:r>
      <w:r>
        <w:rPr>
          <w:rStyle w:val="FootnoteAnchor"/>
          <w:rtl w:val="true"/>
        </w:rPr>
        <w:footnoteReference w:id="789"/>
      </w:r>
      <w:r>
        <w:rPr>
          <w:rFonts w:ascii="Amiri" w:hAnsi="Amiri" w:eastAsia="Amiri" w:cs="Amiri"/>
          <w:color w:val="111111"/>
          <w:sz w:val="28"/>
          <w:sz w:val="28"/>
          <w:szCs w:val="28"/>
          <w:rtl w:val="true"/>
          <w:lang w:bidi="ar-SA"/>
        </w:rPr>
        <w:t>،و قال السّيّد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w:t>
      </w:r>
      <w:r>
        <w:rPr>
          <w:rStyle w:val="FootnoteAnchor"/>
          <w:rtl w:val="true"/>
        </w:rPr>
        <w:footnoteReference w:id="790"/>
      </w:r>
      <w:r>
        <w:rPr>
          <w:rFonts w:ascii="Amiri" w:hAnsi="Amiri" w:eastAsia="Amiri" w:cs="Amiri"/>
          <w:color w:val="111111"/>
          <w:sz w:val="28"/>
          <w:sz w:val="28"/>
          <w:szCs w:val="28"/>
          <w:rtl w:val="true"/>
          <w:lang w:bidi="ar-SA"/>
        </w:rPr>
        <w:t xml:space="preserve">مطهّر </w:t>
      </w:r>
      <w:r>
        <w:rPr>
          <w:rStyle w:val="FootnoteAnchor"/>
          <w:rtl w:val="true"/>
        </w:rPr>
        <w:footnoteReference w:id="791"/>
      </w:r>
      <w:r>
        <w:rPr>
          <w:rFonts w:ascii="Amiri" w:hAnsi="Amiri" w:eastAsia="Amiri" w:cs="Amiri"/>
          <w:color w:val="111111"/>
          <w:sz w:val="28"/>
          <w:sz w:val="28"/>
          <w:szCs w:val="28"/>
          <w:rtl w:val="true"/>
          <w:lang w:bidi="ar-SA"/>
        </w:rPr>
        <w:t>،و قول الجمهور هاهنا كقولهم ثمَّ،فإنّهم لم يفصلوا بين الماءين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أذهب إليه انّه طاهر مطهّر،فالبحث هاهنا يقع في مقامين</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طاهر و ذلك مجمع عليه عندنا،و لأنّ التّنجيس حكم شرعيّ،فيتوقّف ثبوته </w:t>
      </w:r>
    </w:p>
    <w:p>
      <w:pPr>
        <w:pStyle w:val="BookText"/>
        <w:rPr/>
      </w:pPr>
      <w:r>
        <w:rPr>
          <w:rFonts w:ascii="Amiri" w:hAnsi="Amiri" w:eastAsia="Amiri" w:cs="Amiri"/>
          <w:color w:val="111111"/>
          <w:sz w:val="28"/>
          <w:sz w:val="28"/>
          <w:szCs w:val="28"/>
          <w:rtl w:val="true"/>
          <w:lang w:bidi="ar-SA"/>
        </w:rPr>
        <w:t>على الشّرع،و ليس في الشّرع دلالة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القول بالتّنجيس مع القول بطهارة المستعمل في الوضوء ممّا لا يجتمعان إجماعا، و الثّاني ثابت إجماعا،فينتفي الأوّل،و إلاّ لزم خرق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رووه،عن النّبيّ صلّى اللّه عليه و آله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لا يجنب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ليس عليه جنابة</w:t>
      </w:r>
      <w:r>
        <w:rPr>
          <w:rFonts w:eastAsia="Amiri" w:cs="Amiri" w:ascii="Amiri" w:hAnsi="Amiri"/>
          <w:color w:val="111111"/>
          <w:sz w:val="28"/>
          <w:szCs w:val="28"/>
          <w:rtl w:val="true"/>
          <w:lang w:bidi="ar-SA"/>
        </w:rPr>
        <w:t xml:space="preserve">)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روى أحمد و ابن ماجه </w:t>
      </w:r>
      <w:r>
        <w:rPr>
          <w:rStyle w:val="FootnoteAnchor"/>
          <w:rtl w:val="true"/>
        </w:rPr>
        <w:footnoteReference w:id="793"/>
      </w:r>
      <w:r>
        <w:rPr>
          <w:rFonts w:ascii="Amiri" w:hAnsi="Amiri" w:eastAsia="Amiri" w:cs="Amiri"/>
          <w:color w:val="111111"/>
          <w:sz w:val="28"/>
          <w:sz w:val="28"/>
          <w:szCs w:val="28"/>
          <w:rtl w:val="true"/>
          <w:lang w:bidi="ar-SA"/>
        </w:rPr>
        <w:t xml:space="preserve">معا انّ النّبيّ صلّى اللّه عليه و آله اغتسل من الجنابة،فرأى لمعة لم يصبها الماء،فعصر شعره عليها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الماء طاهر لاقى محلا طاهرا،فلا يخرج عن وصف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المقدّمة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رواه الجمهور 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لقيني النّبيّ صلّى اللّه عليه و آله و أنا جنب 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نسللت</w:t>
      </w:r>
      <w:r>
        <w:rPr>
          <w:rFonts w:eastAsia="Amiri" w:cs="Amiri" w:ascii="Amiri" w:hAnsi="Amiri"/>
          <w:color w:val="111111"/>
          <w:sz w:val="28"/>
          <w:szCs w:val="28"/>
          <w:rtl w:val="true"/>
          <w:lang w:bidi="ar-SA"/>
        </w:rPr>
        <w:t xml:space="preserve">] </w:t>
      </w:r>
      <w:r>
        <w:rPr>
          <w:rStyle w:val="FootnoteAnchor"/>
          <w:rtl w:val="true"/>
        </w:rPr>
        <w:footnoteReference w:id="795"/>
      </w:r>
      <w:r>
        <w:rPr>
          <w:rFonts w:ascii="Amiri" w:hAnsi="Amiri" w:eastAsia="Amiri" w:cs="Amiri"/>
          <w:color w:val="111111"/>
          <w:sz w:val="28"/>
          <w:sz w:val="28"/>
          <w:szCs w:val="28"/>
          <w:rtl w:val="true"/>
          <w:lang w:bidi="ar-SA"/>
        </w:rPr>
        <w:t>منه،فاغتسلت ثمَّ جئت،فقال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كنت يا أبا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كنت جنبا فكرهت أن اجالسك فذهبت فاغتسلت ثمَّ جئت،فقال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اللّه،المسلم لا ينجس</w:t>
      </w:r>
      <w:r>
        <w:rPr>
          <w:rFonts w:eastAsia="Amiri" w:cs="Amiri" w:ascii="Amiri" w:hAnsi="Amiri"/>
          <w:color w:val="111111"/>
          <w:sz w:val="28"/>
          <w:szCs w:val="28"/>
          <w:rtl w:val="true"/>
          <w:lang w:bidi="ar-SA"/>
        </w:rPr>
        <w:t xml:space="preserve">)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الملازمة فظاهرة،و لأنّ المقتضي موجود و المعارض لا يصلح أن يكون معارضا و قد تقدّما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لرواية حريز في الصّحيح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غلب الماء على ريح الجيفة فتوضّأ</w:t>
      </w:r>
      <w:r>
        <w:rPr>
          <w:rFonts w:eastAsia="Amiri" w:cs="Amiri" w:ascii="Amiri" w:hAnsi="Amiri"/>
          <w:color w:val="111111"/>
          <w:sz w:val="28"/>
          <w:szCs w:val="28"/>
          <w:rtl w:val="true"/>
          <w:lang w:bidi="ar-SA"/>
        </w:rPr>
        <w:t xml:space="preserve">)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كونه مطهّرا،و هو ما ذكرناه في المستعمل في الصّغرى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احتجّ المانعون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يبولنّ أحدكم في الماء الدّائم و لا يغتسل فيه من جنابة</w:t>
      </w:r>
      <w:r>
        <w:rPr>
          <w:rFonts w:eastAsia="Amiri" w:cs="Amiri" w:ascii="Amiri" w:hAnsi="Amiri"/>
          <w:color w:val="111111"/>
          <w:sz w:val="28"/>
          <w:szCs w:val="28"/>
          <w:rtl w:val="true"/>
          <w:lang w:bidi="ar-SA"/>
        </w:rPr>
        <w:t xml:space="preserve">) </w:t>
      </w:r>
      <w:r>
        <w:rPr>
          <w:rStyle w:val="FootnoteAnchor"/>
          <w:rtl w:val="true"/>
        </w:rPr>
        <w:footnoteReference w:id="798"/>
      </w:r>
      <w:r>
        <w:rPr>
          <w:rFonts w:ascii="Amiri" w:hAnsi="Amiri" w:eastAsia="Amiri" w:cs="Amiri"/>
          <w:color w:val="111111"/>
          <w:sz w:val="28"/>
          <w:sz w:val="28"/>
          <w:szCs w:val="28"/>
          <w:rtl w:val="true"/>
          <w:lang w:bidi="ar-SA"/>
        </w:rPr>
        <w:t>و لو لم يكن نجسا،لم يكن للنّهي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عبد اللّه 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تقدّمت في الوضوء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مشكوك فيه،فيجب أن لا يجوز استعماله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الجواب عن الأوّل بالمنع من الدّلالة على التّنجيس،فإنّه قد نهي عن البول في الماء الجاري </w:t>
      </w:r>
      <w:r>
        <w:rPr>
          <w:rStyle w:val="FootnoteAnchor"/>
          <w:rtl w:val="true"/>
        </w:rPr>
        <w:footnoteReference w:id="800"/>
      </w:r>
      <w:r>
        <w:rPr>
          <w:rFonts w:ascii="Amiri" w:hAnsi="Amiri" w:eastAsia="Amiri" w:cs="Amiri"/>
          <w:color w:val="111111"/>
          <w:sz w:val="28"/>
          <w:sz w:val="28"/>
          <w:szCs w:val="28"/>
          <w:rtl w:val="true"/>
          <w:lang w:bidi="ar-SA"/>
        </w:rPr>
        <w:t>مع انّه لا ينجس لو فعل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الثّاني بالطّعن في رواتها </w:t>
      </w:r>
      <w:r>
        <w:rPr>
          <w:rStyle w:val="FootnoteAnchor"/>
          <w:rtl w:val="true"/>
        </w:rPr>
        <w:footnoteReference w:id="801"/>
      </w:r>
      <w:r>
        <w:rPr>
          <w:rFonts w:ascii="Amiri" w:hAnsi="Amiri" w:eastAsia="Amiri" w:cs="Amiri"/>
          <w:color w:val="111111"/>
          <w:sz w:val="28"/>
          <w:sz w:val="28"/>
          <w:szCs w:val="28"/>
          <w:rtl w:val="true"/>
          <w:lang w:bidi="ar-SA"/>
        </w:rPr>
        <w:t xml:space="preserve">،فإنّ في طريقها أحمد بن هلال </w:t>
      </w:r>
      <w:r>
        <w:rPr>
          <w:rStyle w:val="FootnoteAnchor"/>
          <w:rtl w:val="true"/>
        </w:rPr>
        <w:footnoteReference w:id="802"/>
      </w:r>
      <w:r>
        <w:rPr>
          <w:rFonts w:ascii="Amiri" w:hAnsi="Amiri" w:eastAsia="Amiri" w:cs="Amiri"/>
          <w:color w:val="111111"/>
          <w:sz w:val="28"/>
          <w:sz w:val="28"/>
          <w:szCs w:val="28"/>
          <w:rtl w:val="true"/>
          <w:lang w:bidi="ar-SA"/>
        </w:rPr>
        <w:t>،و هو ضعيف جدّا،و ابن فضّال،و هو فطحيّ</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الثّالث بالمنع من الشّكّ فيه،و وجهه 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 إمّا أن يقع في كونه طاهرا، أو في كونه مطهّرا،و الأوّل باطل عند الشّيخ </w:t>
      </w:r>
      <w:r>
        <w:rPr>
          <w:rStyle w:val="FootnoteAnchor"/>
          <w:rtl w:val="true"/>
        </w:rPr>
        <w:footnoteReference w:id="803"/>
      </w:r>
      <w:r>
        <w:rPr>
          <w:rFonts w:ascii="Amiri" w:hAnsi="Amiri" w:eastAsia="Amiri" w:cs="Amiri"/>
          <w:color w:val="111111"/>
          <w:sz w:val="28"/>
          <w:sz w:val="28"/>
          <w:szCs w:val="28"/>
          <w:rtl w:val="true"/>
          <w:lang w:bidi="ar-SA"/>
        </w:rPr>
        <w:t>،و الثّاني أيضا باطل،فإنّه حكم تابع لطهارة الماء و إطلاقه،و قد حصلا،فأيّ شكّ هاهنا؟</w:t>
      </w:r>
      <w:r>
        <w:rPr>
          <w:rFonts w:eastAsia="Amiri" w:cs="Amiri" w:ascii="Amiri" w:hAnsi="Amiri"/>
          <w:color w:val="111111"/>
          <w:sz w:val="28"/>
          <w:szCs w:val="28"/>
          <w:rtl w:val="true"/>
          <w:lang w:bidi="ar-SA"/>
        </w:rPr>
        <w:t xml:space="preserve">! </w:t>
      </w:r>
      <w:bookmarkStart w:id="547" w:name="pg12672_159886"/>
    </w:p>
    <w:p>
      <w:pPr>
        <w:pStyle w:val="Heading6"/>
        <w:numPr>
          <w:ilvl w:val="5"/>
          <w:numId w:val="1"/>
        </w:numPr>
        <w:rPr/>
      </w:pPr>
      <w:bookmarkStart w:id="548" w:name="__RefHeading___Toc747053_222507752"/>
      <w:bookmarkStart w:id="549" w:name="_Toc217"/>
      <w:bookmarkEnd w:id="547"/>
      <w:bookmarkEnd w:id="548"/>
      <w:r>
        <w:rPr>
          <w:rtl w:val="true"/>
        </w:rPr>
        <w:t>فروع</w:t>
      </w:r>
      <w:r>
        <w:rPr>
          <w:rtl w:val="true"/>
        </w:rPr>
        <w:t>:</w:t>
      </w:r>
      <w:bookmarkEnd w:id="549"/>
    </w:p>
    <w:p>
      <w:pPr>
        <w:pStyle w:val="Heading6"/>
        <w:numPr>
          <w:ilvl w:val="5"/>
          <w:numId w:val="1"/>
        </w:numPr>
        <w:rPr/>
      </w:pPr>
      <w:bookmarkStart w:id="550" w:name="__RefHeading___Toc747055_222507752"/>
      <w:bookmarkStart w:id="551" w:name="_Toc218"/>
      <w:bookmarkEnd w:id="550"/>
      <w:r>
        <w:rPr>
          <w:rtl w:val="true"/>
        </w:rPr>
        <w:t>الأوّل</w:t>
      </w:r>
      <w:r>
        <w:rPr>
          <w:rtl w:val="true"/>
        </w:rPr>
        <w:t>:</w:t>
      </w:r>
      <w:r>
        <w:rPr>
          <w:rtl w:val="true"/>
        </w:rPr>
        <w:t>إذا حصل الجنب عند غدير أو قليب و خشي إن نزل فساد الماء</w:t>
      </w:r>
      <w:bookmarkEnd w:id="551"/>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فليرشّ عن يمينه و يساره و أمامه و خلفه،ثمَّ يأخذ كفّا كفّا يغتسل به </w:t>
      </w:r>
      <w:r>
        <w:rPr>
          <w:rStyle w:val="FootnoteAnchor"/>
          <w:rtl w:val="true"/>
        </w:rPr>
        <w:footnoteReference w:id="804"/>
      </w:r>
      <w:r>
        <w:rPr>
          <w:rFonts w:ascii="Amiri" w:hAnsi="Amiri" w:eastAsia="Amiri" w:cs="Amiri"/>
          <w:color w:val="111111"/>
          <w:sz w:val="28"/>
          <w:sz w:val="28"/>
          <w:szCs w:val="28"/>
          <w:rtl w:val="true"/>
          <w:lang w:bidi="ar-SA"/>
        </w:rPr>
        <w:t xml:space="preserve">،تعويلا على ما رواه أحمد بن محمّد بن أبي نصر في كتاب الجامع،عن عبد الكريم </w:t>
      </w:r>
      <w:r>
        <w:rPr>
          <w:rStyle w:val="FootnoteAnchor"/>
          <w:rtl w:val="true"/>
        </w:rPr>
        <w:footnoteReference w:id="805"/>
      </w:r>
      <w:r>
        <w:rPr>
          <w:rFonts w:ascii="Amiri" w:hAnsi="Amiri" w:eastAsia="Amiri" w:cs="Amiri"/>
          <w:color w:val="111111"/>
          <w:sz w:val="28"/>
          <w:sz w:val="28"/>
          <w:szCs w:val="28"/>
          <w:rtl w:val="true"/>
          <w:lang w:bidi="ar-SA"/>
        </w:rPr>
        <w:t xml:space="preserve">،عن محمّد بن ميسر </w:t>
      </w:r>
      <w:r>
        <w:rPr>
          <w:rStyle w:val="FootnoteAnchor"/>
          <w:rtl w:val="true"/>
        </w:rPr>
        <w:footnoteReference w:id="806"/>
      </w:r>
      <w:r>
        <w:rPr>
          <w:rFonts w:ascii="Amiri" w:hAnsi="Amiri" w:eastAsia="Amiri" w:cs="Amiri"/>
          <w:color w:val="111111"/>
          <w:sz w:val="28"/>
          <w:sz w:val="28"/>
          <w:szCs w:val="28"/>
          <w:rtl w:val="true"/>
          <w:lang w:bidi="ar-SA"/>
        </w:rPr>
        <w:t>،عن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عن الجنب ينتهي إلى الماء القليل و الماء في وهدة </w:t>
      </w:r>
      <w:r>
        <w:rPr>
          <w:rStyle w:val="FootnoteAnchor"/>
          <w:rtl w:val="true"/>
        </w:rPr>
        <w:footnoteReference w:id="807"/>
      </w:r>
      <w:r>
        <w:rPr>
          <w:rFonts w:ascii="Amiri" w:hAnsi="Amiri" w:eastAsia="Amiri" w:cs="Amiri"/>
          <w:color w:val="111111"/>
          <w:sz w:val="28"/>
          <w:sz w:val="28"/>
          <w:szCs w:val="28"/>
          <w:rtl w:val="true"/>
          <w:lang w:bidi="ar-SA"/>
        </w:rPr>
        <w:t>،فإن هو اغتسل رجع غسله في الماء كيف يصنع؟قال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ينضح بكفّ بين يديه،و كفّ خلفه،و كفّ عن يمينه،و كفّ عن شماله و يغتسل</w:t>
      </w:r>
      <w:r>
        <w:rPr>
          <w:rFonts w:eastAsia="Amiri" w:cs="Amiri" w:ascii="Amiri" w:hAnsi="Amiri"/>
          <w:color w:val="111111"/>
          <w:sz w:val="28"/>
          <w:szCs w:val="28"/>
          <w:rtl w:val="true"/>
          <w:lang w:bidi="ar-SA"/>
        </w:rPr>
        <w:t xml:space="preserve">)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الشّيخ في الصّحيح،عن ابن مسكان،قال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صاحب لي ثقة أنّه سأل أبا عبد اللّه عليه السّلام </w:t>
      </w:r>
      <w:r>
        <w:rPr>
          <w:rStyle w:val="FootnoteAnchor"/>
          <w:rtl w:val="true"/>
        </w:rPr>
        <w:footnoteReference w:id="809"/>
      </w:r>
      <w:r>
        <w:rPr>
          <w:rFonts w:ascii="Amiri" w:hAnsi="Amiri" w:eastAsia="Amiri" w:cs="Amiri"/>
          <w:color w:val="111111"/>
          <w:sz w:val="28"/>
          <w:sz w:val="28"/>
          <w:szCs w:val="28"/>
          <w:rtl w:val="true"/>
          <w:lang w:bidi="ar-SA"/>
        </w:rPr>
        <w:t xml:space="preserve">،و بمثله روى في الصّحيح،عن عليّ بن جعفر،عن أخيه موسى عليه السّلام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اختلف في المراد،فقيل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يمسح جسده بالماء ثمَّ يغتسل،و الفائدة سرعة جريان الماء عند الغسل بحيث لا ينزل إلى الماء قبله </w:t>
      </w:r>
      <w:r>
        <w:rPr>
          <w:rStyle w:val="FootnoteAnchor"/>
          <w:rtl w:val="true"/>
        </w:rPr>
        <w:footnoteReference w:id="811"/>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يرشّ على الأرض في الجهات </w:t>
      </w:r>
      <w:r>
        <w:rPr>
          <w:rStyle w:val="FootnoteAnchor"/>
          <w:rtl w:val="true"/>
        </w:rPr>
        <w:footnoteReference w:id="812"/>
      </w:r>
      <w:r>
        <w:rPr>
          <w:rFonts w:ascii="IRNazanin" w:hAnsi="IRNazanin" w:eastAsia="IRNazanin"/>
          <w:color w:val="111111"/>
          <w:sz w:val="28"/>
          <w:sz w:val="28"/>
          <w:szCs w:val="28"/>
          <w:rtl w:val="true"/>
          <w:lang w:bidi="fa-IR"/>
        </w:rPr>
        <w:t xml:space="preserve">، </w:t>
      </w:r>
      <w:bookmarkStart w:id="552" w:name="pg12672_159887"/>
    </w:p>
    <w:p>
      <w:pPr>
        <w:pStyle w:val="BookText"/>
        <w:rPr/>
      </w:pPr>
      <w:bookmarkEnd w:id="552"/>
      <w:r>
        <w:rPr>
          <w:rFonts w:ascii="Amiri" w:hAnsi="Amiri" w:eastAsia="Amiri" w:cs="Amiri"/>
          <w:color w:val="111111"/>
          <w:sz w:val="28"/>
          <w:sz w:val="28"/>
          <w:szCs w:val="28"/>
          <w:rtl w:val="true"/>
          <w:lang w:bidi="ar-SA"/>
        </w:rPr>
        <w:t>لهذه الفائدة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عندي على وجه الاستحباب دون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الشّيخ في الحسن،عن عبد اللّه بن يحيى الكاهليّ </w:t>
      </w:r>
      <w:r>
        <w:rPr>
          <w:rStyle w:val="FootnoteAnchor"/>
          <w:rtl w:val="true"/>
        </w:rPr>
        <w:footnoteReference w:id="8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أتيت ماء و فيه قلّة،فانضح عن يمينك و عن يسارك و بين يديك و توضّأ</w:t>
      </w:r>
      <w:r>
        <w:rPr>
          <w:rFonts w:eastAsia="Amiri" w:cs="Amiri" w:ascii="Amiri" w:hAnsi="Amiri"/>
          <w:color w:val="111111"/>
          <w:sz w:val="28"/>
          <w:szCs w:val="28"/>
          <w:rtl w:val="true"/>
          <w:lang w:bidi="ar-SA"/>
        </w:rPr>
        <w:t xml:space="preserve">)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53" w:name="__RefHeading___Toc747057_222507752"/>
      <w:bookmarkStart w:id="554" w:name="_Toc219"/>
      <w:bookmarkEnd w:id="553"/>
      <w:r>
        <w:rPr>
          <w:rtl w:val="true"/>
        </w:rPr>
        <w:t>الثّاني</w:t>
      </w:r>
      <w:r>
        <w:rPr>
          <w:rtl w:val="true"/>
        </w:rPr>
        <w:t>:</w:t>
      </w:r>
      <w:r>
        <w:rPr>
          <w:rtl w:val="true"/>
        </w:rPr>
        <w:t>متى كان على جسد المجنب أو المغتسل من حيض و شبهه نجاسة عينيّة</w:t>
      </w:r>
      <w:bookmarkEnd w:id="554"/>
    </w:p>
    <w:p>
      <w:pPr>
        <w:pStyle w:val="BookText"/>
        <w:rPr/>
      </w:pPr>
      <w:r>
        <w:rPr>
          <w:rStyle w:val="FootnoteAnchor"/>
          <w:rtl w:val="true"/>
        </w:rPr>
        <w:footnoteReference w:id="8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فالمستعمل إذا قلّ عن الكرّ،نجس إجماعا،بل الحكم بالطّهارة إنّما يكون مع الخلوّ من النّجاسة العينيّة،فإذا ارتمس فيه ناويا للغسل صار الماء مستعملا و طهر الجنب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816"/>
      </w:r>
      <w:r>
        <w:rPr>
          <w:rFonts w:ascii="Amiri" w:hAnsi="Amiri" w:eastAsia="Amiri" w:cs="Amiri"/>
          <w:color w:val="111111"/>
          <w:sz w:val="28"/>
          <w:sz w:val="28"/>
          <w:szCs w:val="28"/>
          <w:rtl w:val="true"/>
          <w:lang w:bidi="ar-SA"/>
        </w:rPr>
        <w:t>،لأنّه إنّما يصير مستعملا بارتفاع حدث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يصير مستعملا،و لا يرتفع حدثه </w:t>
      </w:r>
      <w:r>
        <w:rPr>
          <w:rStyle w:val="FootnoteAnchor"/>
          <w:rtl w:val="true"/>
        </w:rPr>
        <w:footnoteReference w:id="817"/>
      </w:r>
      <w:r>
        <w:rPr>
          <w:rFonts w:ascii="Amiri" w:hAnsi="Amiri" w:eastAsia="Amiri" w:cs="Amiri"/>
          <w:color w:val="111111"/>
          <w:sz w:val="28"/>
          <w:sz w:val="28"/>
          <w:szCs w:val="28"/>
          <w:rtl w:val="true"/>
          <w:lang w:bidi="ar-SA"/>
        </w:rPr>
        <w:t>،لقوله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يغتسل أحدكم في الماء الدّائم</w:t>
      </w:r>
      <w:r>
        <w:rPr>
          <w:rFonts w:eastAsia="Amiri" w:cs="Amiri" w:ascii="Amiri" w:hAnsi="Amiri"/>
          <w:color w:val="111111"/>
          <w:sz w:val="28"/>
          <w:szCs w:val="28"/>
          <w:rtl w:val="true"/>
          <w:lang w:bidi="ar-SA"/>
        </w:rPr>
        <w:t xml:space="preserve">) </w:t>
      </w:r>
      <w:r>
        <w:rPr>
          <w:rStyle w:val="FootnoteAnchor"/>
          <w:rtl w:val="true"/>
        </w:rPr>
        <w:footnoteReference w:id="818"/>
      </w:r>
      <w:r>
        <w:rPr>
          <w:rFonts w:ascii="Amiri" w:hAnsi="Amiri" w:eastAsia="Amiri" w:cs="Amiri"/>
          <w:color w:val="111111"/>
          <w:sz w:val="28"/>
          <w:sz w:val="28"/>
          <w:szCs w:val="28"/>
          <w:rtl w:val="true"/>
          <w:lang w:bidi="ar-SA"/>
        </w:rPr>
        <w:t>و النّهي يقتضي 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الكبرى </w:t>
      </w:r>
      <w:r>
        <w:rPr>
          <w:rStyle w:val="FootnoteAnchor"/>
          <w:rtl w:val="true"/>
        </w:rPr>
        <w:footnoteReference w:id="819"/>
      </w: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غسل مرتّبا فتساقط الماء من رأسه أو من جانبه الأيمن عليه،صار مستعملا،فليس له استعمال الباقي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قول الشّيخ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نزل فيه اثنان و ارتمسا دفعة و اتّفقا في زمن النّيّة طهرا،و لو سبق أحدهما،طهر و صار مستعملا في حقّ الثّاني</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غسل رأسه خارجا،ثمَّ أدخل يده في القليل ليأخذ ما يغسل به جانبه،فالأقرب أنّ </w:t>
      </w:r>
      <w:bookmarkStart w:id="555" w:name="pg12672_159888"/>
    </w:p>
    <w:p>
      <w:pPr>
        <w:pStyle w:val="BookText"/>
        <w:rPr/>
      </w:pPr>
      <w:bookmarkEnd w:id="555"/>
      <w:r>
        <w:rPr>
          <w:rFonts w:ascii="Amiri" w:hAnsi="Amiri" w:eastAsia="Amiri" w:cs="Amiri"/>
          <w:color w:val="111111"/>
          <w:sz w:val="28"/>
          <w:sz w:val="28"/>
          <w:szCs w:val="28"/>
          <w:rtl w:val="true"/>
          <w:lang w:bidi="ar-SA"/>
        </w:rPr>
        <w:t xml:space="preserve">الماء لا يصير مستعملا،و لو نوى غسل يده،صار مستعملا </w:t>
      </w:r>
      <w:r>
        <w:rPr>
          <w:rFonts w:eastAsia="Amiri" w:cs="Amiri" w:ascii="Amiri" w:hAnsi="Amiri"/>
          <w:color w:val="111111"/>
          <w:sz w:val="28"/>
          <w:szCs w:val="28"/>
          <w:rtl w:val="true"/>
          <w:lang w:bidi="ar-SA"/>
        </w:rPr>
        <w:t>.</w:t>
      </w:r>
    </w:p>
    <w:p>
      <w:pPr>
        <w:pStyle w:val="Heading6"/>
        <w:numPr>
          <w:ilvl w:val="5"/>
          <w:numId w:val="1"/>
        </w:numPr>
        <w:rPr/>
      </w:pPr>
      <w:bookmarkStart w:id="556" w:name="__RefHeading___Toc747059_222507752"/>
      <w:bookmarkStart w:id="557" w:name="_Toc220"/>
      <w:bookmarkEnd w:id="556"/>
      <w:r>
        <w:rPr>
          <w:rtl w:val="true"/>
        </w:rPr>
        <w:t>الثّالث</w:t>
      </w:r>
      <w:r>
        <w:rPr>
          <w:rtl w:val="true"/>
        </w:rPr>
        <w:t>:</w:t>
      </w:r>
      <w:r>
        <w:rPr>
          <w:rtl w:val="true"/>
        </w:rPr>
        <w:t>المستعمل في غسل الجنابة يجوز إزالة النّجاسة به إجماعا منّا</w:t>
      </w:r>
      <w:bookmarkEnd w:id="557"/>
    </w:p>
    <w:p>
      <w:pPr>
        <w:pStyle w:val="BookText"/>
        <w:rPr/>
      </w:pPr>
      <w:r>
        <w:rPr>
          <w:rFonts w:ascii="IRNazanin" w:hAnsi="IRNazanin" w:eastAsia="IRNazanin"/>
          <w:color w:val="111111"/>
          <w:sz w:val="28"/>
          <w:sz w:val="28"/>
          <w:szCs w:val="28"/>
          <w:rtl w:val="true"/>
          <w:lang w:bidi="fa-IR"/>
        </w:rPr>
        <w:t xml:space="preserve">،لإطلاقه،و المنع من رفع الحدث به عند بعض الأصحاب </w:t>
      </w:r>
      <w:r>
        <w:rPr>
          <w:rStyle w:val="FootnoteAnchor"/>
          <w:rtl w:val="true"/>
        </w:rPr>
        <w:footnoteReference w:id="821"/>
      </w:r>
      <w:r>
        <w:rPr>
          <w:rFonts w:ascii="Amiri" w:hAnsi="Amiri" w:eastAsia="Amiri" w:cs="Amiri"/>
          <w:color w:val="111111"/>
          <w:sz w:val="28"/>
          <w:sz w:val="28"/>
          <w:szCs w:val="28"/>
          <w:rtl w:val="true"/>
          <w:lang w:bidi="ar-SA"/>
        </w:rPr>
        <w:t xml:space="preserve">،لا يوجب المنع من إزالة النّجاسة،لأنّهم إنّما قالوه ثمَّ لعلّة لم توجد في إزالة الخبث،فإن صحّت تلك العلّة ظهر الفرق و بطل الإلحاق، و إلاّ حكموا بالتّساوي في البابين كما قلناه نحن </w:t>
      </w:r>
      <w:r>
        <w:rPr>
          <w:rFonts w:eastAsia="Amiri" w:cs="Amiri" w:ascii="Amiri" w:hAnsi="Amiri"/>
          <w:color w:val="111111"/>
          <w:sz w:val="28"/>
          <w:szCs w:val="28"/>
          <w:rtl w:val="true"/>
          <w:lang w:bidi="ar-SA"/>
        </w:rPr>
        <w:t>.</w:t>
      </w:r>
    </w:p>
    <w:p>
      <w:pPr>
        <w:pStyle w:val="Heading6"/>
        <w:numPr>
          <w:ilvl w:val="5"/>
          <w:numId w:val="1"/>
        </w:numPr>
        <w:rPr/>
      </w:pPr>
      <w:bookmarkStart w:id="558" w:name="__RefHeading___Toc747061_222507752"/>
      <w:bookmarkStart w:id="559" w:name="_Toc221"/>
      <w:bookmarkEnd w:id="558"/>
      <w:r>
        <w:rPr>
          <w:rtl w:val="true"/>
        </w:rPr>
        <w:t>الرّابع</w:t>
      </w:r>
      <w:r>
        <w:rPr>
          <w:rtl w:val="true"/>
        </w:rPr>
        <w:t>:</w:t>
      </w:r>
      <w:r>
        <w:rPr>
          <w:rtl w:val="true"/>
        </w:rPr>
        <w:t>إذا بلغ المستعمل في الكبرى كرّا</w:t>
      </w:r>
      <w:bookmarkEnd w:id="559"/>
    </w:p>
    <w:p>
      <w:pPr>
        <w:pStyle w:val="BookText"/>
        <w:rPr/>
      </w:pPr>
      <w:r>
        <w:rPr>
          <w:rFonts w:ascii="Amiri" w:hAnsi="Amiri" w:eastAsia="Amiri" w:cs="Amiri"/>
          <w:color w:val="111111"/>
          <w:sz w:val="28"/>
          <w:sz w:val="28"/>
          <w:szCs w:val="28"/>
          <w:rtl w:val="true"/>
          <w:lang w:bidi="ar-SA"/>
        </w:rPr>
        <w:t>،قال الشّيخ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زال عنه حكم المنع </w:t>
      </w:r>
      <w:r>
        <w:rPr>
          <w:rStyle w:val="FootnoteAnchor"/>
          <w:rtl w:val="true"/>
        </w:rPr>
        <w:footnoteReference w:id="822"/>
      </w:r>
      <w:r>
        <w:rPr>
          <w:rFonts w:ascii="Amiri" w:hAnsi="Amiri" w:eastAsia="Amiri" w:cs="Amiri"/>
          <w:color w:val="111111"/>
          <w:sz w:val="28"/>
          <w:sz w:val="28"/>
          <w:szCs w:val="28"/>
          <w:rtl w:val="true"/>
          <w:lang w:bidi="ar-SA"/>
        </w:rPr>
        <w:t xml:space="preserve">،و تردّد في الخلاف </w:t>
      </w:r>
      <w:r>
        <w:rPr>
          <w:rStyle w:val="FootnoteAnchor"/>
          <w:rtl w:val="true"/>
        </w:rPr>
        <w:footnoteReference w:id="8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أختاره تفريعا على القول بالمنع،زوال المنع هاهنا،لأنّ بلوغ الكرّيّة موجب لعدم انفعال الماء عن الملاقي،و ما ذلك إلاّ لقوّته،فكيف يبقى انفعاله عن ارتفاع الحدث الّذي لو كان نجاسة لكانت تقديريّة،و لأنّه لو اغتسل في كرّ 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انفعل</w:t>
      </w:r>
      <w:r>
        <w:rPr>
          <w:rFonts w:eastAsia="Amiri" w:cs="Amiri" w:ascii="Amiri" w:hAnsi="Amiri"/>
          <w:color w:val="111111"/>
          <w:sz w:val="28"/>
          <w:szCs w:val="28"/>
          <w:rtl w:val="true"/>
          <w:lang w:bidi="ar-SA"/>
        </w:rPr>
        <w:t xml:space="preserve">] </w:t>
      </w:r>
      <w:r>
        <w:rPr>
          <w:rStyle w:val="FootnoteAnchor"/>
          <w:rtl w:val="true"/>
        </w:rPr>
        <w:footnoteReference w:id="824"/>
      </w:r>
      <w:r>
        <w:rPr>
          <w:rFonts w:ascii="Amiri" w:hAnsi="Amiri" w:eastAsia="Amiri" w:cs="Amiri"/>
          <w:color w:val="111111"/>
          <w:sz w:val="28"/>
          <w:sz w:val="28"/>
          <w:szCs w:val="28"/>
          <w:rtl w:val="true"/>
          <w:lang w:bidi="ar-SA"/>
        </w:rPr>
        <w:t>فكذا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ذلك في النّجاسة العينيّة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هناك إنّما حكمنا بعدم الزّوال،لارتفاع قوّة الطّهارة بخلاف المتنازع فيه </w:t>
      </w:r>
      <w:r>
        <w:rPr>
          <w:rFonts w:eastAsia="Amiri" w:cs="Amiri" w:ascii="Amiri" w:hAnsi="Amiri"/>
          <w:color w:val="111111"/>
          <w:sz w:val="28"/>
          <w:szCs w:val="28"/>
          <w:rtl w:val="true"/>
          <w:lang w:bidi="ar-SA"/>
        </w:rPr>
        <w:t>.</w:t>
      </w:r>
    </w:p>
    <w:p>
      <w:pPr>
        <w:pStyle w:val="Heading6"/>
        <w:numPr>
          <w:ilvl w:val="5"/>
          <w:numId w:val="1"/>
        </w:numPr>
        <w:rPr/>
      </w:pPr>
      <w:bookmarkStart w:id="560" w:name="__RefHeading___Toc747063_222507752"/>
      <w:bookmarkStart w:id="561" w:name="_Toc222"/>
      <w:bookmarkEnd w:id="560"/>
      <w:r>
        <w:rPr>
          <w:rtl w:val="true"/>
        </w:rPr>
        <w:t>الخامس</w:t>
      </w:r>
      <w:r>
        <w:rPr>
          <w:rtl w:val="true"/>
        </w:rPr>
        <w:t>:</w:t>
      </w:r>
      <w:r>
        <w:rPr>
          <w:rtl w:val="true"/>
        </w:rPr>
        <w:t>المستعمل في الأغسال المندوبة</w:t>
      </w:r>
      <w:bookmarkEnd w:id="561"/>
    </w:p>
    <w:p>
      <w:pPr>
        <w:pStyle w:val="BookText"/>
        <w:rPr/>
      </w:pPr>
      <w:r>
        <w:rPr>
          <w:rFonts w:ascii="Amiri" w:hAnsi="Amiri" w:eastAsia="Amiri" w:cs="Amiri"/>
          <w:color w:val="111111"/>
          <w:sz w:val="28"/>
          <w:sz w:val="28"/>
          <w:szCs w:val="28"/>
          <w:rtl w:val="true"/>
          <w:lang w:bidi="ar-SA"/>
        </w:rPr>
        <w:t xml:space="preserve">،أو في غسل الثّوب أو الآنية الطّاهرين ليس بمستعمل،لأنّ الاستعمال لم يسلبه الإطلاق،فيجب بقاؤه على التّطهير للآية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قالت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مستعمل في غسل بني آدم على وجه القربة فهو مستعمل،و ما لا فلا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غسل يده للطّعام أو من الطّعام صار مستعملا،بخلاف ما لو غسل لإزالة الوسخ أو لإزالة العجين من يده </w:t>
      </w:r>
      <w:r>
        <w:rPr>
          <w:rStyle w:val="FootnoteAnchor"/>
          <w:rtl w:val="true"/>
        </w:rPr>
        <w:footnoteReference w:id="826"/>
      </w:r>
      <w:r>
        <w:rPr>
          <w:rFonts w:ascii="Amiri" w:hAnsi="Amiri" w:eastAsia="Amiri" w:cs="Amiri"/>
          <w:color w:val="111111"/>
          <w:sz w:val="28"/>
          <w:sz w:val="28"/>
          <w:szCs w:val="28"/>
          <w:rtl w:val="true"/>
          <w:lang w:bidi="ar-SA"/>
        </w:rPr>
        <w:t>،و لو توضّأ أو اغتسل للتبرّد،قال الطّحاويّ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يصير مستعملا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 xml:space="preserve">. </w:t>
      </w:r>
      <w:bookmarkStart w:id="562" w:name="pg12672_159889"/>
    </w:p>
    <w:p>
      <w:pPr>
        <w:pStyle w:val="BookText"/>
        <w:rPr/>
      </w:pPr>
      <w:bookmarkEnd w:id="562"/>
      <w:r>
        <w:rPr>
          <w:rFonts w:ascii="Amiri" w:hAnsi="Amiri" w:eastAsia="Amiri" w:cs="Amiri"/>
          <w:color w:val="111111"/>
          <w:sz w:val="28"/>
          <w:sz w:val="28"/>
          <w:szCs w:val="28"/>
          <w:rtl w:val="true"/>
          <w:lang w:bidi="ar-SA"/>
        </w:rPr>
        <w:t>و عند أبي يوسف إنّما يصير مستعملا بأحد أمرين إمّا بنيّة التّقرّب أو بإسقاط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بنيّة التّقرّب لا غير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تظهر الفائدة في الجنب المرتمس في البئر لطلب الدّلو،فعلى هذه الرّواية،عن أبي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الماء بحاله و الرّجل بحاله </w:t>
      </w:r>
      <w:r>
        <w:rPr>
          <w:rStyle w:val="FootnoteAnchor"/>
          <w:rtl w:val="true"/>
        </w:rPr>
        <w:footnoteReference w:id="8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ذكرنا عنه أوّلا انّ الماء نجس و الرّجل جنب </w:t>
      </w:r>
      <w:r>
        <w:rPr>
          <w:rStyle w:val="FootnoteAnchor"/>
          <w:rtl w:val="true"/>
        </w:rPr>
        <w:footnoteReference w:id="8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الكرخيّ عنه قولا ثالثا،و هو انّ الماء نجس و الرّجل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انّ الطّاهر انغمس في البئر لطلب الدّلو لم يصر مستعملا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أدخل رأسه أو خفّه في إناء فيه ماء للمسح،لا يجوز </w:t>
      </w:r>
      <w:r>
        <w:rPr>
          <w:rStyle w:val="FootnoteAnchor"/>
          <w:rtl w:val="true"/>
        </w:rPr>
        <w:footnoteReference w:id="831"/>
      </w:r>
      <w:r>
        <w:rPr>
          <w:rFonts w:ascii="Amiri" w:hAnsi="Amiri" w:eastAsia="Amiri" w:cs="Amiri"/>
          <w:color w:val="111111"/>
          <w:sz w:val="28"/>
          <w:sz w:val="28"/>
          <w:szCs w:val="28"/>
          <w:rtl w:val="true"/>
          <w:lang w:bidi="ar-SA"/>
        </w:rPr>
        <w:t>عن المسح و يصير مستعملا،و يخرج رأسه و خفّه من الماء المستعمل،لأنّه قصد التّقرّب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w:t>
      </w:r>
      <w:r>
        <w:rPr>
          <w:rStyle w:val="FootnoteAnchor"/>
          <w:rtl w:val="true"/>
        </w:rPr>
        <w:footnoteReference w:id="832"/>
      </w:r>
      <w:r>
        <w:rPr>
          <w:rFonts w:ascii="Amiri" w:hAnsi="Amiri" w:eastAsia="Amiri" w:cs="Amiri"/>
          <w:color w:val="111111"/>
          <w:sz w:val="28"/>
          <w:sz w:val="28"/>
          <w:szCs w:val="28"/>
          <w:rtl w:val="true"/>
          <w:lang w:bidi="ar-SA"/>
        </w:rPr>
        <w:t xml:space="preserve">المسح و لا يصير الماء مستعملا،لأنّ المسح هو الإصابة دون الإسالة،و التّقرّب و سقوط الفرض إنّما يقع بالإصابة لا بالإسالة،و اتّفقا على انّه لو لم يقصد المسح فإنّه يجوز </w:t>
      </w:r>
      <w:r>
        <w:rPr>
          <w:rStyle w:val="FootnoteAnchor"/>
          <w:rtl w:val="true"/>
        </w:rPr>
        <w:footnoteReference w:id="833"/>
      </w:r>
      <w:r>
        <w:rPr>
          <w:rFonts w:ascii="Amiri" w:hAnsi="Amiri" w:eastAsia="Amiri" w:cs="Amiri"/>
          <w:color w:val="111111"/>
          <w:sz w:val="28"/>
          <w:sz w:val="28"/>
          <w:szCs w:val="28"/>
          <w:rtl w:val="true"/>
          <w:lang w:bidi="ar-SA"/>
        </w:rPr>
        <w:t xml:space="preserve">عن المسح و لا يصير الماء مستعملا،لأنّ قصد التّقرّب لم يوجد و عند أبي يوسف و إن سقط الفرض عن ذمّته،لكنّه أسقط الفرض بالإصابة لا بالإسالة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63" w:name="__RefHeading___Toc747065_222507752"/>
      <w:bookmarkStart w:id="564" w:name="_Toc223"/>
      <w:bookmarkEnd w:id="563"/>
      <w:r>
        <w:rPr>
          <w:rtl w:val="true"/>
        </w:rPr>
        <w:t>السّادس</w:t>
      </w:r>
      <w:r>
        <w:rPr>
          <w:rtl w:val="true"/>
        </w:rPr>
        <w:t>:</w:t>
      </w:r>
      <w:r>
        <w:rPr>
          <w:rtl w:val="true"/>
        </w:rPr>
        <w:t>لو اغتسل من الجنابة و بقيت في العضو لمعة لم يصبها الماء</w:t>
      </w:r>
      <w:bookmarkEnd w:id="564"/>
    </w:p>
    <w:p>
      <w:pPr>
        <w:pStyle w:val="BookText"/>
        <w:rPr/>
      </w:pPr>
      <w:r>
        <w:rPr>
          <w:rFonts w:ascii="Amiri" w:hAnsi="Amiri" w:eastAsia="Amiri" w:cs="Amiri"/>
          <w:color w:val="111111"/>
          <w:sz w:val="28"/>
          <w:sz w:val="28"/>
          <w:szCs w:val="28"/>
          <w:rtl w:val="true"/>
          <w:lang w:bidi="ar-SA"/>
        </w:rPr>
        <w:t xml:space="preserve">فصرف البلل الّذي على العضو إلى تلك اللّمعة،جاز،أمّا على ما اخترناه نحن فظاهر،و أمّا على قول الحنفيّة فكذلك،لأنّه إنّما يكون مستعملا بانفصاله عن البدن،و في اشتراط استقراره في المكان خلاف عندهم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 الوضوء،فقالوا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صرف البلل الّذي في اليمنى إلى اللّمعة الّتي في اليسرى،لأنّ البدن في الجنابة كالعضو الواحد فافترقا </w:t>
      </w:r>
      <w:r>
        <w:rPr>
          <w:rStyle w:val="FootnoteAnchor"/>
          <w:rtl w:val="true"/>
        </w:rPr>
        <w:footnoteReference w:id="836"/>
      </w:r>
      <w:r>
        <w:rPr>
          <w:rFonts w:ascii="Amiri" w:hAnsi="Amiri" w:eastAsia="Amiri" w:cs="Amiri"/>
          <w:color w:val="111111"/>
          <w:sz w:val="28"/>
          <w:sz w:val="28"/>
          <w:szCs w:val="28"/>
          <w:rtl w:val="true"/>
          <w:lang w:bidi="ar-SA"/>
        </w:rPr>
        <w:t xml:space="preserve">،و ليس للشّيخ فيه نصّ،و الّذي </w:t>
      </w:r>
      <w:bookmarkStart w:id="565" w:name="pg12672_159890"/>
    </w:p>
    <w:p>
      <w:pPr>
        <w:pStyle w:val="BookText"/>
        <w:rPr/>
      </w:pPr>
      <w:bookmarkEnd w:id="565"/>
      <w:r>
        <w:rPr>
          <w:rFonts w:ascii="Amiri" w:hAnsi="Amiri" w:eastAsia="Amiri" w:cs="Amiri"/>
          <w:color w:val="111111"/>
          <w:sz w:val="28"/>
          <w:sz w:val="28"/>
          <w:szCs w:val="28"/>
          <w:rtl w:val="true"/>
          <w:lang w:bidi="ar-SA"/>
        </w:rPr>
        <w:t xml:space="preserve">ينبغي أن يقال على مذهبه عدم الجواز في الجنابة،فإنّه لم يشترط في المستعمل الانفصال </w:t>
      </w:r>
      <w:r>
        <w:rPr>
          <w:rFonts w:eastAsia="Amiri" w:cs="Amiri" w:ascii="Amiri" w:hAnsi="Amiri"/>
          <w:color w:val="111111"/>
          <w:sz w:val="28"/>
          <w:szCs w:val="28"/>
          <w:rtl w:val="true"/>
          <w:lang w:bidi="ar-SA"/>
        </w:rPr>
        <w:t>.</w:t>
      </w:r>
    </w:p>
    <w:p>
      <w:pPr>
        <w:pStyle w:val="Heading6"/>
        <w:numPr>
          <w:ilvl w:val="5"/>
          <w:numId w:val="1"/>
        </w:numPr>
        <w:rPr/>
      </w:pPr>
      <w:bookmarkStart w:id="566" w:name="__RefHeading___Toc747067_222507752"/>
      <w:bookmarkStart w:id="567" w:name="_Toc224"/>
      <w:bookmarkEnd w:id="566"/>
      <w:r>
        <w:rPr>
          <w:rtl w:val="true"/>
        </w:rPr>
        <w:t>السّابع</w:t>
      </w:r>
      <w:r>
        <w:rPr>
          <w:rtl w:val="true"/>
        </w:rPr>
        <w:t>:</w:t>
      </w:r>
      <w:r>
        <w:rPr>
          <w:rtl w:val="true"/>
        </w:rPr>
        <w:t>لو اغتسل واجبا من جنابة مشكوك فيها</w:t>
      </w:r>
      <w:bookmarkEnd w:id="567"/>
    </w:p>
    <w:p>
      <w:pPr>
        <w:pStyle w:val="BookText"/>
        <w:rPr/>
      </w:pPr>
      <w:r>
        <w:rPr>
          <w:rFonts w:ascii="Amiri" w:hAnsi="Amiri" w:eastAsia="Amiri" w:cs="Amiri"/>
          <w:color w:val="111111"/>
          <w:sz w:val="28"/>
          <w:sz w:val="28"/>
          <w:szCs w:val="28"/>
          <w:rtl w:val="true"/>
          <w:lang w:bidi="ar-SA"/>
        </w:rPr>
        <w:t>كالواجد في ثوبه المختصّ أو المتيقّن لها و للغسل الشّاكّ في السّابق،أو من حيض مشكوك فيه كالنّاسية للوقت أو العدد،هل يكون ماؤه مستعملا؟فيه إشكال،فإنّ لقائل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غير مستعمل،لأنّه ماء طاهر في الأصل لم يعلم إزالة الجنابة به،فلا يلحقه حكم المستعمل،و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مستعمل،لأنّه قد اغتسل به من الجنابة و إن لم تكن معلومة إلاّ انّ الاغتسال معلوم فيلحقه حكمه،و لأنّه ماء أزال مانعا من الصّلاة،فانتقل المنع إليه كالمتيقّن </w:t>
      </w:r>
      <w:r>
        <w:rPr>
          <w:rFonts w:eastAsia="Amiri" w:cs="Amiri" w:ascii="Amiri" w:hAnsi="Amiri"/>
          <w:color w:val="111111"/>
          <w:sz w:val="28"/>
          <w:szCs w:val="28"/>
          <w:rtl w:val="true"/>
          <w:lang w:bidi="ar-SA"/>
        </w:rPr>
        <w:t>.</w:t>
      </w:r>
    </w:p>
    <w:p>
      <w:pPr>
        <w:pStyle w:val="Heading6"/>
        <w:numPr>
          <w:ilvl w:val="5"/>
          <w:numId w:val="1"/>
        </w:numPr>
        <w:rPr/>
      </w:pPr>
      <w:bookmarkStart w:id="568" w:name="__RefHeading___Toc747069_222507752"/>
      <w:bookmarkStart w:id="569" w:name="_Toc225"/>
      <w:bookmarkEnd w:id="568"/>
      <w:r>
        <w:rPr>
          <w:rtl w:val="true"/>
        </w:rPr>
        <w:t>الثّامن</w:t>
      </w:r>
      <w:r>
        <w:rPr>
          <w:rtl w:val="true"/>
        </w:rPr>
        <w:t>:</w:t>
      </w:r>
      <w:r>
        <w:rPr>
          <w:rtl w:val="true"/>
        </w:rPr>
        <w:t>لو انغمس الجنب في ماء قليل</w:t>
      </w:r>
      <w:bookmarkEnd w:id="569"/>
    </w:p>
    <w:p>
      <w:pPr>
        <w:pStyle w:val="BookText"/>
        <w:rPr/>
      </w:pPr>
      <w:r>
        <w:rPr>
          <w:rFonts w:ascii="Amiri" w:hAnsi="Amiri" w:eastAsia="Amiri" w:cs="Amiri"/>
          <w:color w:val="111111"/>
          <w:sz w:val="28"/>
          <w:sz w:val="28"/>
          <w:szCs w:val="28"/>
          <w:rtl w:val="true"/>
          <w:lang w:bidi="ar-SA"/>
        </w:rPr>
        <w:t xml:space="preserve">،فإن نوى بعد تمام انغماسه و إيصال </w:t>
      </w:r>
      <w:r>
        <w:rPr>
          <w:rStyle w:val="FootnoteAnchor"/>
          <w:rtl w:val="true"/>
        </w:rPr>
        <w:footnoteReference w:id="837"/>
      </w:r>
      <w:r>
        <w:rPr>
          <w:rFonts w:ascii="Amiri" w:hAnsi="Amiri" w:eastAsia="Amiri" w:cs="Amiri"/>
          <w:color w:val="111111"/>
          <w:sz w:val="28"/>
          <w:sz w:val="28"/>
          <w:szCs w:val="28"/>
          <w:rtl w:val="true"/>
          <w:lang w:bidi="ar-SA"/>
        </w:rPr>
        <w:t>الماء بجميع البدن ارتفع حدثه لوصول الماء الطّهور إلى محلّ الحدث مع النّيّة و يكون مستعملا، و هل يحكم بالاستعمال في حقّ غيره قبل انفصاله عنه؟الوجه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لو خاض </w:t>
      </w:r>
      <w:r>
        <w:rPr>
          <w:rStyle w:val="FootnoteAnchor"/>
          <w:rtl w:val="true"/>
        </w:rPr>
        <w:footnoteReference w:id="838"/>
      </w:r>
      <w:r>
        <w:rPr>
          <w:rFonts w:ascii="Amiri" w:hAnsi="Amiri" w:eastAsia="Amiri" w:cs="Amiri"/>
          <w:color w:val="111111"/>
          <w:sz w:val="28"/>
          <w:sz w:val="28"/>
          <w:szCs w:val="28"/>
          <w:rtl w:val="true"/>
          <w:lang w:bidi="ar-SA"/>
        </w:rPr>
        <w:t xml:space="preserve">جنبان و نويا دفعة بعد تمام الانغماس </w:t>
      </w:r>
      <w:r>
        <w:rPr>
          <w:rStyle w:val="FootnoteAnchor"/>
          <w:rtl w:val="true"/>
        </w:rPr>
        <w:footnoteReference w:id="839"/>
      </w:r>
      <w:r>
        <w:rPr>
          <w:rFonts w:ascii="Amiri" w:hAnsi="Amiri" w:eastAsia="Amiri" w:cs="Amiri"/>
          <w:color w:val="111111"/>
          <w:sz w:val="28"/>
          <w:sz w:val="28"/>
          <w:szCs w:val="28"/>
          <w:rtl w:val="true"/>
          <w:lang w:bidi="ar-SA"/>
        </w:rPr>
        <w:t xml:space="preserve">،ارتفع حدثهما،و إن نوى قبل إكمال الانغماس،فالأقرب انّه لا يكون مستعملا بأوّل الملاقاة،بل يرتفع </w:t>
      </w:r>
      <w:r>
        <w:rPr>
          <w:rStyle w:val="FootnoteAnchor"/>
          <w:rtl w:val="true"/>
        </w:rPr>
        <w:footnoteReference w:id="840"/>
      </w:r>
      <w:r>
        <w:rPr>
          <w:rFonts w:ascii="Amiri" w:hAnsi="Amiri" w:eastAsia="Amiri" w:cs="Amiri"/>
          <w:color w:val="111111"/>
          <w:sz w:val="28"/>
          <w:sz w:val="28"/>
          <w:szCs w:val="28"/>
          <w:rtl w:val="true"/>
          <w:lang w:bidi="ar-SA"/>
        </w:rPr>
        <w:t xml:space="preserve">حدثه عند كمال الانغماس </w:t>
      </w:r>
      <w:r>
        <w:rPr>
          <w:rFonts w:eastAsia="Amiri" w:cs="Amiri" w:ascii="Amiri" w:hAnsi="Amiri"/>
          <w:color w:val="111111"/>
          <w:sz w:val="28"/>
          <w:szCs w:val="28"/>
          <w:rtl w:val="true"/>
          <w:lang w:bidi="ar-SA"/>
        </w:rPr>
        <w:t>.</w:t>
      </w:r>
    </w:p>
    <w:p>
      <w:pPr>
        <w:pStyle w:val="Heading6"/>
        <w:numPr>
          <w:ilvl w:val="5"/>
          <w:numId w:val="1"/>
        </w:numPr>
        <w:rPr/>
      </w:pPr>
      <w:bookmarkStart w:id="570" w:name="__RefHeading___Toc747071_222507752"/>
      <w:bookmarkStart w:id="571" w:name="_Toc226"/>
      <w:bookmarkEnd w:id="570"/>
      <w:r>
        <w:rPr>
          <w:rtl w:val="true"/>
        </w:rPr>
        <w:t>التّاسع</w:t>
      </w:r>
      <w:r>
        <w:rPr>
          <w:rtl w:val="true"/>
        </w:rPr>
        <w:t>:</w:t>
      </w:r>
      <w:r>
        <w:rPr>
          <w:rtl w:val="true"/>
        </w:rPr>
        <w:t>الذّمّيّة إذا اغتسلت من الحيض لإباحة وطء الزّوج،كان الماء نجسا عندنا،</w:t>
      </w:r>
      <w:bookmarkEnd w:id="571"/>
    </w:p>
    <w:p>
      <w:pPr>
        <w:pStyle w:val="BookText"/>
        <w:rPr/>
      </w:pPr>
      <w:r>
        <w:rPr>
          <w:rFonts w:ascii="Amiri" w:hAnsi="Amiri" w:eastAsia="Amiri" w:cs="Amiri"/>
          <w:color w:val="111111"/>
          <w:sz w:val="28"/>
          <w:sz w:val="28"/>
          <w:szCs w:val="28"/>
          <w:rtl w:val="true"/>
          <w:lang w:bidi="ar-SA"/>
        </w:rPr>
        <w:t>لأنّ الكافر 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أحمد روايتان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مطهّر،لأنّه لم يزل مانعا من الصّلاة،فأشبه ما لو تبرّد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غير مطهّر،لأنّها أزالت به المانع من الوطء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72" w:name="__RefHeading___Toc747073_222507752"/>
      <w:bookmarkStart w:id="573" w:name="_Toc227"/>
      <w:bookmarkEnd w:id="572"/>
      <w:r>
        <w:rPr>
          <w:rtl w:val="true"/>
        </w:rPr>
        <w:t>العاشر</w:t>
      </w:r>
      <w:r>
        <w:rPr>
          <w:rtl w:val="true"/>
        </w:rPr>
        <w:t>:</w:t>
      </w:r>
      <w:r>
        <w:rPr>
          <w:rtl w:val="true"/>
        </w:rPr>
        <w:t>المستعمل في التّجديد أو الجمعة أو غسل العيدين</w:t>
      </w:r>
      <w:bookmarkEnd w:id="573"/>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غيرهما من المسنونات طاهر </w:t>
      </w:r>
      <w:bookmarkStart w:id="574" w:name="pg12672_159891"/>
    </w:p>
    <w:p>
      <w:pPr>
        <w:pStyle w:val="BookText"/>
        <w:rPr/>
      </w:pPr>
      <w:bookmarkEnd w:id="574"/>
      <w:r>
        <w:rPr>
          <w:rFonts w:ascii="Amiri" w:hAnsi="Amiri" w:eastAsia="Amiri" w:cs="Amiri"/>
          <w:color w:val="111111"/>
          <w:sz w:val="28"/>
          <w:sz w:val="28"/>
          <w:szCs w:val="28"/>
          <w:rtl w:val="true"/>
          <w:lang w:bidi="ar-SA"/>
        </w:rPr>
        <w:t>مطهّر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w:t>
      </w:r>
      <w:r>
        <w:rPr>
          <w:rStyle w:val="FootnoteAnchor"/>
          <w:rtl w:val="true"/>
        </w:rPr>
        <w:footnoteReference w:id="842"/>
      </w:r>
      <w:r>
        <w:rPr>
          <w:rFonts w:ascii="Amiri" w:hAnsi="Amiri" w:eastAsia="Amiri" w:cs="Amiri"/>
          <w:color w:val="111111"/>
          <w:sz w:val="28"/>
          <w:sz w:val="28"/>
          <w:szCs w:val="28"/>
          <w:rtl w:val="true"/>
          <w:lang w:bidi="ar-SA"/>
        </w:rPr>
        <w:t xml:space="preserve">،و عن أحمد روايتان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75" w:name="__RefHeading___Toc747075_222507752"/>
      <w:bookmarkStart w:id="576" w:name="_Toc228"/>
      <w:bookmarkEnd w:id="575"/>
      <w:r>
        <w:rPr>
          <w:rtl w:val="true"/>
        </w:rPr>
        <w:t>مسألة</w:t>
      </w:r>
      <w:r>
        <w:rPr>
          <w:rtl w:val="true"/>
        </w:rPr>
        <w:t>:</w:t>
      </w:r>
      <w:r>
        <w:rPr>
          <w:rtl w:val="true"/>
        </w:rPr>
        <w:t>المنفصل من غسالة النّجاسة</w:t>
      </w:r>
      <w:bookmarkEnd w:id="576"/>
    </w:p>
    <w:p>
      <w:pPr>
        <w:pStyle w:val="BookText"/>
        <w:rPr/>
      </w:pPr>
      <w:r>
        <w:rPr>
          <w:rFonts w:ascii="Amiri" w:hAnsi="Amiri" w:eastAsia="Amiri" w:cs="Amiri"/>
          <w:color w:val="111111"/>
          <w:sz w:val="28"/>
          <w:sz w:val="28"/>
          <w:szCs w:val="28"/>
          <w:rtl w:val="true"/>
          <w:lang w:bidi="ar-SA"/>
        </w:rPr>
        <w:t xml:space="preserve">،إمّا أن ينفصل متغيّرا بها،فهو نجس إجماعا لتغيّره،و إمّا أن ينفصل غير متغيّر قبل طهارة المحلّ و هو كذلك،لأنّه ماء يسير لاقى نجاسة لم يطهّرها،فكان نجسا كالمتغيّر،و كما لو وردت النّجاسة عليه و كالباقي في المحلّ،فإنّه نجس و هو جزء من الماء الّذي غسلت به النّجاسة،و لأنّه قد كان نجسا في المحلّ،فلا يخرجه العصر إلى التّطهير،لعدم صلاحيّته،و هو أحد وجهي الشّافعيّ </w:t>
      </w:r>
      <w:r>
        <w:rPr>
          <w:rStyle w:val="FootnoteAnchor"/>
          <w:rtl w:val="true"/>
        </w:rPr>
        <w:footnoteReference w:id="844"/>
      </w:r>
      <w:r>
        <w:rPr>
          <w:rFonts w:ascii="Amiri" w:hAnsi="Amiri" w:eastAsia="Amiri" w:cs="Amiri"/>
          <w:color w:val="111111"/>
          <w:sz w:val="28"/>
          <w:sz w:val="28"/>
          <w:szCs w:val="28"/>
          <w:rtl w:val="true"/>
          <w:lang w:bidi="ar-SA"/>
        </w:rPr>
        <w:t>،و في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طاهر </w:t>
      </w:r>
      <w:r>
        <w:rPr>
          <w:rStyle w:val="FootnoteAnchor"/>
          <w:rtl w:val="true"/>
        </w:rPr>
        <w:footnoteReference w:id="845"/>
      </w:r>
      <w:r>
        <w:rPr>
          <w:rFonts w:ascii="Amiri" w:hAnsi="Amiri" w:eastAsia="Amiri" w:cs="Amiri"/>
          <w:color w:val="111111"/>
          <w:sz w:val="28"/>
          <w:sz w:val="28"/>
          <w:szCs w:val="28"/>
          <w:rtl w:val="true"/>
          <w:lang w:bidi="ar-SA"/>
        </w:rPr>
        <w:t>،لأنّ الماء الوارد على النّجاسة يعتبر فيه التّغيّر،لأنّ الحاجة داعية إلى ملاقاته النّجاسة،فاعتبر فيه التّغيّر كالقلّتين،لمّا شقّ حفظ ذلك من النّجاسة اعتبر فيه التّغيّر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اختلفوا،فقال ابن خيران </w:t>
      </w:r>
      <w:r>
        <w:rPr>
          <w:rStyle w:val="FootnoteAnchor"/>
          <w:rtl w:val="true"/>
        </w:rPr>
        <w:footnoteReference w:id="8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أن يتوضّأ به </w:t>
      </w:r>
      <w:r>
        <w:rPr>
          <w:rStyle w:val="FootnoteAnchor"/>
          <w:rtl w:val="true"/>
        </w:rPr>
        <w:footnoteReference w:id="847"/>
      </w:r>
      <w:r>
        <w:rPr>
          <w:rFonts w:ascii="Amiri" w:hAnsi="Amiri" w:eastAsia="Amiri" w:cs="Amiri"/>
          <w:color w:val="111111"/>
          <w:sz w:val="28"/>
          <w:sz w:val="28"/>
          <w:szCs w:val="28"/>
          <w:rtl w:val="true"/>
          <w:lang w:bidi="ar-SA"/>
        </w:rPr>
        <w:t xml:space="preserve">،و لا تزيل النّجاسة </w:t>
      </w:r>
      <w:r>
        <w:rPr>
          <w:rStyle w:val="FootnoteAnchor"/>
          <w:rtl w:val="true"/>
        </w:rPr>
        <w:footnoteReference w:id="848"/>
      </w:r>
      <w:r>
        <w:rPr>
          <w:rFonts w:ascii="Amiri" w:hAnsi="Amiri" w:eastAsia="Amiri" w:cs="Amiri"/>
          <w:color w:val="111111"/>
          <w:sz w:val="28"/>
          <w:sz w:val="28"/>
          <w:szCs w:val="28"/>
          <w:rtl w:val="true"/>
          <w:lang w:bidi="ar-SA"/>
        </w:rPr>
        <w:t xml:space="preserve">،و المشهور عندهم انّه طاهر غير مطهّر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 أن ينفصل غير متغيّر من الغسلة الّتي طهّرت المحل،فللشّيخ 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نجس،و في النّاس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ينجس إذا لم يغلب على أحد أوصافه،و هو قويّ،و الأوّل أحوط </w:t>
      </w:r>
      <w:r>
        <w:rPr>
          <w:rStyle w:val="FootnoteAnchor"/>
          <w:rtl w:val="true"/>
        </w:rPr>
        <w:footnoteReference w:id="850"/>
      </w:r>
      <w:r>
        <w:rPr>
          <w:rFonts w:ascii="Amiri" w:hAnsi="Amiri" w:eastAsia="Amiri" w:cs="Amiri"/>
          <w:color w:val="111111"/>
          <w:sz w:val="28"/>
          <w:sz w:val="28"/>
          <w:szCs w:val="28"/>
          <w:rtl w:val="true"/>
          <w:lang w:bidi="ar-SA"/>
        </w:rPr>
        <w:t xml:space="preserve">،و جزم في الخلاف بنجاسة الغسلة الاولى،و طهارة الغسلة الثّانية </w:t>
      </w:r>
      <w:r>
        <w:rPr>
          <w:rStyle w:val="FootnoteAnchor"/>
          <w:rtl w:val="true"/>
        </w:rPr>
        <w:footnoteReference w:id="851"/>
      </w:r>
      <w:r>
        <w:rPr>
          <w:rFonts w:ascii="Amiri" w:hAnsi="Amiri" w:eastAsia="Amiri" w:cs="Amiri"/>
          <w:color w:val="111111"/>
          <w:sz w:val="28"/>
          <w:sz w:val="28"/>
          <w:szCs w:val="28"/>
          <w:rtl w:val="true"/>
          <w:lang w:bidi="ar-SA"/>
        </w:rPr>
        <w:t>،و الأقوى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التّنجيس،و هو مذهب أبي حنيفة </w:t>
      </w:r>
      <w:r>
        <w:rPr>
          <w:rStyle w:val="FootnoteAnchor"/>
          <w:rtl w:val="true"/>
        </w:rPr>
        <w:footnoteReference w:id="852"/>
      </w:r>
      <w:r>
        <w:rPr>
          <w:rFonts w:ascii="IRNazanin" w:hAnsi="IRNazanin" w:eastAsia="IRNazanin"/>
          <w:color w:val="111111"/>
          <w:sz w:val="28"/>
          <w:sz w:val="28"/>
          <w:szCs w:val="28"/>
          <w:rtl w:val="true"/>
          <w:lang w:bidi="fa-IR"/>
        </w:rPr>
        <w:t xml:space="preserve">، </w:t>
      </w:r>
      <w:bookmarkStart w:id="577" w:name="pg12672_159892"/>
    </w:p>
    <w:p>
      <w:pPr>
        <w:pStyle w:val="BookText"/>
        <w:rPr/>
      </w:pPr>
      <w:bookmarkEnd w:id="577"/>
      <w:r>
        <w:rPr>
          <w:rFonts w:ascii="Amiri" w:hAnsi="Amiri" w:eastAsia="Amiri" w:cs="Amiri"/>
          <w:color w:val="111111"/>
          <w:sz w:val="28"/>
          <w:sz w:val="28"/>
          <w:szCs w:val="28"/>
          <w:rtl w:val="true"/>
          <w:lang w:bidi="ar-SA"/>
        </w:rPr>
        <w:t xml:space="preserve">و الأنماطي </w:t>
      </w:r>
      <w:r>
        <w:rPr>
          <w:rStyle w:val="FootnoteAnchor"/>
          <w:rtl w:val="true"/>
        </w:rPr>
        <w:footnoteReference w:id="853"/>
      </w:r>
      <w:r>
        <w:rPr>
          <w:rFonts w:ascii="Amiri" w:hAnsi="Amiri" w:eastAsia="Amiri" w:cs="Amiri"/>
          <w:color w:val="111111"/>
          <w:sz w:val="28"/>
          <w:sz w:val="28"/>
          <w:szCs w:val="28"/>
          <w:rtl w:val="true"/>
          <w:lang w:bidi="ar-SA"/>
        </w:rPr>
        <w:t xml:space="preserve">من الشّافعيّة </w:t>
      </w:r>
      <w:r>
        <w:rPr>
          <w:rStyle w:val="FootnoteAnchor"/>
          <w:rtl w:val="true"/>
        </w:rPr>
        <w:footnoteReference w:id="854"/>
      </w:r>
      <w:r>
        <w:rPr>
          <w:rFonts w:ascii="Amiri" w:hAnsi="Amiri" w:eastAsia="Amiri" w:cs="Amiri"/>
          <w:color w:val="111111"/>
          <w:sz w:val="28"/>
          <w:sz w:val="28"/>
          <w:szCs w:val="28"/>
          <w:rtl w:val="true"/>
          <w:lang w:bidi="ar-SA"/>
        </w:rPr>
        <w:t xml:space="preserve">،و للحنابلة وجهان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ماء قليل لاقى نجاسة فينجس بها كما لو وردت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رواه عيص بن القاسم </w:t>
      </w:r>
      <w:r>
        <w:rPr>
          <w:rStyle w:val="FootnoteAnchor"/>
          <w:rtl w:val="true"/>
        </w:rPr>
        <w:footnoteReference w:id="8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أصابه قطر من طشت فيه وضوء؟فقال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من بول أو قذر فيغسل ما أصابه</w:t>
      </w:r>
      <w:r>
        <w:rPr>
          <w:rFonts w:eastAsia="Amiri" w:cs="Amiri" w:ascii="Amiri" w:hAnsi="Amiri"/>
          <w:color w:val="111111"/>
          <w:sz w:val="28"/>
          <w:szCs w:val="28"/>
          <w:rtl w:val="true"/>
          <w:lang w:bidi="ar-SA"/>
        </w:rPr>
        <w:t xml:space="preserve">)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ذهب الشّافعيّ إلى انّه طاهر </w:t>
      </w:r>
      <w:r>
        <w:rPr>
          <w:rStyle w:val="FootnoteAnchor"/>
          <w:rtl w:val="true"/>
        </w:rPr>
        <w:footnoteReference w:id="858"/>
      </w:r>
      <w:r>
        <w:rPr>
          <w:rFonts w:ascii="Amiri" w:hAnsi="Amiri" w:eastAsia="Amiri" w:cs="Amiri"/>
          <w:color w:val="111111"/>
          <w:sz w:val="28"/>
          <w:sz w:val="28"/>
          <w:szCs w:val="28"/>
          <w:rtl w:val="true"/>
          <w:lang w:bidi="ar-SA"/>
        </w:rPr>
        <w:t>،لأنّه جزء من المتّصل،و المتّصل طاهر،فكذا المنفصل،و لأنّه ماء أزال حكم النّجاسة و لم يتغيّر بها،فكان طاهرا كالمنفصل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بالمنع من كونه جزءا حالة الانفصال،و قياسه على المتّصل باطل، لوقوع الفرق و هو لزوم المشقّة في تنجيس المتّصل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بالمنع في الأصل على ما يأتي</w:t>
      </w:r>
      <w:r>
        <w:rPr>
          <w:rFonts w:eastAsia="Amiri" w:cs="Amiri" w:ascii="Amiri" w:hAnsi="Amiri"/>
          <w:color w:val="111111"/>
          <w:sz w:val="28"/>
          <w:szCs w:val="28"/>
          <w:rtl w:val="true"/>
          <w:lang w:bidi="ar-SA"/>
        </w:rPr>
        <w:t>.</w:t>
      </w:r>
    </w:p>
    <w:p>
      <w:pPr>
        <w:pStyle w:val="Heading6"/>
        <w:numPr>
          <w:ilvl w:val="5"/>
          <w:numId w:val="1"/>
        </w:numPr>
        <w:rPr/>
      </w:pPr>
      <w:bookmarkStart w:id="578" w:name="__RefHeading___Toc747077_222507752"/>
      <w:bookmarkStart w:id="579" w:name="_Toc229"/>
      <w:bookmarkEnd w:id="578"/>
      <w:r>
        <w:rPr>
          <w:rtl w:val="true"/>
        </w:rPr>
        <w:t>فرع</w:t>
      </w:r>
      <w:r>
        <w:rPr>
          <w:rtl w:val="true"/>
        </w:rPr>
        <w:t>:</w:t>
      </w:r>
      <w:bookmarkEnd w:id="579"/>
    </w:p>
    <w:p>
      <w:pPr>
        <w:pStyle w:val="BookText"/>
        <w:rPr/>
      </w:pPr>
      <w:r>
        <w:rPr>
          <w:rFonts w:ascii="Amiri" w:hAnsi="Amiri" w:eastAsia="Amiri" w:cs="Amiri"/>
          <w:color w:val="111111"/>
          <w:sz w:val="28"/>
          <w:sz w:val="28"/>
          <w:szCs w:val="28"/>
          <w:rtl w:val="true"/>
          <w:lang w:bidi="ar-SA"/>
        </w:rPr>
        <w:t>رفع الحدث بمثل هذا الماء أو بغيره ممّا يزيل النّجاسة لا يجوز إجماعا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على قولنا فظاهر،و أمّا على قول الشّيخ،فلما رواه عبد اللّه بن سنان،عن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الماء الّذي يغسل به الثّوب أو يغتسل به من الجنابة،لا يتوضّأ </w:t>
      </w:r>
      <w:bookmarkStart w:id="580" w:name="pg12672_159893"/>
    </w:p>
    <w:p>
      <w:pPr>
        <w:pStyle w:val="BookText"/>
        <w:rPr/>
      </w:pPr>
      <w:bookmarkEnd w:id="580"/>
      <w:r>
        <w:rPr>
          <w:rFonts w:ascii="IRNazanin" w:hAnsi="IRNazanin" w:eastAsia="IRNazanin"/>
          <w:color w:val="111111"/>
          <w:sz w:val="28"/>
          <w:sz w:val="28"/>
          <w:szCs w:val="28"/>
          <w:rtl w:val="true"/>
          <w:lang w:bidi="fa-IR"/>
        </w:rPr>
        <w:t xml:space="preserve">منه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0"/>
      </w:r>
      <w:r>
        <w:rPr>
          <w:rFonts w:ascii="Amiri" w:hAnsi="Amiri" w:eastAsia="Amiri" w:cs="Amiri"/>
          <w:color w:val="111111"/>
          <w:sz w:val="28"/>
          <w:sz w:val="28"/>
          <w:szCs w:val="28"/>
          <w:rtl w:val="true"/>
          <w:lang w:bidi="ar-SA"/>
        </w:rPr>
        <w:t>و لأنّه أزال مانعا من الصّلاة،فينتقل إلى الماء ما كان في الثّوب من المنع و إن كان طاهرا كماء الحدث</w:t>
      </w:r>
      <w:r>
        <w:rPr>
          <w:rFonts w:eastAsia="Amiri" w:cs="Amiri" w:ascii="Amiri" w:hAnsi="Amiri"/>
          <w:color w:val="111111"/>
          <w:sz w:val="28"/>
          <w:szCs w:val="28"/>
          <w:rtl w:val="true"/>
          <w:lang w:bidi="ar-SA"/>
        </w:rPr>
        <w:t>.</w:t>
      </w:r>
    </w:p>
    <w:p>
      <w:pPr>
        <w:pStyle w:val="Heading6"/>
        <w:numPr>
          <w:ilvl w:val="5"/>
          <w:numId w:val="1"/>
        </w:numPr>
        <w:rPr/>
      </w:pPr>
      <w:bookmarkStart w:id="581" w:name="__RefHeading___Toc747079_222507752"/>
      <w:bookmarkStart w:id="582" w:name="_Toc230"/>
      <w:bookmarkEnd w:id="581"/>
      <w:r>
        <w:rPr>
          <w:rtl w:val="true"/>
        </w:rPr>
        <w:t>مسألة عفى عن ماء الاستنجاء إذا سقط منه شيء على ثوبه أو بدنه</w:t>
      </w:r>
      <w:bookmarkEnd w:id="582"/>
    </w:p>
    <w:p>
      <w:pPr>
        <w:pStyle w:val="BookText"/>
        <w:rPr/>
      </w:pPr>
      <w:r>
        <w:rPr>
          <w:rStyle w:val="FootnoteAnchor"/>
          <w:rtl w:val="true"/>
        </w:rPr>
        <w:footnoteReference w:id="8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رجع على </w:t>
      </w:r>
      <w:r>
        <w:rPr>
          <w:rStyle w:val="FootnoteAnchor"/>
          <w:rtl w:val="true"/>
        </w:rPr>
        <w:footnoteReference w:id="862"/>
      </w:r>
      <w:r>
        <w:rPr>
          <w:rFonts w:ascii="Amiri" w:hAnsi="Amiri" w:eastAsia="Amiri" w:cs="Amiri"/>
          <w:color w:val="111111"/>
          <w:sz w:val="28"/>
          <w:sz w:val="28"/>
          <w:szCs w:val="28"/>
          <w:rtl w:val="true"/>
          <w:lang w:bidi="ar-SA"/>
        </w:rPr>
        <w:t xml:space="preserve">الأرض الطّاهرة أو لا،و صرّح الشّيخان بطهارته </w:t>
      </w:r>
      <w:r>
        <w:rPr>
          <w:rStyle w:val="FootnoteAnchor"/>
          <w:rtl w:val="true"/>
        </w:rPr>
        <w:footnoteReference w:id="863"/>
      </w:r>
      <w:r>
        <w:rPr>
          <w:rFonts w:ascii="Amiri" w:hAnsi="Amiri" w:eastAsia="Amiri" w:cs="Amiri"/>
          <w:color w:val="111111"/>
          <w:sz w:val="28"/>
          <w:sz w:val="28"/>
          <w:szCs w:val="28"/>
          <w:rtl w:val="true"/>
          <w:lang w:bidi="ar-SA"/>
        </w:rPr>
        <w:t>،أمّا لو سقط و على الأرض نجاسة ثمَّ رجع على الثّوب أو البدن،فهو نجس سواء تغيّر أو لا،و كذا لو تغيّر أحد أوصافه من الاستنجاء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الأحول </w:t>
      </w:r>
      <w:r>
        <w:rPr>
          <w:rStyle w:val="FootnoteAnchor"/>
          <w:rtl w:val="true"/>
        </w:rPr>
        <w:footnoteReference w:id="864"/>
      </w:r>
      <w:r>
        <w:rPr>
          <w:rFonts w:ascii="Amiri" w:hAnsi="Amiri" w:eastAsia="Amiri" w:cs="Amiri"/>
          <w:color w:val="111111"/>
          <w:sz w:val="28"/>
          <w:sz w:val="28"/>
          <w:szCs w:val="28"/>
          <w:rtl w:val="true"/>
          <w:lang w:bidi="ar-SA"/>
        </w:rPr>
        <w:t>في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من الخلاء فأستنجي بالماء فيقع ثوبي في ذلك الماء الّذي استنجيت 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رواه محمّد بن النّعمان </w:t>
      </w:r>
      <w:r>
        <w:rPr>
          <w:rStyle w:val="FootnoteAnchor"/>
          <w:rtl w:val="true"/>
        </w:rPr>
        <w:footnoteReference w:id="866"/>
      </w:r>
      <w:r>
        <w:rPr>
          <w:rFonts w:ascii="Amiri" w:hAnsi="Amiri" w:eastAsia="Amiri" w:cs="Amiri"/>
          <w:color w:val="111111"/>
          <w:sz w:val="28"/>
          <w:sz w:val="28"/>
          <w:szCs w:val="28"/>
          <w:rtl w:val="true"/>
          <w:lang w:bidi="ar-SA"/>
        </w:rPr>
        <w:t>،عن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أستنجي ثمَّ يقع ثوبي فيه و أنا جنب؟فقال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 xml:space="preserve">. </w:t>
      </w:r>
      <w:bookmarkStart w:id="583" w:name="pg12672_159894"/>
    </w:p>
    <w:p>
      <w:pPr>
        <w:pStyle w:val="BookText"/>
        <w:rPr/>
      </w:pPr>
      <w:bookmarkEnd w:id="583"/>
      <w:r>
        <w:rPr>
          <w:rFonts w:ascii="Amiri" w:hAnsi="Amiri" w:eastAsia="Amiri" w:cs="Amiri"/>
          <w:color w:val="111111"/>
          <w:sz w:val="28"/>
          <w:sz w:val="28"/>
          <w:szCs w:val="28"/>
          <w:rtl w:val="true"/>
          <w:lang w:bidi="ar-SA"/>
        </w:rPr>
        <w:t xml:space="preserve">و ما رواه عبد الكريم بن عتبة الهاشميّ </w:t>
      </w:r>
      <w:r>
        <w:rPr>
          <w:rStyle w:val="FootnoteAnchor"/>
          <w:rtl w:val="true"/>
        </w:rPr>
        <w:footnoteReference w:id="8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عن الرّجل يقع ثوبه على الماء الّذي استنجى به،أ ينجس ذلك ثوبه؟فقال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هكذا حكم الماء الّذي يتوضّأ به أو يغتسل به من الجنابة،أمّا عندنا فهو ظاهر،و أمّا عند الشّيخ فلما رواه في الصّحيح،عن الفضيل بن يسار </w:t>
      </w:r>
      <w:r>
        <w:rPr>
          <w:rStyle w:val="FootnoteAnchor"/>
          <w:rtl w:val="true"/>
        </w:rPr>
        <w:footnoteReference w:id="870"/>
      </w:r>
      <w:r>
        <w:rPr>
          <w:rFonts w:ascii="Amiri" w:hAnsi="Amiri" w:eastAsia="Amiri" w:cs="Amiri"/>
          <w:color w:val="111111"/>
          <w:sz w:val="28"/>
          <w:sz w:val="28"/>
          <w:szCs w:val="28"/>
          <w:rtl w:val="true"/>
          <w:lang w:bidi="ar-SA"/>
        </w:rPr>
        <w:t>،عن أبي عبد اللّه عليه السّلام،قال في الرّجل الجنب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يغتسل فينضح من الأرض في إنائه،فقال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ما جَعَلَ عَلَيْكُمْ فِي الدِّينِ مِنْ حَرَجٍ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الصّحيح،عن الفضيل أيضا،قال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عليه السّلام عن الجنب يغتسل فينضح الماء من الأرض في الإناء؟فقال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بأس،هذا ممّا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جَعَلَ عَلَيْكُمْ فِي الدِّينِ مِنْ حَرَجٍ </w:t>
      </w:r>
      <w:r>
        <w:rPr>
          <w:rFonts w:eastAsia="Amiri" w:cs="Amiri" w:ascii="Amiri" w:hAnsi="Amiri"/>
          <w:color w:val="111111"/>
          <w:sz w:val="28"/>
          <w:szCs w:val="28"/>
          <w:rtl w:val="true"/>
          <w:lang w:bidi="ar-SA"/>
        </w:rPr>
        <w:t xml:space="preserve">)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التّحرّز عن هذه المياه ممّا يعسر جدّا،فشرّع العفو دفعا للحرج،و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الإمام عليه السّلام في المغتسل به</w:t>
      </w:r>
      <w:r>
        <w:rPr>
          <w:rFonts w:eastAsia="Amiri" w:cs="Amiri" w:ascii="Amiri" w:hAnsi="Amiri"/>
          <w:color w:val="111111"/>
          <w:sz w:val="28"/>
          <w:szCs w:val="28"/>
          <w:rtl w:val="true"/>
          <w:lang w:bidi="ar-SA"/>
        </w:rPr>
        <w:t>.</w:t>
      </w:r>
    </w:p>
    <w:p>
      <w:pPr>
        <w:pStyle w:val="Heading6"/>
        <w:numPr>
          <w:ilvl w:val="5"/>
          <w:numId w:val="1"/>
        </w:numPr>
        <w:rPr/>
      </w:pPr>
      <w:bookmarkStart w:id="584" w:name="__RefHeading___Toc747081_222507752"/>
      <w:bookmarkStart w:id="585" w:name="_Toc231"/>
      <w:bookmarkEnd w:id="584"/>
      <w:r>
        <w:rPr>
          <w:rtl w:val="true"/>
        </w:rPr>
        <w:t>فروع</w:t>
      </w:r>
      <w:r>
        <w:rPr>
          <w:rtl w:val="true"/>
        </w:rPr>
        <w:t>:</w:t>
      </w:r>
      <w:bookmarkEnd w:id="585"/>
    </w:p>
    <w:p>
      <w:pPr>
        <w:pStyle w:val="Heading6"/>
        <w:numPr>
          <w:ilvl w:val="5"/>
          <w:numId w:val="1"/>
        </w:numPr>
        <w:rPr/>
      </w:pPr>
      <w:bookmarkStart w:id="586" w:name="__RefHeading___Toc747083_222507752"/>
      <w:bookmarkStart w:id="587" w:name="_Toc232"/>
      <w:bookmarkEnd w:id="586"/>
      <w:r>
        <w:rPr>
          <w:rtl w:val="true"/>
        </w:rPr>
        <w:t>الأوّل</w:t>
      </w:r>
      <w:r>
        <w:rPr>
          <w:rtl w:val="true"/>
        </w:rPr>
        <w:t>:</w:t>
      </w:r>
      <w:r>
        <w:rPr>
          <w:rtl w:val="true"/>
        </w:rPr>
        <w:t>الماء الّذي يغسل به القبل و الدّبر يدخل تحت هذا الحكم</w:t>
      </w:r>
      <w:bookmarkEnd w:id="587"/>
    </w:p>
    <w:p>
      <w:pPr>
        <w:pStyle w:val="BookText"/>
        <w:rPr/>
      </w:pPr>
      <w:r>
        <w:rPr>
          <w:rFonts w:ascii="IRNazanin" w:hAnsi="IRNazanin" w:eastAsia="IRNazanin"/>
          <w:color w:val="111111"/>
          <w:sz w:val="28"/>
          <w:sz w:val="28"/>
          <w:szCs w:val="28"/>
          <w:rtl w:val="true"/>
          <w:lang w:bidi="fa-IR"/>
        </w:rPr>
        <w:t xml:space="preserve">لعموم اسم الاستنجاء لهما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588" w:name="__RefHeading___Toc747085_222507752"/>
      <w:bookmarkStart w:id="589" w:name="_Toc233"/>
      <w:bookmarkEnd w:id="588"/>
      <w:r>
        <w:rPr>
          <w:rtl w:val="true"/>
        </w:rPr>
        <w:t>الثّاني</w:t>
      </w:r>
      <w:r>
        <w:rPr>
          <w:rtl w:val="true"/>
        </w:rPr>
        <w:t>:</w:t>
      </w:r>
      <w:r>
        <w:rPr>
          <w:rtl w:val="true"/>
        </w:rPr>
        <w:t>الماء الّذي يغسل به الآنية لا يلحقه هذا الحكم</w:t>
      </w:r>
      <w:r>
        <w:rPr>
          <w:rtl w:val="true"/>
        </w:rPr>
        <w:t>.</w:t>
      </w:r>
      <w:bookmarkStart w:id="590" w:name="pg12672_159895"/>
      <w:bookmarkEnd w:id="589"/>
    </w:p>
    <w:p>
      <w:pPr>
        <w:pStyle w:val="BookText"/>
        <w:rPr/>
      </w:pPr>
      <w:bookmarkEnd w:id="590"/>
      <w:r>
        <w:rPr>
          <w:rFonts w:ascii="Amiri" w:hAnsi="Amiri" w:eastAsia="Amiri" w:cs="Amiri"/>
          <w:color w:val="111111"/>
          <w:sz w:val="28"/>
          <w:sz w:val="28"/>
          <w:szCs w:val="28"/>
          <w:rtl w:val="true"/>
          <w:lang w:bidi="ar-SA"/>
        </w:rPr>
        <w:t>و قال الشّيخ 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أصاب الثّوب أو الجسد من الماء الّذي يغسل به إناء الولوغ لا يغسل،سواء كان من الغسلة الأولى أو الثّانية </w:t>
      </w:r>
      <w:r>
        <w:rPr>
          <w:rStyle w:val="FootnoteAnchor"/>
          <w:rtl w:val="true"/>
        </w:rPr>
        <w:footnoteReference w:id="8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تردّد في المبسوط في نجاسة الاولى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ماء قليل لاقى نجاسة،فينفعل بها و لا يتعدّى إليه الرّخصة الّتي في الاستنجاء،لأنّه استعمال الماء الّذي قام المانع على المنع منه مع عدم قيام الموجب،و ذلك غير سائغ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الشّيخ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الدّلالة الشّرعيّة على التّنجيس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الإلزام بعدم تطهير الإناء،فإنّه دائما لا ينفكّ عن أجزاء مائيّة تخلّفت من الغسلة،فلو كانت نجسة لكان الماء الملاقي لها في المرّة الأخرى ينجس،فلا تحصل الطّهارة البتّة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بوجود الدّليل الشّرعيّ،و هو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الماء قدر كرّ،لم ينجّسه شيء</w:t>
      </w:r>
      <w:r>
        <w:rPr>
          <w:rFonts w:eastAsia="Amiri" w:cs="Amiri" w:ascii="Amiri" w:hAnsi="Amiri"/>
          <w:color w:val="111111"/>
          <w:sz w:val="28"/>
          <w:szCs w:val="28"/>
          <w:rtl w:val="true"/>
          <w:lang w:bidi="ar-SA"/>
        </w:rPr>
        <w:t xml:space="preserve">) </w:t>
      </w:r>
      <w:r>
        <w:rPr>
          <w:rStyle w:val="FootnoteAnchor"/>
          <w:rtl w:val="true"/>
        </w:rPr>
        <w:footnoteReference w:id="877"/>
      </w:r>
      <w:r>
        <w:rPr>
          <w:rFonts w:ascii="Amiri" w:hAnsi="Amiri" w:eastAsia="Amiri" w:cs="Amiri"/>
          <w:color w:val="111111"/>
          <w:sz w:val="28"/>
          <w:sz w:val="28"/>
          <w:szCs w:val="28"/>
          <w:rtl w:val="true"/>
          <w:lang w:bidi="ar-SA"/>
        </w:rPr>
        <w:t>و مع انتفاء الشّرط ينتفي المشروط،و إلاّ لم يكن شرطا،و لأنّه وافقنا على انّ الماء القليل ينجس بالملاقاة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بالفرق بين المرّة الثّالثة و الثّانية،فإنّ الإجماع واقع </w:t>
      </w:r>
      <w:r>
        <w:rPr>
          <w:rStyle w:val="FootnoteAnchor"/>
          <w:rtl w:val="true"/>
        </w:rPr>
        <w:footnoteReference w:id="878"/>
      </w:r>
      <w:r>
        <w:rPr>
          <w:rFonts w:ascii="Amiri" w:hAnsi="Amiri" w:eastAsia="Amiri" w:cs="Amiri"/>
          <w:color w:val="111111"/>
          <w:sz w:val="28"/>
          <w:sz w:val="28"/>
          <w:szCs w:val="28"/>
          <w:rtl w:val="true"/>
          <w:lang w:bidi="ar-SA"/>
        </w:rPr>
        <w:t xml:space="preserve">على الطّهارة بعد المرّة الثّانية،و بالفرق بين المنفصل و المستخلف بوجود المشقّة و عدمها في أحدهما دون الثّاني </w:t>
      </w:r>
      <w:r>
        <w:rPr>
          <w:rFonts w:eastAsia="Amiri" w:cs="Amiri" w:ascii="Amiri" w:hAnsi="Amiri"/>
          <w:color w:val="111111"/>
          <w:sz w:val="28"/>
          <w:szCs w:val="28"/>
          <w:rtl w:val="true"/>
          <w:lang w:bidi="ar-SA"/>
        </w:rPr>
        <w:t>.</w:t>
      </w:r>
    </w:p>
    <w:p>
      <w:pPr>
        <w:pStyle w:val="Heading6"/>
        <w:numPr>
          <w:ilvl w:val="5"/>
          <w:numId w:val="1"/>
        </w:numPr>
        <w:rPr/>
      </w:pPr>
      <w:bookmarkStart w:id="591" w:name="__RefHeading___Toc747087_222507752"/>
      <w:bookmarkStart w:id="592" w:name="_Toc234"/>
      <w:bookmarkEnd w:id="591"/>
      <w:r>
        <w:rPr>
          <w:rtl w:val="true"/>
        </w:rPr>
        <w:t>الثّالث</w:t>
      </w:r>
      <w:r>
        <w:rPr>
          <w:rtl w:val="true"/>
        </w:rPr>
        <w:t>:</w:t>
      </w:r>
      <w:r>
        <w:rPr>
          <w:rtl w:val="true"/>
        </w:rPr>
        <w:t>لو اجتمع الماء الّذي يغسل به النّجاسة كرّا</w:t>
      </w:r>
      <w:bookmarkEnd w:id="592"/>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يزل عنه المانع لانفعاله بالنّجاسة أوّلا فيكون المنع ثابتا فيستصحب إلى أن تظهر دلالة شرعيّة على زواله،و على رأي </w:t>
      </w:r>
      <w:bookmarkStart w:id="593" w:name="pg12672_159896"/>
    </w:p>
    <w:p>
      <w:pPr>
        <w:pStyle w:val="BookText"/>
        <w:rPr/>
      </w:pPr>
      <w:bookmarkEnd w:id="593"/>
      <w:r>
        <w:rPr>
          <w:rFonts w:ascii="Amiri" w:hAnsi="Amiri" w:eastAsia="Amiri" w:cs="Amiri"/>
          <w:color w:val="111111"/>
          <w:sz w:val="28"/>
          <w:sz w:val="28"/>
          <w:szCs w:val="28"/>
          <w:rtl w:val="true"/>
          <w:lang w:bidi="ar-SA"/>
        </w:rPr>
        <w:t xml:space="preserve">الشّيخ يلزم الحكم بكونه طهورا </w:t>
      </w:r>
      <w:r>
        <w:rPr>
          <w:rStyle w:val="FootnoteAnchor"/>
          <w:rtl w:val="true"/>
        </w:rPr>
        <w:footnoteReference w:id="879"/>
      </w:r>
      <w:r>
        <w:rPr>
          <w:rFonts w:ascii="Amiri" w:hAnsi="Amiri" w:eastAsia="Amiri" w:cs="Amiri"/>
          <w:color w:val="111111"/>
          <w:sz w:val="28"/>
          <w:sz w:val="28"/>
          <w:szCs w:val="28"/>
          <w:rtl w:val="true"/>
          <w:lang w:bidi="ar-SA"/>
        </w:rPr>
        <w:t xml:space="preserve">،أمّا لو اجتمع ماء الغسلة الاولى و الثّانية فبلغ كرّا فعلى أحد قوليّ الشّيخ يكون باقيا على المنع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94" w:name="__RefHeading___Toc747089_222507752"/>
      <w:bookmarkStart w:id="595" w:name="_Toc235"/>
      <w:bookmarkEnd w:id="594"/>
      <w:r>
        <w:rPr>
          <w:rtl w:val="true"/>
        </w:rPr>
        <w:t>الرّابع</w:t>
      </w:r>
      <w:r>
        <w:rPr>
          <w:rtl w:val="true"/>
        </w:rPr>
        <w:t>:</w:t>
      </w:r>
      <w:r>
        <w:rPr>
          <w:rtl w:val="true"/>
        </w:rPr>
        <w:t>إذا غسل الثّوب من البول في إجانة</w:t>
      </w:r>
      <w:bookmarkEnd w:id="595"/>
    </w:p>
    <w:p>
      <w:pPr>
        <w:pStyle w:val="BookText"/>
        <w:rPr/>
      </w:pPr>
      <w:r>
        <w:rPr>
          <w:rFonts w:ascii="Amiri" w:hAnsi="Amiri" w:eastAsia="Amiri" w:cs="Amiri"/>
          <w:color w:val="111111"/>
          <w:sz w:val="28"/>
          <w:sz w:val="28"/>
          <w:szCs w:val="28"/>
          <w:rtl w:val="true"/>
          <w:lang w:bidi="ar-SA"/>
        </w:rPr>
        <w:t>بأن يصبّ عليه الماء فسد الماء و خرج من الثّانية طاهرا اتّحدت الآنية أو تعدّدت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غسل في ثلاث إجانات خرج من الثّالثة طاهرا </w:t>
      </w:r>
      <w:r>
        <w:rPr>
          <w:rStyle w:val="FootnoteAnchor"/>
          <w:rtl w:val="true"/>
        </w:rPr>
        <w:footnoteReference w:id="881"/>
      </w:r>
      <w:r>
        <w:rPr>
          <w:rFonts w:ascii="IRNazanin" w:hAnsi="IRNazanin" w:eastAsia="IRNazanin"/>
          <w:color w:val="111111"/>
          <w:sz w:val="28"/>
          <w:sz w:val="28"/>
          <w:szCs w:val="28"/>
          <w:rtl w:val="true"/>
          <w:lang w:bidi="fa-IR"/>
        </w:rPr>
        <w:t xml:space="preserve">،و ماء </w:t>
      </w:r>
      <w:r>
        <w:rPr>
          <w:rStyle w:val="FootnoteAnchor"/>
          <w:rtl w:val="true"/>
        </w:rPr>
        <w:footnoteReference w:id="882"/>
      </w:r>
      <w:r>
        <w:rPr>
          <w:rFonts w:ascii="Amiri" w:hAnsi="Amiri" w:eastAsia="Amiri" w:cs="Amiri"/>
          <w:color w:val="111111"/>
          <w:sz w:val="28"/>
          <w:sz w:val="28"/>
          <w:szCs w:val="28"/>
          <w:rtl w:val="true"/>
          <w:lang w:bidi="ar-SA"/>
        </w:rPr>
        <w:t>الإجانة الرّابعة فما فوقها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المغسول عضوا من أعضاء الوضوء،قال أبو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فسدت المياه كلّها و لو كانت مائة آنية و لم تطهر </w:t>
      </w:r>
      <w:r>
        <w:rPr>
          <w:rStyle w:val="FootnoteAnchor"/>
          <w:rtl w:val="true"/>
        </w:rPr>
        <w:footnoteReference w:id="8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المغسول من الإجانة الثّالثة طاهرا و الماء بعد ذلك طاهر و طهور في الثّوب،و طاهر غير طهور في العضو </w:t>
      </w:r>
      <w:r>
        <w:rPr>
          <w:rStyle w:val="FootnoteAnchor"/>
          <w:rtl w:val="true"/>
        </w:rPr>
        <w:footnoteReference w:id="884"/>
      </w:r>
      <w:r>
        <w:rPr>
          <w:rFonts w:ascii="Amiri" w:hAnsi="Amiri" w:eastAsia="Amiri" w:cs="Amiri"/>
          <w:color w:val="111111"/>
          <w:sz w:val="28"/>
          <w:sz w:val="28"/>
          <w:szCs w:val="28"/>
          <w:rtl w:val="true"/>
          <w:lang w:bidi="ar-SA"/>
        </w:rPr>
        <w:t xml:space="preserve">،و نحن قد سلف منّا بيان طهارة المستعمل في رفع الأحداث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بقي علينا أن نبيّن الدّلالة على طهارة الثّوب المذكور،و يدلّ عليه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قد حصل الامتثال بغسله مرّتين فيكون طاهرا و إلاّ لم يدلّ الأمر على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محمّد بن مسلم،عن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الثّوب يصيبه البول؟قال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اغسله في المركن مرّتين،فإن غسلته في ماء جار فمرّة واحدة</w:t>
      </w:r>
      <w:r>
        <w:rPr>
          <w:rFonts w:eastAsia="Amiri" w:cs="Amiri" w:ascii="Amiri" w:hAnsi="Amiri"/>
          <w:color w:val="111111"/>
          <w:sz w:val="28"/>
          <w:szCs w:val="28"/>
          <w:rtl w:val="true"/>
          <w:lang w:bidi="ar-SA"/>
        </w:rPr>
        <w:t xml:space="preserve">)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96" w:name="__RefHeading___Toc747091_222507752"/>
      <w:bookmarkStart w:id="597" w:name="_Toc236"/>
      <w:bookmarkEnd w:id="596"/>
      <w:r>
        <w:rPr>
          <w:rtl w:val="true"/>
        </w:rPr>
        <w:t>الخامس</w:t>
      </w:r>
      <w:r>
        <w:rPr>
          <w:rtl w:val="true"/>
        </w:rPr>
        <w:t>:</w:t>
      </w:r>
      <w:r>
        <w:rPr>
          <w:rtl w:val="true"/>
        </w:rPr>
        <w:t>غسالة الحمّام و هو المستنقع</w:t>
      </w:r>
      <w:bookmarkEnd w:id="597"/>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،منع الشّيخ في النّهاية عن استعمالها </w:t>
      </w:r>
      <w:r>
        <w:rPr>
          <w:rStyle w:val="FootnoteAnchor"/>
          <w:rtl w:val="true"/>
        </w:rPr>
        <w:footnoteReference w:id="8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p>
    <w:p>
      <w:pPr>
        <w:pStyle w:val="BookText"/>
        <w:rPr/>
      </w:pP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التّطهير بغسالة الحمّام </w:t>
      </w:r>
      <w:r>
        <w:rPr>
          <w:rStyle w:val="FootnoteAnchor"/>
          <w:rtl w:val="true"/>
        </w:rPr>
        <w:footnoteReference w:id="888"/>
      </w:r>
      <w:r>
        <w:rPr>
          <w:rFonts w:ascii="Amiri" w:hAnsi="Amiri" w:eastAsia="Amiri" w:cs="Amiri"/>
          <w:color w:val="111111"/>
          <w:sz w:val="28"/>
          <w:sz w:val="28"/>
          <w:szCs w:val="28"/>
          <w:rtl w:val="true"/>
          <w:lang w:bidi="ar-SA"/>
        </w:rPr>
        <w:t xml:space="preserve">،و ادّعى ابن إدريس الإجماع على ذلك، و كثرة الأخبار الدّالّة عليه </w:t>
      </w:r>
      <w:r>
        <w:rPr>
          <w:rStyle w:val="FootnoteAnchor"/>
          <w:rtl w:val="true"/>
        </w:rPr>
        <w:footnoteReference w:id="889"/>
      </w:r>
      <w:r>
        <w:rPr>
          <w:rFonts w:ascii="Amiri" w:hAnsi="Amiri" w:eastAsia="Amiri" w:cs="Amiri"/>
          <w:color w:val="111111"/>
          <w:sz w:val="28"/>
          <w:sz w:val="28"/>
          <w:szCs w:val="28"/>
          <w:rtl w:val="true"/>
          <w:lang w:bidi="ar-SA"/>
        </w:rPr>
        <w:t>،و لم يصل إلينا من القدماء غير حديثين ضعيفين يدلاّن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حمزة بن أحمد </w:t>
      </w:r>
      <w:r>
        <w:rPr>
          <w:rStyle w:val="FootnoteAnchor"/>
          <w:rtl w:val="true"/>
        </w:rPr>
        <w:footnoteReference w:id="890"/>
      </w:r>
      <w:r>
        <w:rPr>
          <w:rFonts w:ascii="Amiri" w:hAnsi="Amiri" w:eastAsia="Amiri" w:cs="Amiri"/>
          <w:color w:val="111111"/>
          <w:sz w:val="28"/>
          <w:sz w:val="28"/>
          <w:szCs w:val="28"/>
          <w:rtl w:val="true"/>
          <w:lang w:bidi="ar-SA"/>
        </w:rPr>
        <w:t>،عن أبي الحسن الأوّل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تغتسل من البئر الّتي يجتمع فيها ماء الحمّام،فإنّه يسيل فيها ماء يغتسل به الجنب و ولد الزّنا و النّاصب لنا أهل البيت،و هو شرّهم</w:t>
      </w:r>
      <w:r>
        <w:rPr>
          <w:rFonts w:eastAsia="Amiri" w:cs="Amiri" w:ascii="Amiri" w:hAnsi="Amiri"/>
          <w:color w:val="111111"/>
          <w:sz w:val="28"/>
          <w:szCs w:val="28"/>
          <w:rtl w:val="true"/>
          <w:lang w:bidi="ar-SA"/>
        </w:rPr>
        <w:t xml:space="preserve">) </w:t>
      </w:r>
      <w:r>
        <w:rPr>
          <w:rStyle w:val="FootnoteAnchor"/>
          <w:rtl w:val="true"/>
        </w:rPr>
        <w:footnoteReference w:id="891"/>
      </w:r>
      <w:r>
        <w:rPr>
          <w:rFonts w:ascii="Amiri" w:hAnsi="Amiri" w:eastAsia="Amiri" w:cs="Amiri"/>
          <w:color w:val="111111"/>
          <w:sz w:val="28"/>
          <w:sz w:val="28"/>
          <w:szCs w:val="28"/>
          <w:rtl w:val="true"/>
          <w:lang w:bidi="ar-SA"/>
        </w:rPr>
        <w:t xml:space="preserve">و هي مرسلة،فإنّ محمّد بن محبوب </w:t>
      </w:r>
      <w:r>
        <w:rPr>
          <w:rStyle w:val="FootnoteAnchor"/>
          <w:rtl w:val="true"/>
        </w:rPr>
        <w:footnoteReference w:id="892"/>
      </w:r>
      <w:r>
        <w:rPr>
          <w:rFonts w:ascii="Amiri" w:hAnsi="Amiri" w:eastAsia="Amiri" w:cs="Amiri"/>
          <w:color w:val="111111"/>
          <w:sz w:val="28"/>
          <w:sz w:val="28"/>
          <w:szCs w:val="28"/>
          <w:rtl w:val="true"/>
          <w:lang w:bidi="ar-SA"/>
        </w:rPr>
        <w:t>رواها عن عدّة من أصحابنا،و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حمزة بن أحمد لا أعرف حاله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محمّد بن يعقوب في كتابه،عن بعض أصحابنا،عن ابن جمهور،عن محمّد بن القاسم،عن ابن أبي يعفور،عن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تغتسل من البئر الّتي يجتمع فيها غسالة الحمّام،فإنّ فيها غسالة ولد الزّنا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893"/>
      </w:r>
      <w:r>
        <w:rPr>
          <w:rFonts w:ascii="Amiri" w:hAnsi="Amiri" w:eastAsia="Amiri" w:cs="Amiri"/>
          <w:color w:val="111111"/>
          <w:sz w:val="28"/>
          <w:sz w:val="28"/>
          <w:szCs w:val="28"/>
          <w:rtl w:val="true"/>
          <w:lang w:bidi="ar-SA"/>
        </w:rPr>
        <w:t>و هذا مع إرساله ضعيف،فإنّ ابن جمهور ضعيف جدّا،قال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جمهور،ضعيف في الحديث فاسد المذهب،و قيل فيه أشياء،اللّه أعلم بها من عظمها </w:t>
      </w:r>
      <w:r>
        <w:rPr>
          <w:rStyle w:val="FootnoteAnchor"/>
          <w:rtl w:val="true"/>
        </w:rPr>
        <w:footnoteReference w:id="8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الأقوى عندي انّه على أصل الطّهارة،و قد روى الشّيخ،عن أبي يحيى الواسطيّ </w:t>
      </w:r>
      <w:r>
        <w:rPr>
          <w:rStyle w:val="FootnoteAnchor"/>
          <w:rtl w:val="true"/>
        </w:rPr>
        <w:footnoteReference w:id="895"/>
      </w:r>
      <w:r>
        <w:rPr>
          <w:rFonts w:ascii="IRNazanin" w:hAnsi="IRNazanin" w:eastAsia="IRNazanin"/>
          <w:color w:val="111111"/>
          <w:sz w:val="28"/>
          <w:sz w:val="28"/>
          <w:szCs w:val="28"/>
          <w:rtl w:val="true"/>
          <w:lang w:bidi="fa-IR"/>
        </w:rPr>
        <w:t xml:space="preserve">،عن بعض أصحابنا، </w:t>
      </w:r>
      <w:bookmarkStart w:id="598" w:name="pg12672_159898"/>
    </w:p>
    <w:p>
      <w:pPr>
        <w:pStyle w:val="BookText"/>
        <w:rPr/>
      </w:pPr>
      <w:bookmarkEnd w:id="598"/>
      <w:r>
        <w:rPr>
          <w:rFonts w:ascii="Amiri" w:hAnsi="Amiri" w:eastAsia="Amiri" w:cs="Amiri"/>
          <w:color w:val="111111"/>
          <w:sz w:val="28"/>
          <w:sz w:val="28"/>
          <w:szCs w:val="28"/>
          <w:rtl w:val="true"/>
          <w:lang w:bidi="ar-SA"/>
        </w:rPr>
        <w:t>عن أبي الحسن الماضي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مجتمع الماء في الحمّام من غسالة النّاس يصيب الثّوب؟قال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في الصّحيح،عن حريز بن عبد اللّه،عن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غلب الماء على ريح الجيفة فتوضّأ من الماء و اشرب</w:t>
      </w:r>
      <w:r>
        <w:rPr>
          <w:rFonts w:eastAsia="Amiri" w:cs="Amiri" w:ascii="Amiri" w:hAnsi="Amiri"/>
          <w:color w:val="111111"/>
          <w:sz w:val="28"/>
          <w:szCs w:val="28"/>
          <w:rtl w:val="true"/>
          <w:lang w:bidi="ar-SA"/>
        </w:rPr>
        <w:t xml:space="preserve">)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 الصّحيح،عن الحلبيّ،عن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الماء الآجن يتوضّأ منه إلاّ أن يجد ماء غيره</w:t>
      </w:r>
      <w:r>
        <w:rPr>
          <w:rFonts w:eastAsia="Amiri" w:cs="Amiri" w:ascii="Amiri" w:hAnsi="Amiri"/>
          <w:color w:val="111111"/>
          <w:sz w:val="28"/>
          <w:szCs w:val="28"/>
          <w:rtl w:val="true"/>
          <w:lang w:bidi="ar-SA"/>
        </w:rPr>
        <w:t xml:space="preserve">.) </w:t>
      </w:r>
      <w:r>
        <w:rPr>
          <w:rStyle w:val="FootnoteAnchor"/>
          <w:rtl w:val="true"/>
        </w:rPr>
        <w:footnoteReference w:id="898"/>
      </w:r>
      <w:r>
        <w:rPr>
          <w:rFonts w:ascii="IRNazanin" w:hAnsi="IRNazanin" w:eastAsia="IRNazanin"/>
          <w:color w:val="111111"/>
          <w:sz w:val="28"/>
          <w:sz w:val="28"/>
          <w:szCs w:val="28"/>
          <w:rtl w:val="true"/>
          <w:lang w:bidi="fa-IR"/>
        </w:rPr>
        <w:t>و هذان عامّان</w:t>
      </w:r>
      <w:r>
        <w:rPr>
          <w:rFonts w:eastAsia="IRNazanin" w:cs="IRNazanin"/>
          <w:color w:val="111111"/>
          <w:sz w:val="28"/>
          <w:szCs w:val="28"/>
          <w:rtl w:val="true"/>
          <w:lang w:bidi="fa-IR"/>
        </w:rPr>
        <w:t>.</w:t>
      </w:r>
    </w:p>
    <w:p>
      <w:pPr>
        <w:pStyle w:val="Heading6"/>
        <w:numPr>
          <w:ilvl w:val="5"/>
          <w:numId w:val="1"/>
        </w:numPr>
        <w:rPr/>
      </w:pPr>
      <w:bookmarkStart w:id="599" w:name="__RefHeading___Toc747093_222507752"/>
      <w:bookmarkStart w:id="600" w:name="_Toc237"/>
      <w:bookmarkEnd w:id="599"/>
      <w:r>
        <w:rPr>
          <w:rtl w:val="true"/>
        </w:rPr>
        <w:t>البحث الرّابع</w:t>
      </w:r>
      <w:r>
        <w:rPr>
          <w:rtl w:val="true"/>
        </w:rPr>
        <w:t>:</w:t>
      </w:r>
      <w:r>
        <w:rPr>
          <w:rtl w:val="true"/>
        </w:rPr>
        <w:t>في الأسئار و الأواني المشتبهة</w:t>
      </w:r>
      <w:bookmarkEnd w:id="600"/>
    </w:p>
    <w:p>
      <w:pPr>
        <w:pStyle w:val="Heading6"/>
        <w:numPr>
          <w:ilvl w:val="5"/>
          <w:numId w:val="1"/>
        </w:numPr>
        <w:rPr/>
      </w:pPr>
      <w:bookmarkStart w:id="601" w:name="__RefHeading___Toc747095_222507752"/>
      <w:bookmarkStart w:id="602" w:name="_Toc238"/>
      <w:bookmarkEnd w:id="601"/>
      <w:r>
        <w:rPr>
          <w:rtl w:val="true"/>
        </w:rPr>
        <w:t>مسألة</w:t>
      </w:r>
      <w:r>
        <w:rPr>
          <w:rtl w:val="true"/>
        </w:rPr>
        <w:t>:</w:t>
      </w:r>
      <w:r>
        <w:rPr>
          <w:rtl w:val="true"/>
        </w:rPr>
        <w:t>الحيوان على ضربين</w:t>
      </w:r>
      <w:r>
        <w:rPr>
          <w:rtl w:val="true"/>
        </w:rPr>
        <w:t>:</w:t>
      </w:r>
      <w:r>
        <w:rPr>
          <w:rtl w:val="true"/>
        </w:rPr>
        <w:t>آدميّ و غيره</w:t>
      </w:r>
      <w:bookmarkEnd w:id="602"/>
    </w:p>
    <w:p>
      <w:pPr>
        <w:pStyle w:val="BookText"/>
        <w:rPr/>
      </w:pPr>
      <w:r>
        <w:rPr>
          <w:rFonts w:ascii="Amiri" w:hAnsi="Amiri" w:eastAsia="Amiri" w:cs="Amiri"/>
          <w:color w:val="111111"/>
          <w:sz w:val="28"/>
          <w:sz w:val="28"/>
          <w:szCs w:val="28"/>
          <w:rtl w:val="true"/>
          <w:lang w:bidi="ar-SA"/>
        </w:rPr>
        <w:t>،فالآدميّ إن كان مسلما أو بحكمه، فسؤره طاهر،عدا النّاصب و الغلاة،و غير المسلم و النّاصب و الغلاة سؤرهم 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الآدميّ مأكول اللّحم و غيره،فالأوّل سؤره طاهر،فإن كان لحمه مكروها،كان سؤره كذلك كالفرس و الحمار و البغل،و غير المأكول إمّا أن يكون نجس العين كالكلب و الخنزير أولا،و الأوّل سورة نجس،و الثّاني سؤره طاهر</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على القول المشهور لأصحابنا </w:t>
      </w:r>
      <w:r>
        <w:rPr>
          <w:rStyle w:val="FootnoteAnchor"/>
          <w:rtl w:val="true"/>
        </w:rPr>
        <w:footnoteReference w:id="899"/>
      </w:r>
      <w:r>
        <w:rPr>
          <w:rFonts w:ascii="Amiri" w:hAnsi="Amiri" w:eastAsia="Amiri" w:cs="Amiri"/>
          <w:color w:val="111111"/>
          <w:sz w:val="28"/>
          <w:sz w:val="28"/>
          <w:szCs w:val="28"/>
          <w:rtl w:val="true"/>
          <w:lang w:bidi="ar-SA"/>
        </w:rPr>
        <w:t xml:space="preserve">،و هو اختيار الشّيخ في الخلاف </w:t>
      </w:r>
      <w:r>
        <w:rPr>
          <w:rStyle w:val="FootnoteAnchor"/>
          <w:rtl w:val="true"/>
        </w:rPr>
        <w:footnoteReference w:id="900"/>
      </w:r>
      <w:r>
        <w:rPr>
          <w:rFonts w:ascii="Amiri" w:hAnsi="Amiri" w:eastAsia="Amiri" w:cs="Amiri"/>
          <w:color w:val="111111"/>
          <w:sz w:val="28"/>
          <w:sz w:val="28"/>
          <w:szCs w:val="28"/>
          <w:rtl w:val="true"/>
          <w:lang w:bidi="ar-SA"/>
        </w:rPr>
        <w:t xml:space="preserve">،و وافق في المبسوط على ذلك،إلاّ في شيء واحد،و هو غير مأكول اللّحم من الحيوان الإنسيّ،فإنّه منع </w:t>
      </w:r>
    </w:p>
    <w:p>
      <w:pPr>
        <w:pStyle w:val="BookText"/>
        <w:rPr/>
      </w:pPr>
      <w:r>
        <w:rPr>
          <w:rFonts w:ascii="Amiri" w:hAnsi="Amiri" w:eastAsia="Amiri" w:cs="Amiri"/>
          <w:color w:val="111111"/>
          <w:sz w:val="28"/>
          <w:sz w:val="28"/>
          <w:szCs w:val="28"/>
          <w:rtl w:val="true"/>
          <w:lang w:bidi="ar-SA"/>
        </w:rPr>
        <w:t xml:space="preserve">من استعمال سؤره إلاّ ما لا يمكن التّحرّز منه </w:t>
      </w:r>
      <w:r>
        <w:rPr>
          <w:rStyle w:val="FootnoteAnchor"/>
          <w:rtl w:val="true"/>
        </w:rPr>
        <w:footnoteReference w:id="9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اخترناه أوّلا هو مذهب الشّافعيّ </w:t>
      </w:r>
      <w:r>
        <w:rPr>
          <w:rStyle w:val="FootnoteAnchor"/>
          <w:rtl w:val="true"/>
        </w:rPr>
        <w:footnoteReference w:id="902"/>
      </w:r>
      <w:r>
        <w:rPr>
          <w:rFonts w:ascii="Amiri" w:hAnsi="Amiri" w:eastAsia="Amiri" w:cs="Amiri"/>
          <w:color w:val="111111"/>
          <w:sz w:val="28"/>
          <w:sz w:val="28"/>
          <w:szCs w:val="28"/>
          <w:rtl w:val="true"/>
          <w:lang w:bidi="ar-SA"/>
        </w:rPr>
        <w:t xml:space="preserve">إلاّ في قسم الآدميّ،و هو قول عمرو بن العاص </w:t>
      </w:r>
      <w:r>
        <w:rPr>
          <w:rStyle w:val="FootnoteAnchor"/>
          <w:rtl w:val="true"/>
        </w:rPr>
        <w:footnoteReference w:id="903"/>
      </w:r>
      <w:r>
        <w:rPr>
          <w:rFonts w:ascii="Amiri" w:hAnsi="Amiri" w:eastAsia="Amiri" w:cs="Amiri"/>
          <w:color w:val="111111"/>
          <w:sz w:val="28"/>
          <w:sz w:val="28"/>
          <w:szCs w:val="28"/>
          <w:rtl w:val="true"/>
          <w:lang w:bidi="ar-SA"/>
        </w:rPr>
        <w:t xml:space="preserve">و أبي هريرة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سؤر الآدميّ طاهر،سواء كان مسلما أو لا،صغيرا أو كبيرا،إلاّ سور شارب الخمر،فإنّه نجس إلاّ إذا ابتلع بصاقه ثلاث مرّات،و كذا سؤر مأكول اللّحم </w:t>
      </w:r>
      <w:r>
        <w:rPr>
          <w:rStyle w:val="FootnoteAnchor"/>
          <w:rtl w:val="true"/>
        </w:rPr>
        <w:footnoteReference w:id="905"/>
      </w:r>
      <w:r>
        <w:rPr>
          <w:rFonts w:ascii="Amiri" w:hAnsi="Amiri" w:eastAsia="Amiri" w:cs="Amiri"/>
          <w:color w:val="111111"/>
          <w:sz w:val="28"/>
          <w:sz w:val="28"/>
          <w:szCs w:val="28"/>
          <w:rtl w:val="true"/>
          <w:lang w:bidi="ar-SA"/>
        </w:rPr>
        <w:t>، و سؤر الفرس مكروه في إحدى الرّوايتين،و في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طاهر </w:t>
      </w:r>
      <w:r>
        <w:rPr>
          <w:rStyle w:val="FootnoteAnchor"/>
          <w:rtl w:val="true"/>
        </w:rPr>
        <w:footnoteReference w:id="906"/>
      </w:r>
      <w:r>
        <w:rPr>
          <w:rFonts w:ascii="Amiri" w:hAnsi="Amiri" w:eastAsia="Amiri" w:cs="Amiri"/>
          <w:color w:val="111111"/>
          <w:sz w:val="28"/>
          <w:sz w:val="28"/>
          <w:szCs w:val="28"/>
          <w:rtl w:val="true"/>
          <w:lang w:bidi="ar-SA"/>
        </w:rPr>
        <w:t>،و هو اختيار محمّد و أبي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الطّيور المأكولة إلاّ الدّجاجة المطلقة،فإنّه مكروه،و سؤر الكلب و الخنزير نجس،و سؤر سباع الوحش كالأسد نجس،و سؤر سباع الطّير مكروه،و كذا الحشرات كالحيّة و العقرب،و كذا سؤر الهرّة،و سؤر البغل و الحمار مشكوك فيه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ذهب الجمهور إلى طهارة الكفّار،و طهارة سؤرهم،و عرقهم،و ما باشروه برطوبة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حيوان يؤكل لحمه فسؤره طاهر،و كذا حشرات الأرض و الهرّ </w:t>
      </w:r>
      <w:r>
        <w:rPr>
          <w:rStyle w:val="FootnoteAnchor"/>
          <w:rtl w:val="true"/>
        </w:rPr>
        <w:footnoteReference w:id="90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السّباع ففيه روايتان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سؤرها طاهر،و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نجس،و كذا في البغل و الحمار روايتان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مالك </w:t>
      </w:r>
      <w:r>
        <w:rPr>
          <w:rStyle w:val="FootnoteAnchor"/>
          <w:rtl w:val="true"/>
        </w:rPr>
        <w:footnoteReference w:id="911"/>
      </w:r>
      <w:r>
        <w:rPr>
          <w:rFonts w:ascii="Amiri" w:hAnsi="Amiri" w:eastAsia="Amiri" w:cs="Amiri"/>
          <w:color w:val="111111"/>
          <w:sz w:val="28"/>
          <w:sz w:val="28"/>
          <w:szCs w:val="28"/>
          <w:rtl w:val="true"/>
          <w:lang w:bidi="ar-SA"/>
        </w:rPr>
        <w:t xml:space="preserve">و الأوزاعيّ </w:t>
      </w:r>
      <w:r>
        <w:rPr>
          <w:rStyle w:val="FootnoteAnchor"/>
          <w:rtl w:val="true"/>
        </w:rPr>
        <w:footnoteReference w:id="912"/>
      </w:r>
      <w:r>
        <w:rPr>
          <w:rFonts w:ascii="Amiri" w:hAnsi="Amiri" w:eastAsia="Amiri" w:cs="Amiri"/>
          <w:color w:val="111111"/>
          <w:sz w:val="28"/>
          <w:sz w:val="28"/>
          <w:szCs w:val="28"/>
          <w:rtl w:val="true"/>
          <w:lang w:bidi="ar-SA"/>
        </w:rPr>
        <w:t>و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سؤر الكلب و الخنزير طاهر يتوضّأ به و يشرب، و إن ولغا في طعام لم يحرم أكله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يتوضّأ به إذا لم يجد غيره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عبيدة بن أبي لبابة </w:t>
      </w:r>
      <w:r>
        <w:rPr>
          <w:rStyle w:val="FootnoteAnchor"/>
          <w:rtl w:val="true"/>
        </w:rPr>
        <w:footnoteReference w:id="915"/>
      </w:r>
      <w:r>
        <w:rPr>
          <w:rFonts w:ascii="Amiri" w:hAnsi="Amiri" w:eastAsia="Amiri" w:cs="Amiri"/>
          <w:color w:val="111111"/>
          <w:sz w:val="28"/>
          <w:sz w:val="28"/>
          <w:szCs w:val="28"/>
          <w:rtl w:val="true"/>
          <w:lang w:bidi="ar-SA"/>
        </w:rPr>
        <w:t xml:space="preserve">،و الثّوريّ،و ابن ماجشون </w:t>
      </w:r>
      <w:r>
        <w:rPr>
          <w:rStyle w:val="FootnoteAnchor"/>
          <w:rtl w:val="true"/>
        </w:rPr>
        <w:footnoteReference w:id="916"/>
      </w:r>
      <w:r>
        <w:rPr>
          <w:rFonts w:ascii="Amiri" w:hAnsi="Amiri" w:eastAsia="Amiri" w:cs="Amiri"/>
          <w:color w:val="111111"/>
          <w:sz w:val="28"/>
          <w:sz w:val="28"/>
          <w:szCs w:val="28"/>
          <w:rtl w:val="true"/>
          <w:lang w:bidi="ar-SA"/>
        </w:rPr>
        <w:t xml:space="preserve">،و ابن مسلمة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يتوضّأ به و يتيمّم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يغسل الإناء الّذي ولغ الكلب فيه تعبّدا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سؤر السّباع عدا السّنّور،و ما دونها في الخلقة،و سؤر جوارح الطّير،و الحمار </w:t>
      </w:r>
    </w:p>
    <w:p>
      <w:pPr>
        <w:pStyle w:val="BookText"/>
        <w:rPr/>
      </w:pPr>
      <w:r>
        <w:rPr>
          <w:rFonts w:ascii="Amiri" w:hAnsi="Amiri" w:eastAsia="Amiri" w:cs="Amiri"/>
          <w:color w:val="111111"/>
          <w:sz w:val="28"/>
          <w:sz w:val="28"/>
          <w:szCs w:val="28"/>
          <w:rtl w:val="true"/>
          <w:lang w:bidi="ar-SA"/>
        </w:rPr>
        <w:t>الأهليّ،و البغل،فكلّه طاهر عندنا،إلاّ انّه مكروه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الحسن البصريّ،و عطاء، و الزّهريّ،و يحيى الأنصاريّ </w:t>
      </w:r>
      <w:r>
        <w:rPr>
          <w:rStyle w:val="FootnoteAnchor"/>
          <w:rtl w:val="true"/>
        </w:rPr>
        <w:footnoteReference w:id="920"/>
      </w:r>
      <w:r>
        <w:rPr>
          <w:rFonts w:ascii="Amiri" w:hAnsi="Amiri" w:eastAsia="Amiri" w:cs="Amiri"/>
          <w:color w:val="111111"/>
          <w:sz w:val="28"/>
          <w:sz w:val="28"/>
          <w:szCs w:val="28"/>
          <w:rtl w:val="true"/>
          <w:lang w:bidi="ar-SA"/>
        </w:rPr>
        <w:t xml:space="preserve">،و ربيعة </w:t>
      </w:r>
      <w:r>
        <w:rPr>
          <w:rStyle w:val="FootnoteAnchor"/>
          <w:rtl w:val="true"/>
        </w:rPr>
        <w:footnoteReference w:id="921"/>
      </w:r>
      <w:r>
        <w:rPr>
          <w:rFonts w:ascii="IRNazanin" w:hAnsi="IRNazanin" w:eastAsia="IRNazanin"/>
          <w:color w:val="111111"/>
          <w:sz w:val="28"/>
          <w:sz w:val="28"/>
          <w:szCs w:val="28"/>
          <w:rtl w:val="true"/>
          <w:lang w:bidi="fa-IR"/>
        </w:rPr>
        <w:t xml:space="preserve">، </w:t>
      </w:r>
      <w:r>
        <w:rPr>
          <w:rStyle w:val="FootnoteAnchor"/>
          <w:rtl w:val="true"/>
        </w:rPr>
        <w:footnoteReference w:id="922"/>
      </w:r>
      <w:r>
        <w:rPr>
          <w:rFonts w:ascii="Amiri" w:hAnsi="Amiri" w:eastAsia="Amiri" w:cs="Amiri"/>
          <w:color w:val="111111"/>
          <w:sz w:val="28"/>
          <w:sz w:val="28"/>
          <w:szCs w:val="28"/>
          <w:rtl w:val="true"/>
          <w:lang w:bidi="ar-SA"/>
        </w:rPr>
        <w:t xml:space="preserve">،و مالك </w:t>
      </w:r>
      <w:r>
        <w:rPr>
          <w:rStyle w:val="FootnoteAnchor"/>
          <w:rtl w:val="true"/>
        </w:rPr>
        <w:footnoteReference w:id="923"/>
      </w:r>
      <w:r>
        <w:rPr>
          <w:rFonts w:ascii="Amiri" w:hAnsi="Amiri" w:eastAsia="Amiri" w:cs="Amiri"/>
          <w:color w:val="111111"/>
          <w:sz w:val="28"/>
          <w:sz w:val="28"/>
          <w:szCs w:val="28"/>
          <w:rtl w:val="true"/>
          <w:lang w:bidi="ar-SA"/>
        </w:rPr>
        <w:t xml:space="preserve">،و الشّافعيّ </w:t>
      </w:r>
      <w:r>
        <w:rPr>
          <w:rStyle w:val="FootnoteAnchor"/>
          <w:rtl w:val="true"/>
        </w:rPr>
        <w:footnoteReference w:id="924"/>
      </w:r>
      <w:r>
        <w:rPr>
          <w:rFonts w:ascii="IRNazanin" w:hAnsi="IRNazanin" w:eastAsia="IRNazanin"/>
          <w:color w:val="111111"/>
          <w:sz w:val="28"/>
          <w:sz w:val="28"/>
          <w:szCs w:val="28"/>
          <w:rtl w:val="true"/>
          <w:lang w:bidi="fa-IR"/>
        </w:rPr>
        <w:t xml:space="preserve">،و ابن المنذر </w:t>
      </w:r>
      <w:r>
        <w:rPr>
          <w:rStyle w:val="FootnoteAnchor"/>
          <w:rtl w:val="true"/>
        </w:rPr>
        <w:footnoteReference w:id="925"/>
      </w:r>
      <w:r>
        <w:rPr>
          <w:rFonts w:ascii="Amiri" w:hAnsi="Amiri" w:eastAsia="Amiri" w:cs="Amiri"/>
          <w:color w:val="111111"/>
          <w:sz w:val="28"/>
          <w:sz w:val="28"/>
          <w:szCs w:val="28"/>
          <w:rtl w:val="true"/>
          <w:lang w:bidi="ar-SA"/>
        </w:rPr>
        <w:t>،لما رواه جابر انّ النّبيّ صلّى اللّه عليه و آله 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يتوضّأ بما أفضلت الحمر؟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بما أفضلت السّباع كلّها</w:t>
      </w:r>
      <w:r>
        <w:rPr>
          <w:rFonts w:eastAsia="Amiri" w:cs="Amiri" w:ascii="Amiri" w:hAnsi="Amiri"/>
          <w:color w:val="111111"/>
          <w:sz w:val="28"/>
          <w:szCs w:val="28"/>
          <w:rtl w:val="true"/>
          <w:lang w:bidi="ar-SA"/>
        </w:rPr>
        <w:t xml:space="preserve">) </w:t>
      </w:r>
      <w:r>
        <w:rPr>
          <w:rStyle w:val="FootnoteAnchor"/>
          <w:rtl w:val="true"/>
        </w:rPr>
        <w:footnoteReference w:id="926"/>
      </w:r>
      <w:r>
        <w:rPr>
          <w:rFonts w:ascii="Amiri" w:hAnsi="Amiri" w:eastAsia="Amiri" w:cs="Amiri"/>
          <w:color w:val="111111"/>
          <w:sz w:val="28"/>
          <w:sz w:val="28"/>
          <w:szCs w:val="28"/>
          <w:rtl w:val="true"/>
          <w:lang w:bidi="ar-SA"/>
        </w:rPr>
        <w:t>و هو رواية عن أحمد،و في الرّواية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جميع ذلك نجس،إذا لم يجد غيره يتيمّم و يتركه </w:t>
      </w:r>
      <w:r>
        <w:rPr>
          <w:rStyle w:val="FootnoteAnchor"/>
          <w:rtl w:val="true"/>
        </w:rPr>
        <w:footnoteReference w:id="9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وقع الاتفاق بين العلماء كافّة على طهارة سؤر المسلمين غير الخوارج و الغلاة،و على نجاسة سؤر الكلب و الخنزير </w:t>
      </w:r>
      <w:r>
        <w:rPr>
          <w:rStyle w:val="FootnoteAnchor"/>
          <w:rtl w:val="true"/>
        </w:rPr>
        <w:footnoteReference w:id="928"/>
      </w:r>
      <w:r>
        <w:rPr>
          <w:rFonts w:ascii="Amiri" w:hAnsi="Amiri" w:eastAsia="Amiri" w:cs="Amiri"/>
          <w:color w:val="111111"/>
          <w:sz w:val="28"/>
          <w:sz w:val="28"/>
          <w:szCs w:val="28"/>
          <w:rtl w:val="true"/>
          <w:lang w:bidi="ar-SA"/>
        </w:rPr>
        <w:t xml:space="preserve">،إلاّ من مالك </w:t>
      </w:r>
      <w:r>
        <w:rPr>
          <w:rStyle w:val="FootnoteAnchor"/>
          <w:rtl w:val="true"/>
        </w:rPr>
        <w:footnoteReference w:id="929"/>
      </w:r>
      <w:r>
        <w:rPr>
          <w:rFonts w:ascii="Amiri" w:hAnsi="Amiri" w:eastAsia="Amiri" w:cs="Amiri"/>
          <w:color w:val="111111"/>
          <w:sz w:val="28"/>
          <w:sz w:val="28"/>
          <w:szCs w:val="28"/>
          <w:rtl w:val="true"/>
          <w:lang w:bidi="ar-SA"/>
        </w:rPr>
        <w:t xml:space="preserve">و من تقدّم،فإنّه قال بطهارة سؤرهما </w:t>
      </w:r>
      <w:r>
        <w:rPr>
          <w:rStyle w:val="FootnoteAnchor"/>
          <w:rtl w:val="true"/>
        </w:rPr>
        <w:footnoteReference w:id="930"/>
      </w:r>
      <w:r>
        <w:rPr>
          <w:rFonts w:ascii="Amiri" w:hAnsi="Amiri" w:eastAsia="Amiri" w:cs="Amiri"/>
          <w:color w:val="111111"/>
          <w:sz w:val="28"/>
          <w:sz w:val="28"/>
          <w:szCs w:val="28"/>
          <w:rtl w:val="true"/>
          <w:lang w:bidi="ar-SA"/>
        </w:rPr>
        <w:t>،و حكى الطّحاويّ عن مالك في سؤر النّصرانيّ،و المشرك انّه لا يتوضّأ به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 على نجاسة سؤر الكافر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إِنَّمَا الْمُشْرِكُونَ نَجَسٌ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الجمهور،عن أبي ثعلبة الخشنيّ </w:t>
      </w:r>
      <w:r>
        <w:rPr>
          <w:rStyle w:val="FootnoteAnchor"/>
          <w:rtl w:val="true"/>
        </w:rPr>
        <w:footnoteReference w:id="9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اللّه،إنّا بأرض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933"/>
      </w:r>
      <w:r>
        <w:rPr>
          <w:rFonts w:ascii="Amiri" w:hAnsi="Amiri" w:eastAsia="Amiri" w:cs="Amiri"/>
          <w:color w:val="111111"/>
          <w:sz w:val="28"/>
          <w:sz w:val="28"/>
          <w:szCs w:val="28"/>
          <w:rtl w:val="true"/>
          <w:lang w:bidi="ar-SA"/>
        </w:rPr>
        <w:t>أهل الكتاب نأكل في آنيتهم؟فقال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تأكلوا فيها إلاّ أن لا تجدوا غيرها فاغسلوها ثمَّ كلوا فيها</w:t>
      </w:r>
      <w:r>
        <w:rPr>
          <w:rFonts w:eastAsia="Amiri" w:cs="Amiri" w:ascii="Amiri" w:hAnsi="Amiri"/>
          <w:color w:val="111111"/>
          <w:sz w:val="28"/>
          <w:szCs w:val="28"/>
          <w:rtl w:val="true"/>
          <w:lang w:bidi="ar-SA"/>
        </w:rPr>
        <w:t xml:space="preserve">)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الآية و الخبر انّهم لمّا كثرت مباشرتهم للنّجاسات أطلق عليهم اسم النّجس و إن لم تكن أعيانهم نجسة و لا أوانيهم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صرف للّفظ عن الظّاهر مع عدم الدّليل،و لأنّ إذلال الكافر أمر مطلوب،و التّنجيس طريق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الحسن،عن سعيد الأعرج،قال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سؤر اليهوديّ و النّصرانيّ؟قال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النّاصب فإنّه قادح في أمير المؤمنين عليه السّلام،و قد علم بالضّرورة من الدّين تحريم ذلك فهو من هذه الحيثيّة داخل في الكفّار لخروجه عن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الغلاة فإنّهم و إن أقرّوا بالشّهادة إلاّ انّهم خارجون عن الإسلام أيضا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نجاسة سؤر الكلب و الخنزير،فيدلّ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النّبيّ صلّى اللّه عليه و آله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طهور إناء أحدكم إذا ولغ الكلب فيه أن يغسله سبعا</w:t>
      </w:r>
      <w:r>
        <w:rPr>
          <w:rFonts w:eastAsia="Amiri" w:cs="Amiri" w:ascii="Amiri" w:hAnsi="Amiri"/>
          <w:color w:val="111111"/>
          <w:sz w:val="28"/>
          <w:szCs w:val="28"/>
          <w:rtl w:val="true"/>
          <w:lang w:bidi="ar-SA"/>
        </w:rPr>
        <w:t xml:space="preserve">) </w:t>
      </w:r>
      <w:r>
        <w:rPr>
          <w:rStyle w:val="FootnoteAnchor"/>
          <w:rtl w:val="true"/>
        </w:rPr>
        <w:footnoteReference w:id="936"/>
      </w:r>
      <w:r>
        <w:rPr>
          <w:rFonts w:ascii="IRNazanin" w:hAnsi="IRNazanin" w:eastAsia="IRNazanin"/>
          <w:color w:val="111111"/>
          <w:sz w:val="28"/>
          <w:sz w:val="28"/>
          <w:szCs w:val="28"/>
          <w:rtl w:val="true"/>
          <w:lang w:bidi="fa-IR"/>
        </w:rPr>
        <w:t xml:space="preserve">أخرجه أبو داود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الفضل أبي العبّاس،قال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 عن فضل الهرّة،و الشّاة،و البقرة،و الإبل،و الحمار، و الخيل،و البغال،و الوحش،و السّباع،فلم أترك شيئا إلاّ سألته عنه؟فقال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انتهيت إلى الكلب،فقال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رجس نجس لا تتوضّأ بفضله و اصبب ذلك الماء و اغسله بالتّراب أوّل مرّة ثمَّ بالماء</w:t>
      </w:r>
      <w:r>
        <w:rPr>
          <w:rFonts w:eastAsia="Amiri" w:cs="Amiri" w:ascii="Amiri" w:hAnsi="Amiri"/>
          <w:color w:val="111111"/>
          <w:sz w:val="28"/>
          <w:szCs w:val="28"/>
          <w:rtl w:val="true"/>
          <w:lang w:bidi="ar-SA"/>
        </w:rPr>
        <w:t xml:space="preserve">)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الصّحيح،عن محمّد بن مسلم،عن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الكلب يشرب من الإناء؟قال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 الإناء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السّنّور؟قال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تتوضّأ من فضلها،إنّما هي من السّباع</w:t>
      </w:r>
      <w:r>
        <w:rPr>
          <w:rFonts w:eastAsia="Amiri" w:cs="Amiri" w:ascii="Amiri" w:hAnsi="Amiri"/>
          <w:color w:val="111111"/>
          <w:sz w:val="28"/>
          <w:szCs w:val="28"/>
          <w:rtl w:val="true"/>
          <w:lang w:bidi="ar-SA"/>
        </w:rPr>
        <w:t xml:space="preserve">)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رواه معاوية بن شريح </w:t>
      </w:r>
      <w:r>
        <w:rPr>
          <w:rStyle w:val="FootnoteAnchor"/>
          <w:rtl w:val="true"/>
        </w:rPr>
        <w:footnoteReference w:id="94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عذافر </w:t>
      </w:r>
      <w:r>
        <w:rPr>
          <w:rStyle w:val="FootnoteAnchor"/>
          <w:rtl w:val="true"/>
        </w:rPr>
        <w:footnoteReference w:id="941"/>
      </w:r>
      <w:r>
        <w:rPr>
          <w:rFonts w:ascii="Amiri" w:hAnsi="Amiri" w:eastAsia="Amiri" w:cs="Amiri"/>
          <w:color w:val="111111"/>
          <w:sz w:val="28"/>
          <w:sz w:val="28"/>
          <w:szCs w:val="28"/>
          <w:rtl w:val="true"/>
          <w:lang w:bidi="ar-SA"/>
        </w:rPr>
        <w:t>أبا عبد اللّه عليه السّلام و أنا عنده عن سؤر السّنّور،و الشّاة،و البقرة،و البعير،و الحمار،و الفرس،و البغل،و السّباع،يشرب منه أو يتوضّأ منه؟فقال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نعم،اشرب منه و توضّأ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هو سبع؟قال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انّه نجس،لا و اللّه انّه نجس</w:t>
      </w:r>
      <w:r>
        <w:rPr>
          <w:rFonts w:eastAsia="Amiri" w:cs="Amiri" w:ascii="Amiri" w:hAnsi="Amiri"/>
          <w:color w:val="111111"/>
          <w:sz w:val="28"/>
          <w:szCs w:val="28"/>
          <w:rtl w:val="true"/>
          <w:lang w:bidi="ar-SA"/>
        </w:rPr>
        <w:t xml:space="preserve">) </w:t>
      </w:r>
      <w:r>
        <w:rPr>
          <w:rStyle w:val="FootnoteAnchor"/>
          <w:rtl w:val="true"/>
        </w:rPr>
        <w:footnoteReference w:id="942"/>
      </w:r>
      <w:r>
        <w:rPr>
          <w:rFonts w:ascii="IRNazanin" w:hAnsi="IRNazanin" w:eastAsia="IRNazanin"/>
          <w:color w:val="111111"/>
          <w:sz w:val="28"/>
          <w:sz w:val="28"/>
          <w:szCs w:val="28"/>
          <w:rtl w:val="true"/>
          <w:lang w:bidi="fa-IR"/>
        </w:rPr>
        <w:t xml:space="preserve">و مثله روى </w:t>
      </w:r>
    </w:p>
    <w:p>
      <w:pPr>
        <w:pStyle w:val="BookText"/>
        <w:rPr/>
      </w:pPr>
      <w:r>
        <w:rPr>
          <w:rFonts w:ascii="Amiri" w:hAnsi="Amiri" w:eastAsia="Amiri" w:cs="Amiri"/>
          <w:color w:val="111111"/>
          <w:sz w:val="28"/>
          <w:sz w:val="28"/>
          <w:szCs w:val="28"/>
          <w:rtl w:val="true"/>
          <w:lang w:bidi="ar-SA"/>
        </w:rPr>
        <w:t xml:space="preserve">معاوية،بن ميسرة عن أبي عبد اللّه عليه السّلام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لأنّهما نجسا العين،فينجّسان ما يلاقيانه،و لأنّ لعابهما متولّد من لحمهما و هو نجس العين،فإذا </w:t>
      </w:r>
      <w:r>
        <w:rPr>
          <w:rStyle w:val="FootnoteAnchor"/>
          <w:rtl w:val="true"/>
        </w:rPr>
        <w:footnoteReference w:id="944"/>
      </w:r>
      <w:r>
        <w:rPr>
          <w:rFonts w:ascii="IRNazanin" w:hAnsi="IRNazanin" w:eastAsia="IRNazanin"/>
          <w:color w:val="111111"/>
          <w:sz w:val="28"/>
          <w:sz w:val="28"/>
          <w:szCs w:val="28"/>
          <w:rtl w:val="true"/>
          <w:lang w:bidi="fa-IR"/>
        </w:rPr>
        <w:t>امتزج بالماء،نجس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الكلب من الطّوافين علينا فكان سؤره طاهرا كالهرّة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في الصّحيح،عن ابن مسكان،عن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الوضوء ممّا ولغ الكلب فيه و السّنّور،أو شرب منه جمل أو دابّة أو غير ذلك، أ يتوضّأ منه أو يغتسل؟قال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نعم،إلاّ أن تجد غيره فتنزّه عنه</w:t>
      </w:r>
      <w:r>
        <w:rPr>
          <w:rFonts w:eastAsia="Amiri" w:cs="Amiri" w:ascii="Amiri" w:hAnsi="Amiri"/>
          <w:color w:val="111111"/>
          <w:sz w:val="28"/>
          <w:szCs w:val="28"/>
          <w:rtl w:val="true"/>
          <w:lang w:bidi="ar-SA"/>
        </w:rPr>
        <w:t xml:space="preserve">)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لأنّا نجيب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بالمنع من كونه من الطّوّافين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سلّمنا،لكنّ القياس في معارضة النّصّ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w:t>
      </w:r>
      <w:r>
        <w:rPr>
          <w:rStyle w:val="FootnoteAnchor"/>
          <w:rtl w:val="true"/>
        </w:rPr>
        <w:footnoteReference w:id="946"/>
      </w:r>
      <w:r>
        <w:rPr>
          <w:rFonts w:ascii="Amiri" w:hAnsi="Amiri" w:eastAsia="Amiri" w:cs="Amiri"/>
          <w:color w:val="111111"/>
          <w:sz w:val="28"/>
          <w:sz w:val="28"/>
          <w:szCs w:val="28"/>
          <w:rtl w:val="true"/>
          <w:lang w:bidi="ar-SA"/>
        </w:rPr>
        <w:t>ولغ فيه الكلب ممّا بلغ كرّا،و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أبو بصير،عن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بفضل السّنّور بأس لمن يتوضّأ منه و يشرب،و لا يشرب سؤر الكلب إلاّ أن يكون حوضا كبيرا يستقى منه</w:t>
      </w:r>
      <w:r>
        <w:rPr>
          <w:rFonts w:eastAsia="Amiri" w:cs="Amiri" w:ascii="Amiri" w:hAnsi="Amiri"/>
          <w:color w:val="111111"/>
          <w:sz w:val="28"/>
          <w:szCs w:val="28"/>
          <w:rtl w:val="true"/>
          <w:lang w:bidi="ar-SA"/>
        </w:rPr>
        <w:t xml:space="preserve">)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الأحاديث الّتي قدّمناها ليس فيها دلالة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سؤر 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الخنزير،بل الطّريق إليه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نجس،فينجس سؤره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الإجماع،و قول مالك خارق له،و يمكن 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 نجاسة سؤر الكلب، فيثبت نجاسة سؤر الخنزير بالإجماع</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أَوْ لَحْمَ خِنزِيرٍ،فَإِنَّهُ رِجْسٌ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الخنزير يسمّى كلبا لغة </w:t>
      </w:r>
      <w:r>
        <w:rPr>
          <w:rStyle w:val="FootnoteAnchor"/>
          <w:rtl w:val="true"/>
        </w:rPr>
        <w:footnoteReference w:id="949"/>
      </w:r>
      <w:r>
        <w:rPr>
          <w:rFonts w:ascii="Amiri" w:hAnsi="Amiri" w:eastAsia="Amiri" w:cs="Amiri"/>
          <w:color w:val="111111"/>
          <w:sz w:val="28"/>
          <w:sz w:val="28"/>
          <w:szCs w:val="28"/>
          <w:rtl w:val="true"/>
          <w:lang w:bidi="ar-SA"/>
        </w:rPr>
        <w:t>،و قد روى الشّيخ في الصّحيح،عن عليّ بن جعفر،عن أخيه موسى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يصيب ثوبه خنزير فلم يغسله،فذكر و هو في صلاته،كيف يصنع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دخل في صلاته فليمض،و إن لم يكن دخل في صلاته فلينضح ما أصاب من ثوبه إلاّ أن يكون فيه أثر فيغسله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سألته عن خنزير شرب من </w:t>
      </w:r>
      <w:r>
        <w:rPr>
          <w:rStyle w:val="FootnoteAnchor"/>
          <w:rtl w:val="true"/>
        </w:rPr>
        <w:footnoteReference w:id="950"/>
      </w:r>
      <w:r>
        <w:rPr>
          <w:rFonts w:ascii="Amiri" w:hAnsi="Amiri" w:eastAsia="Amiri" w:cs="Amiri"/>
          <w:color w:val="111111"/>
          <w:sz w:val="28"/>
          <w:sz w:val="28"/>
          <w:szCs w:val="28"/>
          <w:rtl w:val="true"/>
          <w:lang w:bidi="ar-SA"/>
        </w:rPr>
        <w:t>إناء،كيف يصنع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 سبع مرّات</w:t>
      </w:r>
      <w:r>
        <w:rPr>
          <w:rFonts w:eastAsia="Amiri" w:cs="Amiri" w:ascii="Amiri" w:hAnsi="Amiri"/>
          <w:color w:val="111111"/>
          <w:sz w:val="28"/>
          <w:szCs w:val="28"/>
          <w:rtl w:val="true"/>
          <w:lang w:bidi="ar-SA"/>
        </w:rPr>
        <w:t xml:space="preserve">) </w:t>
      </w:r>
      <w:r>
        <w:rPr>
          <w:rStyle w:val="FootnoteAnchor"/>
          <w:rtl w:val="true"/>
        </w:rPr>
        <w:footnoteReference w:id="951"/>
      </w:r>
      <w:r>
        <w:rPr>
          <w:rFonts w:ascii="Amiri" w:hAnsi="Amiri" w:eastAsia="Amiri" w:cs="Amiri"/>
          <w:color w:val="111111"/>
          <w:sz w:val="28"/>
          <w:sz w:val="28"/>
          <w:szCs w:val="28"/>
          <w:rtl w:val="true"/>
          <w:lang w:bidi="ar-SA"/>
        </w:rPr>
        <w:t xml:space="preserve">احتجّوا </w:t>
      </w:r>
      <w:r>
        <w:rPr>
          <w:rStyle w:val="FootnoteAnchor"/>
          <w:rtl w:val="true"/>
        </w:rPr>
        <w:footnoteReference w:id="952"/>
      </w:r>
      <w:r>
        <w:rPr>
          <w:rFonts w:ascii="Amiri" w:hAnsi="Amiri" w:eastAsia="Amiri" w:cs="Amiri"/>
          <w:color w:val="111111"/>
          <w:sz w:val="28"/>
          <w:sz w:val="28"/>
          <w:szCs w:val="28"/>
          <w:rtl w:val="true"/>
          <w:lang w:bidi="ar-SA"/>
        </w:rPr>
        <w:t xml:space="preserve">بقوله تعالى فَكُلُوا مِمّا أَمْسَكْنَ عَلَيْكُمْ </w:t>
      </w:r>
      <w:r>
        <w:rPr>
          <w:rStyle w:val="FootnoteAnchor"/>
          <w:rtl w:val="true"/>
        </w:rPr>
        <w:footnoteReference w:id="953"/>
      </w:r>
      <w:r>
        <w:rPr>
          <w:rFonts w:ascii="Amiri" w:hAnsi="Amiri" w:eastAsia="Amiri" w:cs="Amiri"/>
          <w:color w:val="111111"/>
          <w:sz w:val="28"/>
          <w:sz w:val="28"/>
          <w:szCs w:val="28"/>
          <w:rtl w:val="true"/>
          <w:lang w:bidi="ar-SA"/>
        </w:rPr>
        <w:t>و لم يأمر بغسل ما أصابه فمه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رسول اللّه صلّى اللّه عليه و آله و سلّم عن الحياض الّتي بين مكّة و المدينة تردها السّباع،و الكلاب،و الحمر،و عن الطّهارة بها؟فقال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ما حملت في بطونها و لنا ما غبر طهور</w:t>
      </w:r>
      <w:r>
        <w:rPr>
          <w:rFonts w:eastAsia="Amiri" w:cs="Amiri" w:ascii="Amiri" w:hAnsi="Amiri"/>
          <w:color w:val="111111"/>
          <w:sz w:val="28"/>
          <w:szCs w:val="28"/>
          <w:rtl w:val="true"/>
          <w:lang w:bidi="ar-SA"/>
        </w:rPr>
        <w:t xml:space="preserve">) </w:t>
      </w:r>
      <w:r>
        <w:rPr>
          <w:rStyle w:val="FootnoteAnchor"/>
          <w:rtl w:val="true"/>
        </w:rPr>
        <w:footnoteReference w:id="954"/>
      </w:r>
      <w:r>
        <w:rPr>
          <w:rFonts w:ascii="Amiri" w:hAnsi="Amiri" w:eastAsia="Amiri" w:cs="Amiri"/>
          <w:color w:val="111111"/>
          <w:sz w:val="28"/>
          <w:sz w:val="28"/>
          <w:szCs w:val="28"/>
          <w:rtl w:val="true"/>
          <w:lang w:bidi="ar-SA"/>
        </w:rPr>
        <w:t>فيدلّ على انّ ما بقي طهور،و لأنّه حيوان،فكان طاهرا كالمأكول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الأمر بالغسل مستفاد من الأخبار </w:t>
      </w:r>
      <w:r>
        <w:rPr>
          <w:rStyle w:val="FootnoteAnchor"/>
          <w:rtl w:val="true"/>
        </w:rPr>
        <w:footnoteReference w:id="9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سلّمنا،لكنّ المشقّة منعت من وجوب الغسل،و الحياض الكبيرة لا تنجس بالملاقاة،و الفرق ظاهر بين المأكول و الكلب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طهارة سؤر غيرهما من الحيوانات،فلأنّها طاهرة،و الماء على أصل الطّهارة،فمع الملاقاة لا موجب للتّنجيس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رواه الجمهور،عن النّبيّ صلّى اللّه عليه و آله انّه سئل عن الحياض الّتي في الفلوات و ما يؤتيها </w:t>
      </w:r>
      <w:r>
        <w:rPr>
          <w:rStyle w:val="FootnoteAnchor"/>
          <w:rtl w:val="true"/>
        </w:rPr>
        <w:footnoteReference w:id="957"/>
      </w:r>
      <w:r>
        <w:rPr>
          <w:rFonts w:ascii="Amiri" w:hAnsi="Amiri" w:eastAsia="Amiri" w:cs="Amiri"/>
          <w:color w:val="111111"/>
          <w:sz w:val="28"/>
          <w:sz w:val="28"/>
          <w:szCs w:val="28"/>
          <w:rtl w:val="true"/>
          <w:lang w:bidi="ar-SA"/>
        </w:rPr>
        <w:t>من السّباع؟فقال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لها ما حملت في بطونها،و ما أبقت فهو </w:t>
      </w:r>
    </w:p>
    <w:p>
      <w:pPr>
        <w:pStyle w:val="BookText"/>
        <w:rPr/>
      </w:pPr>
      <w:r>
        <w:rPr>
          <w:rFonts w:ascii="IRNazanin" w:hAnsi="IRNazanin" w:eastAsia="IRNazanin"/>
          <w:color w:val="111111"/>
          <w:sz w:val="28"/>
          <w:sz w:val="28"/>
          <w:szCs w:val="28"/>
          <w:rtl w:val="true"/>
          <w:lang w:bidi="fa-IR"/>
        </w:rPr>
        <w:t>لنا شراب و طهور</w:t>
      </w:r>
      <w:r>
        <w:rPr>
          <w:rFonts w:eastAsia="IRNazanin" w:cs="IRNazanin"/>
          <w:color w:val="111111"/>
          <w:sz w:val="28"/>
          <w:szCs w:val="28"/>
          <w:rtl w:val="true"/>
          <w:lang w:bidi="fa-IR"/>
        </w:rPr>
        <w:t xml:space="preserve">)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الفضل الصّحيحة،و قد تقدّمت </w:t>
      </w:r>
      <w:r>
        <w:rPr>
          <w:rStyle w:val="FootnoteAnchor"/>
          <w:rtl w:val="true"/>
        </w:rPr>
        <w:footnoteReference w:id="959"/>
      </w:r>
      <w:r>
        <w:rPr>
          <w:rFonts w:ascii="Amiri" w:hAnsi="Amiri" w:eastAsia="Amiri" w:cs="Amiri"/>
          <w:color w:val="111111"/>
          <w:sz w:val="28"/>
          <w:sz w:val="28"/>
          <w:szCs w:val="28"/>
          <w:rtl w:val="true"/>
          <w:lang w:bidi="ar-SA"/>
        </w:rPr>
        <w:t xml:space="preserve">،و رواية محمّد بن مسلم في الصّحيح أيضا الدّالّة على طهارة سؤر الهرّة بالتّنصيص،و على طهارة سؤر السّباع كلّها بالإيماء </w:t>
      </w:r>
      <w:r>
        <w:rPr>
          <w:rStyle w:val="FootnoteAnchor"/>
          <w:rtl w:val="true"/>
        </w:rPr>
        <w:footnoteReference w:id="960"/>
      </w:r>
      <w:r>
        <w:rPr>
          <w:rFonts w:ascii="Amiri" w:hAnsi="Amiri" w:eastAsia="Amiri" w:cs="Amiri"/>
          <w:color w:val="111111"/>
          <w:sz w:val="28"/>
          <w:sz w:val="28"/>
          <w:szCs w:val="28"/>
          <w:rtl w:val="true"/>
          <w:lang w:bidi="ar-SA"/>
        </w:rPr>
        <w:t xml:space="preserve">،و روايتا معاوية بن شريح و معاوية بن ميسرة،و قد تقدّمتا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في الصّحيح،عن إسحاق بن عمّار،عن أبي عبد اللّه عليه السّلام،انّ أبا جعفر عليه السّلام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بسؤر الفأرة إذا شربت من الإناء أن يشرب منه و يتوضّأ منه</w:t>
      </w:r>
      <w:r>
        <w:rPr>
          <w:rFonts w:eastAsia="Amiri" w:cs="Amiri" w:ascii="Amiri" w:hAnsi="Amiri"/>
          <w:color w:val="111111"/>
          <w:sz w:val="28"/>
          <w:szCs w:val="28"/>
          <w:rtl w:val="true"/>
          <w:lang w:bidi="ar-SA"/>
        </w:rPr>
        <w:t xml:space="preserve">)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في الصّحيح،عن معاوية بن عمّار،عن أبي عبد اللّه عليه السّلام،في الهرّة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من أهل البيت و يتوضّأ من سؤرها</w:t>
      </w:r>
      <w:r>
        <w:rPr>
          <w:rFonts w:eastAsia="Amiri" w:cs="Amiri" w:ascii="Amiri" w:hAnsi="Amiri"/>
          <w:color w:val="111111"/>
          <w:sz w:val="28"/>
          <w:szCs w:val="28"/>
          <w:rtl w:val="true"/>
          <w:lang w:bidi="ar-SA"/>
        </w:rPr>
        <w:t xml:space="preserve">) </w:t>
      </w:r>
      <w:r>
        <w:rPr>
          <w:rStyle w:val="FootnoteAnchor"/>
          <w:rtl w:val="true"/>
        </w:rPr>
        <w:footnoteReference w:id="963"/>
      </w:r>
      <w:r>
        <w:rPr>
          <w:rFonts w:ascii="Amiri" w:hAnsi="Amiri" w:eastAsia="Amiri" w:cs="Amiri"/>
          <w:color w:val="111111"/>
          <w:sz w:val="28"/>
          <w:sz w:val="28"/>
          <w:szCs w:val="28"/>
          <w:rtl w:val="true"/>
          <w:lang w:bidi="ar-SA"/>
        </w:rPr>
        <w:t xml:space="preserve">و يدلّ هذا من حيث المفهوم على طهارة </w:t>
      </w:r>
      <w:r>
        <w:rPr>
          <w:rStyle w:val="FootnoteAnchor"/>
          <w:rtl w:val="true"/>
        </w:rPr>
        <w:footnoteReference w:id="964"/>
      </w:r>
      <w:r>
        <w:rPr>
          <w:rFonts w:ascii="IRNazanin" w:hAnsi="IRNazanin" w:eastAsia="IRNazanin"/>
          <w:color w:val="111111"/>
          <w:sz w:val="28"/>
          <w:sz w:val="28"/>
          <w:szCs w:val="28"/>
          <w:rtl w:val="true"/>
          <w:lang w:bidi="fa-IR"/>
        </w:rPr>
        <w:t>سؤر الحشرات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في الصّحيح،عن أبي الصّباح </w:t>
      </w:r>
      <w:r>
        <w:rPr>
          <w:rStyle w:val="FootnoteAnchor"/>
          <w:rtl w:val="true"/>
        </w:rPr>
        <w:footnoteReference w:id="965"/>
      </w:r>
      <w:r>
        <w:rPr>
          <w:rFonts w:ascii="Amiri" w:hAnsi="Amiri" w:eastAsia="Amiri" w:cs="Amiri"/>
          <w:color w:val="111111"/>
          <w:sz w:val="28"/>
          <w:sz w:val="28"/>
          <w:szCs w:val="28"/>
          <w:rtl w:val="true"/>
          <w:lang w:bidi="ar-SA"/>
        </w:rPr>
        <w:t>،عن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 فضل السّنّور أن يتوضّأ منه،إنّما هي سبع</w:t>
      </w:r>
      <w:r>
        <w:rPr>
          <w:rFonts w:eastAsia="Amiri" w:cs="Amiri" w:ascii="Amiri" w:hAnsi="Amiri"/>
          <w:color w:val="111111"/>
          <w:sz w:val="28"/>
          <w:szCs w:val="28"/>
          <w:rtl w:val="true"/>
          <w:lang w:bidi="ar-SA"/>
        </w:rPr>
        <w:t xml:space="preserve">) </w:t>
      </w:r>
      <w:r>
        <w:rPr>
          <w:rStyle w:val="FootnoteAnchor"/>
          <w:rtl w:val="true"/>
        </w:rPr>
        <w:footnoteReference w:id="966"/>
      </w:r>
      <w:r>
        <w:rPr>
          <w:rFonts w:ascii="Amiri" w:hAnsi="Amiri" w:eastAsia="Amiri" w:cs="Amiri"/>
          <w:color w:val="111111"/>
          <w:sz w:val="28"/>
          <w:sz w:val="28"/>
          <w:szCs w:val="28"/>
          <w:rtl w:val="true"/>
          <w:lang w:bidi="ar-SA"/>
        </w:rPr>
        <w:t>و هو يدل بالإيماء على طهارة سؤر السّباع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روى في الصّحيح،عن زرارة،عن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عليّ عليه السّلام انّ الهرّ سبع،و لا بأس بسؤره،و انّي لأستحيي من اللّه أن أدع طعاما لأنّ الهرّ أكل منه</w:t>
      </w:r>
      <w:r>
        <w:rPr>
          <w:rFonts w:eastAsia="Amiri" w:cs="Amiri" w:ascii="Amiri" w:hAnsi="Amiri"/>
          <w:color w:val="111111"/>
          <w:sz w:val="28"/>
          <w:szCs w:val="28"/>
          <w:rtl w:val="true"/>
          <w:lang w:bidi="ar-SA"/>
        </w:rPr>
        <w:t xml:space="preserve">)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في الصّحيح،عن جميل بن درّاج </w:t>
      </w:r>
      <w:r>
        <w:rPr>
          <w:rStyle w:val="FootnoteAnchor"/>
          <w:rtl w:val="true"/>
        </w:rPr>
        <w:footnoteReference w:id="9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عن سؤر الدّوابّ و الغنم و البقر أ يتوضّأ منه و يشرب؟فقال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 أبي بصير،عن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الحمامة و الدّجاج لا بأس به و الطّير</w:t>
      </w:r>
      <w:r>
        <w:rPr>
          <w:rFonts w:eastAsia="Amiri" w:cs="Amiri" w:ascii="Amiri" w:hAnsi="Amiri"/>
          <w:color w:val="111111"/>
          <w:sz w:val="28"/>
          <w:szCs w:val="28"/>
          <w:rtl w:val="true"/>
          <w:lang w:bidi="ar-SA"/>
        </w:rPr>
        <w:t xml:space="preserve">)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 عمّار بن موسى،عن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عمّا تشرب منه الحمامة؟قال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أكل لحمه،يتوضّأ من سؤره و يشرب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عمّا </w:t>
      </w:r>
      <w:r>
        <w:rPr>
          <w:rStyle w:val="FootnoteAnchor"/>
          <w:rtl w:val="true"/>
        </w:rPr>
        <w:footnoteReference w:id="971"/>
      </w:r>
      <w:r>
        <w:rPr>
          <w:rFonts w:ascii="Amiri" w:hAnsi="Amiri" w:eastAsia="Amiri" w:cs="Amiri"/>
          <w:color w:val="111111"/>
          <w:sz w:val="28"/>
          <w:sz w:val="28"/>
          <w:szCs w:val="28"/>
          <w:rtl w:val="true"/>
          <w:lang w:bidi="ar-SA"/>
        </w:rPr>
        <w:t>يشرب منه باز أو صقر أو عقاب؟فقال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من الطّير،يتوضّأ ممّا يشرب منه،إلاّ أن ترى في منقاره دما،فإن رأيت في منقاره دما،فلا تتوضّأ منه و لا تشرب</w:t>
      </w:r>
      <w:r>
        <w:rPr>
          <w:rFonts w:eastAsia="Amiri" w:cs="Amiri" w:ascii="Amiri" w:hAnsi="Amiri"/>
          <w:color w:val="111111"/>
          <w:sz w:val="28"/>
          <w:szCs w:val="28"/>
          <w:rtl w:val="true"/>
          <w:lang w:bidi="ar-SA"/>
        </w:rPr>
        <w:t xml:space="preserve">)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حديث أبي بصير و عمّار و إن كانا ضعيفين لأنّ في الأوّل عليّ بن أبي حمزة و هو واقفيّ،و عمّار فطحيّ،إلاّ انّه مناسب للمذهب</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الإجماع قد وقع على طهارة سؤر الطّيور و على طهارة سؤر الهرّ و ما دونها في الخلقة </w:t>
      </w:r>
    </w:p>
    <w:p>
      <w:pPr>
        <w:pStyle w:val="BookText"/>
        <w:rPr/>
      </w:pPr>
      <w:r>
        <w:rPr>
          <w:rFonts w:ascii="Amiri" w:hAnsi="Amiri" w:eastAsia="Amiri" w:cs="Amiri"/>
          <w:color w:val="111111"/>
          <w:sz w:val="28"/>
          <w:sz w:val="28"/>
          <w:szCs w:val="28"/>
          <w:rtl w:val="true"/>
          <w:lang w:bidi="ar-SA"/>
        </w:rPr>
        <w:t>كالفأرة و ابن عرس و غيرهما من حشرات الأرض،فإنّ عامّة أهل العلم من الصّحابة و التّابعين من أهل المدينة و الشّام و أهل الكوفة و أصحاب الرّأي على طهارتها و جواز شرب سؤرها و الوضوء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كره أبو حنيفة سؤر الهرّ </w:t>
      </w:r>
      <w:r>
        <w:rPr>
          <w:rStyle w:val="FootnoteAnchor"/>
          <w:rtl w:val="true"/>
        </w:rPr>
        <w:footnoteReference w:id="973"/>
      </w:r>
      <w:r>
        <w:rPr>
          <w:rFonts w:ascii="Amiri" w:hAnsi="Amiri" w:eastAsia="Amiri" w:cs="Amiri"/>
          <w:color w:val="111111"/>
          <w:sz w:val="28"/>
          <w:sz w:val="28"/>
          <w:szCs w:val="28"/>
          <w:rtl w:val="true"/>
          <w:lang w:bidi="ar-SA"/>
        </w:rPr>
        <w:t xml:space="preserve">،و كذا ابن عمر،و يحيى الأنصاريّ،و ابن أبي ليلى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يغسل مرّة أو مرّتين </w:t>
      </w:r>
      <w:r>
        <w:rPr>
          <w:rStyle w:val="FootnoteAnchor"/>
          <w:rtl w:val="true"/>
        </w:rPr>
        <w:footnoteReference w:id="9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ابن المسيّب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الحسن و ابن سيرين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يغسل مرّة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يغسل سبعا كالكلب </w:t>
      </w:r>
      <w:r>
        <w:rPr>
          <w:rStyle w:val="FootnoteAnchor"/>
          <w:rtl w:val="true"/>
        </w:rPr>
        <w:footnoteReference w:id="9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تقدّم يبطل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نقلناه عن الشّيخ في المبسوط فضعيف </w:t>
      </w:r>
      <w:r>
        <w:rPr>
          <w:rStyle w:val="FootnoteAnchor"/>
          <w:rtl w:val="true"/>
        </w:rPr>
        <w:footnoteReference w:id="979"/>
      </w:r>
      <w:r>
        <w:rPr>
          <w:rFonts w:ascii="Amiri" w:hAnsi="Amiri" w:eastAsia="Amiri" w:cs="Amiri"/>
          <w:color w:val="111111"/>
          <w:sz w:val="28"/>
          <w:sz w:val="28"/>
          <w:szCs w:val="28"/>
          <w:rtl w:val="true"/>
          <w:lang w:bidi="ar-SA"/>
        </w:rPr>
        <w:t xml:space="preserve">،للأحاديث الّتي نقلناها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استدلّ في التّهذيب على نجاسة سؤر الكلب و الخنزير بما رواه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يؤكل لحمه،فلا بأس بسؤره</w:t>
      </w:r>
      <w:r>
        <w:rPr>
          <w:rFonts w:eastAsia="Amiri" w:cs="Amiri" w:ascii="Amiri" w:hAnsi="Amiri"/>
          <w:color w:val="111111"/>
          <w:sz w:val="28"/>
          <w:szCs w:val="28"/>
          <w:rtl w:val="true"/>
          <w:lang w:bidi="ar-SA"/>
        </w:rPr>
        <w:t xml:space="preserve">) </w:t>
      </w:r>
      <w:r>
        <w:rPr>
          <w:rStyle w:val="FootnoteAnchor"/>
          <w:rtl w:val="true"/>
        </w:rPr>
        <w:footnoteReference w:id="9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يدلّ على انّ ما لا يؤكل لحمه لا يجوز الوضوء منه و لا الشّرب،و الظّاهر انّ ما صار إليه في المبسوط مستند إلى هذا،و هو ضعيف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عمّارا فطحيّ،و كذا الرّاوي عنه،و هو مصدّق بن صدقة،و كذا الرّاوي عن مصدّق،و هو عمرو بن سعيد،و كذا الرّاوي عن عمرو،و هو أحمد بن الحسن بن عليّ، فلا تعارض الرّوايات الّتي قدّمناها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ما ذكره الشّيخ دليل الخطاب،فلا يجوز التّعويل عليه خصوصا مع النّصّ المعارض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احتجّ أبو حنيفة على نجاسة سؤر سباع الوحش بأنّ لعابه نجس بدليل حرمة أكله مع كونه صالحا للغذاء من غير استحقاقه الكرامة </w:t>
      </w:r>
      <w:r>
        <w:rPr>
          <w:rStyle w:val="FootnoteAnchor"/>
          <w:rtl w:val="true"/>
        </w:rPr>
        <w:footnoteReference w:id="982"/>
      </w:r>
      <w:r>
        <w:rPr>
          <w:rFonts w:ascii="Amiri" w:hAnsi="Amiri" w:eastAsia="Amiri" w:cs="Amiri"/>
          <w:color w:val="111111"/>
          <w:sz w:val="28"/>
          <w:sz w:val="28"/>
          <w:szCs w:val="28"/>
          <w:rtl w:val="true"/>
          <w:lang w:bidi="ar-SA"/>
        </w:rPr>
        <w:t xml:space="preserve">و الاحترام،و إذا كان لعابه نجسا و قد امتزج بالماء أوجب نجاسته </w:t>
      </w:r>
      <w:r>
        <w:rPr>
          <w:rStyle w:val="FootnoteAnchor"/>
          <w:rtl w:val="true"/>
        </w:rPr>
        <w:footnoteReference w:id="983"/>
      </w:r>
      <w:r>
        <w:rPr>
          <w:rFonts w:ascii="Amiri" w:hAnsi="Amiri" w:eastAsia="Amiri" w:cs="Amiri"/>
          <w:color w:val="111111"/>
          <w:sz w:val="28"/>
          <w:sz w:val="28"/>
          <w:szCs w:val="28"/>
          <w:rtl w:val="true"/>
          <w:lang w:bidi="ar-SA"/>
        </w:rPr>
        <w:t>،و خصّ ما ورد من الحديث بالحياض 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 بالمنع من نجاسة اللّعاب،و تحريم أكل اللّحم لا يدلّ على النّجاسة فإنّ التّحريم قد يكون للنّجاسة،و قد يكون لاشتماله على المؤذي،و قد يكون لمصالح أخر خفيّة علينا،فكيف يعارض النّصّ بمثل هذا الاستدلال الضّعيف،على انّا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حيوان يطهر جلده بالدّباغ،فيكون سؤره طاهرا كالشّاة و الحمار،و الجامع انّ طهارة الجلد تدلّ على انّ عينه ليست نجسة،فلا يكون لحمه نجسا،و تخصيص الحديث لغير دليل باطل خصوصا مع انّ السّؤال وقع عن الجمع المحلّى بالألف و اللام الموضوع للعموم،فلو لم يكن الجواب بحيث يدخل فيه كلّ الأفراد،لكان تأخيرا للبيان عن وقت الحاجة،و ذلك باطل بالاتّفاق</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استدلّ من قال بنجاسة سؤر الحمر </w:t>
      </w:r>
      <w:r>
        <w:rPr>
          <w:rStyle w:val="FootnoteAnchor"/>
          <w:rtl w:val="true"/>
        </w:rPr>
        <w:footnoteReference w:id="984"/>
      </w:r>
      <w:r>
        <w:rPr>
          <w:rFonts w:ascii="Amiri" w:hAnsi="Amiri" w:eastAsia="Amiri" w:cs="Amiri"/>
          <w:color w:val="111111"/>
          <w:sz w:val="28"/>
          <w:sz w:val="28"/>
          <w:szCs w:val="28"/>
          <w:rtl w:val="true"/>
          <w:lang w:bidi="ar-SA"/>
        </w:rPr>
        <w:t>بما روي،عن النّبيّ صلّى اللّه عليه و آله انّه قال يوم خيبر في الحمر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رجس</w:t>
      </w:r>
      <w:r>
        <w:rPr>
          <w:rFonts w:eastAsia="Amiri" w:cs="Amiri" w:ascii="Amiri" w:hAnsi="Amiri"/>
          <w:color w:val="111111"/>
          <w:sz w:val="28"/>
          <w:szCs w:val="28"/>
          <w:rtl w:val="true"/>
          <w:lang w:bidi="ar-SA"/>
        </w:rPr>
        <w:t xml:space="preserve">) </w:t>
      </w:r>
      <w:r>
        <w:rPr>
          <w:rStyle w:val="FootnoteAnchor"/>
          <w:rtl w:val="true"/>
        </w:rPr>
        <w:footnoteReference w:id="985"/>
      </w:r>
      <w:r>
        <w:rPr>
          <w:rFonts w:ascii="Amiri" w:hAnsi="Amiri" w:eastAsia="Amiri" w:cs="Amiri"/>
          <w:color w:val="111111"/>
          <w:sz w:val="28"/>
          <w:sz w:val="28"/>
          <w:szCs w:val="28"/>
          <w:rtl w:val="true"/>
          <w:lang w:bidi="ar-SA"/>
        </w:rPr>
        <w:t>و هو ضعيف،فإنّ البخاريّ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راوي هذا الحديث ابن أبي حبيبة،و هو منكر الحديث </w:t>
      </w:r>
      <w:r>
        <w:rPr>
          <w:rStyle w:val="FootnoteAnchor"/>
          <w:rtl w:val="true"/>
        </w:rPr>
        <w:footnoteReference w:id="986"/>
      </w:r>
      <w:r>
        <w:rPr>
          <w:rFonts w:ascii="Amiri" w:hAnsi="Amiri" w:eastAsia="Amiri" w:cs="Amiri"/>
          <w:color w:val="111111"/>
          <w:sz w:val="28"/>
          <w:sz w:val="28"/>
          <w:szCs w:val="28"/>
          <w:rtl w:val="true"/>
          <w:lang w:bidi="ar-SA"/>
        </w:rPr>
        <w:t xml:space="preserve">،و إبراهيم بن أبي يحيى،و هو </w:t>
      </w:r>
      <w:bookmarkStart w:id="603" w:name="pg12672_159910"/>
    </w:p>
    <w:p>
      <w:pPr>
        <w:pStyle w:val="BookText"/>
        <w:rPr/>
      </w:pPr>
      <w:bookmarkEnd w:id="603"/>
      <w:r>
        <w:rPr>
          <w:rFonts w:ascii="Amiri" w:hAnsi="Amiri" w:eastAsia="Amiri" w:cs="Amiri"/>
          <w:color w:val="111111"/>
          <w:sz w:val="28"/>
          <w:sz w:val="28"/>
          <w:szCs w:val="28"/>
          <w:rtl w:val="true"/>
          <w:lang w:bidi="ar-SA"/>
        </w:rPr>
        <w:t xml:space="preserve">كذّاب </w:t>
      </w:r>
      <w:r>
        <w:rPr>
          <w:rStyle w:val="FootnoteAnchor"/>
          <w:rtl w:val="true"/>
        </w:rPr>
        <w:footnoteReference w:id="987"/>
      </w:r>
      <w:r>
        <w:rPr>
          <w:rFonts w:ascii="Amiri" w:hAnsi="Amiri" w:eastAsia="Amiri" w:cs="Amiri"/>
          <w:color w:val="111111"/>
          <w:sz w:val="28"/>
          <w:sz w:val="28"/>
          <w:szCs w:val="28"/>
          <w:rtl w:val="true"/>
          <w:lang w:bidi="ar-SA"/>
        </w:rPr>
        <w:t>فلا يعوّل عليه</w:t>
      </w:r>
      <w:r>
        <w:rPr>
          <w:rFonts w:eastAsia="Amiri" w:cs="Amiri" w:ascii="Amiri" w:hAnsi="Amiri"/>
          <w:color w:val="111111"/>
          <w:sz w:val="28"/>
          <w:szCs w:val="28"/>
          <w:rtl w:val="true"/>
          <w:lang w:bidi="ar-SA"/>
        </w:rPr>
        <w:t>.</w:t>
      </w:r>
    </w:p>
    <w:p>
      <w:pPr>
        <w:pStyle w:val="Heading6"/>
        <w:numPr>
          <w:ilvl w:val="5"/>
          <w:numId w:val="1"/>
        </w:numPr>
        <w:rPr/>
      </w:pPr>
      <w:bookmarkStart w:id="604" w:name="__RefHeading___Toc747097_222507752"/>
      <w:bookmarkStart w:id="605" w:name="_Toc239"/>
      <w:bookmarkEnd w:id="604"/>
      <w:r>
        <w:rPr>
          <w:rtl w:val="true"/>
        </w:rPr>
        <w:t>فروع</w:t>
      </w:r>
      <w:r>
        <w:rPr>
          <w:rtl w:val="true"/>
        </w:rPr>
        <w:t>:</w:t>
      </w:r>
      <w:bookmarkEnd w:id="605"/>
    </w:p>
    <w:p>
      <w:pPr>
        <w:pStyle w:val="Heading6"/>
        <w:numPr>
          <w:ilvl w:val="5"/>
          <w:numId w:val="1"/>
        </w:numPr>
        <w:rPr/>
      </w:pPr>
      <w:bookmarkStart w:id="606" w:name="__RefHeading___Toc747099_222507752"/>
      <w:bookmarkStart w:id="607" w:name="_Toc240"/>
      <w:bookmarkEnd w:id="606"/>
      <w:r>
        <w:rPr>
          <w:rtl w:val="true"/>
        </w:rPr>
        <w:t>الأوّل</w:t>
      </w:r>
      <w:r>
        <w:rPr>
          <w:rtl w:val="true"/>
        </w:rPr>
        <w:t>:</w:t>
      </w:r>
      <w:r>
        <w:rPr>
          <w:rtl w:val="true"/>
        </w:rPr>
        <w:t>قال ابن بابويه</w:t>
      </w:r>
      <w:r>
        <w:rPr>
          <w:rtl w:val="true"/>
        </w:rPr>
        <w:t>:</w:t>
      </w:r>
      <w:r>
        <w:rPr>
          <w:rtl w:val="true"/>
        </w:rPr>
        <w:t>لا يجوز الوضوء بسؤر ولد الزّنا</w:t>
      </w:r>
      <w:bookmarkEnd w:id="607"/>
    </w:p>
    <w:p>
      <w:pPr>
        <w:pStyle w:val="BookText"/>
        <w:rPr/>
      </w:pPr>
      <w:r>
        <w:rPr>
          <w:rStyle w:val="FootnoteAnchor"/>
          <w:rtl w:val="true"/>
        </w:rPr>
        <w:footnoteReference w:id="9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مكروه،فإنّ تمسّك بكفره منعنا ذلك،و يمكن أن يستدلّ عليه بما رواه محمّد بن يعقوب بإسناده،عن الوشّاء </w:t>
      </w:r>
      <w:r>
        <w:rPr>
          <w:rStyle w:val="FootnoteAnchor"/>
          <w:rtl w:val="true"/>
        </w:rPr>
        <w:footnoteReference w:id="989"/>
      </w:r>
      <w:r>
        <w:rPr>
          <w:rFonts w:ascii="Amiri" w:hAnsi="Amiri" w:eastAsia="Amiri" w:cs="Amiri"/>
          <w:color w:val="111111"/>
          <w:sz w:val="28"/>
          <w:sz w:val="28"/>
          <w:szCs w:val="28"/>
          <w:rtl w:val="true"/>
          <w:lang w:bidi="ar-SA"/>
        </w:rPr>
        <w:t xml:space="preserve">،عمّن ذكره عن أبي عبد اللّه عليه السّلام،انّه كره سؤر ولد الزّنا،و اليهوديّ،و النّصرانيّ،و المشرك و كلّ ما خالف الإسلام،و كان أشدّ ذلك عنده سؤر النّاصب </w:t>
      </w:r>
      <w:r>
        <w:rPr>
          <w:rStyle w:val="FootnoteAnchor"/>
          <w:rtl w:val="true"/>
        </w:rPr>
        <w:footnoteReference w:id="9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وجهه انّه لا يريد بلفظة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الظّاهر له،و هو النّهي عن الشّيء نهي تنزيه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اليهوديّ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الكراهة فيه تدلّ على التّحريم،فلم يبق المراد إلاّ كراهيّة التّحريم،و لا يجوز أن يرادا معا،و إلاّ لزم استعمال المشترك في كلا معنييه،أو استعمال اللّفظ في معنى الحقيقة و المجاز،و ذلك باطل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من الحديث،فإنّه 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سلّمنا،لكن قول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إشارة إلى النّهي بل الكراهة الّتي في مقابلة الإرادة،و قد يطلق على ما هو أعمّ من المحرّم و المكروه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سلّمنا،لكنّ الكراهة قد تطلق على النّهي المطلق فليحمل عليه و لا يلزم ما ذكرتم</w:t>
      </w:r>
      <w:r>
        <w:rPr>
          <w:rFonts w:eastAsia="Amiri" w:cs="Amiri" w:ascii="Amiri" w:hAnsi="Amiri"/>
          <w:color w:val="111111"/>
          <w:sz w:val="28"/>
          <w:szCs w:val="28"/>
          <w:rtl w:val="true"/>
          <w:lang w:bidi="ar-SA"/>
        </w:rPr>
        <w:t xml:space="preserve">. </w:t>
      </w:r>
      <w:bookmarkStart w:id="608" w:name="pg12672_159911"/>
    </w:p>
    <w:p>
      <w:pPr>
        <w:pStyle w:val="Heading6"/>
        <w:numPr>
          <w:ilvl w:val="5"/>
          <w:numId w:val="1"/>
        </w:numPr>
        <w:rPr/>
      </w:pPr>
      <w:bookmarkStart w:id="609" w:name="__RefHeading___Toc747101_222507752"/>
      <w:bookmarkStart w:id="610" w:name="_Toc241"/>
      <w:bookmarkEnd w:id="608"/>
      <w:bookmarkEnd w:id="609"/>
      <w:r>
        <w:rPr>
          <w:rtl w:val="true"/>
        </w:rPr>
        <w:t>الثّاني</w:t>
      </w:r>
      <w:r>
        <w:rPr>
          <w:rtl w:val="true"/>
        </w:rPr>
        <w:t>:</w:t>
      </w:r>
      <w:r>
        <w:rPr>
          <w:rtl w:val="true"/>
        </w:rPr>
        <w:t>قال الشّيخ بنجاسة سؤر المجبّرة و المجسّمة</w:t>
      </w:r>
      <w:bookmarkEnd w:id="610"/>
    </w:p>
    <w:p>
      <w:pPr>
        <w:pStyle w:val="BookText"/>
        <w:rPr/>
      </w:pPr>
      <w:r>
        <w:rPr>
          <w:rStyle w:val="FootnoteAnchor"/>
          <w:rtl w:val="true"/>
        </w:rPr>
        <w:footnoteReference w:id="991"/>
      </w:r>
      <w:r>
        <w:rPr>
          <w:rStyle w:val="FootnoteAnchor"/>
          <w:rtl w:val="true"/>
        </w:rPr>
        <w:footnoteReference w:id="9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إدريس بنجاسة سؤر غير المؤمن و المستضعف </w:t>
      </w:r>
      <w:r>
        <w:rPr>
          <w:rStyle w:val="FootnoteAnchor"/>
          <w:rtl w:val="true"/>
        </w:rPr>
        <w:footnoteReference w:id="993"/>
      </w:r>
      <w:r>
        <w:rPr>
          <w:rFonts w:ascii="Amiri" w:hAnsi="Amiri" w:eastAsia="Amiri" w:cs="Amiri"/>
          <w:color w:val="111111"/>
          <w:sz w:val="28"/>
          <w:sz w:val="28"/>
          <w:szCs w:val="28"/>
          <w:rtl w:val="true"/>
          <w:lang w:bidi="ar-SA"/>
        </w:rPr>
        <w:t xml:space="preserve">،و يمكن أن يكون مأخذهما قوله تعالى كَذلِكَ يَجْعَلُ اللّهُ الرِّجْسَ عَلَى الَّذِينَ لا يُؤْمِنُونَ </w:t>
      </w:r>
      <w:r>
        <w:rPr>
          <w:rStyle w:val="FootnoteAnchor"/>
          <w:rtl w:val="true"/>
        </w:rPr>
        <w:footnoteReference w:id="994"/>
      </w:r>
      <w:r>
        <w:rPr>
          <w:rFonts w:ascii="Amiri" w:hAnsi="Amiri" w:eastAsia="Amiri" w:cs="Amiri"/>
          <w:color w:val="111111"/>
          <w:sz w:val="28"/>
          <w:sz w:val="28"/>
          <w:szCs w:val="28"/>
          <w:rtl w:val="true"/>
          <w:lang w:bidi="ar-SA"/>
        </w:rPr>
        <w:t>و الرّجس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النّجس،و قول ابن إدريس مشكل،و تنجّس سؤر المجبّرة ضعيف،و في المجسّمة قوّة </w:t>
      </w:r>
      <w:r>
        <w:rPr>
          <w:rFonts w:eastAsia="Amiri" w:cs="Amiri" w:ascii="Amiri" w:hAnsi="Amiri"/>
          <w:color w:val="111111"/>
          <w:sz w:val="28"/>
          <w:szCs w:val="28"/>
          <w:rtl w:val="true"/>
          <w:lang w:bidi="ar-SA"/>
        </w:rPr>
        <w:t>.</w:t>
      </w:r>
    </w:p>
    <w:p>
      <w:pPr>
        <w:pStyle w:val="Heading6"/>
        <w:numPr>
          <w:ilvl w:val="5"/>
          <w:numId w:val="1"/>
        </w:numPr>
        <w:rPr/>
      </w:pPr>
      <w:bookmarkStart w:id="611" w:name="__RefHeading___Toc747103_222507752"/>
      <w:bookmarkStart w:id="612" w:name="_Toc242"/>
      <w:bookmarkEnd w:id="611"/>
      <w:r>
        <w:rPr>
          <w:rtl w:val="true"/>
        </w:rPr>
        <w:t>الثّالث</w:t>
      </w:r>
      <w:r>
        <w:rPr>
          <w:rtl w:val="true"/>
        </w:rPr>
        <w:t>:</w:t>
      </w:r>
      <w:r>
        <w:rPr>
          <w:rtl w:val="true"/>
        </w:rPr>
        <w:t>يكره سؤر ما أكل الجيف من الطّير</w:t>
      </w:r>
      <w:bookmarkEnd w:id="612"/>
    </w:p>
    <w:p>
      <w:pPr>
        <w:pStyle w:val="BookText"/>
        <w:rPr/>
      </w:pPr>
      <w:r>
        <w:rPr>
          <w:rFonts w:ascii="Amiri" w:hAnsi="Amiri" w:eastAsia="Amiri" w:cs="Amiri"/>
          <w:color w:val="111111"/>
          <w:sz w:val="28"/>
          <w:sz w:val="28"/>
          <w:szCs w:val="28"/>
          <w:rtl w:val="true"/>
          <w:lang w:bidi="ar-SA"/>
        </w:rPr>
        <w:t xml:space="preserve">إذا خلا موضع الملاقاة من عين النّجاسة، و هو قول السّيّد المرتضى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أوردناه من الأحاديث العامّة في استعمال سؤر الطّيور و السّباع،و هي لا تنفكّ عن تناول ذلك عادة،فلو كان ذلك مانعا لوجب التّنصيص عليه،و إلاّ لزم صرف الظّاهر إلى نادر لا دلالة للّفظ الشّامل عليه،و ذلك بعيد و محال حيث انّه تأخير للبيان عن وقت الحاجة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سؤر الهرّة،و إن أكلت الميتة ثمَّ شربت،قلّ الماء أو كثر،غابت عن العين أو لم تغب،لعموم الأحاديث المبيحة،و لأنّ النّبيّ صلّى اللّه عليه و آله نفي عموم النّجاسة عنها مطلقا،اللّهم إلاّ أن يكون أثر النّجاسة ظاهرا على المنقار أو الفم،أو يشاهد في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الشّافعيّة و الحنابلة 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مثل قولنا،و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تغب فالماء نجس،و هو ظاهر نصّ الشّافعيّ،و إن غابت ثمَّ عادت فشربت فوجهان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التّنجيس،لأنّ الأصل بقاء النّجاسة،و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الطّهارة لأصالة طهارة الماء </w:t>
      </w:r>
      <w:r>
        <w:rPr>
          <w:rStyle w:val="FootnoteAnchor"/>
          <w:rtl w:val="true"/>
        </w:rPr>
        <w:footnoteReference w:id="996"/>
      </w:r>
      <w:r>
        <w:rPr>
          <w:rFonts w:ascii="Amiri" w:hAnsi="Amiri" w:eastAsia="Amiri" w:cs="Amiri"/>
          <w:color w:val="111111"/>
          <w:sz w:val="28"/>
          <w:sz w:val="28"/>
          <w:szCs w:val="28"/>
          <w:rtl w:val="true"/>
          <w:lang w:bidi="ar-SA"/>
        </w:rPr>
        <w:t>،و يمكن أن يكون قد وردت حال غيبوبتها على ماء كثير</w:t>
      </w:r>
      <w:r>
        <w:rPr>
          <w:rFonts w:eastAsia="Amiri" w:cs="Amiri" w:ascii="Amiri" w:hAnsi="Amiri"/>
          <w:color w:val="111111"/>
          <w:sz w:val="28"/>
          <w:szCs w:val="28"/>
          <w:rtl w:val="true"/>
          <w:lang w:bidi="ar-SA"/>
        </w:rPr>
        <w:t xml:space="preserve">. </w:t>
      </w:r>
      <w:bookmarkStart w:id="613" w:name="pg12672_159912"/>
    </w:p>
    <w:p>
      <w:pPr>
        <w:pStyle w:val="Heading6"/>
        <w:numPr>
          <w:ilvl w:val="5"/>
          <w:numId w:val="1"/>
        </w:numPr>
        <w:rPr/>
      </w:pPr>
      <w:bookmarkStart w:id="614" w:name="__RefHeading___Toc747105_222507752"/>
      <w:bookmarkStart w:id="615" w:name="_Toc243"/>
      <w:bookmarkEnd w:id="613"/>
      <w:bookmarkEnd w:id="614"/>
      <w:r>
        <w:rPr>
          <w:rtl w:val="true"/>
        </w:rPr>
        <w:t>الرّابع</w:t>
      </w:r>
      <w:r>
        <w:rPr>
          <w:rtl w:val="true"/>
        </w:rPr>
        <w:t>:</w:t>
      </w:r>
      <w:r>
        <w:rPr>
          <w:rtl w:val="true"/>
        </w:rPr>
        <w:t>يكره سؤر الحائض إن كانت متّهمة</w:t>
      </w:r>
      <w:bookmarkEnd w:id="6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اختيار الشّيخ في النّهاية،و أطلق في المبسوط </w:t>
      </w:r>
      <w:r>
        <w:rPr>
          <w:rStyle w:val="FootnoteAnchor"/>
          <w:rtl w:val="true"/>
        </w:rPr>
        <w:footnoteReference w:id="997"/>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عيص بن القاسم،قال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سؤر الحائض؟قال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توضّأ منه و توضّأ من سؤر الجنب إذا كانت مأمونة و تغسل يدها قبل أن تدخلها الإناء،و قد كان رسول اللّه صلّى اللّه عليه و آله يغتسل هو و عائشة في إناء واحد و يغتسلان جميعا</w:t>
      </w:r>
      <w:r>
        <w:rPr>
          <w:rFonts w:eastAsia="Amiri" w:cs="Amiri" w:ascii="Amiri" w:hAnsi="Amiri"/>
          <w:color w:val="111111"/>
          <w:sz w:val="28"/>
          <w:szCs w:val="28"/>
          <w:rtl w:val="true"/>
          <w:lang w:bidi="ar-SA"/>
        </w:rPr>
        <w:t xml:space="preserve">)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محمّد بن يعقوب في الصّحيح،عن العيص بن القاسم،قال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سؤر الحائض؟قال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تتوضّأ منه و توضّأ من سؤر الجنب إذا كانت مأمونة و تغتسل يديها قبل أن تدخلها في الإناء و كان رسول اللّه صلّى اللّه عليه و آله يغتسل هو و عائشة في إناء واحد و يغتسلان جميعا</w:t>
      </w:r>
      <w:r>
        <w:rPr>
          <w:rFonts w:eastAsia="Amiri" w:cs="Amiri" w:ascii="Amiri" w:hAnsi="Amiri"/>
          <w:color w:val="111111"/>
          <w:sz w:val="28"/>
          <w:szCs w:val="28"/>
          <w:rtl w:val="true"/>
          <w:lang w:bidi="ar-SA"/>
        </w:rPr>
        <w:t xml:space="preserve">)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 الحسن،عن الحسين بن أبي العلاء،قال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الحائض يشرب سؤرها؟قال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لا يتوضّأ</w:t>
      </w:r>
      <w:r>
        <w:rPr>
          <w:rFonts w:eastAsia="Amiri" w:cs="Amiri" w:ascii="Amiri" w:hAnsi="Amiri"/>
          <w:color w:val="111111"/>
          <w:sz w:val="28"/>
          <w:szCs w:val="28"/>
          <w:rtl w:val="true"/>
          <w:lang w:bidi="ar-SA"/>
        </w:rPr>
        <w:t xml:space="preserve">)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يدلّ على الكراهية،لأنّه إن كان طاهرا جاز الوضوء منه،و إلاّ لم يجز الشّرب، و مثله روي عن عنبسة بن مصعب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أيضا مع التّهمة يتطرّق تجويز النّجاسة،فيكره الاستعمال احتياطا للعبادة </w:t>
      </w:r>
      <w:r>
        <w:rPr>
          <w:rFonts w:eastAsia="Amiri" w:cs="Amiri" w:ascii="Amiri" w:hAnsi="Amiri"/>
          <w:color w:val="111111"/>
          <w:sz w:val="28"/>
          <w:szCs w:val="28"/>
          <w:rtl w:val="true"/>
          <w:lang w:bidi="ar-SA"/>
        </w:rPr>
        <w:t>.</w:t>
      </w:r>
    </w:p>
    <w:p>
      <w:pPr>
        <w:pStyle w:val="Heading6"/>
        <w:numPr>
          <w:ilvl w:val="5"/>
          <w:numId w:val="1"/>
        </w:numPr>
        <w:rPr/>
      </w:pPr>
      <w:bookmarkStart w:id="616" w:name="__RefHeading___Toc747107_222507752"/>
      <w:bookmarkStart w:id="617" w:name="_Toc244"/>
      <w:bookmarkEnd w:id="616"/>
      <w:r>
        <w:rPr>
          <w:rtl w:val="true"/>
        </w:rPr>
        <w:t>الخامس</w:t>
      </w:r>
      <w:r>
        <w:rPr>
          <w:rtl w:val="true"/>
        </w:rPr>
        <w:t xml:space="preserve">: </w:t>
      </w:r>
      <w:r>
        <w:rPr>
          <w:rtl w:val="true"/>
        </w:rPr>
        <w:t>ذهب بعض أصحابنا إلى أنّ لعاب المسوخ كالقرد،و الدّبّ،و الثّعلب،</w:t>
      </w:r>
      <w:bookmarkEnd w:id="617"/>
    </w:p>
    <w:p>
      <w:pPr>
        <w:pStyle w:val="BookText"/>
        <w:rPr/>
      </w:pPr>
      <w:r>
        <w:rPr>
          <w:rFonts w:ascii="IRNazanin" w:hAnsi="IRNazanin" w:eastAsia="IRNazanin"/>
          <w:color w:val="111111"/>
          <w:sz w:val="28"/>
          <w:sz w:val="28"/>
          <w:szCs w:val="28"/>
          <w:rtl w:val="true"/>
          <w:lang w:bidi="fa-IR"/>
        </w:rPr>
        <w:t>و الأرنب نجس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02"/>
      </w:r>
      <w:r>
        <w:rPr>
          <w:rStyle w:val="FootnoteAnchor"/>
          <w:rtl w:val="true"/>
        </w:rPr>
        <w:footnoteReference w:id="10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المسوخ نجس </w:t>
      </w:r>
      <w:r>
        <w:rPr>
          <w:rStyle w:val="FootnoteAnchor"/>
          <w:rtl w:val="true"/>
        </w:rPr>
        <w:footnoteReference w:id="10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عندي ضعيف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الفضل </w:t>
      </w:r>
      <w:r>
        <w:rPr>
          <w:rStyle w:val="FootnoteAnchor"/>
          <w:rtl w:val="true"/>
        </w:rPr>
        <w:footnoteReference w:id="1005"/>
      </w:r>
      <w:r>
        <w:rPr>
          <w:rFonts w:ascii="Amiri" w:hAnsi="Amiri" w:eastAsia="Amiri" w:cs="Amiri"/>
          <w:color w:val="111111"/>
          <w:sz w:val="28"/>
          <w:sz w:val="28"/>
          <w:szCs w:val="28"/>
          <w:rtl w:val="true"/>
          <w:lang w:bidi="ar-SA"/>
        </w:rPr>
        <w:t>،و لأنّ الأصل الطّهارة،و حكم السّؤر حكم اللّعاب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سؤر الدّجاج لعدم انفكاكها من استعمال النّجاسة،و لا بأس بسؤر الفأرة، و الحيّة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وقعتا في الماء و خرجتا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الأفضل ترك استعماله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إسحاق بن عمّار،و قد تقدّم </w:t>
      </w:r>
      <w:r>
        <w:rPr>
          <w:rStyle w:val="FootnoteAnchor"/>
          <w:rtl w:val="true"/>
        </w:rPr>
        <w:footnoteReference w:id="1007"/>
      </w:r>
      <w:r>
        <w:rPr>
          <w:rFonts w:ascii="Amiri" w:hAnsi="Amiri" w:eastAsia="Amiri" w:cs="Amiri"/>
          <w:color w:val="111111"/>
          <w:sz w:val="28"/>
          <w:sz w:val="28"/>
          <w:szCs w:val="28"/>
          <w:rtl w:val="true"/>
          <w:lang w:bidi="ar-SA"/>
        </w:rPr>
        <w:t>،و أيضا فإنّه جسم طاهر لاقى ماء طاهرا،فلا يوجب المنع،و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الوزغ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استعمال ما وقع فيه الوزغ و إن خرج حيّا </w:t>
      </w:r>
      <w:r>
        <w:rPr>
          <w:rStyle w:val="FootnoteAnchor"/>
          <w:rtl w:val="true"/>
        </w:rPr>
        <w:footnoteReference w:id="10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اختيار ابن بابويه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عليّ بن جعفر،عن أخيه موسى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العظاية،و الحيّة،و الوزغ تقع في الماء فلا يموت،أ يتوضّأ منه للصّلاة؟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010"/>
      </w:r>
      <w:r>
        <w:rPr>
          <w:rFonts w:ascii="Amiri" w:hAnsi="Amiri" w:eastAsia="Amiri" w:cs="Amiri"/>
          <w:color w:val="111111"/>
          <w:sz w:val="28"/>
          <w:sz w:val="28"/>
          <w:szCs w:val="28"/>
          <w:rtl w:val="true"/>
          <w:lang w:bidi="ar-SA"/>
        </w:rPr>
        <w:t>و لأنّه في الأصل لاقى طاهرا،فلا يوجب التّنجيس</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رواية أبي بصير،عن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حيّة دخلت حبّا فيه ماء و خرجت منه؟قال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وجد ماء غيره فليهرقه</w:t>
      </w:r>
      <w:r>
        <w:rPr>
          <w:rFonts w:eastAsia="Amiri" w:cs="Amiri" w:ascii="Amiri" w:hAnsi="Amiri"/>
          <w:color w:val="111111"/>
          <w:sz w:val="28"/>
          <w:szCs w:val="28"/>
          <w:rtl w:val="true"/>
          <w:lang w:bidi="ar-SA"/>
        </w:rPr>
        <w:t xml:space="preserve">) </w:t>
      </w:r>
      <w:r>
        <w:rPr>
          <w:rStyle w:val="FootnoteAnchor"/>
          <w:rtl w:val="true"/>
        </w:rPr>
        <w:footnoteReference w:id="1011"/>
      </w:r>
      <w:r>
        <w:rPr>
          <w:rFonts w:ascii="Amiri" w:hAnsi="Amiri" w:eastAsia="Amiri" w:cs="Amiri"/>
          <w:color w:val="111111"/>
          <w:sz w:val="28"/>
          <w:sz w:val="28"/>
          <w:szCs w:val="28"/>
          <w:rtl w:val="true"/>
          <w:lang w:bidi="ar-SA"/>
        </w:rPr>
        <w:t xml:space="preserve">غير دالّة على التّنجيس مع انّ في طريقها وهبا </w:t>
      </w:r>
      <w:r>
        <w:rPr>
          <w:rStyle w:val="FootnoteAnchor"/>
          <w:rtl w:val="true"/>
        </w:rPr>
        <w:footnoteReference w:id="1012"/>
      </w:r>
      <w:r>
        <w:rPr>
          <w:rFonts w:ascii="Amiri" w:hAnsi="Amiri" w:eastAsia="Amiri" w:cs="Amiri"/>
          <w:color w:val="111111"/>
          <w:sz w:val="28"/>
          <w:sz w:val="28"/>
          <w:szCs w:val="28"/>
          <w:rtl w:val="true"/>
          <w:lang w:bidi="ar-SA"/>
        </w:rPr>
        <w:t xml:space="preserve">،فإن كان هو وهب بن وهب أبا البختريّ </w:t>
      </w:r>
      <w:bookmarkStart w:id="618" w:name="pg12672_159914"/>
    </w:p>
    <w:p>
      <w:pPr>
        <w:pStyle w:val="BookText"/>
        <w:rPr/>
      </w:pPr>
      <w:bookmarkEnd w:id="618"/>
      <w:r>
        <w:rPr>
          <w:rFonts w:ascii="Amiri" w:hAnsi="Amiri" w:eastAsia="Amiri" w:cs="Amiri"/>
          <w:color w:val="111111"/>
          <w:sz w:val="28"/>
          <w:sz w:val="28"/>
          <w:szCs w:val="28"/>
          <w:rtl w:val="true"/>
          <w:lang w:bidi="ar-SA"/>
        </w:rPr>
        <w:t>فهو 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العظاية تقع في اللّبن؟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اللّبن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فيها السّم</w:t>
      </w:r>
      <w:r>
        <w:rPr>
          <w:rFonts w:eastAsia="Amiri" w:cs="Amiri" w:ascii="Amiri" w:hAnsi="Amiri"/>
          <w:color w:val="111111"/>
          <w:sz w:val="28"/>
          <w:szCs w:val="28"/>
          <w:rtl w:val="true"/>
          <w:lang w:bidi="ar-SA"/>
        </w:rPr>
        <w:t xml:space="preserve">) </w:t>
      </w:r>
      <w:r>
        <w:rPr>
          <w:rStyle w:val="FootnoteAnchor"/>
          <w:rtl w:val="true"/>
        </w:rPr>
        <w:footnoteReference w:id="1013"/>
      </w:r>
      <w:r>
        <w:rPr>
          <w:rFonts w:ascii="Amiri" w:hAnsi="Amiri" w:eastAsia="Amiri" w:cs="Amiri"/>
          <w:color w:val="111111"/>
          <w:sz w:val="28"/>
          <w:sz w:val="28"/>
          <w:szCs w:val="28"/>
          <w:rtl w:val="true"/>
          <w:lang w:bidi="ar-SA"/>
        </w:rPr>
        <w:t>ضعيفة أيضا،فإنّ رواتها الحسن بن فضّال،عن عمرو بن سعيد،عن مصدّق بن صدقة،عن عمّار الساباطيّ،و هؤلاء فطحيّة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فيه إشارة إلى انّ التّحريم إنّما كان لأجل السّم،و ذلك ليس ممّا نحن فيه،فإنّه غير دالّ على التّنجيس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الرّواية قد اشتملت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الخنفساء و الذّباب و الجرد و النّملة و ما أشبه ذلك يموت في البئر و الزّيت و السّمن و شبهه؟قال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ليس له دم،فلا بأس</w:t>
      </w:r>
      <w:r>
        <w:rPr>
          <w:rFonts w:eastAsia="Amiri" w:cs="Amiri" w:ascii="Amiri" w:hAnsi="Amiri"/>
          <w:color w:val="111111"/>
          <w:sz w:val="28"/>
          <w:szCs w:val="28"/>
          <w:rtl w:val="true"/>
          <w:lang w:bidi="ar-SA"/>
        </w:rPr>
        <w:t>) .</w:t>
      </w:r>
    </w:p>
    <w:p>
      <w:pPr>
        <w:pStyle w:val="Heading6"/>
        <w:numPr>
          <w:ilvl w:val="5"/>
          <w:numId w:val="1"/>
        </w:numPr>
        <w:rPr/>
      </w:pPr>
      <w:bookmarkStart w:id="619" w:name="__RefHeading___Toc747109_222507752"/>
      <w:bookmarkStart w:id="620" w:name="_Toc245"/>
      <w:bookmarkEnd w:id="619"/>
      <w:r>
        <w:rPr>
          <w:rtl w:val="true"/>
        </w:rPr>
        <w:t>السّادس</w:t>
      </w:r>
      <w:r>
        <w:rPr>
          <w:rtl w:val="true"/>
        </w:rPr>
        <w:t>:</w:t>
      </w:r>
      <w:r>
        <w:rPr>
          <w:rtl w:val="true"/>
        </w:rPr>
        <w:t>يجوز للرّجل أن يستعمل فضل وضوء المرأة و غسلها،و بالعكس</w:t>
      </w:r>
      <w:bookmarkEnd w:id="620"/>
    </w:p>
    <w:p>
      <w:pPr>
        <w:pStyle w:val="BookText"/>
        <w:rPr/>
      </w:pPr>
      <w:r>
        <w:rPr>
          <w:rFonts w:ascii="Amiri" w:hAnsi="Amiri" w:eastAsia="Amiri" w:cs="Amiri"/>
          <w:color w:val="111111"/>
          <w:sz w:val="28"/>
          <w:sz w:val="28"/>
          <w:szCs w:val="28"/>
          <w:rtl w:val="true"/>
          <w:lang w:bidi="ar-SA"/>
        </w:rPr>
        <w:t>ما لم يكن هناك نجاسة عينيّة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أكثر أهل العلم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يكره إذا خلت به المرأة،و عنه رواية اخرى انّه لا يجوز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حكى ابن المنذر عن إسحاق الكراهة </w:t>
      </w:r>
      <w:r>
        <w:rPr>
          <w:rStyle w:val="FootnoteAnchor"/>
          <w:rtl w:val="true"/>
        </w:rPr>
        <w:footnoteReference w:id="10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حكي عن الحسن و ابن المسيّب </w:t>
      </w:r>
      <w:r>
        <w:rPr>
          <w:rStyle w:val="FootnoteAnchor"/>
          <w:rtl w:val="true"/>
        </w:rPr>
        <w:footnoteReference w:id="1017"/>
      </w:r>
      <w:r>
        <w:rPr>
          <w:rFonts w:ascii="Amiri" w:hAnsi="Amiri" w:eastAsia="Amiri" w:cs="Amiri"/>
          <w:color w:val="111111"/>
          <w:sz w:val="28"/>
          <w:sz w:val="28"/>
          <w:szCs w:val="28"/>
          <w:rtl w:val="true"/>
          <w:lang w:bidi="ar-SA"/>
        </w:rPr>
        <w:t>،و كان ابن عمر لا يكره فضل وضوئها إلاّ أن تكون جنبا أو حائضا،قال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خلت به فلا تقربه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تقدّم من الأحاديث الدّالّة على جواز استعمال سؤر الحائض </w:t>
      </w:r>
      <w:r>
        <w:rPr>
          <w:rStyle w:val="FootnoteAnchor"/>
          <w:rtl w:val="true"/>
        </w:rPr>
        <w:footnoteReference w:id="1019"/>
      </w:r>
      <w:r>
        <w:rPr>
          <w:rFonts w:ascii="IRNazanin" w:hAnsi="IRNazanin" w:eastAsia="IRNazanin"/>
          <w:color w:val="111111"/>
          <w:sz w:val="28"/>
          <w:sz w:val="28"/>
          <w:szCs w:val="28"/>
          <w:rtl w:val="true"/>
          <w:lang w:bidi="fa-IR"/>
        </w:rPr>
        <w:t xml:space="preserve">،و ما رواه </w:t>
      </w:r>
      <w:bookmarkStart w:id="621" w:name="pg12672_159915"/>
    </w:p>
    <w:p>
      <w:pPr>
        <w:pStyle w:val="BookText"/>
        <w:rPr/>
      </w:pPr>
      <w:bookmarkEnd w:id="621"/>
      <w:r>
        <w:rPr>
          <w:rFonts w:ascii="Amiri" w:hAnsi="Amiri" w:eastAsia="Amiri" w:cs="Amiri"/>
          <w:color w:val="111111"/>
          <w:sz w:val="28"/>
          <w:sz w:val="28"/>
          <w:szCs w:val="28"/>
          <w:rtl w:val="true"/>
          <w:lang w:bidi="ar-SA"/>
        </w:rPr>
        <w:t>محمّد بن يعقوب بإسناده،عن ابن أبي يعفور،قال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أ يتوضّأ الرّجل من فضل المرأة؟قال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تعرف</w:t>
      </w:r>
      <w:r>
        <w:rPr>
          <w:rFonts w:eastAsia="Amiri" w:cs="Amiri" w:ascii="Amiri" w:hAnsi="Amiri"/>
          <w:color w:val="111111"/>
          <w:sz w:val="28"/>
          <w:szCs w:val="28"/>
          <w:rtl w:val="true"/>
          <w:lang w:bidi="ar-SA"/>
        </w:rPr>
        <w:t xml:space="preserve">)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لما رواه الجمهور،عن ميمونة </w:t>
      </w:r>
      <w:r>
        <w:rPr>
          <w:rStyle w:val="FootnoteAnchor"/>
          <w:rtl w:val="true"/>
        </w:rPr>
        <w:footnoteReference w:id="1021"/>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اغتسلت من جفنة ففضلت منها فضلة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اللّه،إنّي اغتسلت منه؟فقال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ليس عليه جنابة</w:t>
      </w:r>
      <w:r>
        <w:rPr>
          <w:rFonts w:eastAsia="Amiri" w:cs="Amiri" w:ascii="Amiri" w:hAnsi="Amiri"/>
          <w:color w:val="111111"/>
          <w:sz w:val="28"/>
          <w:szCs w:val="28"/>
          <w:rtl w:val="true"/>
          <w:lang w:bidi="ar-SA"/>
        </w:rPr>
        <w:t xml:space="preserve">) </w:t>
      </w:r>
      <w:r>
        <w:rPr>
          <w:rStyle w:val="FootnoteAnchor"/>
          <w:rtl w:val="true"/>
        </w:rPr>
        <w:footnoteReference w:id="1022"/>
      </w:r>
      <w:r>
        <w:rPr>
          <w:rFonts w:ascii="Amiri" w:hAnsi="Amiri" w:eastAsia="Amiri" w:cs="Amiri"/>
          <w:color w:val="111111"/>
          <w:sz w:val="28"/>
          <w:sz w:val="28"/>
          <w:szCs w:val="28"/>
          <w:rtl w:val="true"/>
          <w:lang w:bidi="ar-SA"/>
        </w:rPr>
        <w:t>و لأنّه في الأصل طاهر،فيبقى على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ابن حنبل بما روى الحكم بن عمرو </w:t>
      </w:r>
      <w:r>
        <w:rPr>
          <w:rStyle w:val="FootnoteAnchor"/>
          <w:rtl w:val="true"/>
        </w:rPr>
        <w:footnoteReference w:id="1023"/>
      </w:r>
      <w:r>
        <w:rPr>
          <w:rFonts w:ascii="Amiri" w:hAnsi="Amiri" w:eastAsia="Amiri" w:cs="Amiri"/>
          <w:color w:val="111111"/>
          <w:sz w:val="28"/>
          <w:sz w:val="28"/>
          <w:szCs w:val="28"/>
          <w:rtl w:val="true"/>
          <w:lang w:bidi="ar-SA"/>
        </w:rPr>
        <w:t xml:space="preserve">انّ النّبيّ صلّى اللّه عليه و آله نهى أن يتوضّأ الرّجل بفضل وضوء المرأة </w:t>
      </w:r>
      <w:r>
        <w:rPr>
          <w:rStyle w:val="FootnoteAnchor"/>
          <w:rtl w:val="true"/>
        </w:rPr>
        <w:footnoteReference w:id="10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ضعيف،فإنّ محمّد بن إسماعيل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الحديث موقوف،و من رفعه فقد أخطأ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622" w:name="__RefHeading___Toc747111_222507752"/>
      <w:bookmarkStart w:id="623" w:name="_Toc246"/>
      <w:bookmarkEnd w:id="622"/>
      <w:r>
        <w:rPr>
          <w:rtl w:val="true"/>
        </w:rPr>
        <w:t>مسألة</w:t>
      </w:r>
      <w:r>
        <w:rPr>
          <w:rtl w:val="true"/>
        </w:rPr>
        <w:t>:</w:t>
      </w:r>
      <w:r>
        <w:rPr>
          <w:rtl w:val="true"/>
        </w:rPr>
        <w:t>اتّفق علماؤنا على انّ ما لا نفس له سائلة من الحيوانات،لا ينجس بالموت</w:t>
      </w:r>
      <w:bookmarkEnd w:id="623"/>
    </w:p>
    <w:p>
      <w:pPr>
        <w:pStyle w:val="BookText"/>
        <w:rPr/>
      </w:pPr>
      <w:r>
        <w:rPr>
          <w:rFonts w:ascii="Amiri" w:hAnsi="Amiri" w:eastAsia="Amiri" w:cs="Amiri"/>
          <w:color w:val="111111"/>
          <w:sz w:val="28"/>
          <w:sz w:val="28"/>
          <w:szCs w:val="28"/>
          <w:rtl w:val="true"/>
          <w:lang w:bidi="ar-SA"/>
        </w:rPr>
        <w:t xml:space="preserve">و لا يؤثّر في نجاسة ما يلاقيه من الماء و غيره </w:t>
      </w:r>
      <w:r>
        <w:rPr>
          <w:rStyle w:val="FootnoteAnchor"/>
          <w:rtl w:val="true"/>
        </w:rPr>
        <w:footnoteReference w:id="10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مذهب الحنفيّة </w:t>
      </w:r>
      <w:r>
        <w:rPr>
          <w:rStyle w:val="FootnoteAnchor"/>
          <w:rtl w:val="true"/>
        </w:rPr>
        <w:footnoteReference w:id="1027"/>
      </w:r>
      <w:r>
        <w:rPr>
          <w:rFonts w:ascii="Amiri" w:hAnsi="Amiri" w:eastAsia="Amiri" w:cs="Amiri"/>
          <w:color w:val="111111"/>
          <w:sz w:val="28"/>
          <w:sz w:val="28"/>
          <w:szCs w:val="28"/>
          <w:rtl w:val="true"/>
          <w:lang w:bidi="ar-SA"/>
        </w:rPr>
        <w:t xml:space="preserve">،و عامّة الفقهاء </w:t>
      </w:r>
      <w:r>
        <w:rPr>
          <w:rStyle w:val="FootnoteAnchor"/>
          <w:rtl w:val="true"/>
        </w:rPr>
        <w:footnoteReference w:id="1028"/>
      </w:r>
      <w:r>
        <w:rPr>
          <w:rFonts w:ascii="Amiri" w:hAnsi="Amiri" w:eastAsia="Amiri" w:cs="Amiri"/>
          <w:color w:val="111111"/>
          <w:sz w:val="28"/>
          <w:sz w:val="28"/>
          <w:szCs w:val="28"/>
          <w:rtl w:val="true"/>
          <w:lang w:bidi="ar-SA"/>
        </w:rPr>
        <w:t>،و أحد قولي الشّافعيّ،و القول الآخر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ينجس ما يموت فيه عدا السّمك،و أمّا الحيوان فإنّه ينجس،قولا واحدا </w:t>
      </w:r>
      <w:r>
        <w:rPr>
          <w:rStyle w:val="FootnoteAnchor"/>
          <w:rtl w:val="true"/>
        </w:rPr>
        <w:footnoteReference w:id="10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أعرف أحدا قال بنجاسة الماء سوى الشّافعي </w:t>
      </w:r>
      <w:r>
        <w:rPr>
          <w:rStyle w:val="FootnoteAnchor"/>
          <w:rtl w:val="true"/>
        </w:rPr>
        <w:footnoteReference w:id="10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أبو جعفر من الحنفيّة في شرح الطّحاويّ،عن بعض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الضّفدع إذا مات في الخلّ أو العصير،نجّسه،فاعتبر موته في غير موطنه و معدنه،و لم يعتبر سيلان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النّبيّ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 ما لا نفس له سائلة في الماء،لا يفسده</w:t>
      </w:r>
      <w:r>
        <w:rPr>
          <w:rFonts w:eastAsia="Amiri" w:cs="Amiri" w:ascii="Amiri" w:hAnsi="Amiri"/>
          <w:color w:val="111111"/>
          <w:sz w:val="28"/>
          <w:szCs w:val="28"/>
          <w:rtl w:val="true"/>
          <w:lang w:bidi="ar-SA"/>
        </w:rPr>
        <w:t xml:space="preserve">)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رووه،عن سلمان </w:t>
      </w:r>
      <w:r>
        <w:rPr>
          <w:rStyle w:val="FootnoteAnchor"/>
          <w:rtl w:val="true"/>
        </w:rPr>
        <w:footnoteReference w:id="1032"/>
      </w:r>
      <w:r>
        <w:rPr>
          <w:rFonts w:ascii="Amiri" w:hAnsi="Amiri" w:eastAsia="Amiri" w:cs="Amiri"/>
          <w:color w:val="111111"/>
          <w:sz w:val="28"/>
          <w:sz w:val="28"/>
          <w:szCs w:val="28"/>
          <w:rtl w:val="true"/>
          <w:lang w:bidi="ar-SA"/>
        </w:rPr>
        <w:t>،عن النّبيّ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طعام أو شراب مات فيه دابّة ليس لها نفس سائلة،فهو الحلال أكله و شربه و الوضوء منه</w:t>
      </w:r>
      <w:r>
        <w:rPr>
          <w:rFonts w:eastAsia="Amiri" w:cs="Amiri" w:ascii="Amiri" w:hAnsi="Amiri"/>
          <w:color w:val="111111"/>
          <w:sz w:val="28"/>
          <w:szCs w:val="28"/>
          <w:rtl w:val="true"/>
          <w:lang w:bidi="ar-SA"/>
        </w:rPr>
        <w:t xml:space="preserve">)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مسلم و أبو داود،عن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 الذّباب في إناء أحدكم فليمقله،فإنّ في أحد جناحيه داء و في الآخر شفاء</w:t>
      </w:r>
      <w:r>
        <w:rPr>
          <w:rFonts w:eastAsia="Amiri" w:cs="Amiri" w:ascii="Amiri" w:hAnsi="Amiri"/>
          <w:color w:val="111111"/>
          <w:sz w:val="28"/>
          <w:szCs w:val="28"/>
          <w:rtl w:val="true"/>
          <w:lang w:bidi="ar-SA"/>
        </w:rPr>
        <w:t xml:space="preserve">) </w:t>
      </w:r>
      <w:r>
        <w:rPr>
          <w:rStyle w:val="FootnoteAnchor"/>
          <w:rtl w:val="true"/>
        </w:rPr>
        <w:footnoteReference w:id="1034"/>
      </w: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مقلة </w:t>
      </w:r>
    </w:p>
    <w:p>
      <w:pPr>
        <w:pStyle w:val="BookText"/>
        <w:rPr/>
      </w:pPr>
      <w:r>
        <w:rPr>
          <w:rFonts w:ascii="Amiri" w:hAnsi="Amiri" w:eastAsia="Amiri" w:cs="Amiri"/>
          <w:color w:val="111111"/>
          <w:sz w:val="28"/>
          <w:sz w:val="28"/>
          <w:szCs w:val="28"/>
          <w:rtl w:val="true"/>
          <w:lang w:bidi="ar-SA"/>
        </w:rPr>
        <w:t xml:space="preserve">ليس بقتله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اللّفظ عامّ في كلّ شراب بارد أو حار أو دهن بما </w:t>
      </w:r>
      <w:r>
        <w:rPr>
          <w:rStyle w:val="FootnoteAnchor"/>
          <w:rtl w:val="true"/>
        </w:rPr>
        <w:footnoteReference w:id="1036"/>
      </w:r>
      <w:r>
        <w:rPr>
          <w:rFonts w:ascii="Amiri" w:hAnsi="Amiri" w:eastAsia="Amiri" w:cs="Amiri"/>
          <w:color w:val="111111"/>
          <w:sz w:val="28"/>
          <w:sz w:val="28"/>
          <w:szCs w:val="28"/>
          <w:rtl w:val="true"/>
          <w:lang w:bidi="ar-SA"/>
        </w:rPr>
        <w:t>يموت بغمسه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طعن التّرمذيّ </w:t>
      </w:r>
      <w:r>
        <w:rPr>
          <w:rStyle w:val="FootnoteAnchor"/>
          <w:rtl w:val="true"/>
        </w:rPr>
        <w:footnoteReference w:id="1037"/>
      </w:r>
      <w:r>
        <w:rPr>
          <w:rFonts w:ascii="Amiri" w:hAnsi="Amiri" w:eastAsia="Amiri" w:cs="Amiri"/>
          <w:color w:val="111111"/>
          <w:sz w:val="28"/>
          <w:sz w:val="28"/>
          <w:szCs w:val="28"/>
          <w:rtl w:val="true"/>
          <w:lang w:bidi="ar-SA"/>
        </w:rPr>
        <w:t xml:space="preserve">في الحديث الثّاني بأنّ راويه بقية </w:t>
      </w:r>
      <w:r>
        <w:rPr>
          <w:rStyle w:val="FootnoteAnchor"/>
          <w:rtl w:val="true"/>
        </w:rPr>
        <w:footnoteReference w:id="1038"/>
      </w:r>
      <w:r>
        <w:rPr>
          <w:rFonts w:ascii="Amiri" w:hAnsi="Amiri" w:eastAsia="Amiri" w:cs="Amiri"/>
          <w:color w:val="111111"/>
          <w:sz w:val="28"/>
          <w:sz w:val="28"/>
          <w:szCs w:val="28"/>
          <w:rtl w:val="true"/>
          <w:lang w:bidi="ar-SA"/>
        </w:rPr>
        <w:t>،و هو مدلّس لا التفات إليه،لأنّ جماعة صحّحوه،و لأنّ التّرمذيّ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بقية مدلّس فإذا روى عن الثّقات جوّد </w:t>
      </w:r>
      <w:r>
        <w:rPr>
          <w:rStyle w:val="FootnoteAnchor"/>
          <w:rtl w:val="true"/>
        </w:rPr>
        <w:footnoteReference w:id="1039"/>
      </w:r>
      <w:r>
        <w:rPr>
          <w:rFonts w:ascii="Amiri" w:hAnsi="Amiri" w:eastAsia="Amiri" w:cs="Amiri"/>
          <w:color w:val="111111"/>
          <w:sz w:val="28"/>
          <w:sz w:val="28"/>
          <w:szCs w:val="28"/>
          <w:rtl w:val="true"/>
          <w:lang w:bidi="ar-SA"/>
        </w:rPr>
        <w:t>، و للحديث السّابق و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ابن مسكان،عن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يسقط في البئر ليس له دم مثل العقارب و الخنافس و أشباه ذلك، فلا بأس</w:t>
      </w:r>
      <w:r>
        <w:rPr>
          <w:rFonts w:eastAsia="Amiri" w:cs="Amiri" w:ascii="Amiri" w:hAnsi="Amiri"/>
          <w:color w:val="111111"/>
          <w:sz w:val="28"/>
          <w:szCs w:val="28"/>
          <w:rtl w:val="true"/>
          <w:lang w:bidi="ar-SA"/>
        </w:rPr>
        <w:t xml:space="preserve">)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رواه،عن محمّد بن يحيى </w:t>
      </w:r>
      <w:r>
        <w:rPr>
          <w:rStyle w:val="FootnoteAnchor"/>
          <w:rtl w:val="true"/>
        </w:rPr>
        <w:footnoteReference w:id="1041"/>
      </w:r>
      <w:r>
        <w:rPr>
          <w:rFonts w:ascii="Amiri" w:hAnsi="Amiri" w:eastAsia="Amiri" w:cs="Amiri"/>
          <w:color w:val="111111"/>
          <w:sz w:val="28"/>
          <w:sz w:val="28"/>
          <w:szCs w:val="28"/>
          <w:rtl w:val="true"/>
          <w:lang w:bidi="ar-SA"/>
        </w:rPr>
        <w:t>،رفعه إلى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يفسد الماء إلاّ ما كانت له نفس سائلة</w:t>
      </w:r>
      <w:r>
        <w:rPr>
          <w:rFonts w:eastAsia="Amiri" w:cs="Amiri" w:ascii="Amiri" w:hAnsi="Amiri"/>
          <w:color w:val="111111"/>
          <w:sz w:val="28"/>
          <w:szCs w:val="28"/>
          <w:rtl w:val="true"/>
          <w:lang w:bidi="ar-SA"/>
        </w:rPr>
        <w:t xml:space="preserve">)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ما رواه حفص بن غياث </w:t>
      </w:r>
      <w:r>
        <w:rPr>
          <w:rStyle w:val="FootnoteAnchor"/>
          <w:rtl w:val="true"/>
        </w:rPr>
        <w:footnoteReference w:id="1043"/>
      </w:r>
      <w:r>
        <w:rPr>
          <w:rFonts w:ascii="Amiri" w:hAnsi="Amiri" w:eastAsia="Amiri" w:cs="Amiri"/>
          <w:color w:val="111111"/>
          <w:sz w:val="28"/>
          <w:sz w:val="28"/>
          <w:szCs w:val="28"/>
          <w:rtl w:val="true"/>
          <w:lang w:bidi="ar-SA"/>
        </w:rPr>
        <w:t>،عن جعفر بن محمّد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يفسد الماء إلاّ ما كانت له نفس سائلة</w:t>
      </w:r>
      <w:r>
        <w:rPr>
          <w:rFonts w:eastAsia="Amiri" w:cs="Amiri" w:ascii="Amiri" w:hAnsi="Amiri"/>
          <w:color w:val="111111"/>
          <w:sz w:val="28"/>
          <w:szCs w:val="28"/>
          <w:rtl w:val="true"/>
          <w:lang w:bidi="ar-SA"/>
        </w:rPr>
        <w:t xml:space="preserve">) </w:t>
      </w:r>
      <w:r>
        <w:rPr>
          <w:rStyle w:val="FootnoteAnchor"/>
          <w:rtl w:val="true"/>
        </w:rPr>
        <w:footnoteReference w:id="1044"/>
      </w:r>
      <w:r>
        <w:rPr>
          <w:rFonts w:ascii="Amiri" w:hAnsi="Amiri" w:eastAsia="Amiri" w:cs="Amiri"/>
          <w:color w:val="111111"/>
          <w:sz w:val="28"/>
          <w:sz w:val="28"/>
          <w:szCs w:val="28"/>
          <w:rtl w:val="true"/>
          <w:lang w:bidi="ar-SA"/>
        </w:rPr>
        <w:t xml:space="preserve">و حفص و إن كان عاميّا،إلاّ انّ روايته مناسبة للمذهب، و ابن سنان </w:t>
      </w:r>
      <w:r>
        <w:rPr>
          <w:rStyle w:val="FootnoteAnchor"/>
          <w:rtl w:val="true"/>
        </w:rPr>
        <w:footnoteReference w:id="1045"/>
      </w:r>
      <w:r>
        <w:rPr>
          <w:rFonts w:ascii="Amiri" w:hAnsi="Amiri" w:eastAsia="Amiri" w:cs="Amiri"/>
          <w:color w:val="111111"/>
          <w:sz w:val="28"/>
          <w:sz w:val="28"/>
          <w:szCs w:val="28"/>
          <w:rtl w:val="true"/>
          <w:lang w:bidi="ar-SA"/>
        </w:rPr>
        <w:t>الّذي روى،عن ابن مسكان الحديث الأوّل و إن كان قد ضعّفه بعض أصحابنا،إلاّ انّ بعضهم قد شهد له بالثّقة،و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مناسبة للمذهب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رواه عمّار،عن أبي عبد اللّه عليه السّلام،انّه سئل عن الخنفساء و الذّباب و الجراد و النّملة و أشباه ذلك يموت في اللّبن </w:t>
      </w:r>
      <w:r>
        <w:rPr>
          <w:rStyle w:val="FootnoteAnchor"/>
          <w:rtl w:val="true"/>
        </w:rPr>
        <w:footnoteReference w:id="1046"/>
      </w:r>
      <w:r>
        <w:rPr>
          <w:rFonts w:ascii="Amiri" w:hAnsi="Amiri" w:eastAsia="Amiri" w:cs="Amiri"/>
          <w:color w:val="111111"/>
          <w:sz w:val="28"/>
          <w:sz w:val="28"/>
          <w:szCs w:val="28"/>
          <w:rtl w:val="true"/>
          <w:lang w:bidi="ar-SA"/>
        </w:rPr>
        <w:t>و الزّيت و شبهه،قال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ليس له دم،فلا بأس</w:t>
      </w:r>
      <w:r>
        <w:rPr>
          <w:rFonts w:eastAsia="Amiri" w:cs="Amiri" w:ascii="Amiri" w:hAnsi="Amiri"/>
          <w:color w:val="111111"/>
          <w:sz w:val="28"/>
          <w:szCs w:val="28"/>
          <w:rtl w:val="true"/>
          <w:lang w:bidi="ar-SA"/>
        </w:rPr>
        <w:t xml:space="preserve">) </w:t>
      </w:r>
      <w:r>
        <w:rPr>
          <w:rStyle w:val="FootnoteAnchor"/>
          <w:rtl w:val="true"/>
        </w:rPr>
        <w:footnoteReference w:id="1047"/>
      </w:r>
      <w:r>
        <w:rPr>
          <w:rFonts w:ascii="Amiri" w:hAnsi="Amiri" w:eastAsia="Amiri" w:cs="Amiri"/>
          <w:color w:val="111111"/>
          <w:sz w:val="28"/>
          <w:sz w:val="28"/>
          <w:szCs w:val="28"/>
          <w:rtl w:val="true"/>
          <w:lang w:bidi="ar-SA"/>
        </w:rPr>
        <w:t>و هذه مقويّة لا حجّة،و الأقرب الاستدلال بالأصل،و بما روي،عن الصّادق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كلّه طاهر حتّى يعلم انّه قذر</w:t>
      </w:r>
      <w:r>
        <w:rPr>
          <w:rFonts w:eastAsia="Amiri" w:cs="Amiri" w:ascii="Amiri" w:hAnsi="Amiri"/>
          <w:color w:val="111111"/>
          <w:sz w:val="28"/>
          <w:szCs w:val="28"/>
          <w:rtl w:val="true"/>
          <w:lang w:bidi="ar-SA"/>
        </w:rPr>
        <w:t xml:space="preserve">)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لأنّ الموت ليس لذاته علّة للنّجاسة،و إلاّ لنجس المذكّى الّذي حلّه الموت،و انّما كان نجسا لما فيه من الدّماء،و هذا ليس له دم،و حرمة </w:t>
      </w:r>
      <w:r>
        <w:rPr>
          <w:rStyle w:val="FootnoteAnchor"/>
          <w:rtl w:val="true"/>
        </w:rPr>
        <w:footnoteReference w:id="1049"/>
      </w:r>
      <w:r>
        <w:rPr>
          <w:rFonts w:ascii="Amiri" w:hAnsi="Amiri" w:eastAsia="Amiri" w:cs="Amiri"/>
          <w:color w:val="111111"/>
          <w:sz w:val="28"/>
          <w:sz w:val="28"/>
          <w:szCs w:val="28"/>
          <w:rtl w:val="true"/>
          <w:lang w:bidi="ar-SA"/>
        </w:rPr>
        <w:t>الانتفاع به لعدم صلاحيّة الغذاء لا للنّجاسة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أحمد في الوزغ روايتان</w:t>
      </w:r>
      <w:r>
        <w:rPr>
          <w:rFonts w:eastAsia="Amiri" w:cs="Amiri" w:ascii="Amiri" w:hAnsi="Amiri"/>
          <w:color w:val="111111"/>
          <w:sz w:val="28"/>
          <w:szCs w:val="28"/>
          <w:rtl w:val="true"/>
          <w:lang w:bidi="ar-SA"/>
        </w:rPr>
        <w:t xml:space="preserve">: </w:t>
      </w:r>
      <w:bookmarkStart w:id="624" w:name="pg12672_159919"/>
    </w:p>
    <w:p>
      <w:pPr>
        <w:pStyle w:val="BookText"/>
        <w:rPr/>
      </w:pPr>
      <w:bookmarkEnd w:id="624"/>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النّجاسة،لما روي،عن عليّ عليه السّلام انّه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ماتت الوزغة أو الفأرة في الحبّ فصبّ ما فيه،و إن ماتت في بئر فانزحها حتّى يغلبك</w:t>
      </w:r>
      <w:r>
        <w:rPr>
          <w:rFonts w:eastAsia="Amiri" w:cs="Amiri" w:ascii="Amiri" w:hAnsi="Amiri"/>
          <w:color w:val="111111"/>
          <w:sz w:val="28"/>
          <w:szCs w:val="28"/>
          <w:rtl w:val="true"/>
          <w:lang w:bidi="ar-SA"/>
        </w:rPr>
        <w:t xml:space="preserve">)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النّزح و الصبّ في الوزغ لا باعتبار النّجاسة،بل باعتبار الطّيب</w:t>
      </w:r>
      <w:r>
        <w:rPr>
          <w:rFonts w:eastAsia="Amiri" w:cs="Amiri" w:ascii="Amiri" w:hAnsi="Amiri"/>
          <w:color w:val="111111"/>
          <w:sz w:val="28"/>
          <w:szCs w:val="28"/>
          <w:rtl w:val="true"/>
          <w:lang w:bidi="ar-SA"/>
        </w:rPr>
        <w:t>.</w:t>
      </w:r>
    </w:p>
    <w:p>
      <w:pPr>
        <w:pStyle w:val="Heading6"/>
        <w:numPr>
          <w:ilvl w:val="5"/>
          <w:numId w:val="1"/>
        </w:numPr>
        <w:rPr/>
      </w:pPr>
      <w:bookmarkStart w:id="625" w:name="__RefHeading___Toc747113_222507752"/>
      <w:bookmarkStart w:id="626" w:name="_Toc247"/>
      <w:bookmarkEnd w:id="625"/>
      <w:r>
        <w:rPr>
          <w:rtl w:val="true"/>
        </w:rPr>
        <w:t>فروع</w:t>
      </w:r>
      <w:r>
        <w:rPr>
          <w:rtl w:val="true"/>
        </w:rPr>
        <w:t>:</w:t>
      </w:r>
      <w:bookmarkEnd w:id="626"/>
    </w:p>
    <w:p>
      <w:pPr>
        <w:pStyle w:val="Heading6"/>
        <w:numPr>
          <w:ilvl w:val="5"/>
          <w:numId w:val="1"/>
        </w:numPr>
        <w:rPr/>
      </w:pPr>
      <w:bookmarkStart w:id="627" w:name="__RefHeading___Toc747115_222507752"/>
      <w:bookmarkStart w:id="628" w:name="_Toc248"/>
      <w:bookmarkEnd w:id="627"/>
      <w:r>
        <w:rPr>
          <w:rtl w:val="true"/>
        </w:rPr>
        <w:t>الأوّل ميتة الحيوانات البحرية</w:t>
      </w:r>
      <w:bookmarkEnd w:id="628"/>
    </w:p>
    <w:p>
      <w:pPr>
        <w:pStyle w:val="BookText"/>
        <w:rPr/>
      </w:pPr>
      <w:r>
        <w:rPr>
          <w:rFonts w:ascii="Amiri" w:hAnsi="Amiri" w:eastAsia="Amiri" w:cs="Amiri"/>
          <w:color w:val="111111"/>
          <w:sz w:val="28"/>
          <w:sz w:val="28"/>
          <w:szCs w:val="28"/>
          <w:rtl w:val="true"/>
          <w:lang w:bidi="ar-SA"/>
        </w:rPr>
        <w:t>كلّ حيوان يعيش في الماء،فلا يخلو إمّا أن يكون ذا نفس سائلة أو لا،فإن كان كالتّمساح و شبهه ممّا له عرق يخرج منه الدّم،فهو نجس بالموت،فينجس الماء إن كان قليلا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أحمد </w:t>
      </w:r>
      <w:r>
        <w:rPr>
          <w:rStyle w:val="FootnoteAnchor"/>
          <w:rtl w:val="true"/>
        </w:rPr>
        <w:footnoteReference w:id="1051"/>
      </w:r>
      <w:r>
        <w:rPr>
          <w:rFonts w:ascii="Amiri" w:hAnsi="Amiri" w:eastAsia="Amiri" w:cs="Amiri"/>
          <w:color w:val="111111"/>
          <w:sz w:val="28"/>
          <w:sz w:val="28"/>
          <w:szCs w:val="28"/>
          <w:rtl w:val="true"/>
          <w:lang w:bidi="ar-SA"/>
        </w:rPr>
        <w:t xml:space="preserve">خلافا للحنفيّة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الجمهور،عن النّبيّ صلّى اللّه عليه و آله في الحديثين السّابقين </w:t>
      </w:r>
      <w:r>
        <w:rPr>
          <w:rStyle w:val="FootnoteAnchor"/>
          <w:rtl w:val="true"/>
        </w:rPr>
        <w:footnoteReference w:id="1053"/>
      </w:r>
      <w:r>
        <w:rPr>
          <w:rFonts w:ascii="Amiri" w:hAnsi="Amiri" w:eastAsia="Amiri" w:cs="Amiri"/>
          <w:color w:val="111111"/>
          <w:sz w:val="28"/>
          <w:sz w:val="28"/>
          <w:szCs w:val="28"/>
          <w:rtl w:val="true"/>
          <w:lang w:bidi="ar-SA"/>
        </w:rPr>
        <w:t>،فإنّه علّق الحكم فيها على كون النّفس ليست سائلة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محمّد بن يحيى بإسناده،عن الصّادق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يفسد الماء،إلاّ ما كانت له نفس سائلة</w:t>
      </w:r>
      <w:r>
        <w:rPr>
          <w:rFonts w:eastAsia="Amiri" w:cs="Amiri" w:ascii="Amiri" w:hAnsi="Amiri"/>
          <w:color w:val="111111"/>
          <w:sz w:val="28"/>
          <w:szCs w:val="28"/>
          <w:rtl w:val="true"/>
          <w:lang w:bidi="ar-SA"/>
        </w:rPr>
        <w:t xml:space="preserve">) </w:t>
      </w:r>
      <w:r>
        <w:rPr>
          <w:rStyle w:val="FootnoteAnchor"/>
          <w:rtl w:val="true"/>
        </w:rPr>
        <w:footnoteReference w:id="1054"/>
      </w:r>
      <w:r>
        <w:rPr>
          <w:rFonts w:ascii="Amiri" w:hAnsi="Amiri" w:eastAsia="Amiri" w:cs="Amiri"/>
          <w:color w:val="111111"/>
          <w:sz w:val="28"/>
          <w:sz w:val="28"/>
          <w:szCs w:val="28"/>
          <w:rtl w:val="true"/>
          <w:lang w:bidi="ar-SA"/>
        </w:rPr>
        <w:t xml:space="preserve">و الاستثناء من النّفي إثبات،و ما اخترناه روي عن أبي يوسف أيضا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w:t>
      </w:r>
      <w:r>
        <w:rPr>
          <w:rStyle w:val="FootnoteAnchor"/>
          <w:rtl w:val="true"/>
        </w:rPr>
        <w:footnoteReference w:id="1056"/>
      </w:r>
      <w:r>
        <w:rPr>
          <w:rFonts w:ascii="Amiri" w:hAnsi="Amiri" w:eastAsia="Amiri" w:cs="Amiri"/>
          <w:color w:val="111111"/>
          <w:sz w:val="28"/>
          <w:sz w:val="28"/>
          <w:szCs w:val="28"/>
          <w:rtl w:val="true"/>
          <w:lang w:bidi="ar-SA"/>
        </w:rPr>
        <w:t>المخالف 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الطّهور ماؤه،الحلّ ميتته</w:t>
      </w:r>
      <w:r>
        <w:rPr>
          <w:rFonts w:eastAsia="Amiri" w:cs="Amiri" w:ascii="Amiri" w:hAnsi="Amiri"/>
          <w:color w:val="111111"/>
          <w:sz w:val="28"/>
          <w:szCs w:val="28"/>
          <w:rtl w:val="true"/>
          <w:lang w:bidi="ar-SA"/>
        </w:rPr>
        <w:t xml:space="preserve">)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مختصّ بالسّموك،و إلاّ لزم تحليل الجميع و ليس كذلك إجماعا،و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هذه الصّيغة من صيغ العموم،فلا يتناول ذا النّفس و غيره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يكن ذا نفس سائلة لم ينجس سواء مات في الماء أو خارجه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تقطّعت أجزاء حيوان الماء ذي النّفس السّائلة في الماء،نجّسه إن كان قليلا،و إن </w:t>
      </w:r>
      <w:bookmarkStart w:id="629" w:name="pg12672_159920"/>
    </w:p>
    <w:p>
      <w:pPr>
        <w:pStyle w:val="BookText"/>
        <w:rPr/>
      </w:pPr>
      <w:bookmarkEnd w:id="629"/>
      <w:r>
        <w:rPr>
          <w:rFonts w:ascii="Amiri" w:hAnsi="Amiri" w:eastAsia="Amiri" w:cs="Amiri"/>
          <w:color w:val="111111"/>
          <w:sz w:val="28"/>
          <w:sz w:val="28"/>
          <w:szCs w:val="28"/>
          <w:rtl w:val="true"/>
          <w:lang w:bidi="ar-SA"/>
        </w:rPr>
        <w:t xml:space="preserve">كان كثيرا،جاز استعماله،و عند الحنفيّة يكره شربه </w:t>
      </w:r>
      <w:r>
        <w:rPr>
          <w:rStyle w:val="FootnoteAnchor"/>
          <w:rtl w:val="true"/>
        </w:rPr>
        <w:footnoteReference w:id="1058"/>
      </w:r>
      <w:r>
        <w:rPr>
          <w:rFonts w:ascii="Amiri" w:hAnsi="Amiri" w:eastAsia="Amiri" w:cs="Amiri"/>
          <w:color w:val="111111"/>
          <w:sz w:val="28"/>
          <w:sz w:val="28"/>
          <w:szCs w:val="28"/>
          <w:rtl w:val="true"/>
          <w:lang w:bidi="ar-SA"/>
        </w:rPr>
        <w:t>،لأنّه لا يتوصّل إليه إلاّ و معه جزء من أجزاء الّذي لا يحلّ أكله و 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الضّفدع لا ينجس بالموت،لأنّه ليس ذا نفس سائلة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مالك </w:t>
      </w:r>
      <w:r>
        <w:rPr>
          <w:rStyle w:val="FootnoteAnchor"/>
          <w:rtl w:val="true"/>
        </w:rPr>
        <w:footnoteReference w:id="1059"/>
      </w:r>
      <w:r>
        <w:rPr>
          <w:rFonts w:ascii="Amiri" w:hAnsi="Amiri" w:eastAsia="Amiri" w:cs="Amiri"/>
          <w:color w:val="111111"/>
          <w:sz w:val="28"/>
          <w:sz w:val="28"/>
          <w:szCs w:val="28"/>
          <w:rtl w:val="true"/>
          <w:lang w:bidi="ar-SA"/>
        </w:rPr>
        <w:t xml:space="preserve">و أبو حنيفة </w:t>
      </w:r>
      <w:r>
        <w:rPr>
          <w:rStyle w:val="FootnoteAnchor"/>
          <w:rtl w:val="true"/>
        </w:rPr>
        <w:footnoteReference w:id="1060"/>
      </w:r>
      <w:r>
        <w:rPr>
          <w:rFonts w:ascii="IRNazanin" w:hAnsi="IRNazanin" w:eastAsia="IRNazanin"/>
          <w:color w:val="111111"/>
          <w:sz w:val="28"/>
          <w:sz w:val="28"/>
          <w:szCs w:val="28"/>
          <w:rtl w:val="true"/>
          <w:lang w:bidi="fa-IR"/>
        </w:rPr>
        <w:t xml:space="preserve">،و محمّد بن الحسن </w:t>
      </w:r>
      <w:r>
        <w:rPr>
          <w:rStyle w:val="FootnoteAnchor"/>
          <w:rtl w:val="true"/>
        </w:rPr>
        <w:footnoteReference w:id="10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الشّافعيّ </w:t>
      </w:r>
      <w:r>
        <w:rPr>
          <w:rStyle w:val="FootnoteAnchor"/>
          <w:rtl w:val="true"/>
        </w:rPr>
        <w:footnoteReference w:id="1062"/>
      </w:r>
      <w:r>
        <w:rPr>
          <w:rFonts w:ascii="Amiri" w:hAnsi="Amiri" w:eastAsia="Amiri" w:cs="Amiri"/>
          <w:color w:val="111111"/>
          <w:sz w:val="28"/>
          <w:sz w:val="28"/>
          <w:szCs w:val="28"/>
          <w:rtl w:val="true"/>
          <w:lang w:bidi="ar-SA"/>
        </w:rPr>
        <w:t xml:space="preserve">،و أبو يوسف </w:t>
      </w:r>
      <w:r>
        <w:rPr>
          <w:rStyle w:val="FootnoteAnchor"/>
          <w:rtl w:val="true"/>
        </w:rPr>
        <w:footnoteReference w:id="1063"/>
      </w:r>
      <w:r>
        <w:rPr>
          <w:rFonts w:ascii="IRNazanin" w:hAnsi="IRNazanin" w:eastAsia="IRNazanin"/>
          <w:color w:val="111111"/>
          <w:sz w:val="28"/>
          <w:sz w:val="28"/>
          <w:szCs w:val="28"/>
          <w:rtl w:val="true"/>
          <w:lang w:bidi="fa-IR"/>
        </w:rPr>
        <w:t xml:space="preserve">،و أحمد </w:t>
      </w:r>
      <w:r>
        <w:rPr>
          <w:rStyle w:val="FootnoteAnchor"/>
          <w:rtl w:val="true"/>
        </w:rPr>
        <w:footnoteReference w:id="10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نجس،لأنّه يعيش في البرّ،فأشبه حيوان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المقتضي للنّجاسة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سيلان النّفس </w:t>
      </w:r>
      <w:r>
        <w:rPr>
          <w:rFonts w:eastAsia="Amiri" w:cs="Amiri" w:ascii="Amiri" w:hAnsi="Amiri"/>
          <w:color w:val="111111"/>
          <w:sz w:val="28"/>
          <w:szCs w:val="28"/>
          <w:rtl w:val="true"/>
          <w:lang w:bidi="ar-SA"/>
        </w:rPr>
        <w:t>.</w:t>
      </w:r>
    </w:p>
    <w:p>
      <w:pPr>
        <w:pStyle w:val="Heading6"/>
        <w:numPr>
          <w:ilvl w:val="5"/>
          <w:numId w:val="1"/>
        </w:numPr>
        <w:rPr/>
      </w:pPr>
      <w:bookmarkStart w:id="630" w:name="__RefHeading___Toc747117_222507752"/>
      <w:bookmarkStart w:id="631" w:name="_Toc249"/>
      <w:bookmarkEnd w:id="630"/>
      <w:r>
        <w:rPr>
          <w:rtl w:val="true"/>
        </w:rPr>
        <w:t>الثّاني</w:t>
      </w:r>
      <w:r>
        <w:rPr>
          <w:rtl w:val="true"/>
        </w:rPr>
        <w:t>:</w:t>
      </w:r>
      <w:r>
        <w:rPr>
          <w:rtl w:val="true"/>
        </w:rPr>
        <w:t>الحيوان المتولّد من الأجسام الطّاهرة طاهر</w:t>
      </w:r>
      <w:bookmarkEnd w:id="631"/>
    </w:p>
    <w:p>
      <w:pPr>
        <w:pStyle w:val="BookText"/>
        <w:rPr/>
      </w:pPr>
      <w:r>
        <w:rPr>
          <w:rFonts w:ascii="Amiri" w:hAnsi="Amiri" w:eastAsia="Amiri" w:cs="Amiri"/>
          <w:color w:val="111111"/>
          <w:sz w:val="28"/>
          <w:sz w:val="28"/>
          <w:szCs w:val="28"/>
          <w:rtl w:val="true"/>
          <w:lang w:bidi="ar-SA"/>
        </w:rPr>
        <w:t>،كالفأر،ودود الخلّ،و شبهه، و المتولّد من النّجاسات كدود العذرة كذلك،لأنّه غير ذي نفس سائلة،فيدخل تحت العموم الدّالّ على طهارة ما مات فيه حيوان غير ذي 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المتولّد من الأعيان النّجسة نجس حيّا و ميّتا،لأنّها كائنة عن النّجاسة، فتكون نجسة </w:t>
      </w:r>
      <w:r>
        <w:rPr>
          <w:rStyle w:val="FootnoteAnchor"/>
          <w:rtl w:val="true"/>
        </w:rPr>
        <w:footnoteReference w:id="1065"/>
      </w:r>
      <w:r>
        <w:rPr>
          <w:rFonts w:ascii="Amiri" w:hAnsi="Amiri" w:eastAsia="Amiri" w:cs="Amiri"/>
          <w:color w:val="111111"/>
          <w:sz w:val="28"/>
          <w:sz w:val="28"/>
          <w:szCs w:val="28"/>
          <w:rtl w:val="true"/>
          <w:lang w:bidi="ar-SA"/>
        </w:rPr>
        <w:t xml:space="preserve">كولد الكلب و الخنزير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المقدّمتان ممنوعتان فإنّ المعلوم تولّده في النّجاسة،أمّا منها فلا،و لو سلّم، منع من نجاسة المتولّد من النّجس،و ولد الكلب ليس نجسا باعتبار تولّده عن النّجس،بل باعتبار اسم الكلب عليه بخلاف دود العذرة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يحرم أكله عند علمائنا أجمع سواء انفصل عن الطّعام أو اتّصل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أحد قولي </w:t>
      </w:r>
      <w:bookmarkStart w:id="632" w:name="pg12672_159921"/>
    </w:p>
    <w:p>
      <w:pPr>
        <w:pStyle w:val="BookText"/>
        <w:rPr/>
      </w:pPr>
      <w:bookmarkEnd w:id="632"/>
      <w:r>
        <w:rPr>
          <w:rFonts w:ascii="Amiri" w:hAnsi="Amiri" w:eastAsia="Amiri" w:cs="Amiri"/>
          <w:color w:val="111111"/>
          <w:sz w:val="28"/>
          <w:sz w:val="28"/>
          <w:szCs w:val="28"/>
          <w:rtl w:val="true"/>
          <w:lang w:bidi="ar-SA"/>
        </w:rPr>
        <w:t>الشّافعيّ،لاستقذاره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احتجّ حالة الاتّصال بعسر الإزالة و حالة الانفصال بالطّهارة </w:t>
      </w:r>
      <w:r>
        <w:rPr>
          <w:rStyle w:val="FootnoteAnchor"/>
          <w:rtl w:val="true"/>
        </w:rPr>
        <w:footnoteReference w:id="1067"/>
      </w:r>
      <w:r>
        <w:rPr>
          <w:rFonts w:ascii="Amiri" w:hAnsi="Amiri" w:eastAsia="Amiri" w:cs="Amiri"/>
          <w:color w:val="111111"/>
          <w:sz w:val="28"/>
          <w:sz w:val="28"/>
          <w:szCs w:val="28"/>
          <w:rtl w:val="true"/>
          <w:lang w:bidi="ar-SA"/>
        </w:rPr>
        <w:t xml:space="preserve">، و هما غير دالّين على المطلوب </w:t>
      </w:r>
      <w:r>
        <w:rPr>
          <w:rFonts w:eastAsia="Amiri" w:cs="Amiri" w:ascii="Amiri" w:hAnsi="Amiri"/>
          <w:color w:val="111111"/>
          <w:sz w:val="28"/>
          <w:szCs w:val="28"/>
          <w:rtl w:val="true"/>
          <w:lang w:bidi="ar-SA"/>
        </w:rPr>
        <w:t>.</w:t>
      </w:r>
    </w:p>
    <w:p>
      <w:pPr>
        <w:pStyle w:val="Heading6"/>
        <w:numPr>
          <w:ilvl w:val="5"/>
          <w:numId w:val="1"/>
        </w:numPr>
        <w:rPr/>
      </w:pPr>
      <w:bookmarkStart w:id="633" w:name="__RefHeading___Toc747119_222507752"/>
      <w:bookmarkStart w:id="634" w:name="_Toc250"/>
      <w:bookmarkEnd w:id="633"/>
      <w:r>
        <w:rPr>
          <w:rtl w:val="true"/>
        </w:rPr>
        <w:t>الثّالث</w:t>
      </w:r>
      <w:r>
        <w:rPr>
          <w:rtl w:val="true"/>
        </w:rPr>
        <w:t>:</w:t>
      </w:r>
      <w:r>
        <w:rPr>
          <w:rtl w:val="true"/>
        </w:rPr>
        <w:t>لا خلاف عندنا في انّ الآدميّ ينجس بالموت</w:t>
      </w:r>
      <w:bookmarkEnd w:id="634"/>
    </w:p>
    <w:p>
      <w:pPr>
        <w:pStyle w:val="BookText"/>
        <w:rPr/>
      </w:pPr>
      <w:r>
        <w:rPr>
          <w:rFonts w:ascii="Amiri" w:hAnsi="Amiri" w:eastAsia="Amiri" w:cs="Amiri"/>
          <w:color w:val="111111"/>
          <w:sz w:val="28"/>
          <w:sz w:val="28"/>
          <w:szCs w:val="28"/>
          <w:rtl w:val="true"/>
          <w:lang w:bidi="ar-SA"/>
        </w:rPr>
        <w:t>،لأنّ له نفسا سائلة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مذهب أبي حنيفة </w:t>
      </w:r>
      <w:r>
        <w:rPr>
          <w:rStyle w:val="FootnoteAnchor"/>
          <w:rtl w:val="true"/>
        </w:rPr>
        <w:footnoteReference w:id="1068"/>
      </w:r>
      <w:r>
        <w:rPr>
          <w:rFonts w:ascii="Amiri" w:hAnsi="Amiri" w:eastAsia="Amiri" w:cs="Amiri"/>
          <w:color w:val="111111"/>
          <w:sz w:val="28"/>
          <w:sz w:val="28"/>
          <w:szCs w:val="28"/>
          <w:rtl w:val="true"/>
          <w:lang w:bidi="ar-SA"/>
        </w:rPr>
        <w:t xml:space="preserve">،خلافا للشّافعيّ على أحد القولين </w:t>
      </w:r>
      <w:r>
        <w:rPr>
          <w:rStyle w:val="FootnoteAnchor"/>
          <w:rtl w:val="true"/>
        </w:rPr>
        <w:footnoteReference w:id="1069"/>
      </w:r>
      <w:r>
        <w:rPr>
          <w:rFonts w:ascii="Amiri" w:hAnsi="Amiri" w:eastAsia="Amiri" w:cs="Amiri"/>
          <w:color w:val="111111"/>
          <w:sz w:val="28"/>
          <w:sz w:val="28"/>
          <w:szCs w:val="28"/>
          <w:rtl w:val="true"/>
          <w:lang w:bidi="ar-SA"/>
        </w:rPr>
        <w:t xml:space="preserve">،و لأحمد في إحدى الرّوايتين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 انّه ذو نفس سائلة فيدخل تحت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يفسد الماء إلاّ ما كانت له نفس سائلة</w:t>
      </w:r>
      <w:r>
        <w:rPr>
          <w:rFonts w:eastAsia="Amiri" w:cs="Amiri" w:ascii="Amiri" w:hAnsi="Amiri"/>
          <w:color w:val="111111"/>
          <w:sz w:val="28"/>
          <w:szCs w:val="28"/>
          <w:rtl w:val="true"/>
          <w:lang w:bidi="ar-SA"/>
        </w:rPr>
        <w:t xml:space="preserve">)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زنجيّا وقع في بئر زمزم في عهد عبد اللّه بن عبّاس و ابن الزّبير،فأمرا بنزح الماء فلم يمكنهم ذلك و كان لها عين تنبع في أسفلها كأنّها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عنق جزور</w:t>
      </w:r>
      <w:r>
        <w:rPr>
          <w:rFonts w:eastAsia="Amiri" w:cs="Amiri" w:ascii="Amiri" w:hAnsi="Amiri"/>
          <w:color w:val="111111"/>
          <w:sz w:val="28"/>
          <w:szCs w:val="28"/>
          <w:rtl w:val="true"/>
          <w:lang w:bidi="ar-SA"/>
        </w:rPr>
        <w:t xml:space="preserve">) </w:t>
      </w:r>
      <w:r>
        <w:rPr>
          <w:rStyle w:val="FootnoteAnchor"/>
          <w:rtl w:val="true"/>
        </w:rPr>
        <w:footnoteReference w:id="1072"/>
      </w:r>
      <w:r>
        <w:rPr>
          <w:rFonts w:ascii="IRNazanin" w:hAnsi="IRNazanin" w:eastAsia="IRNazanin"/>
          <w:color w:val="111111"/>
          <w:sz w:val="28"/>
          <w:sz w:val="28"/>
          <w:szCs w:val="28"/>
          <w:rtl w:val="true"/>
          <w:lang w:bidi="fa-IR"/>
        </w:rPr>
        <w:t xml:space="preserve">فأمرا بسدّها بالإقطاع </w:t>
      </w:r>
      <w:r>
        <w:rPr>
          <w:rStyle w:val="FootnoteAnchor"/>
          <w:rtl w:val="true"/>
        </w:rPr>
        <w:footnoteReference w:id="1073"/>
      </w:r>
      <w:r>
        <w:rPr>
          <w:rFonts w:ascii="Amiri" w:hAnsi="Amiri" w:eastAsia="Amiri" w:cs="Amiri"/>
          <w:color w:val="111111"/>
          <w:sz w:val="28"/>
          <w:sz w:val="28"/>
          <w:szCs w:val="28"/>
          <w:rtl w:val="true"/>
          <w:lang w:bidi="ar-SA"/>
        </w:rPr>
        <w:t xml:space="preserve">فلم يقدروا عليه،فأمرا بنزح البعض و حكما بطهارة الباقي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احتجّوا </w:t>
      </w:r>
      <w:r>
        <w:rPr>
          <w:rStyle w:val="FootnoteAnchor"/>
          <w:rtl w:val="true"/>
        </w:rPr>
        <w:footnoteReference w:id="1075"/>
      </w:r>
      <w:r>
        <w:rPr>
          <w:rFonts w:ascii="Amiri" w:hAnsi="Amiri" w:eastAsia="Amiri" w:cs="Amiri"/>
          <w:color w:val="111111"/>
          <w:sz w:val="28"/>
          <w:sz w:val="28"/>
          <w:szCs w:val="28"/>
          <w:rtl w:val="true"/>
          <w:lang w:bidi="ar-SA"/>
        </w:rPr>
        <w:t>بما روي عن النّبيّ صلّى اللّه عليه و آله،انّه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لا ينجس</w:t>
      </w:r>
      <w:r>
        <w:rPr>
          <w:rFonts w:eastAsia="Amiri" w:cs="Amiri" w:ascii="Amiri" w:hAnsi="Amiri"/>
          <w:color w:val="111111"/>
          <w:sz w:val="28"/>
          <w:szCs w:val="28"/>
          <w:rtl w:val="true"/>
          <w:lang w:bidi="ar-SA"/>
        </w:rPr>
        <w:t xml:space="preserve">) </w:t>
      </w:r>
      <w:r>
        <w:rPr>
          <w:rStyle w:val="FootnoteAnchor"/>
          <w:rtl w:val="true"/>
        </w:rPr>
        <w:footnoteReference w:id="1076"/>
      </w:r>
      <w:r>
        <w:rPr>
          <w:rFonts w:ascii="Amiri" w:hAnsi="Amiri" w:eastAsia="Amiri" w:cs="Amiri"/>
          <w:color w:val="111111"/>
          <w:sz w:val="28"/>
          <w:sz w:val="28"/>
          <w:szCs w:val="28"/>
          <w:rtl w:val="true"/>
          <w:lang w:bidi="ar-SA"/>
        </w:rPr>
        <w:t>متّفق عليه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المؤمن </w:t>
      </w:r>
      <w:r>
        <w:rPr>
          <w:rStyle w:val="FootnoteAnchor"/>
          <w:rtl w:val="true"/>
        </w:rPr>
        <w:footnoteReference w:id="1077"/>
      </w:r>
      <w:r>
        <w:rPr>
          <w:rFonts w:ascii="Amiri" w:hAnsi="Amiri" w:eastAsia="Amiri" w:cs="Amiri"/>
          <w:color w:val="111111"/>
          <w:sz w:val="28"/>
          <w:sz w:val="28"/>
          <w:szCs w:val="28"/>
          <w:rtl w:val="true"/>
          <w:lang w:bidi="ar-SA"/>
        </w:rPr>
        <w:t xml:space="preserve">إنّما يتناول حقيقة الحيّ،أمّا الميّت فإنّما يطلق عليه بالمجاز </w:t>
      </w:r>
      <w:bookmarkStart w:id="635" w:name="pg12672_159922"/>
    </w:p>
    <w:p>
      <w:pPr>
        <w:pStyle w:val="BookText"/>
        <w:rPr/>
      </w:pPr>
      <w:bookmarkEnd w:id="635"/>
      <w:r>
        <w:rPr>
          <w:rFonts w:ascii="Amiri" w:hAnsi="Amiri" w:eastAsia="Amiri" w:cs="Amiri"/>
          <w:color w:val="111111"/>
          <w:sz w:val="28"/>
          <w:sz w:val="28"/>
          <w:szCs w:val="28"/>
          <w:rtl w:val="true"/>
          <w:lang w:bidi="ar-SA"/>
        </w:rPr>
        <w:t xml:space="preserve">و يطهر بالغسل إن كان مسلما،أمّا الكافر فلا </w:t>
      </w:r>
      <w:r>
        <w:rPr>
          <w:rFonts w:eastAsia="Amiri" w:cs="Amiri" w:ascii="Amiri" w:hAnsi="Amiri"/>
          <w:color w:val="111111"/>
          <w:sz w:val="28"/>
          <w:szCs w:val="28"/>
          <w:rtl w:val="true"/>
          <w:lang w:bidi="ar-SA"/>
        </w:rPr>
        <w:t>.</w:t>
      </w:r>
    </w:p>
    <w:p>
      <w:pPr>
        <w:pStyle w:val="Heading6"/>
        <w:numPr>
          <w:ilvl w:val="5"/>
          <w:numId w:val="1"/>
        </w:numPr>
        <w:rPr/>
      </w:pPr>
      <w:bookmarkStart w:id="636" w:name="__RefHeading___Toc747121_222507752"/>
      <w:bookmarkStart w:id="637" w:name="_Toc251"/>
      <w:bookmarkEnd w:id="636"/>
      <w:r>
        <w:rPr>
          <w:rtl w:val="true"/>
        </w:rPr>
        <w:t>الرّابع</w:t>
      </w:r>
      <w:r>
        <w:rPr>
          <w:rtl w:val="true"/>
        </w:rPr>
        <w:t>:</w:t>
      </w:r>
      <w:r>
        <w:rPr>
          <w:rtl w:val="true"/>
        </w:rPr>
        <w:t>الصّيد المحلّل إذا وقع في الماء القليل مجروحا فمات فيه</w:t>
      </w:r>
      <w:bookmarkEnd w:id="637"/>
    </w:p>
    <w:p>
      <w:pPr>
        <w:pStyle w:val="BookText"/>
        <w:rPr/>
      </w:pPr>
      <w:r>
        <w:rPr>
          <w:rFonts w:ascii="Amiri" w:hAnsi="Amiri" w:eastAsia="Amiri" w:cs="Amiri"/>
          <w:color w:val="111111"/>
          <w:sz w:val="28"/>
          <w:sz w:val="28"/>
          <w:szCs w:val="28"/>
          <w:rtl w:val="true"/>
          <w:lang w:bidi="ar-SA"/>
        </w:rPr>
        <w:t>،فإن كان الجرح قاتلا فهو حلال و الماء طاهر،و إلاّ فلا فيهما سواء اشتبه أو علم استناد الموت إلى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مع اشتباه موته بالماء و عدمه يكون الأصل طهارة الماء و حرمة الحيوان،فيحكم بطهارة الماء و تحريم الحيوان </w:t>
      </w:r>
      <w:r>
        <w:rPr>
          <w:rStyle w:val="FootnoteAnchor"/>
          <w:rtl w:val="true"/>
        </w:rPr>
        <w:footnoteReference w:id="1078"/>
      </w:r>
      <w:r>
        <w:rPr>
          <w:rFonts w:ascii="Amiri" w:hAnsi="Amiri" w:eastAsia="Amiri" w:cs="Amiri"/>
          <w:color w:val="111111"/>
          <w:sz w:val="28"/>
          <w:sz w:val="28"/>
          <w:szCs w:val="28"/>
          <w:rtl w:val="true"/>
          <w:lang w:bidi="ar-SA"/>
        </w:rPr>
        <w:t xml:space="preserve">عملا بالأصلين </w:t>
      </w:r>
      <w:r>
        <w:rPr>
          <w:rStyle w:val="FootnoteAnchor"/>
          <w:rtl w:val="true"/>
        </w:rPr>
        <w:footnoteReference w:id="1079"/>
      </w:r>
      <w:r>
        <w:rPr>
          <w:rFonts w:ascii="Amiri" w:hAnsi="Amiri" w:eastAsia="Amiri" w:cs="Amiri"/>
          <w:color w:val="111111"/>
          <w:sz w:val="28"/>
          <w:sz w:val="28"/>
          <w:szCs w:val="28"/>
          <w:rtl w:val="true"/>
          <w:lang w:bidi="ar-SA"/>
        </w:rPr>
        <w:t xml:space="preserve">،و اخترناه نحن في بعض كتبنا </w:t>
      </w:r>
      <w:r>
        <w:rPr>
          <w:rStyle w:val="FootnoteAnchor"/>
          <w:rtl w:val="true"/>
        </w:rPr>
        <w:footnoteReference w:id="1080"/>
      </w:r>
      <w:r>
        <w:rPr>
          <w:rFonts w:ascii="Amiri" w:hAnsi="Amiri" w:eastAsia="Amiri" w:cs="Amiri"/>
          <w:color w:val="111111"/>
          <w:sz w:val="28"/>
          <w:sz w:val="28"/>
          <w:szCs w:val="28"/>
          <w:rtl w:val="true"/>
          <w:lang w:bidi="ar-SA"/>
        </w:rPr>
        <w:t xml:space="preserve">،و ليس بجيّد، لأنّ العمل بالأصلين إنّما يصحّ مع الإمكان و هو هنا منتف،فإنّه كما يستحيل اجتماع الشّيء مع نقيضه،كذا يستحيل اجتماعه مع نقيض لازمه،و موت الحيوان يستلزم نجاسة الماء،فلا يجامع الحكم بطهارته كما لا يجامع تذكيته </w:t>
      </w:r>
      <w:r>
        <w:rPr>
          <w:rFonts w:eastAsia="Amiri" w:cs="Amiri" w:ascii="Amiri" w:hAnsi="Amiri"/>
          <w:color w:val="111111"/>
          <w:sz w:val="28"/>
          <w:szCs w:val="28"/>
          <w:rtl w:val="true"/>
          <w:lang w:bidi="ar-SA"/>
        </w:rPr>
        <w:t>.</w:t>
      </w:r>
    </w:p>
    <w:p>
      <w:pPr>
        <w:pStyle w:val="Heading6"/>
        <w:numPr>
          <w:ilvl w:val="5"/>
          <w:numId w:val="1"/>
        </w:numPr>
        <w:rPr/>
      </w:pPr>
      <w:bookmarkStart w:id="638" w:name="__RefHeading___Toc747123_222507752"/>
      <w:bookmarkStart w:id="639" w:name="_Toc252"/>
      <w:bookmarkEnd w:id="638"/>
      <w:r>
        <w:rPr>
          <w:rtl w:val="true"/>
        </w:rPr>
        <w:t>الخامس</w:t>
      </w:r>
      <w:r>
        <w:rPr>
          <w:rtl w:val="true"/>
        </w:rPr>
        <w:t>:</w:t>
      </w:r>
      <w:r>
        <w:rPr>
          <w:rtl w:val="true"/>
        </w:rPr>
        <w:t>لو لاقى الحيوان الميّت أو غيره من النّجاسات ما زاد على الكرّ من الماء</w:t>
      </w:r>
      <w:bookmarkEnd w:id="639"/>
    </w:p>
    <w:p>
      <w:pPr>
        <w:pStyle w:val="BookText"/>
        <w:rPr/>
      </w:pPr>
      <w:r>
        <w:rPr>
          <w:rFonts w:ascii="IRNazanin" w:hAnsi="IRNazanin" w:eastAsia="IRNazanin"/>
          <w:color w:val="111111"/>
          <w:sz w:val="28"/>
          <w:sz w:val="28"/>
          <w:szCs w:val="28"/>
          <w:rtl w:val="true"/>
          <w:lang w:bidi="fa-IR"/>
        </w:rPr>
        <w:t>الجامد</w:t>
      </w:r>
    </w:p>
    <w:p>
      <w:pPr>
        <w:pStyle w:val="BookText"/>
        <w:rPr/>
      </w:pPr>
      <w:r>
        <w:rPr>
          <w:rFonts w:ascii="Amiri" w:hAnsi="Amiri" w:eastAsia="Amiri" w:cs="Amiri"/>
          <w:color w:val="111111"/>
          <w:sz w:val="28"/>
          <w:sz w:val="28"/>
          <w:szCs w:val="28"/>
          <w:rtl w:val="true"/>
          <w:lang w:bidi="ar-SA"/>
        </w:rPr>
        <w:t>،الأقرب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التّنجيس ما لم يغيّره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الماء قدر كرّ،لم ينجسه شيء</w:t>
      </w:r>
      <w:r>
        <w:rPr>
          <w:rFonts w:eastAsia="Amiri" w:cs="Amiri" w:ascii="Amiri" w:hAnsi="Amiri"/>
          <w:color w:val="111111"/>
          <w:sz w:val="28"/>
          <w:szCs w:val="28"/>
          <w:rtl w:val="true"/>
          <w:lang w:bidi="ar-SA"/>
        </w:rPr>
        <w:t xml:space="preserve">) </w:t>
      </w:r>
      <w:r>
        <w:rPr>
          <w:rStyle w:val="FootnoteAnchor"/>
          <w:rtl w:val="true"/>
        </w:rPr>
        <w:footnoteReference w:id="1081"/>
      </w:r>
      <w:r>
        <w:rPr>
          <w:rFonts w:ascii="Amiri" w:hAnsi="Amiri" w:eastAsia="Amiri" w:cs="Amiri"/>
          <w:color w:val="111111"/>
          <w:sz w:val="28"/>
          <w:sz w:val="28"/>
          <w:szCs w:val="28"/>
          <w:rtl w:val="true"/>
          <w:lang w:bidi="ar-SA"/>
        </w:rPr>
        <w:t>و بالتّمجيد لم يخرج عن حقيقته،بل ذلك ممّا يؤكّد ثبوت مقتضي حقيقته،فإنّ الآثار الصّادرة عن الحقيقة كلّما قويت،كانت آكد في ثبوتها،و البرودة من معلولات طبيعة الماء،و هي تقتضي الجمود</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كان ناقصا عن الكرّ،هل يكون حكمه حكم الجامدات بحيث يلقى النّجاسة و ما يكتنفها أم يدخل تحت عموم التّنجيس للقليل؟الأقرب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الأوّل،لأنّه بجموده يمنع من شياع النّجاسة فيه،فلا يتعدّى موضع الملاقاة بخلاف الماء القليل الّذي تسري النّجاسة إلى جميع أجزائه</w:t>
      </w:r>
      <w:r>
        <w:rPr>
          <w:rFonts w:eastAsia="Amiri" w:cs="Amiri" w:ascii="Amiri" w:hAnsi="Amiri"/>
          <w:color w:val="111111"/>
          <w:sz w:val="28"/>
          <w:szCs w:val="28"/>
          <w:rtl w:val="true"/>
          <w:lang w:bidi="ar-SA"/>
        </w:rPr>
        <w:t xml:space="preserve">. </w:t>
      </w:r>
      <w:bookmarkStart w:id="640" w:name="pg12672_159923"/>
    </w:p>
    <w:p>
      <w:pPr>
        <w:pStyle w:val="Heading6"/>
        <w:numPr>
          <w:ilvl w:val="5"/>
          <w:numId w:val="1"/>
        </w:numPr>
        <w:rPr/>
      </w:pPr>
      <w:bookmarkStart w:id="641" w:name="__RefHeading___Toc747125_222507752"/>
      <w:bookmarkStart w:id="642" w:name="_Toc253"/>
      <w:bookmarkEnd w:id="640"/>
      <w:bookmarkEnd w:id="641"/>
      <w:r>
        <w:rPr>
          <w:rtl w:val="true"/>
        </w:rPr>
        <w:t>مسألة</w:t>
      </w:r>
      <w:r>
        <w:rPr>
          <w:rtl w:val="true"/>
        </w:rPr>
        <w:t>:</w:t>
      </w:r>
      <w:r>
        <w:rPr>
          <w:rtl w:val="true"/>
        </w:rPr>
        <w:t>هل يجوز الطّهارة بالثّلج؟</w:t>
      </w:r>
      <w:bookmarkEnd w:id="642"/>
    </w:p>
    <w:p>
      <w:pPr>
        <w:pStyle w:val="BookText"/>
        <w:rPr/>
      </w:pP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جوازه بشرط أن يكون ما يتحلّل منه جاريا على العضو بحيث يسمّى غاسلا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الشّيخ اقتصر في الخلاف على الدّهن </w:t>
      </w:r>
      <w:r>
        <w:rPr>
          <w:rStyle w:val="FootnoteAnchor"/>
          <w:rtl w:val="true"/>
        </w:rPr>
        <w:footnoteReference w:id="1082"/>
      </w:r>
      <w:r>
        <w:rPr>
          <w:rFonts w:ascii="Amiri" w:hAnsi="Amiri" w:eastAsia="Amiri" w:cs="Amiri"/>
          <w:color w:val="111111"/>
          <w:sz w:val="28"/>
          <w:sz w:val="28"/>
          <w:szCs w:val="28"/>
          <w:rtl w:val="true"/>
          <w:lang w:bidi="ar-SA"/>
        </w:rPr>
        <w:t>،فإن كان المقصود الغسل الخفيف بحيث ينتقل جزء من الماء على جزئين من البدن،فهو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محمّد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يجنب في السّفر لا يجد إلاّ الثّلج،قال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يغتسل بالثّلج أو ماء النّهر</w:t>
      </w:r>
      <w:r>
        <w:rPr>
          <w:rFonts w:eastAsia="Amiri" w:cs="Amiri" w:ascii="Amiri" w:hAnsi="Amiri"/>
          <w:color w:val="111111"/>
          <w:sz w:val="28"/>
          <w:szCs w:val="28"/>
          <w:rtl w:val="true"/>
          <w:lang w:bidi="ar-SA"/>
        </w:rPr>
        <w:t xml:space="preserve">)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روى،عن معاوية بن شريح،قال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رجل أبا عبد اللّه عليه السّلام و أنا عنده،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يصيبنا الدّمق </w:t>
      </w:r>
      <w:r>
        <w:rPr>
          <w:rStyle w:val="FootnoteAnchor"/>
          <w:rtl w:val="true"/>
        </w:rPr>
        <w:footnoteReference w:id="1084"/>
      </w:r>
      <w:r>
        <w:rPr>
          <w:rFonts w:ascii="Amiri" w:hAnsi="Amiri" w:eastAsia="Amiri" w:cs="Amiri"/>
          <w:color w:val="111111"/>
          <w:sz w:val="28"/>
          <w:sz w:val="28"/>
          <w:szCs w:val="28"/>
          <w:rtl w:val="true"/>
          <w:lang w:bidi="ar-SA"/>
        </w:rPr>
        <w:t>و الثّلج و نريد أن نتوضّأ فلا نجد إلاّ ماء جامدا،فكيف أتوضّأ، أدلك به جلدي؟قال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معاوية لا أعرفه،و في طريق هذه الرّواية عثمان بن عيسى،و هو واقفيّ،فالتّعويل على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الشّيخ في الحسن،عن عليّ بن جعفر،عن أخيه موسى عليه السّلام،قال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الجنب أو على غير وضوء لا يكون معه ماء و هو يصيب ثلجا و صعيدا،أيّهما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التّيمّم،أم يمسح بالثّلج وجهه؟قال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الثّلج إذا بلّ رأسه و جسده أفضل،فإن لم يقدر على أن يغتسل به،فليتيمّم</w:t>
      </w:r>
      <w:r>
        <w:rPr>
          <w:rFonts w:eastAsia="Amiri" w:cs="Amiri" w:ascii="Amiri" w:hAnsi="Amiri"/>
          <w:color w:val="111111"/>
          <w:sz w:val="28"/>
          <w:szCs w:val="28"/>
          <w:rtl w:val="true"/>
          <w:lang w:bidi="ar-SA"/>
        </w:rPr>
        <w:t xml:space="preserve">) </w:t>
      </w:r>
      <w:r>
        <w:rPr>
          <w:rStyle w:val="FootnoteAnchor"/>
          <w:rtl w:val="true"/>
        </w:rPr>
        <w:footnoteReference w:id="1086"/>
      </w:r>
      <w:r>
        <w:rPr>
          <w:rFonts w:ascii="Amiri" w:hAnsi="Amiri" w:eastAsia="Amiri" w:cs="Amiri"/>
          <w:color w:val="111111"/>
          <w:sz w:val="28"/>
          <w:sz w:val="28"/>
          <w:szCs w:val="28"/>
          <w:rtl w:val="true"/>
          <w:lang w:bidi="ar-SA"/>
        </w:rPr>
        <w:t>أمره بالتّيمّم مع عدم القدرة،فينتفي عند وجودها ضرورة كونه شرطا،و لأنّه فعل حقيقة الغسل،فيكون ممتثلا للأمر بالاغتسال</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روى محمّد بن يعقوب في الصّحيح،عن محمّد بن مسلم،عن أبي عبد اللّه </w:t>
      </w:r>
      <w:bookmarkStart w:id="643" w:name="pg12672_159924"/>
    </w:p>
    <w:p>
      <w:pPr>
        <w:pStyle w:val="BookText"/>
        <w:rPr/>
      </w:pPr>
      <w:bookmarkEnd w:id="643"/>
      <w:r>
        <w:rPr>
          <w:rFonts w:ascii="Amiri" w:hAnsi="Amiri" w:eastAsia="Amiri" w:cs="Amiri"/>
          <w:color w:val="111111"/>
          <w:sz w:val="28"/>
          <w:sz w:val="28"/>
          <w:szCs w:val="28"/>
          <w:rtl w:val="true"/>
          <w:lang w:bidi="ar-SA"/>
        </w:rPr>
        <w:t>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أجنب و لم يجد إلاّ الثّلج،أو ماء جامدا،فقال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بمنزلة الضّرورة،يتيمّم،و لا أرى أن يعود إلى هذه الأرض الّتي توبق دينه</w:t>
      </w:r>
      <w:r>
        <w:rPr>
          <w:rFonts w:eastAsia="Amiri" w:cs="Amiri" w:ascii="Amiri" w:hAnsi="Amiri"/>
          <w:color w:val="111111"/>
          <w:sz w:val="28"/>
          <w:szCs w:val="28"/>
          <w:rtl w:val="true"/>
          <w:lang w:bidi="ar-SA"/>
        </w:rPr>
        <w:t xml:space="preserve">)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جاز الاغتسال به لما جاز التّيمّم،و لما </w:t>
      </w:r>
      <w:r>
        <w:rPr>
          <w:rStyle w:val="FootnoteAnchor"/>
          <w:rtl w:val="true"/>
        </w:rPr>
        <w:footnoteReference w:id="1088"/>
      </w:r>
      <w:r>
        <w:rPr>
          <w:rFonts w:ascii="Amiri" w:hAnsi="Amiri" w:eastAsia="Amiri" w:cs="Amiri"/>
          <w:color w:val="111111"/>
          <w:sz w:val="28"/>
          <w:sz w:val="28"/>
          <w:szCs w:val="28"/>
          <w:rtl w:val="true"/>
          <w:lang w:bidi="ar-SA"/>
        </w:rPr>
        <w:t xml:space="preserve">حكم عليه السّلام بكونه بمنزلة الضّرورة،و لما </w:t>
      </w:r>
      <w:r>
        <w:rPr>
          <w:rStyle w:val="FootnoteAnchor"/>
          <w:rtl w:val="true"/>
        </w:rPr>
        <w:footnoteReference w:id="1089"/>
      </w:r>
      <w:r>
        <w:rPr>
          <w:rFonts w:ascii="IRNazanin" w:hAnsi="IRNazanin" w:eastAsia="IRNazanin"/>
          <w:color w:val="111111"/>
          <w:sz w:val="28"/>
          <w:sz w:val="28"/>
          <w:szCs w:val="28"/>
          <w:rtl w:val="true"/>
          <w:lang w:bidi="fa-IR"/>
        </w:rPr>
        <w:t xml:space="preserve">نهاه عن العود إلى هذه الأرض،و لما </w:t>
      </w:r>
      <w:r>
        <w:rPr>
          <w:rStyle w:val="FootnoteAnchor"/>
          <w:rtl w:val="true"/>
        </w:rPr>
        <w:footnoteReference w:id="1090"/>
      </w:r>
      <w:r>
        <w:rPr>
          <w:rFonts w:ascii="Amiri" w:hAnsi="Amiri" w:eastAsia="Amiri" w:cs="Amiri"/>
          <w:color w:val="111111"/>
          <w:sz w:val="28"/>
          <w:sz w:val="28"/>
          <w:szCs w:val="28"/>
          <w:rtl w:val="true"/>
          <w:lang w:bidi="ar-SA"/>
        </w:rPr>
        <w:t xml:space="preserve">حكم بأنّها موبقة لدينه، و التّوالي كلّها باطلة،و قد روى الشّيخ أيضا هذه الرّواية </w:t>
      </w:r>
      <w:r>
        <w:rPr>
          <w:rStyle w:val="FootnoteAnchor"/>
          <w:rtl w:val="true"/>
        </w:rPr>
        <w:footnoteReference w:id="1091"/>
      </w:r>
      <w:r>
        <w:rPr>
          <w:rFonts w:ascii="Amiri" w:hAnsi="Amiri" w:eastAsia="Amiri" w:cs="Amiri"/>
          <w:color w:val="111111"/>
          <w:sz w:val="28"/>
          <w:sz w:val="28"/>
          <w:szCs w:val="28"/>
          <w:rtl w:val="true"/>
          <w:lang w:bidi="ar-SA"/>
        </w:rPr>
        <w:t>،و لأنّه لو جاز الاغتسال بالثّلج أو الوضوء لما خصّص الإمامان عليهما السّلام في الحديثين اللّذين استدللتم بهما بعدم وجدان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الحديث الّذي ذكرتموه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فإنّا نحمله على من لم يتمكّن من استعمال الثّلج للبرد،لأنّ الغالب في تلك الأرض </w:t>
      </w:r>
      <w:r>
        <w:rPr>
          <w:rStyle w:val="FootnoteAnchor"/>
          <w:rtl w:val="true"/>
        </w:rPr>
        <w:footnoteReference w:id="1092"/>
      </w:r>
      <w:r>
        <w:rPr>
          <w:rFonts w:ascii="Amiri" w:hAnsi="Amiri" w:eastAsia="Amiri" w:cs="Amiri"/>
          <w:color w:val="111111"/>
          <w:sz w:val="28"/>
          <w:sz w:val="28"/>
          <w:szCs w:val="28"/>
          <w:rtl w:val="true"/>
          <w:lang w:bidi="ar-SA"/>
        </w:rPr>
        <w:t>الّتي لا يوجد فيها إلاّ الثّلج أو الجمد،شدّة البرودة المانعة من الملامسة،فيحمل عليه لظهوره،و جمعا بين الأدلّة،و أمّا التّخصيص فممنوع،فإنّه قد وقع الاتّفاق من المحقّقين على انّ الجواب عن صورة خاصّة لا يقتضي التّخصيص كما لو سئل عليه السّلام عن السّائمة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زكاة،مع وقوع الخلاف منهم على الدّلالة على التّخصيص إذا لم يكن جوابا</w:t>
      </w:r>
      <w:r>
        <w:rPr>
          <w:rFonts w:eastAsia="Amiri" w:cs="Amiri" w:ascii="Amiri" w:hAnsi="Amiri"/>
          <w:color w:val="111111"/>
          <w:sz w:val="28"/>
          <w:szCs w:val="28"/>
          <w:rtl w:val="true"/>
          <w:lang w:bidi="ar-SA"/>
        </w:rPr>
        <w:t>.</w:t>
      </w:r>
    </w:p>
    <w:p>
      <w:pPr>
        <w:pStyle w:val="Heading6"/>
        <w:numPr>
          <w:ilvl w:val="5"/>
          <w:numId w:val="1"/>
        </w:numPr>
        <w:rPr/>
      </w:pPr>
      <w:bookmarkStart w:id="644" w:name="__RefHeading___Toc747127_222507752"/>
      <w:bookmarkStart w:id="645" w:name="_Toc254"/>
      <w:bookmarkEnd w:id="644"/>
      <w:r>
        <w:rPr>
          <w:rtl w:val="true"/>
        </w:rPr>
        <w:t>فرعان</w:t>
      </w:r>
      <w:r>
        <w:rPr>
          <w:rtl w:val="true"/>
        </w:rPr>
        <w:t>:</w:t>
      </w:r>
      <w:bookmarkEnd w:id="645"/>
    </w:p>
    <w:p>
      <w:pPr>
        <w:pStyle w:val="Heading6"/>
        <w:numPr>
          <w:ilvl w:val="5"/>
          <w:numId w:val="1"/>
        </w:numPr>
        <w:rPr/>
      </w:pPr>
      <w:bookmarkStart w:id="646" w:name="__RefHeading___Toc747129_222507752"/>
      <w:bookmarkStart w:id="647" w:name="_Toc255"/>
      <w:bookmarkEnd w:id="646"/>
      <w:r>
        <w:rPr>
          <w:rtl w:val="true"/>
        </w:rPr>
        <w:t>الأوّل</w:t>
      </w:r>
      <w:r>
        <w:rPr>
          <w:rtl w:val="true"/>
        </w:rPr>
        <w:t>:</w:t>
      </w:r>
      <w:r>
        <w:rPr>
          <w:rtl w:val="true"/>
        </w:rPr>
        <w:t>ظهر من هذا جواز استعمال الثّلج مع وجود الماء</w:t>
      </w:r>
      <w:bookmarkEnd w:id="647"/>
    </w:p>
    <w:p>
      <w:pPr>
        <w:pStyle w:val="BookText"/>
        <w:rPr/>
      </w:pPr>
      <w:r>
        <w:rPr>
          <w:rFonts w:ascii="Amiri" w:hAnsi="Amiri" w:eastAsia="Amiri" w:cs="Amiri"/>
          <w:color w:val="111111"/>
          <w:sz w:val="28"/>
          <w:sz w:val="28"/>
          <w:szCs w:val="28"/>
          <w:rtl w:val="true"/>
          <w:lang w:bidi="ar-SA"/>
        </w:rPr>
        <w:t xml:space="preserve">بشرط الجريان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w:t>
      </w:r>
    </w:p>
    <w:p>
      <w:pPr>
        <w:pStyle w:val="Heading6"/>
        <w:numPr>
          <w:ilvl w:val="5"/>
          <w:numId w:val="1"/>
        </w:numPr>
        <w:rPr/>
      </w:pPr>
      <w:bookmarkStart w:id="648" w:name="__RefHeading___Toc747131_222507752"/>
      <w:bookmarkStart w:id="649" w:name="_Toc256"/>
      <w:bookmarkEnd w:id="648"/>
      <w:r>
        <w:rPr>
          <w:rtl w:val="true"/>
        </w:rPr>
        <w:t>الثّاني</w:t>
      </w:r>
      <w:r>
        <w:rPr>
          <w:rtl w:val="true"/>
        </w:rPr>
        <w:t>:</w:t>
      </w:r>
      <w:r>
        <w:rPr>
          <w:rtl w:val="true"/>
        </w:rPr>
        <w:t>لو وقع في الماء القليل المائع الملاصق لما زاد على الكرّ من الثّلج نجاسة</w:t>
      </w:r>
      <w:bookmarkEnd w:id="649"/>
    </w:p>
    <w:p>
      <w:pPr>
        <w:pStyle w:val="BookText"/>
        <w:rPr/>
      </w:pPr>
      <w:r>
        <w:rPr>
          <w:rFonts w:ascii="Amiri" w:hAnsi="Amiri" w:eastAsia="Amiri" w:cs="Amiri"/>
          <w:color w:val="111111"/>
          <w:sz w:val="28"/>
          <w:sz w:val="28"/>
          <w:szCs w:val="28"/>
          <w:rtl w:val="true"/>
          <w:lang w:bidi="ar-SA"/>
        </w:rPr>
        <w:t>ففي نجاسته نظر،فإنّه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متّصل بالكرّ،فلا يقبل التّنجيس،و يمكن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ماء قليل متّصل بالجامد اتّصال مماسّة لا ممازجة و اتّحاد،فأشبه المتّصل بغير الماء في انفعاله عن النّجاسة لقلّته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650" w:name="__RefHeading___Toc747133_222507752"/>
      <w:bookmarkStart w:id="651" w:name="_Toc257"/>
      <w:bookmarkEnd w:id="650"/>
      <w:r>
        <w:rPr>
          <w:rtl w:val="true"/>
        </w:rPr>
        <w:t>مسألة</w:t>
      </w:r>
      <w:r>
        <w:rPr>
          <w:rtl w:val="true"/>
        </w:rPr>
        <w:t>:</w:t>
      </w:r>
      <w:r>
        <w:rPr>
          <w:rtl w:val="true"/>
        </w:rPr>
        <w:t>إذا كان معه إناءان أحدهما نجس بيقين و اشتبها،اجتنب ماءهما وجوبا</w:t>
      </w:r>
      <w:bookmarkEnd w:id="651"/>
    </w:p>
    <w:p>
      <w:pPr>
        <w:pStyle w:val="BookText"/>
        <w:rPr/>
      </w:pPr>
      <w:r>
        <w:rPr>
          <w:rFonts w:ascii="Amiri" w:hAnsi="Amiri" w:eastAsia="Amiri" w:cs="Amiri"/>
          <w:color w:val="111111"/>
          <w:sz w:val="28"/>
          <w:sz w:val="28"/>
          <w:szCs w:val="28"/>
          <w:rtl w:val="true"/>
          <w:lang w:bidi="ar-SA"/>
        </w:rPr>
        <w:t>و تيمّم سواء زاد عدد الطّاهر أو نقص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هل يجب الإراقة؟جزم به الشّيخ في النّهاية،و ابن بابويه في كتابه،و المفيد في المقنعة </w:t>
      </w:r>
      <w:r>
        <w:rPr>
          <w:rStyle w:val="FootnoteAnchor"/>
          <w:rtl w:val="true"/>
        </w:rPr>
        <w:footnoteReference w:id="10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الوجوب،و عن أحمد روايتان في الإراقة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التّحرّي إن كانت نجاسة ظاهريّة </w:t>
      </w:r>
      <w:r>
        <w:rPr>
          <w:rStyle w:val="FootnoteAnchor"/>
          <w:rtl w:val="true"/>
        </w:rPr>
        <w:footnoteReference w:id="10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جوّز أبو حنيفة التّحرّي بشرط غلبة الطّاهر،أمّا مع المساواة و الأقليّة فلا </w:t>
      </w:r>
      <w:r>
        <w:rPr>
          <w:rStyle w:val="FootnoteAnchor"/>
          <w:rtl w:val="true"/>
        </w:rPr>
        <w:footnoteReference w:id="10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إحدى الرّوايتين عن أحمد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اخترناه،مذهب المزنيّ </w:t>
      </w:r>
      <w:r>
        <w:rPr>
          <w:rStyle w:val="FootnoteAnchor"/>
          <w:rtl w:val="true"/>
        </w:rPr>
        <w:footnoteReference w:id="1098"/>
      </w:r>
      <w:r>
        <w:rPr>
          <w:rFonts w:ascii="Amiri" w:hAnsi="Amiri" w:eastAsia="Amiri" w:cs="Amiri"/>
          <w:color w:val="111111"/>
          <w:sz w:val="28"/>
          <w:sz w:val="28"/>
          <w:szCs w:val="28"/>
          <w:rtl w:val="true"/>
          <w:lang w:bidi="ar-SA"/>
        </w:rPr>
        <w:t xml:space="preserve">،و أبي ثور،و أحمد في إحدى الرّوايتين،و هو أيضا مذهب أكثر الصّحابة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الماجشون و محمّد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مسلمة</w:t>
      </w:r>
      <w:r>
        <w:rPr>
          <w:rFonts w:eastAsia="Amiri" w:cs="Amiri" w:ascii="Amiri" w:hAnsi="Amiri"/>
          <w:color w:val="111111"/>
          <w:sz w:val="28"/>
          <w:szCs w:val="28"/>
          <w:rtl w:val="true"/>
          <w:lang w:bidi="ar-SA"/>
        </w:rPr>
        <w:t xml:space="preserve">] </w:t>
      </w:r>
      <w:r>
        <w:rPr>
          <w:rStyle w:val="FootnoteAnchor"/>
          <w:rtl w:val="true"/>
        </w:rPr>
        <w:footnoteReference w:id="11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يتحرّى و يتوضّأ بكلّ واحد منهما و يصلّي بعد أن يغسل بالثّاني ما أصابه من الأوّل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رجل معه إناءان فيهما ماء،وقع في أحدهما قذر لا يدري أيّهما هو و ليس يقدر على ماء غيره؟قال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يهريقهما جميعا و يتيمّم</w:t>
      </w:r>
      <w:r>
        <w:rPr>
          <w:rFonts w:eastAsia="Amiri" w:cs="Amiri" w:ascii="Amiri" w:hAnsi="Amiri"/>
          <w:color w:val="111111"/>
          <w:sz w:val="28"/>
          <w:szCs w:val="28"/>
          <w:rtl w:val="true"/>
          <w:lang w:bidi="ar-SA"/>
        </w:rPr>
        <w:t xml:space="preserve">)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سماعة،قال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رجل معه إناءان فيهما </w:t>
      </w:r>
    </w:p>
    <w:p>
      <w:pPr>
        <w:pStyle w:val="BookText"/>
        <w:rPr/>
      </w:pPr>
      <w:r>
        <w:rPr>
          <w:rFonts w:ascii="Amiri" w:hAnsi="Amiri" w:eastAsia="Amiri" w:cs="Amiri"/>
          <w:color w:val="111111"/>
          <w:sz w:val="28"/>
          <w:sz w:val="28"/>
          <w:szCs w:val="28"/>
          <w:rtl w:val="true"/>
          <w:lang w:bidi="ar-SA"/>
        </w:rPr>
        <w:t>ماء،وقع في أحدهما قذر لا يدري أيّهما هو و ليس يقدر على ماء غيره؟قال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يهريقهما جميعا و يتيمّم</w:t>
      </w:r>
      <w:r>
        <w:rPr>
          <w:rFonts w:eastAsia="Amiri" w:cs="Amiri" w:ascii="Amiri" w:hAnsi="Amiri"/>
          <w:color w:val="111111"/>
          <w:sz w:val="28"/>
          <w:szCs w:val="28"/>
          <w:rtl w:val="true"/>
          <w:lang w:bidi="ar-SA"/>
        </w:rPr>
        <w:t xml:space="preserve">)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سماعة و عمّار و إن كانا ضعيفين،إلاّ انّ الأصحاب تلقّت هذين الحديثين بالقبول، 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شهدوا لهما بالثّقة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الصّلاة بالماء النّجس حرام،فالإقدام على ماء لا يؤمن معه أن يكون نجسا إقدام على ما لا يؤمن معه فعل الحرام،فيكون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متيقّن لوجوب الصّلاة،فلا يزول إلاّ بمثله،لما رواه الشّيخ في الصّحيح،عن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ينقض اليقين أبدا بالشّكّ،و لكن ينقضه بيقين آخر</w:t>
      </w:r>
      <w:r>
        <w:rPr>
          <w:rFonts w:eastAsia="Amiri" w:cs="Amiri" w:ascii="Amiri" w:hAnsi="Amiri"/>
          <w:color w:val="111111"/>
          <w:sz w:val="28"/>
          <w:szCs w:val="28"/>
          <w:rtl w:val="true"/>
          <w:lang w:bidi="ar-SA"/>
        </w:rPr>
        <w:t xml:space="preserve">)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لو جاز له الاجتهاد،لجاز في الماء و البول و الماء المضاف كماء الورد،و لا يجوز هنا إجماعا،فلا يجوز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اعتذر أصحاب الشّافعيّ بأنّ البول لا أصل له في الطّهارة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الماء قد زال عنه أصل الطّهارة،فلم يبق للأصل أثر،و لأنّ البول قد كان ماء،فله أصل في الطّهارة،و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جاز التّحرّي،لجاز التّحرّي في الميتة،و المذكّاة، و المحرم،و الأجنبيّة،و التّالي باطل إجماعا،فكذا المقدّم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الملازمة في البابين انّ الاجتهاد طريق صالح لتعيّن المجتنب عنه من غيره، فالتّخصيص تحكّم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جاز الاجتهاد لما جاز الاجتهاد،أو لزم جواز استعمال متيقّن النّجاسة،و التّالي بقسميه باطل،فالمقدّم مثله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لو اجتهد وقت الصّبح في أحد الإناءين ثمَّ اجتهد وقت الظّهر في الآخر،فإمّا أن يعمل بالاجتهاد الثّاني أو لا،و على التّقدير الأوّل يلزم ما ذكرناه ثانيا، و على الثّاني يلزم الأوّل</w:t>
      </w:r>
      <w:r>
        <w:rPr>
          <w:rFonts w:eastAsia="Amiri" w:cs="Amiri" w:ascii="Amiri" w:hAnsi="Amiri"/>
          <w:color w:val="111111"/>
          <w:sz w:val="28"/>
          <w:szCs w:val="28"/>
          <w:rtl w:val="true"/>
          <w:lang w:bidi="ar-SA"/>
        </w:rPr>
        <w:t xml:space="preserve">. </w:t>
      </w:r>
      <w:bookmarkStart w:id="652" w:name="pg12672_159927"/>
    </w:p>
    <w:p>
      <w:pPr>
        <w:pStyle w:val="BookText"/>
        <w:rPr/>
      </w:pPr>
      <w:bookmarkEnd w:id="652"/>
      <w:r>
        <w:rPr>
          <w:rFonts w:ascii="Amiri" w:hAnsi="Amiri" w:eastAsia="Amiri" w:cs="Amiri"/>
          <w:color w:val="111111"/>
          <w:sz w:val="28"/>
          <w:sz w:val="28"/>
          <w:szCs w:val="28"/>
          <w:rtl w:val="true"/>
          <w:lang w:bidi="ar-SA"/>
        </w:rPr>
        <w:t>و أمّا بطلان قسمي التّالي فبالإجماع في الثّاني،و بالعقل الدّالّ على امتناع ما أدّى ثبوته إلى انتفائه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الشّافعيّ بأنّه شرط الصّلاة،فجاز التّحرّي من أجله كما لو اشتبهت القبلة،و لأنّ الطّهارة تؤدّي باليقين تارة و بالظّنّ اخرى،و لهذا جاز الوضوء بالماء القليل المتغيّر الّذي لا يعلم سبب تغيّره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القبلة يباح تركها حالة الضّرورة،و في السّفر في النّفل اختيارا،و لأنّ القبلة الّتي يتوجّه إليها مبنيّة على الظّنّ،و لو بان له يقين الخطأ لم يلزمه الإعادة،و المتغيّر من غير سبب يجوز الوضوء به عملا بأصالة الطّهارة و إن عارضه ظنّ النّجاسة،و هنا عارضه يقين النّجاسة،و لهذا لا يحتاج في القليل إلى التّحرّي بخلاف المتنازع</w:t>
      </w:r>
      <w:r>
        <w:rPr>
          <w:rFonts w:eastAsia="Amiri" w:cs="Amiri" w:ascii="Amiri" w:hAnsi="Amiri"/>
          <w:color w:val="111111"/>
          <w:sz w:val="28"/>
          <w:szCs w:val="28"/>
          <w:rtl w:val="true"/>
          <w:lang w:bidi="ar-SA"/>
        </w:rPr>
        <w:t>.</w:t>
      </w:r>
    </w:p>
    <w:p>
      <w:pPr>
        <w:pStyle w:val="Heading6"/>
        <w:numPr>
          <w:ilvl w:val="5"/>
          <w:numId w:val="1"/>
        </w:numPr>
        <w:rPr/>
      </w:pPr>
      <w:bookmarkStart w:id="653" w:name="__RefHeading___Toc747135_222507752"/>
      <w:bookmarkStart w:id="654" w:name="_Toc258"/>
      <w:bookmarkEnd w:id="653"/>
      <w:r>
        <w:rPr>
          <w:rtl w:val="true"/>
        </w:rPr>
        <w:t>فروع</w:t>
      </w:r>
      <w:r>
        <w:rPr>
          <w:rtl w:val="true"/>
        </w:rPr>
        <w:t>:</w:t>
      </w:r>
      <w:bookmarkEnd w:id="654"/>
    </w:p>
    <w:p>
      <w:pPr>
        <w:pStyle w:val="Heading6"/>
        <w:numPr>
          <w:ilvl w:val="5"/>
          <w:numId w:val="1"/>
        </w:numPr>
        <w:rPr/>
      </w:pPr>
      <w:bookmarkStart w:id="655" w:name="__RefHeading___Toc747137_222507752"/>
      <w:bookmarkStart w:id="656" w:name="_Toc259"/>
      <w:bookmarkEnd w:id="655"/>
      <w:r>
        <w:rPr>
          <w:rtl w:val="true"/>
        </w:rPr>
        <w:t>الأوّل</w:t>
      </w:r>
      <w:r>
        <w:rPr>
          <w:rtl w:val="true"/>
        </w:rPr>
        <w:t>:</w:t>
      </w:r>
      <w:r>
        <w:rPr>
          <w:rtl w:val="true"/>
        </w:rPr>
        <w:t>حكم ما زاد على الإناءين حكم الإناءين في المنع من التّحرّي</w:t>
      </w:r>
      <w:bookmarkEnd w:id="656"/>
    </w:p>
    <w:p>
      <w:pPr>
        <w:pStyle w:val="BookText"/>
        <w:rPr/>
      </w:pPr>
      <w:r>
        <w:rPr>
          <w:rFonts w:ascii="Amiri" w:hAnsi="Amiri" w:eastAsia="Amiri" w:cs="Amiri"/>
          <w:color w:val="111111"/>
          <w:sz w:val="28"/>
          <w:sz w:val="28"/>
          <w:szCs w:val="28"/>
          <w:rtl w:val="true"/>
          <w:lang w:bidi="ar-SA"/>
        </w:rPr>
        <w:t>سواء كان هناك أمارة أو لم يكن،و سواء كان الطّاهر هو الأكثر أو بالعكس أو تساويا،و سواء كان المشتبه بالطّاهر نجسا أو نجاسة أو ماء مضافا،و لو انقلب أحدهما لم يجز التّحرّي أيضا،لأنّه ظنّ، فلا يرفع يقين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وافقنا الشّافعيّ على عدم التّحرّي إذا كان أحد الإناءين نجاسة كالبول،لأنّه ليس له أصل في الطّهارة سواء زاد عدد الطّاهر أو لا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زاد عدد الطّاهر،جاز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الشّافعيّة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أدّى اجتهاد أحد الرّجلين إلى طهارة إناء،و الآخر إلى طهارة آخر، صلّى كلّ منهما منفردا و لا يجوز الائتمام،لأنّه معتقد فساد طهارة إمامه،فلو كانت الأواني خمسة و اجتهد فيها خمسة و استعمل كلّ ما أدّى إليه اجتهاده،فإن كان الطّاهر </w:t>
      </w:r>
      <w:bookmarkStart w:id="657" w:name="pg12672_159928"/>
    </w:p>
    <w:p>
      <w:pPr>
        <w:pStyle w:val="BookText"/>
        <w:rPr/>
      </w:pPr>
      <w:bookmarkEnd w:id="657"/>
      <w:r>
        <w:rPr>
          <w:rFonts w:ascii="Amiri" w:hAnsi="Amiri" w:eastAsia="Amiri" w:cs="Amiri"/>
          <w:color w:val="111111"/>
          <w:sz w:val="28"/>
          <w:sz w:val="28"/>
          <w:szCs w:val="28"/>
          <w:rtl w:val="true"/>
          <w:lang w:bidi="ar-SA"/>
        </w:rPr>
        <w:t>واحدا صلّى كلّ منهم منفردا،فإن صلّوا جماعة لم يصحّ،و إن كان النّجس واحدا صحّت صلاتهم جماعة،فلو صلّوا الخمس جماعة و أمّ كلّ واحد منهم في واحدة،فكلّ من صلّى إماما صحّت صلاته،و كلّ صلاة صلاّها و هو مأموم فيها صحيحة إلاّ الصّلاة الأخيرة، فإمام العشاء لا يصحّ له صلاة المغرب،لأنّه يزعم أنّه تطهّر بالماء الطّاهر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إمام الصّبح و الظّهر و العصر،فتعيّن استعماله الماء النّجس بحكم اقتدائه بمن مثله في حقّ إمام المغرب، و على الباقين إعادة صلاة العشاء لما ذكرنا </w:t>
      </w:r>
      <w:r>
        <w:rPr>
          <w:rStyle w:val="FootnoteAnchor"/>
          <w:rtl w:val="true"/>
        </w:rPr>
        <w:footnoteReference w:id="1109"/>
      </w:r>
      <w:r>
        <w:rPr>
          <w:rFonts w:ascii="Amiri" w:hAnsi="Amiri" w:eastAsia="Amiri" w:cs="Amiri"/>
          <w:color w:val="111111"/>
          <w:sz w:val="28"/>
          <w:sz w:val="28"/>
          <w:szCs w:val="28"/>
          <w:rtl w:val="true"/>
          <w:lang w:bidi="ar-SA"/>
        </w:rPr>
        <w:t xml:space="preserve">،و هذا عندنا ساقط،لأنّا نوجب التّيمّم </w:t>
      </w:r>
      <w:r>
        <w:rPr>
          <w:rFonts w:eastAsia="Amiri" w:cs="Amiri" w:ascii="Amiri" w:hAnsi="Amiri"/>
          <w:color w:val="111111"/>
          <w:sz w:val="28"/>
          <w:szCs w:val="28"/>
          <w:rtl w:val="true"/>
          <w:lang w:bidi="ar-SA"/>
        </w:rPr>
        <w:t>.</w:t>
      </w:r>
    </w:p>
    <w:p>
      <w:pPr>
        <w:pStyle w:val="Heading6"/>
        <w:numPr>
          <w:ilvl w:val="5"/>
          <w:numId w:val="1"/>
        </w:numPr>
        <w:rPr/>
      </w:pPr>
      <w:bookmarkStart w:id="658" w:name="__RefHeading___Toc747139_222507752"/>
      <w:bookmarkStart w:id="659" w:name="_Toc260"/>
      <w:bookmarkEnd w:id="658"/>
      <w:r>
        <w:rPr>
          <w:rtl w:val="true"/>
        </w:rPr>
        <w:t>الثّاني</w:t>
      </w:r>
      <w:r>
        <w:rPr>
          <w:rtl w:val="true"/>
        </w:rPr>
        <w:t>:</w:t>
      </w:r>
      <w:r>
        <w:rPr>
          <w:rtl w:val="true"/>
        </w:rPr>
        <w:t>لو كان أحدهما متيقّن الطّهارة و الآخر مشكوك النّجاسة</w:t>
      </w:r>
      <w:bookmarkEnd w:id="659"/>
    </w:p>
    <w:p>
      <w:pPr>
        <w:pStyle w:val="BookText"/>
        <w:rPr/>
      </w:pPr>
      <w:r>
        <w:rPr>
          <w:rFonts w:ascii="Amiri" w:hAnsi="Amiri" w:eastAsia="Amiri" w:cs="Amiri"/>
          <w:color w:val="111111"/>
          <w:sz w:val="28"/>
          <w:sz w:val="28"/>
          <w:szCs w:val="28"/>
          <w:rtl w:val="true"/>
          <w:lang w:bidi="ar-SA"/>
        </w:rPr>
        <w:t xml:space="preserve">كما لو انقلب أحد المشتبهين ثمَّ اشتبه الباقي بمتيقّن الطّهارة،و كذا لو اشتبه الباقي بمتيقّن النّجاسة وجب الاجتناب </w:t>
      </w:r>
      <w:r>
        <w:rPr>
          <w:rFonts w:eastAsia="Amiri" w:cs="Amiri" w:ascii="Amiri" w:hAnsi="Amiri"/>
          <w:color w:val="111111"/>
          <w:sz w:val="28"/>
          <w:szCs w:val="28"/>
          <w:rtl w:val="true"/>
          <w:lang w:bidi="ar-SA"/>
        </w:rPr>
        <w:t>.</w:t>
      </w:r>
    </w:p>
    <w:p>
      <w:pPr>
        <w:pStyle w:val="Heading6"/>
        <w:numPr>
          <w:ilvl w:val="5"/>
          <w:numId w:val="1"/>
        </w:numPr>
        <w:rPr/>
      </w:pPr>
      <w:bookmarkStart w:id="660" w:name="__RefHeading___Toc747141_222507752"/>
      <w:bookmarkStart w:id="661" w:name="_Toc261"/>
      <w:bookmarkEnd w:id="660"/>
      <w:r>
        <w:rPr>
          <w:rtl w:val="true"/>
        </w:rPr>
        <w:t>الثّالث</w:t>
      </w:r>
      <w:r>
        <w:rPr>
          <w:rtl w:val="true"/>
        </w:rPr>
        <w:t>:</w:t>
      </w:r>
      <w:r>
        <w:rPr>
          <w:rtl w:val="true"/>
        </w:rPr>
        <w:t>لو خاف العطش أمسك أيّهما شاء</w:t>
      </w:r>
      <w:bookmarkEnd w:id="661"/>
    </w:p>
    <w:p>
      <w:pPr>
        <w:pStyle w:val="BookText"/>
        <w:rPr/>
      </w:pPr>
      <w:r>
        <w:rPr>
          <w:rFonts w:ascii="Amiri" w:hAnsi="Amiri" w:eastAsia="Amiri" w:cs="Amiri"/>
          <w:color w:val="111111"/>
          <w:sz w:val="28"/>
          <w:sz w:val="28"/>
          <w:szCs w:val="28"/>
          <w:rtl w:val="true"/>
          <w:lang w:bidi="ar-SA"/>
        </w:rPr>
        <w:t>،لاستوائهما في المنع،و خائف العطش يجوز أن يمسك النّجس،فالمشكوك أولى،و يجوز له أن يستعمل أيّهما شاء،و لا يلزمه التّحرّي،لأنّه مضطرّ،فساغ له التّناول،و لو لم يكونا مشتبهين شرب الطّاهر و تيمّم،و لو خاف العطش في ثاني الحال حبس الطّاهر،لأنّ وجود النّجس كعدمه عند الحاجة إلى الشّرب في الحال،فكذا في المآل،و خوف العطش في إباحة التّيمّم كحقيقته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 بعض الحنابلة 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يحبس النّجس،لأنّه ليس بمحتاج إلى شربه في الحال،فلم يجز التّيمّم مع وجوده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62" w:name="__RefHeading___Toc747143_222507752"/>
      <w:bookmarkStart w:id="663" w:name="_Toc262"/>
      <w:bookmarkEnd w:id="662"/>
      <w:r>
        <w:rPr>
          <w:rtl w:val="true"/>
        </w:rPr>
        <w:t>الرّابع</w:t>
      </w:r>
      <w:r>
        <w:rPr>
          <w:rtl w:val="true"/>
        </w:rPr>
        <w:t>:</w:t>
      </w:r>
      <w:r>
        <w:rPr>
          <w:rtl w:val="true"/>
        </w:rPr>
        <w:t>لو استعمل الإناءين و أحدهما نجس مشتبه و صلّى،لم تصحّ صلاته</w:t>
      </w:r>
      <w:bookmarkEnd w:id="663"/>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يرتفع حدثه سواء قدّم الطّهارتين أو صلّى بكلّ واحدة صلاة،لأنّه ماء يجب اجتنابه فكان كالنّجس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استعمل أحدهما و صلّى به،لم تصحّ صلاته و وجب عليه غسل ما أصابه المشتبه بماء متيقّن الطّهارة كالنّجس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أحد وجهي الحنابلة،و في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يجب غسله،لأنّ المحل طاهر بيقين،فلا يزول بشكّ النّجاسة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 xml:space="preserve">. </w:t>
      </w:r>
      <w:bookmarkStart w:id="664" w:name="pg12672_159929"/>
    </w:p>
    <w:p>
      <w:pPr>
        <w:pStyle w:val="BookText"/>
        <w:rPr/>
      </w:pPr>
      <w:bookmarkEnd w:id="664"/>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في المنع بين يقين النّجاسة و شكّها هنا بخلاف غيره،أمّا لو كان أحدهما ماء و الآخر مضافا،قال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يتطهّر بهما </w:t>
      </w:r>
      <w:r>
        <w:rPr>
          <w:rStyle w:val="FootnoteAnchor"/>
          <w:rtl w:val="true"/>
        </w:rPr>
        <w:footnoteReference w:id="1112"/>
      </w:r>
      <w:r>
        <w:rPr>
          <w:rFonts w:ascii="Amiri" w:hAnsi="Amiri" w:eastAsia="Amiri" w:cs="Amiri"/>
          <w:color w:val="111111"/>
          <w:sz w:val="28"/>
          <w:sz w:val="28"/>
          <w:szCs w:val="28"/>
          <w:rtl w:val="true"/>
          <w:lang w:bidi="ar-SA"/>
        </w:rPr>
        <w:t xml:space="preserve">،و هو حسن،خلافا لابن إدريس </w:t>
      </w:r>
      <w:r>
        <w:rPr>
          <w:rStyle w:val="FootnoteAnchor"/>
          <w:rtl w:val="true"/>
        </w:rPr>
        <w:footnoteReference w:id="1113"/>
      </w:r>
      <w:r>
        <w:rPr>
          <w:rFonts w:ascii="Amiri" w:hAnsi="Amiri" w:eastAsia="Amiri" w:cs="Amiri"/>
          <w:color w:val="111111"/>
          <w:sz w:val="28"/>
          <w:sz w:val="28"/>
          <w:szCs w:val="28"/>
          <w:rtl w:val="true"/>
          <w:lang w:bidi="ar-SA"/>
        </w:rPr>
        <w:t xml:space="preserve">،و قال الجمهور كافّة بمثل قول الشّيخ </w:t>
      </w:r>
      <w:r>
        <w:rPr>
          <w:rStyle w:val="FootnoteAnchor"/>
          <w:rtl w:val="true"/>
        </w:rPr>
        <w:footnoteReference w:id="1114"/>
      </w:r>
      <w:r>
        <w:rPr>
          <w:rFonts w:ascii="Amiri" w:hAnsi="Amiri" w:eastAsia="Amiri" w:cs="Amiri"/>
          <w:color w:val="111111"/>
          <w:sz w:val="28"/>
          <w:sz w:val="28"/>
          <w:szCs w:val="28"/>
          <w:rtl w:val="true"/>
          <w:lang w:bidi="ar-SA"/>
        </w:rPr>
        <w:t>،لأنّه يمكنه أداء فرضه بيقين من غير حرج فيه فوجب عليه،و لو احتاج إلى أحدهما للشّرب أبقاه و توضّأ بالآخر و تيمّم،و كذا لو صبّ أحدهما ليحصل له يقين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متمكّن من تحصيل الطّهارة و لم يتناوله المنع،فوجب عليه الفعل </w:t>
      </w:r>
      <w:r>
        <w:rPr>
          <w:rFonts w:eastAsia="Amiri" w:cs="Amiri" w:ascii="Amiri" w:hAnsi="Amiri"/>
          <w:color w:val="111111"/>
          <w:sz w:val="28"/>
          <w:szCs w:val="28"/>
          <w:rtl w:val="true"/>
          <w:lang w:bidi="ar-SA"/>
        </w:rPr>
        <w:t>.</w:t>
      </w:r>
    </w:p>
    <w:p>
      <w:pPr>
        <w:pStyle w:val="Heading6"/>
        <w:numPr>
          <w:ilvl w:val="5"/>
          <w:numId w:val="1"/>
        </w:numPr>
        <w:rPr/>
      </w:pPr>
      <w:bookmarkStart w:id="665" w:name="__RefHeading___Toc747145_222507752"/>
      <w:bookmarkStart w:id="666" w:name="_Toc263"/>
      <w:bookmarkEnd w:id="665"/>
      <w:r>
        <w:rPr>
          <w:rtl w:val="true"/>
        </w:rPr>
        <w:t>الخامس</w:t>
      </w:r>
      <w:r>
        <w:rPr>
          <w:rtl w:val="true"/>
        </w:rPr>
        <w:t>:</w:t>
      </w:r>
      <w:r>
        <w:rPr>
          <w:rtl w:val="true"/>
        </w:rPr>
        <w:t>لو كان معه ماء متيقّن الطّهارة،لم يجز له التّحرّي</w:t>
      </w:r>
      <w:bookmarkEnd w:id="666"/>
    </w:p>
    <w:p>
      <w:pPr>
        <w:pStyle w:val="BookText"/>
        <w:rPr/>
      </w:pPr>
      <w:r>
        <w:rPr>
          <w:rFonts w:ascii="Amiri" w:hAnsi="Amiri" w:eastAsia="Amiri" w:cs="Amiri"/>
          <w:color w:val="111111"/>
          <w:sz w:val="28"/>
          <w:sz w:val="28"/>
          <w:szCs w:val="28"/>
          <w:rtl w:val="true"/>
          <w:lang w:bidi="ar-SA"/>
        </w:rPr>
        <w:t>سواء كان الاشتباه بين الطّاهرين أو بين الطّاهر و النّجس و لا استعمالهما في الموضعين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اختيار أبي إسحاق المروزيّ </w:t>
      </w:r>
      <w:r>
        <w:rPr>
          <w:rStyle w:val="FootnoteAnchor"/>
          <w:rtl w:val="true"/>
        </w:rPr>
        <w:footnoteReference w:id="1115"/>
      </w:r>
      <w:r>
        <w:rPr>
          <w:rFonts w:ascii="Amiri" w:hAnsi="Amiri" w:eastAsia="Amiri" w:cs="Amiri"/>
          <w:color w:val="111111"/>
          <w:sz w:val="28"/>
          <w:sz w:val="28"/>
          <w:szCs w:val="28"/>
          <w:rtl w:val="true"/>
          <w:lang w:bidi="ar-SA"/>
        </w:rPr>
        <w:t xml:space="preserve">من الشّافعيّة </w:t>
      </w:r>
      <w:r>
        <w:rPr>
          <w:rStyle w:val="FootnoteAnchor"/>
          <w:rtl w:val="true"/>
        </w:rPr>
        <w:footnoteReference w:id="1116"/>
      </w:r>
      <w:r>
        <w:rPr>
          <w:rFonts w:ascii="Amiri" w:hAnsi="Amiri" w:eastAsia="Amiri" w:cs="Amiri"/>
          <w:color w:val="111111"/>
          <w:sz w:val="28"/>
          <w:sz w:val="28"/>
          <w:szCs w:val="28"/>
          <w:rtl w:val="true"/>
          <w:lang w:bidi="ar-SA"/>
        </w:rPr>
        <w:t>،و قال أكثرهم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مخيّر بين التّحرّي و استعمال المتيقّن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تقدّم من الأدلّة المانعة من التّحرّي لفاقد المتيقّن </w:t>
      </w:r>
      <w:r>
        <w:rPr>
          <w:rStyle w:val="FootnoteAnchor"/>
          <w:rtl w:val="true"/>
        </w:rPr>
        <w:footnoteReference w:id="1118"/>
      </w:r>
      <w:r>
        <w:rPr>
          <w:rFonts w:ascii="IRNazanin" w:hAnsi="IRNazanin" w:eastAsia="IRNazanin"/>
          <w:color w:val="111111"/>
          <w:sz w:val="28"/>
          <w:sz w:val="28"/>
          <w:szCs w:val="28"/>
          <w:rtl w:val="true"/>
          <w:lang w:bidi="fa-IR"/>
        </w:rPr>
        <w:t xml:space="preserve">،فلو أجده أولى </w:t>
      </w:r>
      <w:r>
        <w:rPr>
          <w:rFonts w:eastAsia="IRNazanin" w:cs="IRNazanin"/>
          <w:color w:val="111111"/>
          <w:sz w:val="28"/>
          <w:szCs w:val="28"/>
          <w:rtl w:val="true"/>
          <w:lang w:bidi="fa-IR"/>
        </w:rPr>
        <w:t>.</w:t>
      </w:r>
    </w:p>
    <w:p>
      <w:pPr>
        <w:pStyle w:val="Heading6"/>
        <w:numPr>
          <w:ilvl w:val="5"/>
          <w:numId w:val="1"/>
        </w:numPr>
        <w:rPr/>
      </w:pPr>
      <w:bookmarkStart w:id="667" w:name="__RefHeading___Toc747147_222507752"/>
      <w:bookmarkStart w:id="668" w:name="_Toc264"/>
      <w:bookmarkEnd w:id="667"/>
      <w:r>
        <w:rPr>
          <w:rtl w:val="true"/>
        </w:rPr>
        <w:t>السّادس</w:t>
      </w:r>
      <w:r>
        <w:rPr>
          <w:rtl w:val="true"/>
        </w:rPr>
        <w:t>:</w:t>
      </w:r>
      <w:r>
        <w:rPr>
          <w:rtl w:val="true"/>
        </w:rPr>
        <w:t>لو اشتبه بالمغصوب وجب اجتنابهما</w:t>
      </w:r>
      <w:bookmarkEnd w:id="668"/>
    </w:p>
    <w:p>
      <w:pPr>
        <w:pStyle w:val="BookText"/>
        <w:rPr/>
      </w:pPr>
      <w:r>
        <w:rPr>
          <w:rFonts w:ascii="Amiri" w:hAnsi="Amiri" w:eastAsia="Amiri" w:cs="Amiri"/>
          <w:color w:val="111111"/>
          <w:sz w:val="28"/>
          <w:sz w:val="28"/>
          <w:szCs w:val="28"/>
          <w:rtl w:val="true"/>
          <w:lang w:bidi="ar-SA"/>
        </w:rPr>
        <w:t>،و لو تطهّر بهما ففي الإجزاء نظر ينشأ من إتيانه بالمأمور به و هو الطّهارة بماء مملوك،فيخرج عن العهدة،و من طهارته بما نهي عنه فيبطل،و هو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غسل ثوبه بالمغصوب أو بالمشتبه به،طهر و صحّت الصّلاة فيه </w:t>
      </w:r>
      <w:r>
        <w:rPr>
          <w:rFonts w:eastAsia="Amiri" w:cs="Amiri" w:ascii="Amiri" w:hAnsi="Amiri"/>
          <w:color w:val="111111"/>
          <w:sz w:val="28"/>
          <w:szCs w:val="28"/>
          <w:rtl w:val="true"/>
          <w:lang w:bidi="ar-SA"/>
        </w:rPr>
        <w:t>.</w:t>
      </w:r>
    </w:p>
    <w:p>
      <w:pPr>
        <w:pStyle w:val="Heading6"/>
        <w:numPr>
          <w:ilvl w:val="5"/>
          <w:numId w:val="1"/>
        </w:numPr>
        <w:rPr/>
      </w:pPr>
      <w:bookmarkStart w:id="669" w:name="__RefHeading___Toc747149_222507752"/>
      <w:bookmarkStart w:id="670" w:name="_Toc265"/>
      <w:bookmarkEnd w:id="669"/>
      <w:r>
        <w:rPr>
          <w:rtl w:val="true"/>
        </w:rPr>
        <w:t>السّابع</w:t>
      </w:r>
      <w:r>
        <w:rPr>
          <w:rtl w:val="true"/>
        </w:rPr>
        <w:t>:</w:t>
      </w:r>
      <w:r>
        <w:rPr>
          <w:rtl w:val="true"/>
        </w:rPr>
        <w:t>لا تجب الإراقة و لا المزج</w:t>
      </w:r>
      <w:bookmarkEnd w:id="670"/>
    </w:p>
    <w:p>
      <w:pPr>
        <w:pStyle w:val="BookText"/>
        <w:rPr/>
      </w:pPr>
      <w:r>
        <w:rPr>
          <w:rFonts w:ascii="Amiri" w:hAnsi="Amiri" w:eastAsia="Amiri" w:cs="Amiri"/>
          <w:color w:val="111111"/>
          <w:sz w:val="28"/>
          <w:sz w:val="28"/>
          <w:szCs w:val="28"/>
          <w:rtl w:val="true"/>
          <w:lang w:bidi="ar-SA"/>
        </w:rPr>
        <w:t xml:space="preserve">عملا بالأصل،و ليست شرطا في التّيمّم،لأنّ الوجدان مفقود هنا لعدم التّمكّن من الاستعمال </w:t>
      </w:r>
      <w:r>
        <w:rPr>
          <w:rFonts w:eastAsia="Amiri" w:cs="Amiri" w:ascii="Amiri" w:hAnsi="Amiri"/>
          <w:color w:val="111111"/>
          <w:sz w:val="28"/>
          <w:szCs w:val="28"/>
          <w:rtl w:val="true"/>
          <w:lang w:bidi="ar-SA"/>
        </w:rPr>
        <w:t>.</w:t>
      </w:r>
    </w:p>
    <w:p>
      <w:pPr>
        <w:pStyle w:val="Heading6"/>
        <w:numPr>
          <w:ilvl w:val="5"/>
          <w:numId w:val="1"/>
        </w:numPr>
        <w:rPr/>
      </w:pPr>
      <w:bookmarkStart w:id="671" w:name="__RefHeading___Toc747151_222507752"/>
      <w:bookmarkStart w:id="672" w:name="_Toc266"/>
      <w:bookmarkEnd w:id="671"/>
      <w:r>
        <w:rPr>
          <w:rtl w:val="true"/>
        </w:rPr>
        <w:t>الثّامن</w:t>
      </w:r>
      <w:r>
        <w:rPr>
          <w:rtl w:val="true"/>
        </w:rPr>
        <w:t>:</w:t>
      </w:r>
      <w:r>
        <w:rPr>
          <w:rtl w:val="true"/>
        </w:rPr>
        <w:t>لو بلغ ماؤهما كرّا لم يجب المزج،</w:t>
      </w:r>
      <w:bookmarkEnd w:id="672"/>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فعل كان الجميع نجسا على ما اخترناه، </w:t>
      </w:r>
      <w:bookmarkStart w:id="673" w:name="pg12672_159930"/>
    </w:p>
    <w:p>
      <w:pPr>
        <w:pStyle w:val="BookText"/>
        <w:rPr/>
      </w:pPr>
      <w:bookmarkEnd w:id="673"/>
      <w:r>
        <w:rPr>
          <w:rFonts w:ascii="Amiri" w:hAnsi="Amiri" w:eastAsia="Amiri" w:cs="Amiri"/>
          <w:color w:val="111111"/>
          <w:sz w:val="28"/>
          <w:sz w:val="28"/>
          <w:szCs w:val="28"/>
          <w:rtl w:val="true"/>
          <w:lang w:bidi="ar-SA"/>
        </w:rPr>
        <w:t xml:space="preserve">و يجيء على أحد قولي الشّيخ وجوب المزج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74" w:name="__RefHeading___Toc747153_222507752"/>
      <w:bookmarkStart w:id="675" w:name="_Toc267"/>
      <w:bookmarkEnd w:id="674"/>
      <w:r>
        <w:rPr>
          <w:rtl w:val="true"/>
        </w:rPr>
        <w:t>التّاسع</w:t>
      </w:r>
      <w:r>
        <w:rPr>
          <w:rtl w:val="true"/>
        </w:rPr>
        <w:t>:</w:t>
      </w:r>
      <w:r>
        <w:rPr>
          <w:rtl w:val="true"/>
        </w:rPr>
        <w:t>لو أراق أحدهما،لم يجز التّحرّي أيضا</w:t>
      </w:r>
      <w:bookmarkEnd w:id="6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أحد قولي الشّافعيّة </w:t>
      </w:r>
      <w:r>
        <w:rPr>
          <w:rStyle w:val="FootnoteAnchor"/>
          <w:rtl w:val="true"/>
        </w:rPr>
        <w:footnoteReference w:id="1120"/>
      </w:r>
      <w:r>
        <w:rPr>
          <w:rFonts w:ascii="Amiri" w:hAnsi="Amiri" w:eastAsia="Amiri" w:cs="Amiri"/>
          <w:color w:val="111111"/>
          <w:sz w:val="28"/>
          <w:sz w:val="28"/>
          <w:szCs w:val="28"/>
          <w:rtl w:val="true"/>
          <w:lang w:bidi="ar-SA"/>
        </w:rPr>
        <w:t>،و وجب التّيمّم،و من وافقنا من الشّافعيّة،قال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قلناه و قال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يتوضّأ،لأنّ الأصل الطّهارة،و نجاسته مشكوك فيها و قد زال يقين النّجاسة </w:t>
      </w:r>
      <w:r>
        <w:rPr>
          <w:rStyle w:val="FootnoteAnchor"/>
          <w:rtl w:val="true"/>
        </w:rPr>
        <w:footnoteReference w:id="1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بجيّد،لما قلناه </w:t>
      </w:r>
      <w:r>
        <w:rPr>
          <w:rStyle w:val="FootnoteAnchor"/>
          <w:rtl w:val="true"/>
        </w:rPr>
        <w:footnoteReference w:id="1122"/>
      </w:r>
      <w:r>
        <w:rPr>
          <w:rFonts w:ascii="IRNazanin" w:hAnsi="IRNazanin" w:eastAsia="IRNazanin"/>
          <w:color w:val="111111"/>
          <w:sz w:val="28"/>
          <w:sz w:val="28"/>
          <w:szCs w:val="28"/>
          <w:rtl w:val="true"/>
          <w:lang w:bidi="fa-IR"/>
        </w:rPr>
        <w:t>من وجوب الاجتناب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اجتهد في الصّلاة الثّانية بعد إراقة أحدهما فأدّاه اجتهاده إلى طهارة الباقي،قال بعض الشّافعيّة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يتيمّم </w:t>
      </w:r>
      <w:r>
        <w:rPr>
          <w:rStyle w:val="FootnoteAnchor"/>
          <w:rtl w:val="true"/>
        </w:rPr>
        <w:footnoteReference w:id="11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عندنا الاجتهاد من أصله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وافقنا الشّافعيّ في المنع من التّحرّي في حقّ الأعمى في أحد القولين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جوّز له في الآخر التّحرّي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76" w:name="__RefHeading___Toc747155_222507752"/>
      <w:bookmarkStart w:id="677" w:name="_Toc268"/>
      <w:bookmarkEnd w:id="676"/>
      <w:r>
        <w:rPr>
          <w:rtl w:val="true"/>
        </w:rPr>
        <w:t>العاشر</w:t>
      </w:r>
      <w:r>
        <w:rPr>
          <w:rtl w:val="true"/>
        </w:rPr>
        <w:t>:</w:t>
      </w:r>
      <w:r>
        <w:rPr>
          <w:rtl w:val="true"/>
        </w:rPr>
        <w:t>كما لا يجوز التّحرّي في الإناءين من الماء،لا يجوز في غيرهما</w:t>
      </w:r>
      <w:bookmarkEnd w:id="677"/>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جوّز الشّافعيّ التّحرّي في الإناءين من السّمن و الدّهن و غير ذلك </w:t>
      </w:r>
      <w:r>
        <w:rPr>
          <w:rStyle w:val="FootnoteAnchor"/>
          <w:rtl w:val="true"/>
        </w:rPr>
        <w:footnoteReference w:id="1126"/>
      </w:r>
      <w:r>
        <w:rPr>
          <w:rFonts w:ascii="Amiri" w:hAnsi="Amiri" w:eastAsia="Amiri" w:cs="Amiri"/>
          <w:color w:val="111111"/>
          <w:sz w:val="28"/>
          <w:sz w:val="28"/>
          <w:szCs w:val="28"/>
          <w:rtl w:val="true"/>
          <w:lang w:bidi="ar-SA"/>
        </w:rPr>
        <w:t xml:space="preserve">،و في الثّوبين إذا نجس أحدهما،و منع من التّحرّي في كمّي الثّوب الواحد،و فرّق بأنّ النّجاسة هنا قد تحقّقت في الثّوب،فلا تزول بالظّنّ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 xml:space="preserve">. </w:t>
      </w:r>
      <w:bookmarkStart w:id="678" w:name="pg12672_159931"/>
    </w:p>
    <w:p>
      <w:pPr>
        <w:pStyle w:val="Heading5"/>
        <w:numPr>
          <w:ilvl w:val="4"/>
          <w:numId w:val="1"/>
        </w:numPr>
        <w:rPr/>
      </w:pPr>
      <w:bookmarkStart w:id="679" w:name="__RefHeading___Toc747157_222507752"/>
      <w:bookmarkStart w:id="680" w:name="_Toc269"/>
      <w:bookmarkEnd w:id="678"/>
      <w:bookmarkEnd w:id="679"/>
      <w:r>
        <w:rPr>
          <w:rtl w:val="true"/>
        </w:rPr>
        <w:t>المقصد الثّاني</w:t>
      </w:r>
      <w:r>
        <w:rPr>
          <w:rtl w:val="true"/>
        </w:rPr>
        <w:t xml:space="preserve">: </w:t>
      </w:r>
      <w:r>
        <w:rPr>
          <w:rtl w:val="true"/>
        </w:rPr>
        <w:t>في الوضوء و النّظر في الموجب و الكيفيّة و الأحكام</w:t>
      </w:r>
      <w:bookmarkEnd w:id="680"/>
    </w:p>
    <w:p>
      <w:pPr>
        <w:pStyle w:val="Heading6"/>
        <w:numPr>
          <w:ilvl w:val="5"/>
          <w:numId w:val="1"/>
        </w:numPr>
        <w:rPr/>
      </w:pPr>
      <w:bookmarkStart w:id="681" w:name="__RefHeading___Toc747159_222507752"/>
      <w:bookmarkStart w:id="682" w:name="_Toc270"/>
      <w:bookmarkEnd w:id="681"/>
      <w:r>
        <w:rPr>
          <w:rtl w:val="true"/>
        </w:rPr>
        <w:t>اشارة</w:t>
      </w:r>
      <w:bookmarkEnd w:id="682"/>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فهاهنا مباحث</w:t>
      </w:r>
      <w:r>
        <w:rPr>
          <w:rFonts w:eastAsia="IRNazanin" w:cs="IRNazanin"/>
          <w:color w:val="111111"/>
          <w:sz w:val="28"/>
          <w:szCs w:val="28"/>
          <w:rtl w:val="true"/>
          <w:lang w:bidi="fa-IR"/>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3" w:name="pg12672_159933"/>
      <w:bookmarkStart w:id="684" w:name="pg12672_159933"/>
      <w:bookmarkEnd w:id="684"/>
    </w:p>
    <w:p>
      <w:pPr>
        <w:pStyle w:val="Heading6"/>
        <w:numPr>
          <w:ilvl w:val="5"/>
          <w:numId w:val="1"/>
        </w:numPr>
        <w:rPr/>
      </w:pPr>
      <w:bookmarkStart w:id="685" w:name="pg12672_159933"/>
      <w:bookmarkStart w:id="686" w:name="__RefHeading___Toc747161_222507752"/>
      <w:bookmarkStart w:id="687" w:name="_Toc271"/>
      <w:bookmarkEnd w:id="685"/>
      <w:bookmarkEnd w:id="686"/>
      <w:r>
        <w:rPr>
          <w:rtl w:val="true"/>
        </w:rPr>
        <w:t>الأوّل</w:t>
      </w:r>
      <w:r>
        <w:rPr>
          <w:rtl w:val="true"/>
        </w:rPr>
        <w:t>:</w:t>
      </w:r>
      <w:r>
        <w:rPr>
          <w:rtl w:val="true"/>
        </w:rPr>
        <w:t>في موجباته</w:t>
      </w:r>
      <w:bookmarkEnd w:id="687"/>
    </w:p>
    <w:p>
      <w:pPr>
        <w:pStyle w:val="Heading6"/>
        <w:numPr>
          <w:ilvl w:val="5"/>
          <w:numId w:val="1"/>
        </w:numPr>
        <w:rPr/>
      </w:pPr>
      <w:bookmarkStart w:id="688" w:name="__RefHeading___Toc747163_222507752"/>
      <w:bookmarkStart w:id="689" w:name="_Toc272"/>
      <w:bookmarkEnd w:id="688"/>
      <w:r>
        <w:rPr>
          <w:rtl w:val="true"/>
        </w:rPr>
        <w:t xml:space="preserve">مسألة </w:t>
      </w:r>
      <w:r>
        <w:rPr>
          <w:rtl w:val="true"/>
        </w:rPr>
        <w:t>:</w:t>
      </w:r>
      <w:r>
        <w:rPr>
          <w:rtl w:val="true"/>
        </w:rPr>
        <w:t>الحدث النّاقض للطّهارة</w:t>
      </w:r>
      <w:bookmarkEnd w:id="689"/>
    </w:p>
    <w:p>
      <w:pPr>
        <w:pStyle w:val="BookText"/>
        <w:rPr/>
      </w:pPr>
      <w:r>
        <w:rPr>
          <w:rStyle w:val="FootnoteAnchor"/>
          <w:rtl w:val="true"/>
        </w:rPr>
        <w:footnoteReference w:id="1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يوجب الطّهارة الصّغرى لا غير،و هو خمسة أشياء،خروج البول،و الغائط،و الرّيح،و النّوم الغالب على الحاسّتين السّمع و البصر،و كلّما أزال العقل من إغماء و جنون </w:t>
      </w:r>
      <w:r>
        <w:rPr>
          <w:rStyle w:val="FootnoteAnchor"/>
          <w:rtl w:val="true"/>
        </w:rPr>
        <w:footnoteReference w:id="1129"/>
      </w:r>
      <w:r>
        <w:rPr>
          <w:rFonts w:ascii="Amiri" w:hAnsi="Amiri" w:eastAsia="Amiri" w:cs="Amiri"/>
          <w:color w:val="111111"/>
          <w:sz w:val="28"/>
          <w:sz w:val="28"/>
          <w:szCs w:val="28"/>
          <w:rtl w:val="true"/>
          <w:lang w:bidi="ar-SA"/>
        </w:rPr>
        <w:t>و سكر و 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يوجب الكبرى لا غير،و هو الجنابة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يوجبهما معا و هو الحيض،و النّفاس،و مسّ الأموات بعد بردهم بالموت و قبل تطهيرهم بالغسل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أن يوجب الوضوء خاصّة،في حال و الأمرين في حالة اخرى و هو الاستحاضة </w:t>
      </w:r>
      <w:r>
        <w:rPr>
          <w:rFonts w:eastAsia="Amiri" w:cs="Amiri" w:ascii="Amiri" w:hAnsi="Amiri"/>
          <w:color w:val="111111"/>
          <w:sz w:val="28"/>
          <w:szCs w:val="28"/>
          <w:rtl w:val="true"/>
          <w:lang w:bidi="ar-SA"/>
        </w:rPr>
        <w:t>.</w:t>
      </w:r>
    </w:p>
    <w:p>
      <w:pPr>
        <w:pStyle w:val="Heading6"/>
        <w:numPr>
          <w:ilvl w:val="5"/>
          <w:numId w:val="1"/>
        </w:numPr>
        <w:rPr/>
      </w:pPr>
      <w:bookmarkStart w:id="690" w:name="__RefHeading___Toc747165_222507752"/>
      <w:bookmarkStart w:id="691" w:name="_Toc273"/>
      <w:bookmarkEnd w:id="690"/>
      <w:r>
        <w:rPr>
          <w:rtl w:val="true"/>
        </w:rPr>
        <w:t>مسألة</w:t>
      </w:r>
      <w:r>
        <w:rPr>
          <w:rtl w:val="true"/>
        </w:rPr>
        <w:t>:</w:t>
      </w:r>
      <w:r>
        <w:rPr>
          <w:rtl w:val="true"/>
        </w:rPr>
        <w:t>لا نعرف خلافا بين أهل العلم في انّ خروج البول و الغائط و الرّيح من المعتاد</w:t>
      </w:r>
      <w:bookmarkEnd w:id="691"/>
    </w:p>
    <w:p>
      <w:pPr>
        <w:pStyle w:val="BookText"/>
        <w:rPr/>
      </w:pPr>
      <w:r>
        <w:rPr>
          <w:rFonts w:ascii="Amiri" w:hAnsi="Amiri" w:eastAsia="Amiri" w:cs="Amiri"/>
          <w:color w:val="111111"/>
          <w:sz w:val="28"/>
          <w:sz w:val="28"/>
          <w:szCs w:val="28"/>
          <w:rtl w:val="true"/>
          <w:lang w:bidi="ar-SA"/>
        </w:rPr>
        <w:t>ناقض للطّهارة</w:t>
      </w:r>
    </w:p>
    <w:p>
      <w:pPr>
        <w:pStyle w:val="BookText"/>
        <w:rPr/>
      </w:pPr>
      <w:r>
        <w:rPr>
          <w:rFonts w:ascii="Amiri" w:hAnsi="Amiri" w:eastAsia="Amiri" w:cs="Amiri"/>
          <w:color w:val="111111"/>
          <w:sz w:val="28"/>
          <w:sz w:val="28"/>
          <w:szCs w:val="28"/>
          <w:rtl w:val="true"/>
          <w:lang w:bidi="ar-SA"/>
        </w:rPr>
        <w:t xml:space="preserve">و موجب للوضوء،و يدلّ عليه قوله تعالى أَوْ جاءَ أَحَدٌ مِنْكُمْ مِنَ الْغائِطِ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الشّيخ في الحسن،عن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و أبي عبد اللّه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ينقض الوضوء؟فقالا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يخرج من طرفيك الأسفلين من الدّبر و الذّكر من غائط أو بول أو منيّ أو ريح،و النّوم حتّى يذهب العقل و كلّ النّوم يكره إلاّ أن تسمع الصّوت</w:t>
      </w:r>
      <w:r>
        <w:rPr>
          <w:rFonts w:eastAsia="Amiri" w:cs="Amiri" w:ascii="Amiri" w:hAnsi="Amiri"/>
          <w:color w:val="111111"/>
          <w:sz w:val="28"/>
          <w:szCs w:val="28"/>
          <w:rtl w:val="true"/>
          <w:lang w:bidi="ar-SA"/>
        </w:rPr>
        <w:t xml:space="preserve">)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في الصّحيح عن زرارة،عن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الوضوء إلاّ من غائط أو بول أو ضرطة تسمع صوتها أو فسوة تجد ريحها</w:t>
      </w:r>
      <w:r>
        <w:rPr>
          <w:rFonts w:eastAsia="Amiri" w:cs="Amiri" w:ascii="Amiri" w:hAnsi="Amiri"/>
          <w:color w:val="111111"/>
          <w:sz w:val="28"/>
          <w:szCs w:val="28"/>
          <w:rtl w:val="true"/>
          <w:lang w:bidi="ar-SA"/>
        </w:rPr>
        <w:t xml:space="preserve">)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 xml:space="preserve">. </w:t>
      </w:r>
      <w:bookmarkStart w:id="692" w:name="pg12672_159934"/>
    </w:p>
    <w:p>
      <w:pPr>
        <w:pStyle w:val="BookText"/>
        <w:rPr/>
      </w:pPr>
      <w:bookmarkEnd w:id="692"/>
      <w:r>
        <w:rPr>
          <w:rFonts w:ascii="Amiri" w:hAnsi="Amiri" w:eastAsia="Amiri" w:cs="Amiri"/>
          <w:color w:val="111111"/>
          <w:sz w:val="28"/>
          <w:sz w:val="28"/>
          <w:szCs w:val="28"/>
          <w:rtl w:val="true"/>
          <w:lang w:bidi="ar-SA"/>
        </w:rPr>
        <w:t xml:space="preserve">و ما رواه في الصّحيح،عن سالم أبي الفضل </w:t>
      </w:r>
      <w:r>
        <w:rPr>
          <w:rStyle w:val="FootnoteAnchor"/>
          <w:rtl w:val="true"/>
        </w:rPr>
        <w:footnoteReference w:id="1133"/>
      </w:r>
      <w:r>
        <w:rPr>
          <w:rFonts w:ascii="Amiri" w:hAnsi="Amiri" w:eastAsia="Amiri" w:cs="Amiri"/>
          <w:color w:val="111111"/>
          <w:sz w:val="28"/>
          <w:sz w:val="28"/>
          <w:szCs w:val="28"/>
          <w:rtl w:val="true"/>
          <w:lang w:bidi="ar-SA"/>
        </w:rPr>
        <w:t>،عن أبي عبد اللّه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ينقض الوضوء إلاّ ما خرج من طرفيك الأسفلين الّذين أنعم اللّه بهما عليك</w:t>
      </w:r>
      <w:r>
        <w:rPr>
          <w:rFonts w:eastAsia="Amiri" w:cs="Amiri" w:ascii="Amiri" w:hAnsi="Amiri"/>
          <w:color w:val="111111"/>
          <w:sz w:val="28"/>
          <w:szCs w:val="28"/>
          <w:rtl w:val="true"/>
          <w:lang w:bidi="ar-SA"/>
        </w:rPr>
        <w:t xml:space="preserve">)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93" w:name="__RefHeading___Toc747167_222507752"/>
      <w:bookmarkStart w:id="694" w:name="_Toc274"/>
      <w:bookmarkEnd w:id="693"/>
      <w:r>
        <w:rPr>
          <w:rtl w:val="true"/>
        </w:rPr>
        <w:t>فروع</w:t>
      </w:r>
      <w:r>
        <w:rPr>
          <w:rtl w:val="true"/>
        </w:rPr>
        <w:t>:</w:t>
      </w:r>
      <w:bookmarkEnd w:id="694"/>
    </w:p>
    <w:p>
      <w:pPr>
        <w:pStyle w:val="Heading6"/>
        <w:numPr>
          <w:ilvl w:val="5"/>
          <w:numId w:val="1"/>
        </w:numPr>
        <w:rPr/>
      </w:pPr>
      <w:bookmarkStart w:id="695" w:name="__RefHeading___Toc747169_222507752"/>
      <w:bookmarkStart w:id="696" w:name="_Toc275"/>
      <w:bookmarkEnd w:id="695"/>
      <w:r>
        <w:rPr>
          <w:rtl w:val="true"/>
        </w:rPr>
        <w:t>الأوّل</w:t>
      </w:r>
      <w:r>
        <w:rPr>
          <w:rtl w:val="true"/>
        </w:rPr>
        <w:t>:</w:t>
      </w:r>
      <w:r>
        <w:rPr>
          <w:rtl w:val="true"/>
        </w:rPr>
        <w:t>لو خرج أحد الثّلاثة من غير المعتاد،فالوجه انّه لا ينقض</w:t>
      </w:r>
      <w:bookmarkEnd w:id="6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خرج البول و الغائط ممّا دون المعدة نقض،و من فوقها لا ينقض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اخترناه هو مذهب الشّافعيّ في أحد قوليه </w:t>
      </w:r>
      <w:r>
        <w:rPr>
          <w:rStyle w:val="FootnoteAnchor"/>
          <w:rtl w:val="true"/>
        </w:rPr>
        <w:footnoteReference w:id="1136"/>
      </w:r>
      <w:r>
        <w:rPr>
          <w:rFonts w:ascii="Amiri" w:hAnsi="Amiri" w:eastAsia="Amiri" w:cs="Amiri"/>
          <w:color w:val="111111"/>
          <w:sz w:val="28"/>
          <w:sz w:val="28"/>
          <w:szCs w:val="28"/>
          <w:rtl w:val="true"/>
          <w:lang w:bidi="ar-SA"/>
        </w:rPr>
        <w:t>،و ما اختاره الشّيخ هو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ينقض مطلقا،سواء خرج ممّا فوق المعدة أو دونها بشرط السّيلان </w:t>
      </w:r>
      <w:r>
        <w:rPr>
          <w:rStyle w:val="FootnoteAnchor"/>
          <w:rtl w:val="true"/>
        </w:rPr>
        <w:footnoteReference w:id="1137"/>
      </w:r>
      <w:r>
        <w:rPr>
          <w:rFonts w:ascii="Amiri" w:hAnsi="Amiri" w:eastAsia="Amiri" w:cs="Amiri"/>
          <w:color w:val="111111"/>
          <w:sz w:val="28"/>
          <w:sz w:val="28"/>
          <w:szCs w:val="28"/>
          <w:rtl w:val="true"/>
          <w:lang w:bidi="ar-SA"/>
        </w:rPr>
        <w:t xml:space="preserve">إلاّ الرّيح،فقد نقل الكرخي انّه لو خرج من الذّكر أو من قبل المرأة لم ينقض </w:t>
      </w:r>
      <w:r>
        <w:rPr>
          <w:rStyle w:val="FootnoteAnchor"/>
          <w:rtl w:val="true"/>
        </w:rPr>
        <w:footnoteReference w:id="1138"/>
      </w:r>
      <w:r>
        <w:rPr>
          <w:rFonts w:ascii="Amiri" w:hAnsi="Amiri" w:eastAsia="Amiri" w:cs="Amiri"/>
          <w:color w:val="111111"/>
          <w:sz w:val="28"/>
          <w:sz w:val="28"/>
          <w:szCs w:val="28"/>
          <w:rtl w:val="true"/>
          <w:lang w:bidi="ar-SA"/>
        </w:rPr>
        <w:t xml:space="preserve">،و روي عن محمّد انّه لو خرج من قبل المرأة ريح منتن نقض </w:t>
      </w:r>
      <w:r>
        <w:rPr>
          <w:rStyle w:val="FootnoteAnchor"/>
          <w:rtl w:val="true"/>
        </w:rPr>
        <w:footnoteReference w:id="1139"/>
      </w:r>
      <w:r>
        <w:rPr>
          <w:rFonts w:ascii="Amiri" w:hAnsi="Amiri" w:eastAsia="Amiri" w:cs="Amiri"/>
          <w:color w:val="111111"/>
          <w:sz w:val="28"/>
          <w:sz w:val="28"/>
          <w:szCs w:val="28"/>
          <w:rtl w:val="true"/>
          <w:lang w:bidi="ar-SA"/>
        </w:rPr>
        <w:t xml:space="preserve">،و للشّافعيّ قول انّ الرّيح ينقض سواء خرج من قبل الرّجل أو دبره،و كذا المرأة </w:t>
      </w:r>
      <w:r>
        <w:rPr>
          <w:rStyle w:val="FootnoteAnchor"/>
          <w:rtl w:val="true"/>
        </w:rPr>
        <w:footnoteReference w:id="1140"/>
      </w:r>
      <w:r>
        <w:rPr>
          <w:rFonts w:ascii="Amiri" w:hAnsi="Amiri" w:eastAsia="Amiri" w:cs="Amiri"/>
          <w:color w:val="111111"/>
          <w:sz w:val="28"/>
          <w:sz w:val="28"/>
          <w:szCs w:val="28"/>
          <w:rtl w:val="true"/>
          <w:lang w:bidi="ar-SA"/>
        </w:rPr>
        <w:t>،و يمكن خروج الرّيح من قبل المرأة و من قبل الرّجل إذا كان أدرّ</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أبي الفضل،فإنّه عليه السّلام نفي النّقض إلاّ مع الخروج من الطرفين، 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زرارة،فإنّه عليه السّلام أجاب عن السّؤال المستوعب لكلّ ناقض </w:t>
      </w:r>
      <w:r>
        <w:rPr>
          <w:rStyle w:val="FootnoteAnchor"/>
          <w:rtl w:val="true"/>
        </w:rPr>
        <w:footnoteReference w:id="1141"/>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صيغ العموم،فلو كان التّخصيص بالذّكر لا يقتضي نفي الحكم عمّا عداه،لكان تأخيرا للبيان عن وقت الحاجة،و كان في الجواب إيهاما للخطإ،و ذلك باطل،و لأنّ غسل </w:t>
      </w:r>
    </w:p>
    <w:p>
      <w:pPr>
        <w:pStyle w:val="BookText"/>
        <w:rPr/>
      </w:pPr>
      <w:r>
        <w:rPr>
          <w:rFonts w:ascii="Amiri" w:hAnsi="Amiri" w:eastAsia="Amiri" w:cs="Amiri"/>
          <w:color w:val="111111"/>
          <w:sz w:val="28"/>
          <w:sz w:val="28"/>
          <w:szCs w:val="28"/>
          <w:rtl w:val="true"/>
          <w:lang w:bidi="ar-SA"/>
        </w:rPr>
        <w:t>غير موضع النّجاسة غير معقول،فيقتصر على مورد الشّرع،و لأنّ الأصل بقاء الطّهارة،فيقف انتقاضها على موضع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نقول على الحنفيّة إنّ أنس بن مالك </w:t>
      </w:r>
      <w:r>
        <w:rPr>
          <w:rStyle w:val="FootnoteAnchor"/>
          <w:rtl w:val="true"/>
        </w:rPr>
        <w:footnoteReference w:id="1142"/>
      </w:r>
      <w:r>
        <w:rPr>
          <w:rFonts w:ascii="Amiri" w:hAnsi="Amiri" w:eastAsia="Amiri" w:cs="Amiri"/>
          <w:color w:val="111111"/>
          <w:sz w:val="28"/>
          <w:sz w:val="28"/>
          <w:szCs w:val="28"/>
          <w:rtl w:val="true"/>
          <w:lang w:bidi="ar-SA"/>
        </w:rPr>
        <w:t xml:space="preserve">احتجم و لم يزد على غسل محاجمه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روى ثوبان </w:t>
      </w:r>
      <w:r>
        <w:rPr>
          <w:rStyle w:val="FootnoteAnchor"/>
          <w:rtl w:val="true"/>
        </w:rPr>
        <w:footnoteReference w:id="1144"/>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قاء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فصببت له وضوءا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اللّه،أ يجب الوضوء من القيء؟فقال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واجبا لوجدته في كتاب اللّه</w:t>
      </w:r>
      <w:r>
        <w:rPr>
          <w:rFonts w:eastAsia="Amiri" w:cs="Amiri" w:ascii="Amiri" w:hAnsi="Amiri"/>
          <w:color w:val="111111"/>
          <w:sz w:val="28"/>
          <w:szCs w:val="28"/>
          <w:rtl w:val="true"/>
          <w:lang w:bidi="ar-SA"/>
        </w:rPr>
        <w:t xml:space="preserve">) </w:t>
      </w:r>
      <w:r>
        <w:rPr>
          <w:rStyle w:val="FootnoteAnchor"/>
          <w:rtl w:val="true"/>
        </w:rPr>
        <w:footnoteReference w:id="1145"/>
      </w:r>
      <w:r>
        <w:rPr>
          <w:rFonts w:ascii="Amiri" w:hAnsi="Amiri" w:eastAsia="Amiri" w:cs="Amiri"/>
          <w:color w:val="111111"/>
          <w:sz w:val="28"/>
          <w:sz w:val="28"/>
          <w:szCs w:val="28"/>
          <w:rtl w:val="true"/>
          <w:lang w:bidi="ar-SA"/>
        </w:rPr>
        <w:t>أتى صلّى اللّه عليه و آله بحرف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الدّالّة على الامتناع للامتناع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رووا عنه صلّى اللّه عليه و آله،انّه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وضوء إلاّ من صوت أو ريح</w:t>
      </w:r>
      <w:r>
        <w:rPr>
          <w:rFonts w:eastAsia="Amiri" w:cs="Amiri" w:ascii="Amiri" w:hAnsi="Amiri"/>
          <w:color w:val="111111"/>
          <w:sz w:val="28"/>
          <w:szCs w:val="28"/>
          <w:rtl w:val="true"/>
          <w:lang w:bidi="ar-SA"/>
        </w:rPr>
        <w:t xml:space="preserve">)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الوضوء بهذه النّصوص لما دلّت عليه،فلا يجب في الثّلاثة لأنّهم لم يفصّلوا،و لأنّ الخارج من غير السّبيلين لو كان ناقضا،لما اشترط فيه السّيلان قياسا على الخارج منهما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الشّيخ </w:t>
      </w:r>
      <w:r>
        <w:rPr>
          <w:rStyle w:val="FootnoteAnchor"/>
          <w:rtl w:val="true"/>
        </w:rPr>
        <w:footnoteReference w:id="1147"/>
      </w:r>
      <w:r>
        <w:rPr>
          <w:rFonts w:ascii="Amiri" w:hAnsi="Amiri" w:eastAsia="Amiri" w:cs="Amiri"/>
          <w:color w:val="111111"/>
          <w:sz w:val="28"/>
          <w:sz w:val="28"/>
          <w:szCs w:val="28"/>
          <w:rtl w:val="true"/>
          <w:lang w:bidi="ar-SA"/>
        </w:rPr>
        <w:t xml:space="preserve">بقوله تعالى أَوْ جاءَ أَحَدٌ مِنْكُمْ مِنَ الْغائِطِ </w:t>
      </w:r>
      <w:r>
        <w:rPr>
          <w:rStyle w:val="FootnoteAnchor"/>
          <w:rtl w:val="true"/>
        </w:rPr>
        <w:footnoteReference w:id="1148"/>
      </w:r>
      <w:r>
        <w:rPr>
          <w:rFonts w:ascii="IRNazanin" w:hAnsi="IRNazanin" w:eastAsia="IRNazanin"/>
          <w:color w:val="111111"/>
          <w:sz w:val="28"/>
          <w:sz w:val="28"/>
          <w:szCs w:val="28"/>
          <w:rtl w:val="true"/>
          <w:lang w:bidi="fa-IR"/>
        </w:rPr>
        <w:t xml:space="preserve">و هو مطلق </w:t>
      </w:r>
    </w:p>
    <w:p>
      <w:pPr>
        <w:pStyle w:val="BookText"/>
        <w:rPr/>
      </w:pPr>
      <w:r>
        <w:rPr>
          <w:rFonts w:ascii="Amiri" w:hAnsi="Amiri" w:eastAsia="Amiri" w:cs="Amiri"/>
          <w:color w:val="111111"/>
          <w:sz w:val="28"/>
          <w:sz w:val="28"/>
          <w:szCs w:val="28"/>
          <w:rtl w:val="true"/>
          <w:lang w:bidi="ar-SA"/>
        </w:rPr>
        <w:t>سواء خرج من السّبيلين أو من غيرهما،لكنّ الخارج ممّا فوق المعدة لا يسمّى غائطا،فلا يكون ناقضا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احتجّ أبو حنيفة </w:t>
      </w:r>
      <w:r>
        <w:rPr>
          <w:rStyle w:val="FootnoteAnchor"/>
          <w:rtl w:val="true"/>
        </w:rPr>
        <w:footnoteReference w:id="1149"/>
      </w:r>
      <w:r>
        <w:rPr>
          <w:rFonts w:ascii="Amiri" w:hAnsi="Amiri" w:eastAsia="Amiri" w:cs="Amiri"/>
          <w:color w:val="111111"/>
          <w:sz w:val="28"/>
          <w:sz w:val="28"/>
          <w:szCs w:val="28"/>
          <w:rtl w:val="true"/>
          <w:lang w:bidi="ar-SA"/>
        </w:rPr>
        <w:t xml:space="preserve">بالآية،و بما روي انّ فاطمة بنت أبي حبيش </w:t>
      </w:r>
      <w:r>
        <w:rPr>
          <w:rStyle w:val="FootnoteAnchor"/>
          <w:rtl w:val="true"/>
        </w:rPr>
        <w:footnoteReference w:id="1150"/>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اللّه،إنّي امرأة أستحاض فلا أطهر،و أخاف أن لا يكون لي في الإسلام حظّ؟فقال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ذلك دم عرق و ليست بالحيضة،فتوضّئي و صلّي</w:t>
      </w:r>
      <w:r>
        <w:rPr>
          <w:rFonts w:eastAsia="Amiri" w:cs="Amiri" w:ascii="Amiri" w:hAnsi="Amiri"/>
          <w:color w:val="111111"/>
          <w:sz w:val="28"/>
          <w:szCs w:val="28"/>
          <w:rtl w:val="true"/>
          <w:lang w:bidi="ar-SA"/>
        </w:rPr>
        <w:t xml:space="preserve">) </w:t>
      </w:r>
      <w:r>
        <w:rPr>
          <w:rStyle w:val="FootnoteAnchor"/>
          <w:rtl w:val="true"/>
        </w:rPr>
        <w:footnoteReference w:id="1151"/>
      </w:r>
      <w:r>
        <w:rPr>
          <w:rFonts w:ascii="Amiri" w:hAnsi="Amiri" w:eastAsia="Amiri" w:cs="Amiri"/>
          <w:color w:val="111111"/>
          <w:sz w:val="28"/>
          <w:sz w:val="28"/>
          <w:szCs w:val="28"/>
          <w:rtl w:val="true"/>
          <w:lang w:bidi="ar-SA"/>
        </w:rPr>
        <w:t>و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خارج نجس من الآدميّ فيؤثّر في تنجيس الأعضاء الأربعة حكما،إذ هو من لوازمه كما في الخارج من السّبيلين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عمّا ذكره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الإطلاق ينصرف إلى المعتاد،فيتقيّد به،و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فالرّوايات الّتي ذكرناها مقيّدة للإطلاق،و تخصيص الشّيخ ليس بجيّد،و قد ذهب إليه الشّافعيّ أيضا في بعض أقواله </w:t>
      </w:r>
      <w:r>
        <w:rPr>
          <w:rStyle w:val="FootnoteAnchor"/>
          <w:rtl w:val="true"/>
        </w:rPr>
        <w:footnoteReference w:id="1152"/>
      </w:r>
      <w:r>
        <w:rPr>
          <w:rFonts w:ascii="Amiri" w:hAnsi="Amiri" w:eastAsia="Amiri" w:cs="Amiri"/>
          <w:color w:val="111111"/>
          <w:sz w:val="28"/>
          <w:sz w:val="28"/>
          <w:szCs w:val="28"/>
          <w:rtl w:val="true"/>
          <w:lang w:bidi="ar-SA"/>
        </w:rPr>
        <w:t>،لأنّ الغائط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المكان المطمئنّ،و عرفا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الفضلة المخصوصة،و لا اعتبار بالمخرج في 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عمّا ذكره أبو حنيفة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وجوه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عليه السّلام لم يأمرها بالوضوء و إنّما هو من كلام عروة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هكذا ذكره اللاّلكائيّ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عليه السّلام لم يذكر الدّم و إنّما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عرق،على ما ذكره بعض المحدّثين </w:t>
      </w:r>
      <w:r>
        <w:rPr>
          <w:rStyle w:val="FootnoteAnchor"/>
          <w:rtl w:val="true"/>
        </w:rPr>
        <w:footnoteReference w:id="1155"/>
      </w:r>
      <w:r>
        <w:rPr>
          <w:rFonts w:ascii="Amiri" w:hAnsi="Amiri" w:eastAsia="Amiri" w:cs="Amiri"/>
          <w:color w:val="111111"/>
          <w:sz w:val="28"/>
          <w:sz w:val="28"/>
          <w:szCs w:val="28"/>
          <w:rtl w:val="true"/>
          <w:lang w:bidi="ar-SA"/>
        </w:rPr>
        <w:t>،فحينئذ يبطل ما ذكره من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الاستفسار،و تقريره 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يجوز أن يكون المراد بالوضوء غسل مورد النّجاسة؟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بقي علينا أن نبيّن جواز استعماله فيما ذكرنا،و يدلّ عليه الوضع اللّغويّ و هو ظاهر،و الاستعمال الشّرعيّ و هو ما رواه معاذ </w:t>
      </w:r>
      <w:r>
        <w:rPr>
          <w:rStyle w:val="FootnoteAnchor"/>
          <w:rtl w:val="true"/>
        </w:rPr>
        <w:footnoteReference w:id="1156"/>
      </w:r>
      <w:r>
        <w:rPr>
          <w:rFonts w:ascii="Amiri" w:hAnsi="Amiri" w:eastAsia="Amiri" w:cs="Amiri"/>
          <w:color w:val="111111"/>
          <w:sz w:val="28"/>
          <w:sz w:val="28"/>
          <w:szCs w:val="28"/>
          <w:rtl w:val="true"/>
          <w:lang w:bidi="ar-SA"/>
        </w:rPr>
        <w:t>انّ قوما سمعوا انّ النّبيّ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ممّا مسّت النار</w:t>
      </w:r>
      <w:r>
        <w:rPr>
          <w:rFonts w:eastAsia="Amiri" w:cs="Amiri" w:ascii="Amiri" w:hAnsi="Amiri"/>
          <w:color w:val="111111"/>
          <w:sz w:val="28"/>
          <w:szCs w:val="28"/>
          <w:rtl w:val="true"/>
          <w:lang w:bidi="ar-SA"/>
        </w:rPr>
        <w:t xml:space="preserve">)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من انصراف التّعليل إلى إيجاب الوضوء،لأنّه ينصرف إلى ما قصد بيانه ممّا وقع الإشكال فيه،و الإشكال نشأ للمرأة من اشتباه دم الحيض بدم الاستحاضة لقولها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أخشى أن لا يكون لي حظّ في الإسلام،و ذلك لا يوجب اعتقاد انتفاء وجوب الطّهارة،فإنّ الحيض يوجب أعلى الطّهارتين،فيجب صرفه إلى نفي الغسل و الإطلاق في الصّلاة،و يدلّ على صرفه إليه و إن لم يكن مذكورا الإشارة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ذلك دم عرق إلى كونه بحال لا يمكنها الاحتراز عنه،و ذلك يناسب حكما يشعر بالتّخفيف و هو الاكتفاء </w:t>
      </w:r>
      <w:bookmarkStart w:id="697" w:name="pg12672_159938"/>
    </w:p>
    <w:p>
      <w:pPr>
        <w:pStyle w:val="BookText"/>
        <w:rPr/>
      </w:pPr>
      <w:bookmarkEnd w:id="697"/>
      <w:r>
        <w:rPr>
          <w:rFonts w:ascii="IRNazanin" w:hAnsi="IRNazanin" w:eastAsia="IRNazanin"/>
          <w:color w:val="111111"/>
          <w:sz w:val="28"/>
          <w:sz w:val="28"/>
          <w:szCs w:val="28"/>
          <w:rtl w:val="true"/>
          <w:lang w:bidi="fa-IR"/>
        </w:rPr>
        <w:t xml:space="preserve">بالوضوء عن الغسل </w:t>
      </w:r>
      <w:r>
        <w:rPr>
          <w:rFonts w:eastAsia="IRNazanin" w:cs="IRNazanin"/>
          <w:color w:val="111111"/>
          <w:sz w:val="28"/>
          <w:szCs w:val="28"/>
          <w:rtl w:val="true"/>
          <w:lang w:bidi="fa-IR"/>
        </w:rPr>
        <w:t>.</w:t>
      </w:r>
    </w:p>
    <w:p>
      <w:pPr>
        <w:pStyle w:val="Heading6"/>
        <w:numPr>
          <w:ilvl w:val="5"/>
          <w:numId w:val="1"/>
        </w:numPr>
        <w:rPr/>
      </w:pPr>
      <w:bookmarkStart w:id="698" w:name="__RefHeading___Toc747171_222507752"/>
      <w:bookmarkStart w:id="699" w:name="_Toc276"/>
      <w:bookmarkEnd w:id="698"/>
      <w:r>
        <w:rPr>
          <w:rtl w:val="true"/>
        </w:rPr>
        <w:t>الثّاني</w:t>
      </w:r>
      <w:r>
        <w:rPr>
          <w:rtl w:val="true"/>
        </w:rPr>
        <w:t>:</w:t>
      </w:r>
      <w:r>
        <w:rPr>
          <w:rtl w:val="true"/>
        </w:rPr>
        <w:t>لو اتّفق المخرج في غير الموضع المعتاد خلقة،انتقضت الطّهارة بخروج الحدث</w:t>
      </w:r>
      <w:bookmarkEnd w:id="699"/>
    </w:p>
    <w:p>
      <w:pPr>
        <w:pStyle w:val="BookText"/>
        <w:rPr/>
      </w:pPr>
      <w:r>
        <w:rPr>
          <w:rFonts w:ascii="Amiri" w:hAnsi="Amiri" w:eastAsia="Amiri" w:cs="Amiri"/>
          <w:color w:val="111111"/>
          <w:sz w:val="28"/>
          <w:sz w:val="28"/>
          <w:szCs w:val="28"/>
          <w:rtl w:val="true"/>
          <w:lang w:bidi="ar-SA"/>
        </w:rPr>
        <w:t>منه إجماعا،لأنّه ممّا أنعم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انسدّ المعتاد و انفتح غيره،أمّا لو انفتح مخرج آخر و المعتاد على حاله،فإنّ صار معتادا،فالأقرب مساواته له في الحكم،و إن كان نادرا، فالوجه انّه لا ينقض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خرج الرّيح من الذّكر لم ينقض،لأنّه غير معتاد،و لأنّ ما خرج منه لا يسمّى ضرطة و لا فسوة،و لأنّه لا منفذ له إلى الجوف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فالأقرب انّ ما يخرج من قبلها من الرّيح كذلك،و إن كان لها منفذ إلى الجوف بناء على المعتاد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يخرج من الفم كالجشاء،فلا ينقض إجماعا،و لو خرج البول من الأقلف حتى صار في قلفته نقض </w:t>
      </w:r>
      <w:r>
        <w:rPr>
          <w:rFonts w:eastAsia="Amiri" w:cs="Amiri" w:ascii="Amiri" w:hAnsi="Amiri"/>
          <w:color w:val="111111"/>
          <w:sz w:val="28"/>
          <w:szCs w:val="28"/>
          <w:rtl w:val="true"/>
          <w:lang w:bidi="ar-SA"/>
        </w:rPr>
        <w:t>.</w:t>
      </w:r>
    </w:p>
    <w:p>
      <w:pPr>
        <w:pStyle w:val="Heading6"/>
        <w:numPr>
          <w:ilvl w:val="5"/>
          <w:numId w:val="1"/>
        </w:numPr>
        <w:rPr/>
      </w:pPr>
      <w:bookmarkStart w:id="700" w:name="__RefHeading___Toc747173_222507752"/>
      <w:bookmarkStart w:id="701" w:name="_Toc277"/>
      <w:bookmarkEnd w:id="700"/>
      <w:r>
        <w:rPr>
          <w:rtl w:val="true"/>
        </w:rPr>
        <w:t>الثّالث</w:t>
      </w:r>
      <w:r>
        <w:rPr>
          <w:rtl w:val="true"/>
        </w:rPr>
        <w:t>:</w:t>
      </w:r>
      <w:r>
        <w:rPr>
          <w:rtl w:val="true"/>
        </w:rPr>
        <w:t>ما يخرج من السّبيلين غير البول و الغائط و الرّيح و المنيّ</w:t>
      </w:r>
      <w:r>
        <w:rPr>
          <w:rtl w:val="true"/>
        </w:rPr>
        <w:t>.</w:t>
      </w:r>
      <w:bookmarkEnd w:id="701"/>
    </w:p>
    <w:p>
      <w:pPr>
        <w:pStyle w:val="BookText"/>
        <w:rPr/>
      </w:pPr>
      <w:r>
        <w:rPr>
          <w:rFonts w:ascii="Amiri" w:hAnsi="Amiri" w:eastAsia="Amiri" w:cs="Amiri"/>
          <w:color w:val="111111"/>
          <w:sz w:val="28"/>
          <w:sz w:val="28"/>
          <w:szCs w:val="28"/>
          <w:rtl w:val="true"/>
          <w:lang w:bidi="ar-SA"/>
        </w:rPr>
        <w:t>و الدّماء الثّلاثة</w:t>
      </w:r>
    </w:p>
    <w:p>
      <w:pPr>
        <w:pStyle w:val="BookText"/>
        <w:rPr/>
      </w:pPr>
      <w:r>
        <w:rPr>
          <w:rFonts w:ascii="Amiri" w:hAnsi="Amiri" w:eastAsia="Amiri" w:cs="Amiri"/>
          <w:color w:val="111111"/>
          <w:sz w:val="28"/>
          <w:sz w:val="28"/>
          <w:szCs w:val="28"/>
          <w:rtl w:val="true"/>
          <w:lang w:bidi="ar-SA"/>
        </w:rPr>
        <w:t>لا تنقض الطّهارة سواء كان طاهرا كالدّود،أو نجسا كالدّم،و هكذا لو استدخل دواءا كالحقنة و غيرها،إلاّ أن يستصحب شيئا من النّواقض،فيكون الحكم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وافق مالك أصحابنا في الدّود و الحصى و الدّم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الشّافعيّ </w:t>
      </w:r>
      <w:r>
        <w:rPr>
          <w:rStyle w:val="FootnoteAnchor"/>
          <w:rtl w:val="true"/>
        </w:rPr>
        <w:footnoteReference w:id="1159"/>
      </w:r>
      <w:r>
        <w:rPr>
          <w:rFonts w:ascii="Amiri" w:hAnsi="Amiri" w:eastAsia="Amiri" w:cs="Amiri"/>
          <w:color w:val="111111"/>
          <w:sz w:val="28"/>
          <w:sz w:val="28"/>
          <w:szCs w:val="28"/>
          <w:rtl w:val="true"/>
          <w:lang w:bidi="ar-SA"/>
        </w:rPr>
        <w:t xml:space="preserve">،و أبو حنيفة،و أصحابه </w:t>
      </w:r>
      <w:r>
        <w:rPr>
          <w:rStyle w:val="FootnoteAnchor"/>
          <w:rtl w:val="true"/>
        </w:rPr>
        <w:footnoteReference w:id="1160"/>
      </w:r>
      <w:r>
        <w:rPr>
          <w:rFonts w:ascii="Amiri" w:hAnsi="Amiri" w:eastAsia="Amiri" w:cs="Amiri"/>
          <w:color w:val="111111"/>
          <w:sz w:val="28"/>
          <w:sz w:val="28"/>
          <w:szCs w:val="28"/>
          <w:rtl w:val="true"/>
          <w:lang w:bidi="ar-SA"/>
        </w:rPr>
        <w:t>،و الثّوريّ،و الأوزاعيّ،و أحمد، و إسحاق،و أبو 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جميع ذلك ناقض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ذكرنا من الرّوايات،و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محمّد بن يعقوب،عن الفضيل،عن أبي عبد اللّه عليه السّلام،عن الرّجل يخرج منه مثل حبّ القرع،قال</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 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كانت متلطّخة </w:t>
      </w:r>
    </w:p>
    <w:p>
      <w:pPr>
        <w:pStyle w:val="BookText"/>
        <w:rPr/>
      </w:pPr>
      <w:r>
        <w:rPr>
          <w:rFonts w:ascii="Amiri" w:hAnsi="Amiri" w:eastAsia="Amiri" w:cs="Amiri"/>
          <w:color w:val="111111"/>
          <w:sz w:val="28"/>
          <w:sz w:val="28"/>
          <w:szCs w:val="28"/>
          <w:rtl w:val="true"/>
          <w:lang w:bidi="ar-SA"/>
        </w:rPr>
        <w:t>بالعذرة،أعاد الوضوء</w:t>
      </w:r>
      <w:r>
        <w:rPr>
          <w:rFonts w:eastAsia="Amiri" w:cs="Amiri" w:ascii="Amiri" w:hAnsi="Amiri"/>
          <w:color w:val="111111"/>
          <w:sz w:val="28"/>
          <w:szCs w:val="28"/>
          <w:rtl w:val="true"/>
          <w:lang w:bidi="ar-SA"/>
        </w:rPr>
        <w:t xml:space="preserve">)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الرّجل يكون في الصّلاة فيخرج منه مثل حب القرع فكيف يصنع؟قال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خرج نظيفا من العذرة،فليس عليه شيء و لم ينقض وضوؤه،و إن خرج متلطّخا بالعذرة فعليه أن يعيد الوضوء،و إن كان في صلاته قطع الصّلاة و أعاد الوضوء و الصّلاة</w:t>
      </w:r>
      <w:r>
        <w:rPr>
          <w:rFonts w:eastAsia="Amiri" w:cs="Amiri" w:ascii="Amiri" w:hAnsi="Amiri"/>
          <w:color w:val="111111"/>
          <w:sz w:val="28"/>
          <w:szCs w:val="28"/>
          <w:rtl w:val="true"/>
          <w:lang w:bidi="ar-SA"/>
        </w:rPr>
        <w:t xml:space="preserve">)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حريز،عمّن أخبره،عن أبي عبد اللّه عليه السّلام في الرّجل يسقط منه الدّواب و هو في الصّلاة،قال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يمضي في صلاته و لا ينقض ذلك وضوءه</w:t>
      </w:r>
      <w:r>
        <w:rPr>
          <w:rFonts w:eastAsia="Amiri" w:cs="Amiri" w:ascii="Amiri" w:hAnsi="Amiri"/>
          <w:color w:val="111111"/>
          <w:sz w:val="28"/>
          <w:szCs w:val="28"/>
          <w:rtl w:val="true"/>
          <w:lang w:bidi="ar-SA"/>
        </w:rPr>
        <w:t xml:space="preserve">)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عبد اللّه بن يزيد </w:t>
      </w:r>
      <w:r>
        <w:rPr>
          <w:rStyle w:val="FootnoteAnchor"/>
          <w:rtl w:val="true"/>
        </w:rPr>
        <w:footnoteReference w:id="1165"/>
      </w:r>
      <w:r>
        <w:rPr>
          <w:rFonts w:ascii="Amiri" w:hAnsi="Amiri" w:eastAsia="Amiri" w:cs="Amiri"/>
          <w:color w:val="111111"/>
          <w:sz w:val="28"/>
          <w:sz w:val="28"/>
          <w:szCs w:val="28"/>
          <w:rtl w:val="true"/>
          <w:lang w:bidi="ar-SA"/>
        </w:rPr>
        <w:t>،عن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حبّ القرع و الدّيدان الصّغار وضوء ما هو إلاّ بمنزلة القمل</w:t>
      </w:r>
      <w:r>
        <w:rPr>
          <w:rFonts w:eastAsia="Amiri" w:cs="Amiri" w:ascii="Amiri" w:hAnsi="Amiri"/>
          <w:color w:val="111111"/>
          <w:sz w:val="28"/>
          <w:szCs w:val="28"/>
          <w:rtl w:val="true"/>
          <w:lang w:bidi="ar-SA"/>
        </w:rPr>
        <w:t xml:space="preserve">)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محمّد بن يعقوب في الصّحيح،عن عليّ بن جعفر،عن أخيه موسى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هل يصلح له أن يستدخل الدّواء ثمَّ يصلّي و هو معه،أ ينقض الوضوء؟قال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 الوضوء و لا يصلّي حتّى يطرحه</w:t>
      </w:r>
      <w:r>
        <w:rPr>
          <w:rFonts w:eastAsia="Amiri" w:cs="Amiri" w:ascii="Amiri" w:hAnsi="Amiri"/>
          <w:color w:val="111111"/>
          <w:sz w:val="28"/>
          <w:szCs w:val="28"/>
          <w:rtl w:val="true"/>
          <w:lang w:bidi="ar-SA"/>
        </w:rPr>
        <w:t xml:space="preserve">) </w:t>
      </w:r>
      <w:r>
        <w:rPr>
          <w:rStyle w:val="FootnoteAnchor"/>
          <w:rtl w:val="true"/>
        </w:rPr>
        <w:footnoteReference w:id="1167"/>
      </w:r>
      <w:r>
        <w:rPr>
          <w:rFonts w:ascii="Amiri" w:hAnsi="Amiri" w:eastAsia="Amiri" w:cs="Amiri"/>
          <w:color w:val="111111"/>
          <w:sz w:val="28"/>
          <w:sz w:val="28"/>
          <w:szCs w:val="28"/>
          <w:rtl w:val="true"/>
          <w:lang w:bidi="ar-SA"/>
        </w:rPr>
        <w:t>و لأنّ الأصل الطّهارة، فيستصحب ما لم يثبت النّاقض،و لأنّ النّقض حكم شرعيّ،فيقف على الشّرع،و لأنّه لو نقض الخارج من السّبيلين،لنقض الخارج من غيرهما،و بالاتفاق التّالي باطل في الظّاهر،فالمقدّم مثله</w:t>
      </w:r>
      <w:r>
        <w:rPr>
          <w:rFonts w:eastAsia="Amiri" w:cs="Amiri" w:ascii="Amiri" w:hAnsi="Amiri"/>
          <w:color w:val="111111"/>
          <w:sz w:val="28"/>
          <w:szCs w:val="28"/>
          <w:rtl w:val="true"/>
          <w:lang w:bidi="ar-SA"/>
        </w:rPr>
        <w:t xml:space="preserve">. </w:t>
      </w:r>
      <w:bookmarkStart w:id="702" w:name="pg12672_159940"/>
    </w:p>
    <w:p>
      <w:pPr>
        <w:pStyle w:val="Heading6"/>
        <w:numPr>
          <w:ilvl w:val="5"/>
          <w:numId w:val="1"/>
        </w:numPr>
        <w:rPr/>
      </w:pPr>
      <w:bookmarkStart w:id="703" w:name="__RefHeading___Toc747175_222507752"/>
      <w:bookmarkStart w:id="704" w:name="_Toc278"/>
      <w:bookmarkEnd w:id="702"/>
      <w:bookmarkEnd w:id="703"/>
      <w:r>
        <w:rPr>
          <w:rtl w:val="true"/>
        </w:rPr>
        <w:t>الرّابع</w:t>
      </w:r>
      <w:r>
        <w:rPr>
          <w:rtl w:val="true"/>
        </w:rPr>
        <w:t>:</w:t>
      </w:r>
      <w:r>
        <w:rPr>
          <w:rtl w:val="true"/>
        </w:rPr>
        <w:t>المذي،و الوذي</w:t>
      </w:r>
      <w:bookmarkEnd w:id="7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اتّفق علماؤنا على انّهما غير ناقضين،و انّهما طاهران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خالف جميع الجمهور في ذلك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تقدّم من الرّوايات الدّالّة على انحصار النّواقض فيما ذكرناه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زيد الشّحّام،و زرارة،و محمّد بن مسلم،عن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سال من ذكرك شيء من مذي أو ودي فلا تغسله و لا تقطع له الصّلاة و لا تنقض له الوضوء،إنّما ذلك بمنزلة النّخامة،كلّ شيء خرج منك بعد الوضوء فإنّه من الحبائل</w:t>
      </w:r>
      <w:r>
        <w:rPr>
          <w:rFonts w:eastAsia="Amiri" w:cs="Amiri" w:ascii="Amiri" w:hAnsi="Amiri"/>
          <w:color w:val="111111"/>
          <w:sz w:val="28"/>
          <w:szCs w:val="28"/>
          <w:rtl w:val="true"/>
          <w:lang w:bidi="ar-SA"/>
        </w:rPr>
        <w:t xml:space="preserve">)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حريز،عمّن أخبره،عن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الودي لا ينقض الوضوء،إنّما هو بمنزلة المخاط و البزاق</w:t>
      </w:r>
      <w:r>
        <w:rPr>
          <w:rFonts w:eastAsia="Amiri" w:cs="Amiri" w:ascii="Amiri" w:hAnsi="Amiri"/>
          <w:color w:val="111111"/>
          <w:sz w:val="28"/>
          <w:szCs w:val="28"/>
          <w:rtl w:val="true"/>
          <w:lang w:bidi="ar-SA"/>
        </w:rPr>
        <w:t xml:space="preserve">)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في الصّحيح،عن ابن أبي عمير،عن غير واحد من أصحابنا،عن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المذي من الشّهوة،و لا من الإنعاظ،و لا من القبلة،و لا من مسّ الفرج،و لا من المضاجعة وضوء،و لا يغسل منه الثّوب و لا الجسد</w:t>
      </w:r>
      <w:r>
        <w:rPr>
          <w:rFonts w:eastAsia="Amiri" w:cs="Amiri" w:ascii="Amiri" w:hAnsi="Amiri"/>
          <w:color w:val="111111"/>
          <w:sz w:val="28"/>
          <w:szCs w:val="28"/>
          <w:rtl w:val="true"/>
          <w:lang w:bidi="ar-SA"/>
        </w:rPr>
        <w:t xml:space="preserve">)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في الصّحيح عن إسحاق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المذي؟فقال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عليّا كان رجلا مذّاء و أستحيي أن يسأل رسول اللّه صلّى اللّه عليه </w:t>
      </w:r>
    </w:p>
    <w:p>
      <w:pPr>
        <w:pStyle w:val="BookText"/>
        <w:rPr/>
      </w:pPr>
      <w:r>
        <w:rPr>
          <w:rFonts w:ascii="Amiri" w:hAnsi="Amiri" w:eastAsia="Amiri" w:cs="Amiri"/>
          <w:color w:val="111111"/>
          <w:sz w:val="28"/>
          <w:sz w:val="28"/>
          <w:szCs w:val="28"/>
          <w:rtl w:val="true"/>
          <w:lang w:bidi="ar-SA"/>
        </w:rPr>
        <w:t xml:space="preserve">و آله لمكان فاطمة،فأمر المقداد </w:t>
      </w:r>
      <w:r>
        <w:rPr>
          <w:rStyle w:val="FootnoteAnchor"/>
          <w:rtl w:val="true"/>
        </w:rPr>
        <w:footnoteReference w:id="1173"/>
      </w:r>
      <w:r>
        <w:rPr>
          <w:rFonts w:ascii="Amiri" w:hAnsi="Amiri" w:eastAsia="Amiri" w:cs="Amiri"/>
          <w:color w:val="111111"/>
          <w:sz w:val="28"/>
          <w:sz w:val="28"/>
          <w:szCs w:val="28"/>
          <w:rtl w:val="true"/>
          <w:lang w:bidi="ar-SA"/>
        </w:rPr>
        <w:t>أن يسأله و هو جالس،فسأله،فقال له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 xml:space="preserve">)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عمر بن حنظلة </w:t>
      </w:r>
      <w:r>
        <w:rPr>
          <w:rStyle w:val="FootnoteAnchor"/>
          <w:rtl w:val="true"/>
        </w:rPr>
        <w:footnoteReference w:id="11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المذي؟فقال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عندي إلاّ كالنّخامة</w:t>
      </w:r>
      <w:r>
        <w:rPr>
          <w:rFonts w:eastAsia="Amiri" w:cs="Amiri" w:ascii="Amiri" w:hAnsi="Amiri"/>
          <w:color w:val="111111"/>
          <w:sz w:val="28"/>
          <w:szCs w:val="28"/>
          <w:rtl w:val="true"/>
          <w:lang w:bidi="ar-SA"/>
        </w:rPr>
        <w:t xml:space="preserve">) </w:t>
      </w:r>
      <w:r>
        <w:rPr>
          <w:rStyle w:val="FootnoteAnchor"/>
          <w:rtl w:val="true"/>
        </w:rPr>
        <w:footnoteReference w:id="1176"/>
      </w:r>
      <w:r>
        <w:rPr>
          <w:rFonts w:ascii="Amiri" w:hAnsi="Amiri" w:eastAsia="Amiri" w:cs="Amiri"/>
          <w:color w:val="111111"/>
          <w:sz w:val="28"/>
          <w:sz w:val="28"/>
          <w:szCs w:val="28"/>
          <w:rtl w:val="true"/>
          <w:lang w:bidi="ar-SA"/>
        </w:rPr>
        <w:t>و في طريقها ابن فضّال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عنبسة،قال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عليه السّلام لا يرى في المذي وضوءا و لا غسل ما أصاب الثّوب منه إلاّ في الماء الأكبر</w:t>
      </w:r>
      <w:r>
        <w:rPr>
          <w:rFonts w:eastAsia="Amiri" w:cs="Amiri" w:ascii="Amiri" w:hAnsi="Amiri"/>
          <w:color w:val="111111"/>
          <w:sz w:val="28"/>
          <w:szCs w:val="28"/>
          <w:rtl w:val="true"/>
          <w:lang w:bidi="ar-SA"/>
        </w:rPr>
        <w:t xml:space="preserve">) </w:t>
      </w:r>
      <w:r>
        <w:rPr>
          <w:rStyle w:val="FootnoteAnchor"/>
          <w:rtl w:val="true"/>
        </w:rPr>
        <w:footnoteReference w:id="1177"/>
      </w:r>
      <w:r>
        <w:rPr>
          <w:rFonts w:ascii="Amiri" w:hAnsi="Amiri" w:eastAsia="Amiri" w:cs="Amiri"/>
          <w:color w:val="111111"/>
          <w:sz w:val="28"/>
          <w:sz w:val="28"/>
          <w:szCs w:val="28"/>
          <w:rtl w:val="true"/>
          <w:lang w:bidi="ar-SA"/>
        </w:rPr>
        <w:t xml:space="preserve">و في طريقها معلّى بن محمّد </w:t>
      </w:r>
      <w:r>
        <w:rPr>
          <w:rStyle w:val="FootnoteAnchor"/>
          <w:rtl w:val="true"/>
        </w:rPr>
        <w:footnoteReference w:id="1178"/>
      </w:r>
      <w:r>
        <w:rPr>
          <w:rFonts w:ascii="Amiri" w:hAnsi="Amiri" w:eastAsia="Amiri" w:cs="Amiri"/>
          <w:color w:val="111111"/>
          <w:sz w:val="28"/>
          <w:sz w:val="28"/>
          <w:szCs w:val="28"/>
          <w:rtl w:val="true"/>
          <w:lang w:bidi="ar-SA"/>
        </w:rPr>
        <w:t>،و هو مضطرب الحديث و المذهب،فالتّعويل على الرّوايات الصّحيحة، و لأنّ الأصل الطّهارة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في الصّحيح،عن محمّد بن إسماعيل بن بزيع،قال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w:t>
      </w:r>
    </w:p>
    <w:p>
      <w:pPr>
        <w:pStyle w:val="BookText"/>
        <w:rPr/>
      </w:pPr>
      <w:r>
        <w:rPr>
          <w:rFonts w:ascii="Amiri" w:hAnsi="Amiri" w:eastAsia="Amiri" w:cs="Amiri"/>
          <w:color w:val="111111"/>
          <w:sz w:val="28"/>
          <w:sz w:val="28"/>
          <w:szCs w:val="28"/>
          <w:rtl w:val="true"/>
          <w:lang w:bidi="ar-SA"/>
        </w:rPr>
        <w:t>الرّضا عليه السّلام عن المذي،فأمرني بالوضوء منه،ثمَّ أعدت عليه في سنة أخرى،فأمرني بالوضوء،و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 بن أبي طالب عليه السّلام أمر المقداد بن الأسود أن يسأل النّبيّ صلّى اللّه عليه و آله و أستحيي أن يسأله،فقال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الوضوء</w:t>
      </w:r>
      <w:r>
        <w:rPr>
          <w:rFonts w:eastAsia="Amiri" w:cs="Amiri" w:ascii="Amiri" w:hAnsi="Amiri"/>
          <w:color w:val="111111"/>
          <w:sz w:val="28"/>
          <w:szCs w:val="28"/>
          <w:rtl w:val="true"/>
          <w:lang w:bidi="ar-SA"/>
        </w:rPr>
        <w:t xml:space="preserve">)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خبر شاذّ،فيحمل على الاستحباب،لما روى الحسين بن سعيد في الصّحيح،عن محمّد بن إسماعيل،عن أبي الحسن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المذي،فأمرني بالوضوء منه،ثمَّ أعدت عليه سنة أخرى،فأمرني بالوضوء منه،و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عليه السّلام أمر المقداد أن يسأل رسول اللّه صلّى اللّه عليه و آله فاستحيا أن يسأله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الوضوء،قلت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أتوضّأ؟قال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180"/>
      </w:r>
      <w:r>
        <w:rPr>
          <w:rFonts w:ascii="Amiri" w:hAnsi="Amiri" w:eastAsia="Amiri" w:cs="Amiri"/>
          <w:color w:val="111111"/>
          <w:sz w:val="28"/>
          <w:sz w:val="28"/>
          <w:szCs w:val="28"/>
          <w:rtl w:val="true"/>
          <w:lang w:bidi="ar-SA"/>
        </w:rPr>
        <w:t>و لا شك في انّ الرّاوي،إذا روى الحديث تارة مع زيادة و تارة بدونها،عمل على تلك الزّيادة إذا لم تكن مغيّرة،و تكون بمنزلة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الزّيادة هنا مغيّرة لأنّها تدلّ على الاستحباب،مع انّ الخبر الأوّل الخالي عنها يدلّ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ليس بتغيير،بل هو تفسير لما دلّ عليه لفظ الأمر الأوّل،لأنّه لو كان مغيّرا،لكان الخبر المشتمل على الزّيادة متناقضا،و ليس كذلك اتّفاقا،قال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يحمل أيضا على المذي الّذي تقارنه </w:t>
      </w:r>
      <w:r>
        <w:rPr>
          <w:rStyle w:val="FootnoteAnchor"/>
          <w:rtl w:val="true"/>
        </w:rPr>
        <w:footnoteReference w:id="1181"/>
      </w:r>
      <w:r>
        <w:rPr>
          <w:rFonts w:ascii="Amiri" w:hAnsi="Amiri" w:eastAsia="Amiri" w:cs="Amiri"/>
          <w:color w:val="111111"/>
          <w:sz w:val="28"/>
          <w:sz w:val="28"/>
          <w:szCs w:val="28"/>
          <w:rtl w:val="true"/>
          <w:lang w:bidi="ar-SA"/>
        </w:rPr>
        <w:t>الشّهوة و يكون كثيرا يخرج عن المعتاد لكثرته،و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عليّ بن يقطين في الصّحيح،عن أبي الحسن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المذي أ ينقض الوضوء؟قال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من شهوة نقض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يحمل المذي هاهنا على المنيّ،لأنّه من توابعه،و إطلاق اسم الملزوم على اللازم كثير</w:t>
      </w:r>
      <w:r>
        <w:rPr>
          <w:rFonts w:eastAsia="Amiri" w:cs="Amiri" w:ascii="Amiri" w:hAnsi="Amiri"/>
          <w:color w:val="111111"/>
          <w:sz w:val="28"/>
          <w:szCs w:val="28"/>
          <w:rtl w:val="true"/>
          <w:lang w:bidi="ar-SA"/>
        </w:rPr>
        <w:t xml:space="preserve">. </w:t>
      </w:r>
      <w:bookmarkStart w:id="705" w:name="pg12672_159943"/>
    </w:p>
    <w:p>
      <w:pPr>
        <w:pStyle w:val="BookText"/>
        <w:rPr/>
      </w:pPr>
      <w:bookmarkEnd w:id="705"/>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في الصّحيح،عن ابن سنان،عن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يخرجن من الإحليل و 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المنيّ فمنه الغسل،و الودي فمنه الوضوء،لأنّه يخرج من دريرة البول،قال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المذي ليس فيه وضوء،إنّما هو بمنزلة ما يخرج من الأنف</w:t>
      </w:r>
      <w:r>
        <w:rPr>
          <w:rFonts w:eastAsia="Amiri" w:cs="Amiri" w:ascii="Amiri" w:hAnsi="Amiri"/>
          <w:color w:val="111111"/>
          <w:sz w:val="28"/>
          <w:szCs w:val="28"/>
          <w:rtl w:val="true"/>
          <w:lang w:bidi="ar-SA"/>
        </w:rPr>
        <w:t xml:space="preserve">) </w:t>
      </w:r>
      <w:r>
        <w:rPr>
          <w:rStyle w:val="FootnoteAnchor"/>
          <w:rtl w:val="true"/>
        </w:rPr>
        <w:footnoteReference w:id="1183"/>
      </w:r>
      <w:r>
        <w:rPr>
          <w:rFonts w:ascii="Amiri" w:hAnsi="Amiri" w:eastAsia="Amiri" w:cs="Amiri"/>
          <w:color w:val="111111"/>
          <w:sz w:val="28"/>
          <w:sz w:val="28"/>
          <w:szCs w:val="28"/>
          <w:rtl w:val="true"/>
          <w:lang w:bidi="ar-SA"/>
        </w:rPr>
        <w:t>فهذا يدلّ على وجوب الوضوء من الودي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 على ما إذا لم يكن استبرأ من البول،فإنّه لا ينفكّ عن ممازجة أجزاء من البول،و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التّعليل الّذي ذكره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الشّيخ في الصّحيح،عن يعقوب بن يقطين </w:t>
      </w:r>
      <w:r>
        <w:rPr>
          <w:rStyle w:val="FootnoteAnchor"/>
          <w:rtl w:val="true"/>
        </w:rPr>
        <w:footnoteReference w:id="11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الرّجل يمذي و هو في الصّلاة من شهوة أو من غير شهوة؟قال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المذي منه الوضوء</w:t>
      </w:r>
      <w:r>
        <w:rPr>
          <w:rFonts w:eastAsia="Amiri" w:cs="Amiri" w:ascii="Amiri" w:hAnsi="Amiri"/>
          <w:color w:val="111111"/>
          <w:sz w:val="28"/>
          <w:szCs w:val="28"/>
          <w:rtl w:val="true"/>
          <w:lang w:bidi="ar-SA"/>
        </w:rPr>
        <w:t xml:space="preserve">) </w:t>
      </w:r>
      <w:r>
        <w:rPr>
          <w:rStyle w:val="FootnoteAnchor"/>
          <w:rtl w:val="true"/>
        </w:rPr>
        <w:footnoteReference w:id="1185"/>
      </w:r>
      <w:r>
        <w:rPr>
          <w:rFonts w:ascii="Amiri" w:hAnsi="Amiri" w:eastAsia="Amiri" w:cs="Amiri"/>
          <w:color w:val="111111"/>
          <w:sz w:val="28"/>
          <w:sz w:val="28"/>
          <w:szCs w:val="28"/>
          <w:rtl w:val="true"/>
          <w:lang w:bidi="ar-SA"/>
        </w:rPr>
        <w:t>فهذا يدلّ على إيجاب الوضوء من المذي مطلقا،و لا يمكن تأويله بما ذكرتم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منه،التّعجّب جمعا بين الأدلّة،هذا تأويل الشّيخ في التّهذيب، و يمكن حمله على الاستحباب أيضا </w:t>
      </w:r>
      <w:r>
        <w:rPr>
          <w:rFonts w:eastAsia="Amiri" w:cs="Amiri" w:ascii="Amiri" w:hAnsi="Amiri"/>
          <w:color w:val="111111"/>
          <w:sz w:val="28"/>
          <w:szCs w:val="28"/>
          <w:rtl w:val="true"/>
          <w:lang w:bidi="ar-SA"/>
        </w:rPr>
        <w:t>.</w:t>
      </w:r>
    </w:p>
    <w:p>
      <w:pPr>
        <w:pStyle w:val="Heading6"/>
        <w:numPr>
          <w:ilvl w:val="5"/>
          <w:numId w:val="1"/>
        </w:numPr>
        <w:rPr/>
      </w:pPr>
      <w:bookmarkStart w:id="706" w:name="__RefHeading___Toc747177_222507752"/>
      <w:bookmarkStart w:id="707" w:name="_Toc279"/>
      <w:bookmarkEnd w:id="706"/>
      <w:r>
        <w:rPr>
          <w:rtl w:val="true"/>
        </w:rPr>
        <w:t>مسألة</w:t>
      </w:r>
      <w:r>
        <w:rPr>
          <w:rtl w:val="true"/>
        </w:rPr>
        <w:t>:</w:t>
      </w:r>
      <w:r>
        <w:rPr>
          <w:rtl w:val="true"/>
        </w:rPr>
        <w:t>قال علماؤنا</w:t>
      </w:r>
      <w:r>
        <w:rPr>
          <w:rtl w:val="true"/>
        </w:rPr>
        <w:t>:</w:t>
      </w:r>
      <w:r>
        <w:rPr>
          <w:rtl w:val="true"/>
        </w:rPr>
        <w:t>النّوم الغالب على السّمع و البصر ناقض للوضوء</w:t>
      </w:r>
      <w:bookmarkEnd w:id="707"/>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،سواء كان قائما أو قاعدا،أو راكعا أو ساجدا،في حال الصّلاة أو في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مذهب المزنيّ </w:t>
      </w:r>
      <w:r>
        <w:rPr>
          <w:rStyle w:val="FootnoteAnchor"/>
          <w:rtl w:val="true"/>
        </w:rPr>
        <w:footnoteReference w:id="1186"/>
      </w:r>
      <w:r>
        <w:rPr>
          <w:rFonts w:ascii="Amiri" w:hAnsi="Amiri" w:eastAsia="Amiri" w:cs="Amiri"/>
          <w:color w:val="111111"/>
          <w:sz w:val="28"/>
          <w:sz w:val="28"/>
          <w:szCs w:val="28"/>
          <w:rtl w:val="true"/>
          <w:lang w:bidi="ar-SA"/>
        </w:rPr>
        <w:t xml:space="preserve">، و إسحاق،و أبي عبيد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ابن بابويه 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يرقد قاعدا انّه لا وضوء عليه ما لم ينفرج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نام قاعدا ممكّنا مقعدته من الأرض،لم ينقض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حكي عن أبي موسى الأشعريّ </w:t>
      </w:r>
      <w:r>
        <w:rPr>
          <w:rStyle w:val="FootnoteAnchor"/>
          <w:rtl w:val="true"/>
        </w:rPr>
        <w:footnoteReference w:id="1190"/>
      </w:r>
      <w:r>
        <w:rPr>
          <w:rFonts w:ascii="Amiri" w:hAnsi="Amiri" w:eastAsia="Amiri" w:cs="Amiri"/>
          <w:color w:val="111111"/>
          <w:sz w:val="28"/>
          <w:sz w:val="28"/>
          <w:szCs w:val="28"/>
          <w:rtl w:val="true"/>
          <w:lang w:bidi="ar-SA"/>
        </w:rPr>
        <w:t xml:space="preserve">،و أبي مجلز </w:t>
      </w:r>
      <w:r>
        <w:rPr>
          <w:rStyle w:val="FootnoteAnchor"/>
          <w:rtl w:val="true"/>
        </w:rPr>
        <w:footnoteReference w:id="1191"/>
      </w:r>
      <w:r>
        <w:rPr>
          <w:rFonts w:ascii="Amiri" w:hAnsi="Amiri" w:eastAsia="Amiri" w:cs="Amiri"/>
          <w:color w:val="111111"/>
          <w:sz w:val="28"/>
          <w:sz w:val="28"/>
          <w:szCs w:val="28"/>
          <w:rtl w:val="true"/>
          <w:lang w:bidi="ar-SA"/>
        </w:rPr>
        <w:t xml:space="preserve">،و حميد الأعرج </w:t>
      </w:r>
      <w:r>
        <w:rPr>
          <w:rStyle w:val="FootnoteAnchor"/>
          <w:rtl w:val="true"/>
        </w:rPr>
        <w:footnoteReference w:id="1192"/>
      </w:r>
      <w:r>
        <w:rPr>
          <w:rFonts w:ascii="IRNazanin" w:hAnsi="IRNazanin" w:eastAsia="IRNazanin"/>
          <w:color w:val="111111"/>
          <w:sz w:val="28"/>
          <w:sz w:val="28"/>
          <w:szCs w:val="28"/>
          <w:rtl w:val="true"/>
          <w:lang w:bidi="fa-IR"/>
        </w:rPr>
        <w:t>،انّهم قالوا</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النّوم لا ينقض الوضوء على سائر الأحوال </w:t>
      </w:r>
      <w:r>
        <w:rPr>
          <w:rStyle w:val="FootnoteAnchor"/>
          <w:rtl w:val="true"/>
        </w:rPr>
        <w:footnoteReference w:id="11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نقله ابن الصّبّاغ </w:t>
      </w:r>
      <w:r>
        <w:rPr>
          <w:rStyle w:val="FootnoteAnchor"/>
          <w:rtl w:val="true"/>
        </w:rPr>
        <w:footnoteReference w:id="1194"/>
      </w:r>
      <w:r>
        <w:rPr>
          <w:rFonts w:ascii="Amiri" w:hAnsi="Amiri" w:eastAsia="Amiri" w:cs="Amiri"/>
          <w:color w:val="111111"/>
          <w:sz w:val="28"/>
          <w:sz w:val="28"/>
          <w:szCs w:val="28"/>
          <w:rtl w:val="true"/>
          <w:lang w:bidi="ar-SA"/>
        </w:rPr>
        <w:t xml:space="preserve">في الشّامل عن الإماميّة،و هو غلط في النّقل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نام في الصّلاة قائما أو قاعدا،أو راكعا أو ساجدا،غلبه النّوم أو تعمّد،و على كلّ حال،لم ينقض وضوؤه </w:t>
      </w:r>
      <w:r>
        <w:rPr>
          <w:rStyle w:val="FootnoteAnchor"/>
          <w:rtl w:val="true"/>
        </w:rPr>
        <w:footnoteReference w:id="1196"/>
      </w:r>
      <w:r>
        <w:rPr>
          <w:rFonts w:ascii="Amiri" w:hAnsi="Amiri" w:eastAsia="Amiri" w:cs="Amiri"/>
          <w:color w:val="111111"/>
          <w:sz w:val="28"/>
          <w:sz w:val="28"/>
          <w:szCs w:val="28"/>
          <w:rtl w:val="true"/>
          <w:lang w:bidi="ar-SA"/>
        </w:rPr>
        <w:t>،و كذا لو نام خارج الصّلاة قائما أو قاعدا، متمكّنا أو راكعا أو ساجدا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نام متوركا أو مضطجعا انتقض وضوؤه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داود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النّوم قاعدا إذا طال حدث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 المضطجع ينقض كثيره و قليله،و نوم القاعد إن كان كثيرا نقض و إلاّ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نوم القائم و الرّاكع و السّاجد فيه روايتان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ينقض،و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ينقض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 و المعقول،أمّا النّصّ،فقوله تعالى يا أَيُّهَا الَّذِينَ آمَنُوا إِذا قُمْتُمْ إِلَى الصَّلاةِ فَاغْسِلُوا </w:t>
      </w:r>
      <w:r>
        <w:rPr>
          <w:rStyle w:val="FootnoteAnchor"/>
          <w:rtl w:val="true"/>
        </w:rPr>
        <w:footnoteReference w:id="1200"/>
      </w:r>
      <w:r>
        <w:rPr>
          <w:rFonts w:ascii="IRNazanin" w:hAnsi="IRNazanin" w:eastAsia="IRNazanin"/>
          <w:color w:val="111111"/>
          <w:sz w:val="28"/>
          <w:sz w:val="28"/>
          <w:szCs w:val="28"/>
          <w:rtl w:val="true"/>
          <w:lang w:bidi="fa-IR"/>
        </w:rPr>
        <w:t>نقل المفسّرون أجمع انّ المراد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قمتم من النّوم </w:t>
      </w:r>
      <w:r>
        <w:rPr>
          <w:rStyle w:val="FootnoteAnchor"/>
          <w:rtl w:val="true"/>
        </w:rPr>
        <w:footnoteReference w:id="1201"/>
      </w:r>
      <w:r>
        <w:rPr>
          <w:rFonts w:ascii="Amiri" w:hAnsi="Amiri" w:eastAsia="Amiri" w:cs="Amiri"/>
          <w:color w:val="111111"/>
          <w:sz w:val="28"/>
          <w:sz w:val="28"/>
          <w:szCs w:val="28"/>
          <w:rtl w:val="true"/>
          <w:lang w:bidi="ar-SA"/>
        </w:rPr>
        <w:t>، و هذا يقتضي الوجوب على الإطلاق</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الجمهور،عن النّبيّ صلّى اللّه عليه و آله،انّه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العين وكاء </w:t>
      </w:r>
      <w:r>
        <w:rPr>
          <w:rStyle w:val="FootnoteAnchor"/>
          <w:rtl w:val="true"/>
        </w:rPr>
        <w:footnoteReference w:id="1202"/>
      </w:r>
      <w:r>
        <w:rPr>
          <w:rFonts w:ascii="Amiri" w:hAnsi="Amiri" w:eastAsia="Amiri" w:cs="Amiri"/>
          <w:color w:val="111111"/>
          <w:sz w:val="28"/>
          <w:sz w:val="28"/>
          <w:szCs w:val="28"/>
          <w:rtl w:val="true"/>
          <w:lang w:bidi="ar-SA"/>
        </w:rPr>
        <w:t xml:space="preserve">السّه </w:t>
      </w:r>
      <w:r>
        <w:rPr>
          <w:rStyle w:val="FootnoteAnchor"/>
          <w:rtl w:val="true"/>
        </w:rPr>
        <w:footnoteReference w:id="120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فمن نام فليتوضّأ</w:t>
      </w:r>
      <w:r>
        <w:rPr>
          <w:rFonts w:eastAsia="Amiri" w:cs="Amiri" w:ascii="Amiri" w:hAnsi="Amiri"/>
          <w:color w:val="111111"/>
          <w:sz w:val="28"/>
          <w:szCs w:val="28"/>
          <w:rtl w:val="true"/>
          <w:lang w:bidi="ar-SA"/>
        </w:rPr>
        <w:t xml:space="preserve">)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العينان وكاء السّه،فإذا نامت العينان استطلق الوكاء</w:t>
      </w:r>
      <w:r>
        <w:rPr>
          <w:rFonts w:eastAsia="Amiri" w:cs="Amiri" w:ascii="Amiri" w:hAnsi="Amiri"/>
          <w:color w:val="111111"/>
          <w:sz w:val="28"/>
          <w:szCs w:val="28"/>
          <w:rtl w:val="true"/>
          <w:lang w:bidi="ar-SA"/>
        </w:rPr>
        <w:t xml:space="preserve">)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صفوان المراديّ </w:t>
      </w:r>
      <w:r>
        <w:rPr>
          <w:rStyle w:val="FootnoteAnchor"/>
          <w:rtl w:val="true"/>
        </w:rPr>
        <w:footnoteReference w:id="1206"/>
      </w:r>
      <w:r>
        <w:rPr>
          <w:rFonts w:ascii="Amiri" w:hAnsi="Amiri" w:eastAsia="Amiri" w:cs="Amiri"/>
          <w:color w:val="111111"/>
          <w:sz w:val="28"/>
          <w:sz w:val="28"/>
          <w:szCs w:val="28"/>
          <w:rtl w:val="true"/>
          <w:lang w:bidi="ar-SA"/>
        </w:rPr>
        <w:t xml:space="preserve">انّ النّبيّ صلّى اللّه عليه و آله أمرنا بأن لا ننزع خفافنا ثلاثة أيّام و لياليها إذا كنّا سفرا إلاّ من جنابة،و لكن من غائط أو بول أو نوم </w:t>
      </w:r>
      <w:r>
        <w:rPr>
          <w:rStyle w:val="FootnoteAnchor"/>
          <w:rtl w:val="true"/>
        </w:rPr>
        <w:footnoteReference w:id="12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مطلق النّوم على البول و الغائط الحدثين فكان المطلق حدثا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زرارة،عن أحدهما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 الوضوء إلاّ ما يخرج من طرفيك أو النّوم</w:t>
      </w:r>
      <w:r>
        <w:rPr>
          <w:rFonts w:eastAsia="Amiri" w:cs="Amiri" w:ascii="Amiri" w:hAnsi="Amiri"/>
          <w:color w:val="111111"/>
          <w:sz w:val="28"/>
          <w:szCs w:val="28"/>
          <w:rtl w:val="true"/>
          <w:lang w:bidi="ar-SA"/>
        </w:rPr>
        <w:t xml:space="preserve">)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رواه في الحسن،عن عبد الحميد بن عواض </w:t>
      </w:r>
      <w:r>
        <w:rPr>
          <w:rStyle w:val="FootnoteAnchor"/>
          <w:rtl w:val="true"/>
        </w:rPr>
        <w:footnoteReference w:id="1209"/>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نام و هو راكع أو ساجد أو ماش على أيّ الحالات،فعليه الوضوء</w:t>
      </w:r>
      <w:r>
        <w:rPr>
          <w:rFonts w:eastAsia="Amiri" w:cs="Amiri" w:ascii="Amiri" w:hAnsi="Amiri"/>
          <w:color w:val="111111"/>
          <w:sz w:val="28"/>
          <w:szCs w:val="28"/>
          <w:rtl w:val="true"/>
          <w:lang w:bidi="ar-SA"/>
        </w:rPr>
        <w:t xml:space="preserve">)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روى في الصّحيح،عن محمّد بن عبد اللّه </w:t>
      </w:r>
      <w:r>
        <w:rPr>
          <w:rStyle w:val="FootnoteAnchor"/>
          <w:rtl w:val="true"/>
        </w:rPr>
        <w:footnoteReference w:id="1211"/>
      </w:r>
      <w:r>
        <w:rPr>
          <w:rFonts w:ascii="Amiri" w:hAnsi="Amiri" w:eastAsia="Amiri" w:cs="Amiri"/>
          <w:color w:val="111111"/>
          <w:sz w:val="28"/>
          <w:sz w:val="28"/>
          <w:szCs w:val="28"/>
          <w:rtl w:val="true"/>
          <w:lang w:bidi="ar-SA"/>
        </w:rPr>
        <w:t>،و عبد اللّه بن المغيرة،قالا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سألنا الرّضا عليه السّلام عن الرّجل ينام على دابّته؟فقال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ذهب النّوم بالعقل فليعد الوضوء</w:t>
      </w:r>
      <w:r>
        <w:rPr>
          <w:rFonts w:eastAsia="Amiri" w:cs="Amiri" w:ascii="Amiri" w:hAnsi="Amiri"/>
          <w:color w:val="111111"/>
          <w:sz w:val="28"/>
          <w:szCs w:val="28"/>
          <w:rtl w:val="true"/>
          <w:lang w:bidi="ar-SA"/>
        </w:rPr>
        <w:t xml:space="preserve">)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في الصّحيح،عن إسحاق بن عبد اللّه الأشعريّ </w:t>
      </w:r>
      <w:r>
        <w:rPr>
          <w:rStyle w:val="FootnoteAnchor"/>
          <w:rtl w:val="true"/>
        </w:rPr>
        <w:footnoteReference w:id="1213"/>
      </w:r>
      <w:r>
        <w:rPr>
          <w:rFonts w:ascii="Amiri" w:hAnsi="Amiri" w:eastAsia="Amiri" w:cs="Amiri"/>
          <w:color w:val="111111"/>
          <w:sz w:val="28"/>
          <w:sz w:val="28"/>
          <w:szCs w:val="28"/>
          <w:rtl w:val="true"/>
          <w:lang w:bidi="ar-SA"/>
        </w:rPr>
        <w:t>،عن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 الوضوء إلاّ حدث،و النّوم حدث</w:t>
      </w:r>
      <w:r>
        <w:rPr>
          <w:rFonts w:eastAsia="Amiri" w:cs="Amiri" w:ascii="Amiri" w:hAnsi="Amiri"/>
          <w:color w:val="111111"/>
          <w:sz w:val="28"/>
          <w:szCs w:val="28"/>
          <w:rtl w:val="true"/>
          <w:lang w:bidi="ar-SA"/>
        </w:rPr>
        <w:t xml:space="preserve">)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ذكرنا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استقصاء الاعتبار في تحرير 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الاستدلال من هذا الحديث و ما فيه من المباحث اللّطيفة،و مع ذلك فلا نخلي هذا الكتاب عن بعضها،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الظّاهر انّ هذا الحديث يدلّ على انّ النّوم ناقض،و إذا اعتبر بنوع من الاعتبار، ورد عليه الإشكال من حيث خروجه عن شرائط القياس</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الاستدلال منه انّ كلّ واحد من أنواع الحدث اشترك مع غيره منها في معنى الحدث </w:t>
      </w:r>
      <w:r>
        <w:rPr>
          <w:rStyle w:val="FootnoteAnchor"/>
          <w:rtl w:val="true"/>
        </w:rPr>
        <w:footnoteReference w:id="1215"/>
      </w:r>
      <w:r>
        <w:rPr>
          <w:rFonts w:ascii="Amiri" w:hAnsi="Amiri" w:eastAsia="Amiri" w:cs="Amiri"/>
          <w:color w:val="111111"/>
          <w:sz w:val="28"/>
          <w:sz w:val="28"/>
          <w:szCs w:val="28"/>
          <w:rtl w:val="true"/>
          <w:lang w:bidi="ar-SA"/>
        </w:rPr>
        <w:t xml:space="preserve">،و امتاز عنه بخصوصيّته،و ما به الاشتراك غير ما به الامتياز،و غير داخل فيه،فماهيّة الحدث من حيث هي مغايرة لتلك الخصوصيّات،و الإمام عليه السّلام حكم باستناد </w:t>
      </w:r>
      <w:r>
        <w:rPr>
          <w:rStyle w:val="FootnoteAnchor"/>
          <w:rtl w:val="true"/>
        </w:rPr>
        <w:footnoteReference w:id="1216"/>
      </w:r>
      <w:r>
        <w:rPr>
          <w:rFonts w:ascii="Amiri" w:hAnsi="Amiri" w:eastAsia="Amiri" w:cs="Amiri"/>
          <w:color w:val="111111"/>
          <w:sz w:val="28"/>
          <w:sz w:val="28"/>
          <w:szCs w:val="28"/>
          <w:rtl w:val="true"/>
          <w:lang w:bidi="ar-SA"/>
        </w:rPr>
        <w:t xml:space="preserve">النّقض إلى الحدث الّذي هو المشترك،فلا يكون لقيد الخصوصيّات مدخل في </w:t>
      </w:r>
    </w:p>
    <w:p>
      <w:pPr>
        <w:pStyle w:val="BookText"/>
        <w:rPr/>
      </w:pPr>
      <w:r>
        <w:rPr>
          <w:rFonts w:ascii="Amiri" w:hAnsi="Amiri" w:eastAsia="Amiri" w:cs="Amiri"/>
          <w:color w:val="111111"/>
          <w:sz w:val="28"/>
          <w:sz w:val="28"/>
          <w:szCs w:val="28"/>
          <w:rtl w:val="true"/>
          <w:lang w:bidi="ar-SA"/>
        </w:rPr>
        <w:t>ذلك التّأثير،و حكم بأنّ تلك الماهيّة الّتي هي علّة موجودة في النّوم،و العقل قاض بأنّ المعلول لا يتخلّف عن علّته،فلا جرم،كان النّوم ناقضا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يعارض ما ذكرتم من الأثر بما رواه الشّيخ،عن عمران بن حمران </w:t>
      </w:r>
      <w:r>
        <w:rPr>
          <w:rStyle w:val="FootnoteAnchor"/>
          <w:rtl w:val="true"/>
        </w:rPr>
        <w:footnoteReference w:id="1217"/>
      </w:r>
      <w:r>
        <w:rPr>
          <w:rFonts w:ascii="Amiri" w:hAnsi="Amiri" w:eastAsia="Amiri" w:cs="Amiri"/>
          <w:color w:val="111111"/>
          <w:sz w:val="28"/>
          <w:sz w:val="28"/>
          <w:szCs w:val="28"/>
          <w:rtl w:val="true"/>
          <w:lang w:bidi="ar-SA"/>
        </w:rPr>
        <w:t>،انّه سمع عبدا صالحا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نام و هو جالس لا يتعمّد النّوم،فلا وضوء عليه</w:t>
      </w:r>
      <w:r>
        <w:rPr>
          <w:rFonts w:eastAsia="Amiri" w:cs="Amiri" w:ascii="Amiri" w:hAnsi="Amiri"/>
          <w:color w:val="111111"/>
          <w:sz w:val="28"/>
          <w:szCs w:val="28"/>
          <w:rtl w:val="true"/>
          <w:lang w:bidi="ar-SA"/>
        </w:rPr>
        <w:t xml:space="preserve">)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رواه عن بكر بن أبي بكر الحضرميّ </w:t>
      </w:r>
      <w:r>
        <w:rPr>
          <w:rStyle w:val="FootnoteAnchor"/>
          <w:rtl w:val="true"/>
        </w:rPr>
        <w:footnoteReference w:id="12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ينام الرّجل و هو جالس؟فقال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نام الرّجل و هو جالس مجتمع فليس عليه وضوء،و إن نام مضطجعا فعليه الوضوء</w:t>
      </w:r>
      <w:r>
        <w:rPr>
          <w:rFonts w:eastAsia="Amiri" w:cs="Amiri" w:ascii="Amiri" w:hAnsi="Amiri"/>
          <w:color w:val="111111"/>
          <w:sz w:val="28"/>
          <w:szCs w:val="28"/>
          <w:rtl w:val="true"/>
          <w:lang w:bidi="ar-SA"/>
        </w:rPr>
        <w:t xml:space="preserve">)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نمنع أوّلا صحّة سند الحديث،فإنّ عمران بن حمران لا يعرف حاله،و بكر بن أبي بكر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 ذلك على ما إذا لم يغلب النّوم على العقل،لما رواه في الصّحيح،عن أبي الصّباح الكنانيّ،عن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يخفق و هو في الصّلاة؟فقال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لا يحفظ حدثا منه إن كان،فعليه الوضوء و إعادة الصّلاة و إن كان يستيقن انّه لم يحدّث،فليس عليه وضوء و لا إعادة</w:t>
      </w:r>
      <w:r>
        <w:rPr>
          <w:rFonts w:eastAsia="Amiri" w:cs="Amiri" w:ascii="Amiri" w:hAnsi="Amiri"/>
          <w:color w:val="111111"/>
          <w:sz w:val="28"/>
          <w:szCs w:val="28"/>
          <w:rtl w:val="true"/>
          <w:lang w:bidi="ar-SA"/>
        </w:rPr>
        <w:t xml:space="preserve">)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في الصّحيح،عن زيد الشّحّام،قال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الخفقة </w:t>
      </w:r>
    </w:p>
    <w:p>
      <w:pPr>
        <w:pStyle w:val="BookText"/>
        <w:rPr/>
      </w:pPr>
      <w:r>
        <w:rPr>
          <w:rFonts w:ascii="Amiri" w:hAnsi="Amiri" w:eastAsia="Amiri" w:cs="Amiri"/>
          <w:color w:val="111111"/>
          <w:sz w:val="28"/>
          <w:sz w:val="28"/>
          <w:szCs w:val="28"/>
          <w:rtl w:val="true"/>
          <w:lang w:bidi="ar-SA"/>
        </w:rPr>
        <w:t>و الخفقتين؟فقال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أدري ما الخفقة و الخفقتان،انّ اللّه يقول بَلِ الْإِنْسانُ عَلى نَفْسِهِ بَصِيرَةٌ </w:t>
      </w:r>
      <w:r>
        <w:rPr>
          <w:rStyle w:val="FootnoteAnchor"/>
          <w:rtl w:val="true"/>
        </w:rPr>
        <w:footnoteReference w:id="1222"/>
      </w:r>
      <w:r>
        <w:rPr>
          <w:rFonts w:ascii="Amiri" w:hAnsi="Amiri" w:eastAsia="Amiri" w:cs="Amiri"/>
          <w:color w:val="111111"/>
          <w:sz w:val="28"/>
          <w:sz w:val="28"/>
          <w:szCs w:val="28"/>
          <w:rtl w:val="true"/>
          <w:lang w:bidi="ar-SA"/>
        </w:rPr>
        <w:t>إنّ عليّا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وجد طعم النّوم،فإنّما أوجب عليه الوضوء</w:t>
      </w:r>
      <w:r>
        <w:rPr>
          <w:rFonts w:eastAsia="Amiri" w:cs="Amiri" w:ascii="Amiri" w:hAnsi="Amiri"/>
          <w:color w:val="111111"/>
          <w:sz w:val="28"/>
          <w:szCs w:val="28"/>
          <w:rtl w:val="true"/>
          <w:lang w:bidi="ar-SA"/>
        </w:rPr>
        <w:t xml:space="preserve">)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 الصّحيح،عن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ينام و هو على وضوء،أ توجب الخفقة و الخفقتان عليه الوضوء؟فقال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زرارة قد تنام العين و لا ينام القلب و الاذن،فإذا نامت العين و الاذن و القلب،وجب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حرّك إلى جنبه شيء و لم يعلم 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حتّى يستيقن انّه قد نام،حتّى يجيء من ذلك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Style w:val="FootnoteAnchor"/>
          <w:rtl w:val="true"/>
        </w:rPr>
        <w:footnoteReference w:id="1224"/>
      </w:r>
      <w:r>
        <w:rPr>
          <w:rFonts w:ascii="Amiri" w:hAnsi="Amiri" w:eastAsia="Amiri" w:cs="Amiri"/>
          <w:color w:val="111111"/>
          <w:sz w:val="28"/>
          <w:sz w:val="28"/>
          <w:szCs w:val="28"/>
          <w:rtl w:val="true"/>
          <w:lang w:bidi="ar-SA"/>
        </w:rPr>
        <w:t>و إلاّ فإنّه على يقين من وضوئه و لا ينقض اليقين أبدا بالشّكّ،و لكن ينقضه بيقين آخر</w:t>
      </w:r>
      <w:r>
        <w:rPr>
          <w:rFonts w:eastAsia="Amiri" w:cs="Amiri" w:ascii="Amiri" w:hAnsi="Amiri"/>
          <w:color w:val="111111"/>
          <w:sz w:val="28"/>
          <w:szCs w:val="28"/>
          <w:rtl w:val="true"/>
          <w:lang w:bidi="ar-SA"/>
        </w:rPr>
        <w:t xml:space="preserve">)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المعقول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انّ النّوم سبب لخروج الحدث بواسطة ذهاب وكاء السّه،فصار كالنّوم متورّكا و مضطجعا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النّوم غالب على العقل و مزيل للتّمييز،فأشبه الإغماء،و لمّا كان المقيس عليه ناقضا على كلّ حال،فكذا المقيس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أبو حنيفة </w:t>
      </w:r>
      <w:r>
        <w:rPr>
          <w:rStyle w:val="FootnoteAnchor"/>
          <w:rtl w:val="true"/>
        </w:rPr>
        <w:footnoteReference w:id="1226"/>
      </w:r>
      <w:r>
        <w:rPr>
          <w:rFonts w:ascii="Amiri" w:hAnsi="Amiri" w:eastAsia="Amiri" w:cs="Amiri"/>
          <w:color w:val="111111"/>
          <w:sz w:val="28"/>
          <w:sz w:val="28"/>
          <w:szCs w:val="28"/>
          <w:rtl w:val="true"/>
          <w:lang w:bidi="ar-SA"/>
        </w:rPr>
        <w:t>بما رواه ابن عبّاس انّ النّبيّ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وضوء على من نام قائما أو راكعا أو ساجدا،إنّما الوضوء على من نام مضطجعا،فإذا اضطجع استرخت مفاصله</w:t>
      </w:r>
      <w:r>
        <w:rPr>
          <w:rFonts w:eastAsia="Amiri" w:cs="Amiri" w:ascii="Amiri" w:hAnsi="Amiri"/>
          <w:color w:val="111111"/>
          <w:sz w:val="28"/>
          <w:szCs w:val="28"/>
          <w:rtl w:val="true"/>
          <w:lang w:bidi="ar-SA"/>
        </w:rPr>
        <w:t xml:space="preserve">)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ابن عبّاس أيضا،قال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النّبيّ صلّى اللّه عليه و آله نام و هو ساجد حتّى غطّ و نفخ،ثمَّ قام فصلّى،فقلت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اللّه،صلّيت و لم تتوضّأ و قد نمت؟فقال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w:t>
      </w:r>
    </w:p>
    <w:p>
      <w:pPr>
        <w:pStyle w:val="BookText"/>
        <w:rPr/>
      </w:pPr>
      <w:r>
        <w:rPr>
          <w:rFonts w:ascii="IRNazanin" w:hAnsi="IRNazanin" w:eastAsia="IRNazanin"/>
          <w:color w:val="111111"/>
          <w:sz w:val="28"/>
          <w:sz w:val="28"/>
          <w:szCs w:val="28"/>
          <w:rtl w:val="true"/>
          <w:lang w:bidi="fa-IR"/>
        </w:rPr>
        <w:t>الوضوء على من نام مضطجعا،فإنّه إذا اضطجع استرخت مفاصله</w:t>
      </w:r>
      <w:r>
        <w:rPr>
          <w:rFonts w:eastAsia="IRNazanin" w:cs="IRNazanin"/>
          <w:color w:val="111111"/>
          <w:sz w:val="28"/>
          <w:szCs w:val="28"/>
          <w:rtl w:val="true"/>
          <w:lang w:bidi="fa-IR"/>
        </w:rPr>
        <w:t xml:space="preserve">)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حذيفة بن اليمان،قال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أنا جالس في صلاتي إذ رقدت،فوضع إنسان يده على كتفي و إذا النّبيّ صلّى اللّه عليه و آله،فقلت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عليّ من هذا وضوء؟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حتّى تضع جنبيك</w:t>
      </w:r>
      <w:r>
        <w:rPr>
          <w:rFonts w:eastAsia="Amiri" w:cs="Amiri" w:ascii="Amiri" w:hAnsi="Amiri"/>
          <w:color w:val="111111"/>
          <w:sz w:val="28"/>
          <w:szCs w:val="28"/>
          <w:rtl w:val="true"/>
          <w:lang w:bidi="ar-SA"/>
        </w:rPr>
        <w:t xml:space="preserve">)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أنس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نام العبد في سجوده باهى اللّه به ملائكته،فيقول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إلى عبدي،روحه عندي و جسده في طاعتي</w:t>
      </w:r>
      <w:r>
        <w:rPr>
          <w:rFonts w:eastAsia="Amiri" w:cs="Amiri" w:ascii="Amiri" w:hAnsi="Amiri"/>
          <w:color w:val="111111"/>
          <w:sz w:val="28"/>
          <w:szCs w:val="28"/>
          <w:rtl w:val="true"/>
          <w:lang w:bidi="ar-SA"/>
        </w:rPr>
        <w:t xml:space="preserve">) </w:t>
      </w:r>
      <w:r>
        <w:rPr>
          <w:rStyle w:val="FootnoteAnchor"/>
          <w:rtl w:val="true"/>
        </w:rPr>
        <w:footnoteReference w:id="1230"/>
      </w:r>
      <w:r>
        <w:rPr>
          <w:rFonts w:ascii="Amiri" w:hAnsi="Amiri" w:eastAsia="Amiri" w:cs="Amiri"/>
          <w:color w:val="111111"/>
          <w:sz w:val="28"/>
          <w:sz w:val="28"/>
          <w:szCs w:val="28"/>
          <w:rtl w:val="true"/>
          <w:lang w:bidi="ar-SA"/>
        </w:rPr>
        <w:t>فلو كان النّوم ناقضا لخرج عن كونه طائعا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استدلّ الشّافعيّ </w:t>
      </w:r>
      <w:r>
        <w:rPr>
          <w:rStyle w:val="FootnoteAnchor"/>
          <w:rtl w:val="true"/>
        </w:rPr>
        <w:footnoteReference w:id="1231"/>
      </w:r>
      <w:r>
        <w:rPr>
          <w:rFonts w:ascii="Amiri" w:hAnsi="Amiri" w:eastAsia="Amiri" w:cs="Amiri"/>
          <w:color w:val="111111"/>
          <w:sz w:val="28"/>
          <w:sz w:val="28"/>
          <w:szCs w:val="28"/>
          <w:rtl w:val="true"/>
          <w:lang w:bidi="ar-SA"/>
        </w:rPr>
        <w:t xml:space="preserve">بما رواه أنس انّ أصحاب رسول اللّه صلّى اللّه عليه و آله كانوا ينامون ثمَّ يقومون يصلّون و لا يتوضّئون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الحديث الأوّل من وجهين</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الطّعن في السّند،فإنّ راوية أبو خالد الدّالانيّ </w:t>
      </w:r>
      <w:r>
        <w:rPr>
          <w:rStyle w:val="FootnoteAnchor"/>
          <w:rtl w:val="true"/>
        </w:rPr>
        <w:footnoteReference w:id="1233"/>
      </w:r>
      <w:r>
        <w:rPr>
          <w:rFonts w:ascii="Amiri" w:hAnsi="Amiri" w:eastAsia="Amiri" w:cs="Amiri"/>
          <w:color w:val="111111"/>
          <w:sz w:val="28"/>
          <w:sz w:val="28"/>
          <w:szCs w:val="28"/>
          <w:rtl w:val="true"/>
          <w:lang w:bidi="ar-SA"/>
        </w:rPr>
        <w:t xml:space="preserve">،عن قتادة </w:t>
      </w:r>
      <w:r>
        <w:rPr>
          <w:rStyle w:val="FootnoteAnchor"/>
          <w:rtl w:val="true"/>
        </w:rPr>
        <w:footnoteReference w:id="1234"/>
      </w:r>
      <w:r>
        <w:rPr>
          <w:rFonts w:ascii="Amiri" w:hAnsi="Amiri" w:eastAsia="Amiri" w:cs="Amiri"/>
          <w:color w:val="111111"/>
          <w:sz w:val="28"/>
          <w:sz w:val="28"/>
          <w:szCs w:val="28"/>
          <w:rtl w:val="true"/>
          <w:lang w:bidi="ar-SA"/>
        </w:rPr>
        <w:t xml:space="preserve">،عن أبي </w:t>
      </w:r>
    </w:p>
    <w:p>
      <w:pPr>
        <w:pStyle w:val="BookText"/>
        <w:rPr/>
      </w:pPr>
      <w:r>
        <w:rPr>
          <w:rFonts w:ascii="Amiri" w:hAnsi="Amiri" w:eastAsia="Amiri" w:cs="Amiri"/>
          <w:color w:val="111111"/>
          <w:sz w:val="28"/>
          <w:sz w:val="28"/>
          <w:szCs w:val="28"/>
          <w:rtl w:val="true"/>
          <w:lang w:bidi="ar-SA"/>
        </w:rPr>
        <w:t xml:space="preserve">العالية </w:t>
      </w:r>
      <w:r>
        <w:rPr>
          <w:rStyle w:val="FootnoteAnchor"/>
          <w:rtl w:val="true"/>
        </w:rPr>
        <w:footnoteReference w:id="1235"/>
      </w:r>
      <w:r>
        <w:rPr>
          <w:rFonts w:ascii="Amiri" w:hAnsi="Amiri" w:eastAsia="Amiri" w:cs="Amiri"/>
          <w:color w:val="111111"/>
          <w:sz w:val="28"/>
          <w:sz w:val="28"/>
          <w:szCs w:val="28"/>
          <w:rtl w:val="true"/>
          <w:lang w:bidi="ar-SA"/>
        </w:rPr>
        <w:t>،عن ابن عبّاس،و أبو خالد لم يلق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شعبة </w:t>
      </w:r>
      <w:r>
        <w:rPr>
          <w:rStyle w:val="FootnoteAnchor"/>
          <w:rtl w:val="true"/>
        </w:rPr>
        <w:footnoteReference w:id="1236"/>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قتادة لم يسمع من أبي العالية إلاّ أربعة أحاديث أو ثلاثة،و ليس هذا الحديث منها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قتادة كان مدلّسا </w:t>
      </w:r>
      <w:r>
        <w:rPr>
          <w:rStyle w:val="FootnoteAnchor"/>
          <w:rtl w:val="true"/>
        </w:rPr>
        <w:footnoteReference w:id="1238"/>
      </w:r>
      <w:r>
        <w:rPr>
          <w:rFonts w:ascii="Amiri" w:hAnsi="Amiri" w:eastAsia="Amiri" w:cs="Amiri"/>
          <w:color w:val="111111"/>
          <w:sz w:val="28"/>
          <w:sz w:val="28"/>
          <w:szCs w:val="28"/>
          <w:rtl w:val="true"/>
          <w:lang w:bidi="ar-SA"/>
        </w:rPr>
        <w:t>،قال ابن سيرين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 عمّن شئت إلاّ عن الحسن و أبي العالية لأنّهما لم يكونا يباليان عمّن أخذا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مع التّسليم فهو غير حجّة،لأنّه عليه السّلام نصّ على الاضطجاع و نصّ على العلّة الّتي هي الاسترخاء،و ذلك يقتضي تعميم الحكم في جميع موارد صور العلّة،و هذان جوابان عن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أن يكون حذيفة غير مستغرق في النّوم بحيث يغيب عن مشاعره الإحساس و ليس في حديثه انّ رقاده انتهى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 الإيجاب بوضع الجنب إلى الأرض يقتضي السّلب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 هنا خرج مخرج الأغلب،فلا يدلّ على النّفي في غيره إجماعا كما في النّهي عن الإكراه عند إرادة التّحصّن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الرّابع بوجوه</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السّجود قد يكون في الصّلاة و في غيرها،و ليس في الحديث </w:t>
      </w:r>
      <w:bookmarkStart w:id="708" w:name="pg12672_159952"/>
    </w:p>
    <w:p>
      <w:pPr>
        <w:pStyle w:val="BookText"/>
        <w:rPr/>
      </w:pPr>
      <w:bookmarkEnd w:id="708"/>
      <w:r>
        <w:rPr>
          <w:rFonts w:ascii="Amiri" w:hAnsi="Amiri" w:eastAsia="Amiri" w:cs="Amiri"/>
          <w:color w:val="111111"/>
          <w:sz w:val="28"/>
          <w:sz w:val="28"/>
          <w:szCs w:val="28"/>
          <w:rtl w:val="true"/>
          <w:lang w:bidi="ar-SA"/>
        </w:rPr>
        <w:t>إشعار بذكر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جسده في طاعتي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 حمله على حالة النّوم،بل يكون إشارة إلى حاله قبل النّوم،لأنّه في تلك الحال خرج عن أن يكون مكلّفا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قد روي هذا الحديث بغير هذه العبارة،فإنّه قد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روحه عندي و جسده بين يديّ</w:t>
      </w:r>
      <w:r>
        <w:rPr>
          <w:rFonts w:eastAsia="Amiri" w:cs="Amiri" w:ascii="Amiri" w:hAnsi="Amiri"/>
          <w:color w:val="111111"/>
          <w:sz w:val="28"/>
          <w:szCs w:val="28"/>
          <w:rtl w:val="true"/>
          <w:lang w:bidi="ar-SA"/>
        </w:rPr>
        <w:t xml:space="preserve">) </w:t>
      </w:r>
      <w:r>
        <w:rPr>
          <w:rStyle w:val="FootnoteAnchor"/>
          <w:rtl w:val="true"/>
        </w:rPr>
        <w:footnoteReference w:id="1240"/>
      </w:r>
      <w:r>
        <w:rPr>
          <w:rFonts w:ascii="Amiri" w:hAnsi="Amiri" w:eastAsia="Amiri" w:cs="Amiri"/>
          <w:color w:val="111111"/>
          <w:sz w:val="28"/>
          <w:sz w:val="28"/>
          <w:szCs w:val="28"/>
          <w:rtl w:val="true"/>
          <w:lang w:bidi="ar-SA"/>
        </w:rPr>
        <w:t>و حينئذ لا 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حديث الشّافعيّ ضعيف،لأنّ رواية أنس على النّفي غير 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ينامون،حكاية حال،فلا يعمّ،فجاز أن يكون المراد بذلك غير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حكاية عن حال خفيّة عنه استدلّ عليها بظاهر فعلهم،فأمكن أن يظنّ نوما ما ليس بنوم</w:t>
      </w:r>
      <w:r>
        <w:rPr>
          <w:rFonts w:eastAsia="Amiri" w:cs="Amiri" w:ascii="Amiri" w:hAnsi="Amiri"/>
          <w:color w:val="111111"/>
          <w:sz w:val="28"/>
          <w:szCs w:val="28"/>
          <w:rtl w:val="true"/>
          <w:lang w:bidi="ar-SA"/>
        </w:rPr>
        <w:t>.</w:t>
      </w:r>
    </w:p>
    <w:p>
      <w:pPr>
        <w:pStyle w:val="Heading6"/>
        <w:numPr>
          <w:ilvl w:val="5"/>
          <w:numId w:val="1"/>
        </w:numPr>
        <w:rPr/>
      </w:pPr>
      <w:bookmarkStart w:id="709" w:name="__RefHeading___Toc747179_222507752"/>
      <w:bookmarkStart w:id="710" w:name="_Toc280"/>
      <w:bookmarkEnd w:id="709"/>
      <w:r>
        <w:rPr>
          <w:rtl w:val="true"/>
        </w:rPr>
        <w:t>فروع</w:t>
      </w:r>
      <w:r>
        <w:rPr>
          <w:rtl w:val="true"/>
        </w:rPr>
        <w:t>:</w:t>
      </w:r>
      <w:bookmarkEnd w:id="710"/>
    </w:p>
    <w:p>
      <w:pPr>
        <w:pStyle w:val="Heading6"/>
        <w:numPr>
          <w:ilvl w:val="5"/>
          <w:numId w:val="1"/>
        </w:numPr>
        <w:rPr/>
      </w:pPr>
      <w:bookmarkStart w:id="711" w:name="__RefHeading___Toc747181_222507752"/>
      <w:bookmarkStart w:id="712" w:name="_Toc281"/>
      <w:bookmarkEnd w:id="711"/>
      <w:r>
        <w:rPr>
          <w:rtl w:val="true"/>
        </w:rPr>
        <w:t>الأوّل</w:t>
      </w:r>
      <w:r>
        <w:rPr>
          <w:rtl w:val="true"/>
        </w:rPr>
        <w:t>:</w:t>
      </w:r>
      <w:r>
        <w:rPr>
          <w:rtl w:val="true"/>
        </w:rPr>
        <w:t>السّنة غير ناقضة</w:t>
      </w:r>
      <w:bookmarkEnd w:id="712"/>
    </w:p>
    <w:p>
      <w:pPr>
        <w:pStyle w:val="BookText"/>
        <w:rPr/>
      </w:pPr>
      <w:r>
        <w:rPr>
          <w:rFonts w:ascii="Amiri" w:hAnsi="Amiri" w:eastAsia="Amiri" w:cs="Amiri"/>
          <w:color w:val="111111"/>
          <w:sz w:val="28"/>
          <w:sz w:val="28"/>
          <w:szCs w:val="28"/>
          <w:rtl w:val="true"/>
          <w:lang w:bidi="ar-SA"/>
        </w:rPr>
        <w:t xml:space="preserve">،و المراد منها ابتداء النّعاس،لأنّه في تلك الحال لا يسمّى نائما،و لأنّ النّقض مشروط بزوال العقل لرواية أبي الصّباح و زرارة،و قد تقدّمتا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13" w:name="__RefHeading___Toc747183_222507752"/>
      <w:bookmarkStart w:id="714" w:name="_Toc282"/>
      <w:bookmarkEnd w:id="713"/>
      <w:r>
        <w:rPr>
          <w:rtl w:val="true"/>
        </w:rPr>
        <w:t>الثّاني</w:t>
      </w:r>
      <w:r>
        <w:rPr>
          <w:rtl w:val="true"/>
        </w:rPr>
        <w:t>:</w:t>
      </w:r>
      <w:r>
        <w:rPr>
          <w:rtl w:val="true"/>
        </w:rPr>
        <w:t>كلّما غلب على العقل من إغماء أو جنون أو سكر أو غيره،ناقض</w:t>
      </w:r>
      <w:bookmarkEnd w:id="714"/>
    </w:p>
    <w:p>
      <w:pPr>
        <w:pStyle w:val="BookText"/>
        <w:rPr/>
      </w:pPr>
      <w:r>
        <w:rPr>
          <w:rFonts w:ascii="Amiri" w:hAnsi="Amiri" w:eastAsia="Amiri" w:cs="Amiri"/>
          <w:color w:val="111111"/>
          <w:sz w:val="28"/>
          <w:sz w:val="28"/>
          <w:szCs w:val="28"/>
          <w:rtl w:val="true"/>
          <w:lang w:bidi="ar-SA"/>
        </w:rPr>
        <w:t>،لا نعرف خلافا فيه بين أهل العلم،لأنّ النّوم الّذي يجوز معه الحدث موجب للوضوء،فالإغماء، و السّكر أولى</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رواه الشّيخ في الصّحيح،عن معمّر بن خلاّد </w:t>
      </w:r>
      <w:r>
        <w:rPr>
          <w:rStyle w:val="FootnoteAnchor"/>
          <w:rtl w:val="true"/>
        </w:rPr>
        <w:footnoteReference w:id="12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رجل به علّة لا يقدر على الاضطجاع،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الوضوء</w:t>
      </w:r>
      <w:r>
        <w:rPr>
          <w:rFonts w:eastAsia="Amiri" w:cs="Amiri" w:ascii="Amiri" w:hAnsi="Amiri"/>
          <w:color w:val="111111"/>
          <w:sz w:val="28"/>
          <w:szCs w:val="28"/>
          <w:rtl w:val="true"/>
          <w:lang w:bidi="ar-SA"/>
        </w:rPr>
        <w:t xml:space="preserve">] </w:t>
      </w:r>
      <w:r>
        <w:rPr>
          <w:rStyle w:val="FootnoteAnchor"/>
          <w:rtl w:val="true"/>
        </w:rPr>
        <w:footnoteReference w:id="1243"/>
      </w:r>
      <w:r>
        <w:rPr>
          <w:rFonts w:ascii="Amiri" w:hAnsi="Amiri" w:eastAsia="Amiri" w:cs="Amiri"/>
          <w:color w:val="111111"/>
          <w:sz w:val="28"/>
          <w:sz w:val="28"/>
          <w:szCs w:val="28"/>
          <w:rtl w:val="true"/>
          <w:lang w:bidi="ar-SA"/>
        </w:rPr>
        <w:t>يشتدّ عليه و هو قاعد مستند بالوسائد فربّما أغفى و هو قاعد على تلك الحال؟قال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يتوضّأ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الوضوء يشتدّ عليه؟فقال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خفي عنه الصّوت فقد وجب عليه الوضوء</w:t>
      </w:r>
      <w:r>
        <w:rPr>
          <w:rFonts w:eastAsia="Amiri" w:cs="Amiri" w:ascii="Amiri" w:hAnsi="Amiri"/>
          <w:color w:val="111111"/>
          <w:sz w:val="28"/>
          <w:szCs w:val="28"/>
          <w:rtl w:val="true"/>
          <w:lang w:bidi="ar-SA"/>
        </w:rPr>
        <w:t xml:space="preserve">) </w:t>
      </w:r>
      <w:r>
        <w:rPr>
          <w:rStyle w:val="FootnoteAnchor"/>
          <w:rtl w:val="true"/>
        </w:rPr>
        <w:footnoteReference w:id="1244"/>
      </w:r>
      <w:r>
        <w:rPr>
          <w:rFonts w:ascii="Amiri" w:hAnsi="Amiri" w:eastAsia="Amiri" w:cs="Amiri"/>
          <w:color w:val="111111"/>
          <w:sz w:val="28"/>
          <w:sz w:val="28"/>
          <w:szCs w:val="28"/>
          <w:rtl w:val="true"/>
          <w:lang w:bidi="ar-SA"/>
        </w:rPr>
        <w:t>علّق الحكم بخفاء الصّوت فيطّرد</w:t>
      </w:r>
      <w:r>
        <w:rPr>
          <w:rFonts w:eastAsia="Amiri" w:cs="Amiri" w:ascii="Amiri" w:hAnsi="Amiri"/>
          <w:color w:val="111111"/>
          <w:sz w:val="28"/>
          <w:szCs w:val="28"/>
          <w:rtl w:val="true"/>
          <w:lang w:bidi="ar-SA"/>
        </w:rPr>
        <w:t xml:space="preserve">. </w:t>
      </w:r>
      <w:bookmarkStart w:id="715" w:name="pg12672_159953"/>
    </w:p>
    <w:p>
      <w:pPr>
        <w:pStyle w:val="BookText"/>
        <w:rPr/>
      </w:pPr>
      <w:bookmarkEnd w:id="715"/>
      <w:r>
        <w:rPr>
          <w:rFonts w:ascii="Amiri" w:hAnsi="Amiri" w:eastAsia="Amiri" w:cs="Amiri"/>
          <w:color w:val="111111"/>
          <w:sz w:val="28"/>
          <w:sz w:val="28"/>
          <w:szCs w:val="28"/>
          <w:rtl w:val="true"/>
          <w:lang w:bidi="ar-SA"/>
        </w:rPr>
        <w:t>و أجمع العلماء على عدم وجوب الغسل على المغمى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ما جنّ إنسان إلاّ أنزل </w:t>
      </w:r>
      <w:r>
        <w:rPr>
          <w:rStyle w:val="FootnoteAnchor"/>
          <w:rtl w:val="true"/>
        </w:rPr>
        <w:footnoteReference w:id="1245"/>
      </w:r>
      <w:r>
        <w:rPr>
          <w:rFonts w:ascii="Amiri" w:hAnsi="Amiri" w:eastAsia="Amiri" w:cs="Amiri"/>
          <w:color w:val="111111"/>
          <w:sz w:val="28"/>
          <w:sz w:val="28"/>
          <w:szCs w:val="28"/>
          <w:rtl w:val="true"/>
          <w:lang w:bidi="ar-SA"/>
        </w:rPr>
        <w:t xml:space="preserve">،و المعتمد انّه لا يجب الغسل على المغمى عليه أيضا،لأنّ ما ذكره الشّافعيّ لم يعلم تحقّقه </w:t>
      </w:r>
      <w:r>
        <w:rPr>
          <w:rFonts w:eastAsia="Amiri" w:cs="Amiri" w:ascii="Amiri" w:hAnsi="Amiri"/>
          <w:color w:val="111111"/>
          <w:sz w:val="28"/>
          <w:szCs w:val="28"/>
          <w:rtl w:val="true"/>
          <w:lang w:bidi="ar-SA"/>
        </w:rPr>
        <w:t>.</w:t>
      </w:r>
    </w:p>
    <w:p>
      <w:pPr>
        <w:pStyle w:val="Heading6"/>
        <w:numPr>
          <w:ilvl w:val="5"/>
          <w:numId w:val="1"/>
        </w:numPr>
        <w:rPr/>
      </w:pPr>
      <w:bookmarkStart w:id="716" w:name="__RefHeading___Toc747185_222507752"/>
      <w:bookmarkStart w:id="717" w:name="_Toc283"/>
      <w:bookmarkEnd w:id="716"/>
      <w:r>
        <w:rPr>
          <w:rtl w:val="true"/>
        </w:rPr>
        <w:t>الثّالث</w:t>
      </w:r>
      <w:r>
        <w:rPr>
          <w:rtl w:val="true"/>
        </w:rPr>
        <w:t>:</w:t>
      </w:r>
      <w:r>
        <w:rPr>
          <w:rtl w:val="true"/>
        </w:rPr>
        <w:t>لو نام المريض مضطجعا،نقض وضوؤه</w:t>
      </w:r>
      <w:bookmarkEnd w:id="717"/>
    </w:p>
    <w:p>
      <w:pPr>
        <w:pStyle w:val="BookText"/>
        <w:rPr/>
      </w:pPr>
      <w:r>
        <w:rPr>
          <w:rFonts w:ascii="Amiri" w:hAnsi="Amiri" w:eastAsia="Amiri" w:cs="Amiri"/>
          <w:color w:val="111111"/>
          <w:sz w:val="28"/>
          <w:sz w:val="28"/>
          <w:szCs w:val="28"/>
          <w:rtl w:val="true"/>
          <w:lang w:bidi="ar-SA"/>
        </w:rPr>
        <w:t xml:space="preserve">لما ذكرناه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اختلفت الحنفيّة فيه،فقال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ينقض،و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ينقض،لأنّه بمنزلة القائم و القاعد،و إن اتّفقوا على انّ النّوم كذلك في غير حال الصّلاة ناقض </w:t>
      </w:r>
      <w:r>
        <w:rPr>
          <w:rFonts w:eastAsia="Amiri" w:cs="Amiri" w:ascii="Amiri" w:hAnsi="Amiri"/>
          <w:color w:val="111111"/>
          <w:sz w:val="28"/>
          <w:szCs w:val="28"/>
          <w:rtl w:val="true"/>
          <w:lang w:bidi="ar-SA"/>
        </w:rPr>
        <w:t>.</w:t>
      </w:r>
    </w:p>
    <w:p>
      <w:pPr>
        <w:pStyle w:val="Heading6"/>
        <w:numPr>
          <w:ilvl w:val="5"/>
          <w:numId w:val="1"/>
        </w:numPr>
        <w:rPr/>
      </w:pPr>
      <w:bookmarkStart w:id="718" w:name="__RefHeading___Toc747187_222507752"/>
      <w:bookmarkStart w:id="719" w:name="_Toc284"/>
      <w:bookmarkEnd w:id="718"/>
      <w:r>
        <w:rPr>
          <w:rtl w:val="true"/>
        </w:rPr>
        <w:t>مسألة</w:t>
      </w:r>
      <w:r>
        <w:rPr>
          <w:rtl w:val="true"/>
        </w:rPr>
        <w:t>:</w:t>
      </w:r>
      <w:r>
        <w:rPr>
          <w:rtl w:val="true"/>
        </w:rPr>
        <w:t>المشهور عند الأصحاب انّ الاستحاضة القليلة حدث موجب للوضوء</w:t>
      </w:r>
      <w:bookmarkEnd w:id="719"/>
    </w:p>
    <w:p>
      <w:pPr>
        <w:pStyle w:val="BookText"/>
        <w:rPr/>
      </w:pPr>
      <w:r>
        <w:rPr>
          <w:rFonts w:ascii="Amiri" w:hAnsi="Amiri" w:eastAsia="Amiri" w:cs="Amiri"/>
          <w:color w:val="111111"/>
          <w:sz w:val="28"/>
          <w:sz w:val="28"/>
          <w:szCs w:val="28"/>
          <w:rtl w:val="true"/>
          <w:lang w:bidi="ar-SA"/>
        </w:rPr>
        <w:t xml:space="preserve">،خلافا لابن أبي عقيل منّا </w:t>
      </w:r>
      <w:r>
        <w:rPr>
          <w:rStyle w:val="FootnoteAnchor"/>
          <w:rtl w:val="true"/>
        </w:rPr>
        <w:footnoteReference w:id="1247"/>
      </w:r>
      <w:r>
        <w:rPr>
          <w:rFonts w:ascii="Amiri" w:hAnsi="Amiri" w:eastAsia="Amiri" w:cs="Amiri"/>
          <w:color w:val="111111"/>
          <w:sz w:val="28"/>
          <w:sz w:val="28"/>
          <w:szCs w:val="28"/>
          <w:rtl w:val="true"/>
          <w:lang w:bidi="ar-SA"/>
        </w:rPr>
        <w:t xml:space="preserve">،و هو قول أكثر الجمهور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عقيل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عليها 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على المستحاضة مطلقا وضوء </w:t>
      </w:r>
      <w:r>
        <w:rPr>
          <w:rStyle w:val="FootnoteAnchor"/>
          <w:rtl w:val="true"/>
        </w:rPr>
        <w:footnoteReference w:id="12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ربيعة </w:t>
      </w:r>
      <w:r>
        <w:rPr>
          <w:rStyle w:val="FootnoteAnchor"/>
          <w:rtl w:val="true"/>
        </w:rPr>
        <w:footnoteReference w:id="1250"/>
      </w:r>
      <w:r>
        <w:rPr>
          <w:rFonts w:ascii="Amiri" w:hAnsi="Amiri" w:eastAsia="Amiri" w:cs="Amiri"/>
          <w:color w:val="111111"/>
          <w:sz w:val="28"/>
          <w:sz w:val="28"/>
          <w:szCs w:val="28"/>
          <w:rtl w:val="true"/>
          <w:lang w:bidi="ar-SA"/>
        </w:rPr>
        <w:t xml:space="preserve">و مالك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النّبيّ صلّى اللّه عليه و آله،انّه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المستحاضة تتوضّأ لكلّ صلاة</w:t>
      </w:r>
      <w:r>
        <w:rPr>
          <w:rFonts w:eastAsia="Amiri" w:cs="Amiri" w:ascii="Amiri" w:hAnsi="Amiri"/>
          <w:color w:val="111111"/>
          <w:sz w:val="28"/>
          <w:szCs w:val="28"/>
          <w:rtl w:val="true"/>
          <w:lang w:bidi="ar-SA"/>
        </w:rPr>
        <w:t xml:space="preserve">)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الدّم لا يثقب الكرسف،توضّأت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دخلت </w:t>
      </w:r>
      <w:bookmarkStart w:id="720" w:name="pg12672_159954"/>
    </w:p>
    <w:p>
      <w:pPr>
        <w:pStyle w:val="BookText"/>
        <w:rPr/>
      </w:pPr>
      <w:bookmarkEnd w:id="720"/>
      <w:r>
        <w:rPr>
          <w:rFonts w:ascii="IRNazanin" w:hAnsi="IRNazanin" w:eastAsia="IRNazanin"/>
          <w:color w:val="111111"/>
          <w:sz w:val="28"/>
          <w:sz w:val="28"/>
          <w:szCs w:val="28"/>
          <w:rtl w:val="true"/>
          <w:lang w:bidi="fa-IR"/>
        </w:rPr>
        <w:t>المسجد</w:t>
      </w:r>
      <w:r>
        <w:rPr>
          <w:rFonts w:eastAsia="IRNazanin" w:cs="IRNazanin"/>
          <w:color w:val="111111"/>
          <w:sz w:val="28"/>
          <w:szCs w:val="28"/>
          <w:rtl w:val="true"/>
          <w:lang w:bidi="fa-IR"/>
        </w:rPr>
        <w:t xml:space="preserve">] </w:t>
      </w:r>
      <w:r>
        <w:rPr>
          <w:rStyle w:val="FootnoteAnchor"/>
          <w:rtl w:val="true"/>
        </w:rPr>
        <w:footnoteReference w:id="1253"/>
      </w:r>
      <w:r>
        <w:rPr>
          <w:rFonts w:ascii="Amiri" w:hAnsi="Amiri" w:eastAsia="Amiri" w:cs="Amiri"/>
          <w:color w:val="111111"/>
          <w:sz w:val="28"/>
          <w:sz w:val="28"/>
          <w:szCs w:val="28"/>
          <w:rtl w:val="true"/>
          <w:lang w:bidi="ar-SA"/>
        </w:rPr>
        <w:t>و صلّت كلّ صلاة بوضوء</w:t>
      </w:r>
      <w:r>
        <w:rPr>
          <w:rFonts w:eastAsia="Amiri" w:cs="Amiri" w:ascii="Amiri" w:hAnsi="Amiri"/>
          <w:color w:val="111111"/>
          <w:sz w:val="28"/>
          <w:szCs w:val="28"/>
          <w:rtl w:val="true"/>
          <w:lang w:bidi="ar-SA"/>
        </w:rPr>
        <w:t xml:space="preserve">)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زرارة،عن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تصلّي كلّ صلاة بوضوء ما لم يثقب الدّم</w:t>
      </w:r>
      <w:r>
        <w:rPr>
          <w:rFonts w:eastAsia="Amiri" w:cs="Amiri" w:ascii="Amiri" w:hAnsi="Amiri"/>
          <w:color w:val="111111"/>
          <w:sz w:val="28"/>
          <w:szCs w:val="28"/>
          <w:rtl w:val="true"/>
          <w:lang w:bidi="ar-SA"/>
        </w:rPr>
        <w:t xml:space="preserve">) </w:t>
      </w:r>
      <w:r>
        <w:rPr>
          <w:rStyle w:val="FootnoteAnchor"/>
          <w:rtl w:val="true"/>
        </w:rPr>
        <w:footnoteReference w:id="1255"/>
      </w:r>
      <w:r>
        <w:rPr>
          <w:rFonts w:ascii="Amiri" w:hAnsi="Amiri" w:eastAsia="Amiri" w:cs="Amiri"/>
          <w:color w:val="111111"/>
          <w:sz w:val="28"/>
          <w:sz w:val="28"/>
          <w:szCs w:val="28"/>
          <w:rtl w:val="true"/>
          <w:lang w:bidi="ar-SA"/>
        </w:rPr>
        <w:t xml:space="preserve">و في طريقها ابن بكير و إن كان فيه قول،إلاّ انّ أصحابنا شهدوا له بالثّقة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مالك بقول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قطر الدّم على الحصير</w:t>
      </w:r>
      <w:r>
        <w:rPr>
          <w:rFonts w:eastAsia="Amiri" w:cs="Amiri" w:ascii="Amiri" w:hAnsi="Amiri"/>
          <w:color w:val="111111"/>
          <w:sz w:val="28"/>
          <w:szCs w:val="28"/>
          <w:rtl w:val="true"/>
          <w:lang w:bidi="ar-SA"/>
        </w:rPr>
        <w:t xml:space="preserve">)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المراد به في الوقت،لأنّ طهارتها باقية ببقاء الوقت،و لأنّا نقول بموجبة،لأنّها مكلّفة بالصّلاة و إن كان الدّم يسيل،و لأنّ النّبيّ صلّى اللّه عليه و آله،قال في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توضّئي و 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خارج نجس،فصار كالبول</w:t>
      </w:r>
      <w:r>
        <w:rPr>
          <w:rFonts w:eastAsia="Amiri" w:cs="Amiri" w:ascii="Amiri" w:hAnsi="Amiri"/>
          <w:color w:val="111111"/>
          <w:sz w:val="28"/>
          <w:szCs w:val="28"/>
          <w:rtl w:val="true"/>
          <w:lang w:bidi="ar-SA"/>
        </w:rPr>
        <w:t>.</w:t>
      </w:r>
    </w:p>
    <w:p>
      <w:pPr>
        <w:pStyle w:val="Heading6"/>
        <w:numPr>
          <w:ilvl w:val="5"/>
          <w:numId w:val="1"/>
        </w:numPr>
        <w:rPr/>
      </w:pPr>
      <w:bookmarkStart w:id="721" w:name="__RefHeading___Toc747189_222507752"/>
      <w:bookmarkStart w:id="722" w:name="_Toc285"/>
      <w:bookmarkEnd w:id="721"/>
      <w:r>
        <w:rPr>
          <w:rtl w:val="true"/>
        </w:rPr>
        <w:t>فروع</w:t>
      </w:r>
      <w:r>
        <w:rPr>
          <w:rtl w:val="true"/>
        </w:rPr>
        <w:t>:</w:t>
      </w:r>
      <w:bookmarkEnd w:id="722"/>
    </w:p>
    <w:p>
      <w:pPr>
        <w:pStyle w:val="Heading6"/>
        <w:numPr>
          <w:ilvl w:val="5"/>
          <w:numId w:val="1"/>
        </w:numPr>
        <w:rPr/>
      </w:pPr>
      <w:bookmarkStart w:id="723" w:name="__RefHeading___Toc747191_222507752"/>
      <w:bookmarkStart w:id="724" w:name="_Toc286"/>
      <w:bookmarkEnd w:id="723"/>
      <w:r>
        <w:rPr>
          <w:rtl w:val="true"/>
        </w:rPr>
        <w:t>الأوّل</w:t>
      </w:r>
      <w:r>
        <w:rPr>
          <w:rtl w:val="true"/>
        </w:rPr>
        <w:t>:</w:t>
      </w:r>
      <w:r>
        <w:rPr>
          <w:rtl w:val="true"/>
        </w:rPr>
        <w:t>لا تجمع المستحاضة بين صلاتين بوضوء واحد</w:t>
      </w:r>
      <w:bookmarkEnd w:id="724"/>
    </w:p>
    <w:p>
      <w:pPr>
        <w:pStyle w:val="BookText"/>
        <w:rPr/>
      </w:pPr>
      <w:r>
        <w:rPr>
          <w:rFonts w:ascii="Amiri" w:hAnsi="Amiri" w:eastAsia="Amiri" w:cs="Amiri"/>
          <w:color w:val="111111"/>
          <w:sz w:val="28"/>
          <w:sz w:val="28"/>
          <w:szCs w:val="28"/>
          <w:rtl w:val="true"/>
          <w:lang w:bidi="ar-SA"/>
        </w:rPr>
        <w:t>سواء كانا فرضين أو أحدهما أو نفلين</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تتوضّأ لكلّ فرض و لا تجمع بين فرضين بوضوء،و لها أن تجمع بين فرض و نفل و بين نوافل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 xml:space="preserve">. </w:t>
      </w:r>
      <w:bookmarkStart w:id="725" w:name="pg12672_159955"/>
    </w:p>
    <w:p>
      <w:pPr>
        <w:pStyle w:val="BookText"/>
        <w:rPr/>
      </w:pPr>
      <w:bookmarkEnd w:id="725"/>
      <w:r>
        <w:rPr>
          <w:rFonts w:ascii="Amiri" w:hAnsi="Amiri" w:eastAsia="Amiri" w:cs="Amiri"/>
          <w:color w:val="111111"/>
          <w:sz w:val="28"/>
          <w:sz w:val="28"/>
          <w:szCs w:val="28"/>
          <w:rtl w:val="true"/>
          <w:lang w:bidi="ar-SA"/>
        </w:rPr>
        <w:t>و قال أبو حنيفة و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تصلّي بوضوء واحد ما شاءت من الفرائض و النّوافل ما دامت في الوقت </w:t>
      </w:r>
      <w:r>
        <w:rPr>
          <w:rStyle w:val="FootnoteAnchor"/>
          <w:rtl w:val="true"/>
        </w:rPr>
        <w:footnoteReference w:id="1259"/>
      </w:r>
      <w:r>
        <w:rPr>
          <w:rFonts w:ascii="IRNazanin" w:hAnsi="IRNazanin" w:eastAsia="IRNazanin"/>
          <w:color w:val="111111"/>
          <w:sz w:val="28"/>
          <w:sz w:val="28"/>
          <w:szCs w:val="28"/>
          <w:rtl w:val="true"/>
          <w:lang w:bidi="fa-IR"/>
        </w:rPr>
        <w:t xml:space="preserve">، </w:t>
      </w:r>
      <w:r>
        <w:rPr>
          <w:rStyle w:val="FootnoteAnchor"/>
          <w:rtl w:val="true"/>
        </w:rPr>
        <w:footnoteReference w:id="12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الشّيخ في المبسوط اختار قول الشّافعيّ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رويناه من حديث زرارة و معاوية من قولهما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تتوضّأ لكلّ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الجمهور عن النّبيّ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المستحاضة تتوضّأ لكلّ صلاة</w:t>
      </w:r>
      <w:r>
        <w:rPr>
          <w:rFonts w:eastAsia="Amiri" w:cs="Amiri" w:ascii="Amiri" w:hAnsi="Amiri"/>
          <w:color w:val="111111"/>
          <w:sz w:val="28"/>
          <w:szCs w:val="28"/>
          <w:rtl w:val="true"/>
          <w:lang w:bidi="ar-SA"/>
        </w:rPr>
        <w:t xml:space="preserve">) </w:t>
      </w:r>
      <w:r>
        <w:rPr>
          <w:rStyle w:val="FootnoteAnchor"/>
          <w:rtl w:val="true"/>
        </w:rPr>
        <w:footnoteReference w:id="1262"/>
      </w:r>
      <w:r>
        <w:rPr>
          <w:rFonts w:ascii="Amiri" w:hAnsi="Amiri" w:eastAsia="Amiri" w:cs="Amiri"/>
          <w:color w:val="111111"/>
          <w:sz w:val="28"/>
          <w:sz w:val="28"/>
          <w:szCs w:val="28"/>
          <w:rtl w:val="true"/>
          <w:lang w:bidi="ar-SA"/>
        </w:rPr>
        <w:t xml:space="preserve">و لأنّها طهارة ضروريّة لكون الحدث مقارنا لها،فيتقدّر بقدر الضّرورة و هو الصّلاة الواحدة </w:t>
      </w:r>
      <w:r>
        <w:rPr>
          <w:rFonts w:eastAsia="Amiri" w:cs="Amiri" w:ascii="Amiri" w:hAnsi="Amiri"/>
          <w:color w:val="111111"/>
          <w:sz w:val="28"/>
          <w:szCs w:val="28"/>
          <w:rtl w:val="true"/>
          <w:lang w:bidi="ar-SA"/>
        </w:rPr>
        <w:t>.</w:t>
      </w:r>
    </w:p>
    <w:p>
      <w:pPr>
        <w:pStyle w:val="Heading6"/>
        <w:numPr>
          <w:ilvl w:val="5"/>
          <w:numId w:val="1"/>
        </w:numPr>
        <w:rPr/>
      </w:pPr>
      <w:bookmarkStart w:id="726" w:name="__RefHeading___Toc747193_222507752"/>
      <w:bookmarkStart w:id="727" w:name="_Toc287"/>
      <w:bookmarkEnd w:id="726"/>
      <w:r>
        <w:rPr>
          <w:rtl w:val="true"/>
        </w:rPr>
        <w:t>الثّاني</w:t>
      </w:r>
      <w:r>
        <w:rPr>
          <w:rtl w:val="true"/>
        </w:rPr>
        <w:t>:</w:t>
      </w:r>
      <w:r>
        <w:rPr>
          <w:rtl w:val="true"/>
        </w:rPr>
        <w:t>لو توضّأت قبل دخول الوقت،لم يصحّ لعدم الضّرورة</w:t>
      </w:r>
      <w:bookmarkEnd w:id="727"/>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تتوضّأ لكلّ صلاة</w:t>
      </w:r>
      <w:r>
        <w:rPr>
          <w:rFonts w:eastAsia="Amiri" w:cs="Amiri" w:ascii="Amiri" w:hAnsi="Amiri"/>
          <w:color w:val="111111"/>
          <w:sz w:val="28"/>
          <w:szCs w:val="28"/>
          <w:rtl w:val="true"/>
          <w:lang w:bidi="ar-SA"/>
        </w:rPr>
        <w:t>) .</w:t>
      </w:r>
    </w:p>
    <w:p>
      <w:pPr>
        <w:pStyle w:val="Heading6"/>
        <w:numPr>
          <w:ilvl w:val="5"/>
          <w:numId w:val="1"/>
        </w:numPr>
        <w:rPr/>
      </w:pPr>
      <w:bookmarkStart w:id="728" w:name="__RefHeading___Toc747195_222507752"/>
      <w:bookmarkStart w:id="729" w:name="_Toc288"/>
      <w:bookmarkEnd w:id="728"/>
      <w:r>
        <w:rPr>
          <w:rtl w:val="true"/>
        </w:rPr>
        <w:t>الثّالث</w:t>
      </w:r>
      <w:r>
        <w:rPr>
          <w:rtl w:val="true"/>
        </w:rPr>
        <w:t>:</w:t>
      </w:r>
      <w:r>
        <w:rPr>
          <w:rtl w:val="true"/>
        </w:rPr>
        <w:t>لو انقطع دمها بعد الطّهارة للبرء و قبل الدّخول،استأنف الوضوء</w:t>
      </w:r>
      <w:bookmarkEnd w:id="7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الشّافعيّ </w:t>
      </w:r>
      <w:r>
        <w:rPr>
          <w:rStyle w:val="FootnoteAnchor"/>
          <w:rtl w:val="true"/>
        </w:rPr>
        <w:footnoteReference w:id="1263"/>
      </w:r>
      <w:r>
        <w:rPr>
          <w:rFonts w:ascii="Amiri" w:hAnsi="Amiri" w:eastAsia="Amiri" w:cs="Amiri"/>
          <w:color w:val="111111"/>
          <w:sz w:val="28"/>
          <w:sz w:val="28"/>
          <w:szCs w:val="28"/>
          <w:rtl w:val="true"/>
          <w:lang w:bidi="ar-SA"/>
        </w:rPr>
        <w:t xml:space="preserve">،لأنّه شرّع للضّرورة و قد زالت،فصارت كالمتيمّم،و لو صلّت من غير استئناف،أعادت الصّلاة </w:t>
      </w:r>
      <w:r>
        <w:rPr>
          <w:rStyle w:val="FootnoteAnchor"/>
          <w:rtl w:val="true"/>
        </w:rPr>
        <w:footnoteReference w:id="1264"/>
      </w:r>
      <w:r>
        <w:rPr>
          <w:rFonts w:ascii="Amiri" w:hAnsi="Amiri" w:eastAsia="Amiri" w:cs="Amiri"/>
          <w:color w:val="111111"/>
          <w:sz w:val="28"/>
          <w:sz w:val="28"/>
          <w:szCs w:val="28"/>
          <w:rtl w:val="true"/>
          <w:lang w:bidi="ar-SA"/>
        </w:rPr>
        <w:t>لأنّها دخلت غير متطهّرة سواء عاد الدّم قبل الفراغ أو بعده، أمّا لو انقطع في أثناء الصّلاة،فللشّافعيّة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الاستئناف بعد إعادة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الاستمرار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عندنا،فالوجه عدم الاستئناف،لأنّها دخلت في الصّلاة دخولا مشروعا قطعا، و لا دليل على إيجاب الخروج،و الاستصحاب يدلّ على وجوب الإتمام،و قوله تعالى</w:t>
      </w:r>
      <w:r>
        <w:rPr>
          <w:rFonts w:eastAsia="Amiri" w:cs="Amiri" w:ascii="Amiri" w:hAnsi="Amiri"/>
          <w:color w:val="111111"/>
          <w:sz w:val="28"/>
          <w:szCs w:val="28"/>
          <w:rtl w:val="true"/>
          <w:lang w:bidi="ar-SA"/>
        </w:rPr>
        <w:t xml:space="preserve">: </w:t>
      </w:r>
      <w:bookmarkStart w:id="730" w:name="pg12672_159956"/>
    </w:p>
    <w:p>
      <w:pPr>
        <w:pStyle w:val="BookText"/>
        <w:rPr/>
      </w:pPr>
      <w:bookmarkEnd w:id="730"/>
      <w:r>
        <w:rPr>
          <w:rFonts w:ascii="Amiri" w:hAnsi="Amiri" w:eastAsia="Amiri" w:cs="Amiri"/>
          <w:color w:val="111111"/>
          <w:sz w:val="28"/>
          <w:sz w:val="28"/>
          <w:szCs w:val="28"/>
          <w:rtl w:val="true"/>
          <w:lang w:bidi="ar-SA"/>
        </w:rPr>
        <w:t xml:space="preserve">وَ لا تُبْطِلُوا أَعْمالَكُمْ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انقطع الدّم قبل الشّروع أو بعده قبل الفراغ فتمّ ذلك الانقطاع حتّى خرج وقت الظّهر مثلا انتقضت طهارتها،فإذا توضّأت للعصر فصلّت </w:t>
      </w:r>
      <w:r>
        <w:rPr>
          <w:rStyle w:val="FootnoteAnchor"/>
          <w:rtl w:val="true"/>
        </w:rPr>
        <w:footnoteReference w:id="1267"/>
      </w:r>
      <w:r>
        <w:rPr>
          <w:rFonts w:ascii="Amiri" w:hAnsi="Amiri" w:eastAsia="Amiri" w:cs="Amiri"/>
          <w:color w:val="111111"/>
          <w:sz w:val="28"/>
          <w:sz w:val="28"/>
          <w:szCs w:val="28"/>
          <w:rtl w:val="true"/>
          <w:lang w:bidi="ar-SA"/>
        </w:rPr>
        <w:t xml:space="preserve">فاستمرّ الانقطاع إلى الغروب لم تنتقض طهارتها،بل يجب عليها إعادة الظّهر،لأنّه انقطع دمها وقت العصر،و بيّن انّها صلّت الظّهر بطهارة العذر،و العذر قد زال،فلا يجب عليها إعادة العصر،لأنّ وجوب الظّهر إنّما يظهر بعد الغروب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فالحاصل أنّ للمستحاضة عنده وضوءا كاملا و هو ما يحصل و الدّم منقطع،و حكمه أن يقع عن دم سائل قبل ذلك و عن دم لم يسل في الوقت،و لا يضرّها خروج الوقت إذا لم يسل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ناقضا و هو الحاصل مع السّيلان،و حكمه أن يقع عن دم سائل قبل ذلك و عن دم يسيل في الوقت،و يضرّها خروج الوقت سال فيه أو لم يسل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لها انقطاع كامل كما قلنا في طهارة العصر في الفرض الّذي انقطع الدّم وقت الظّهر و استمرّ إلى الغروب،و حكمه أن يوجب زوال العذر،و نمنع اتّصال الدّم الثّاني بالدّم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انقطاع ناقص،و هو أن ينقطع دون وقت صلاة كاملة،و حكمه أن لا يوجب زوال العذر،و لا نمنع اتّصال الدّم الثّاني بالدّم الأوّل و حكمه حكم الدّم المتّصل </w:t>
      </w:r>
      <w:r>
        <w:rPr>
          <w:rFonts w:eastAsia="Amiri" w:cs="Amiri" w:ascii="Amiri" w:hAnsi="Amiri"/>
          <w:color w:val="111111"/>
          <w:sz w:val="28"/>
          <w:szCs w:val="28"/>
          <w:rtl w:val="true"/>
          <w:lang w:bidi="ar-SA"/>
        </w:rPr>
        <w:t>.</w:t>
      </w:r>
    </w:p>
    <w:p>
      <w:pPr>
        <w:pStyle w:val="Heading6"/>
        <w:numPr>
          <w:ilvl w:val="5"/>
          <w:numId w:val="1"/>
        </w:numPr>
        <w:rPr/>
      </w:pPr>
      <w:bookmarkStart w:id="731" w:name="__RefHeading___Toc747197_222507752"/>
      <w:bookmarkStart w:id="732" w:name="_Toc289"/>
      <w:bookmarkEnd w:id="731"/>
      <w:r>
        <w:rPr>
          <w:rtl w:val="true"/>
        </w:rPr>
        <w:t>الرّابع</w:t>
      </w:r>
      <w:r>
        <w:rPr>
          <w:rtl w:val="true"/>
        </w:rPr>
        <w:t>:</w:t>
      </w:r>
      <w:r>
        <w:rPr>
          <w:rtl w:val="true"/>
        </w:rPr>
        <w:t>هل يجب عليها الوضوء عند الصّلاة حتّى لو أخّرت الصّلاة</w:t>
      </w:r>
      <w:bookmarkEnd w:id="732"/>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متشاغلة بها لا تدخل به في الصّلاة؟نصّ في المبسوط على وجوب الاتّصال،قال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المأخوذ عليها أن تتوضّأ عند كلّ صلاة </w:t>
      </w:r>
      <w:r>
        <w:rPr>
          <w:rStyle w:val="FootnoteAnchor"/>
          <w:rtl w:val="true"/>
        </w:rPr>
        <w:footnoteReference w:id="1269"/>
      </w:r>
      <w:r>
        <w:rPr>
          <w:rFonts w:ascii="Amiri" w:hAnsi="Amiri" w:eastAsia="Amiri" w:cs="Amiri"/>
          <w:color w:val="111111"/>
          <w:sz w:val="28"/>
          <w:sz w:val="28"/>
          <w:szCs w:val="28"/>
          <w:rtl w:val="true"/>
          <w:lang w:bidi="ar-SA"/>
        </w:rPr>
        <w:t xml:space="preserve">،و ذلك يقتضي التّعقيب،و نحن لم نقف في شيء من أخبارنا على هذه </w:t>
      </w:r>
      <w:r>
        <w:rPr>
          <w:rStyle w:val="FootnoteAnchor"/>
          <w:rtl w:val="true"/>
        </w:rPr>
        <w:footnoteReference w:id="1270"/>
      </w:r>
      <w:r>
        <w:rPr>
          <w:rFonts w:ascii="Amiri" w:hAnsi="Amiri" w:eastAsia="Amiri" w:cs="Amiri"/>
          <w:color w:val="111111"/>
          <w:sz w:val="28"/>
          <w:sz w:val="28"/>
          <w:szCs w:val="28"/>
          <w:rtl w:val="true"/>
          <w:lang w:bidi="ar-SA"/>
        </w:rPr>
        <w:t xml:space="preserve">اللّفظة،و يمكن أن يقال انّها طهارة ضروريّة،فلا تتقدّم على الفعل بما يتعدّ به </w:t>
      </w:r>
      <w:bookmarkStart w:id="733" w:name="pg12672_159957"/>
    </w:p>
    <w:p>
      <w:pPr>
        <w:pStyle w:val="BookText"/>
        <w:rPr/>
      </w:pPr>
      <w:bookmarkEnd w:id="733"/>
      <w:r>
        <w:rPr>
          <w:rFonts w:ascii="Amiri" w:hAnsi="Amiri" w:eastAsia="Amiri" w:cs="Amiri"/>
          <w:color w:val="111111"/>
          <w:sz w:val="28"/>
          <w:sz w:val="28"/>
          <w:szCs w:val="28"/>
          <w:rtl w:val="true"/>
          <w:lang w:bidi="ar-SA"/>
        </w:rPr>
        <w:t xml:space="preserve">كالتّيمّم،و لأنّ الدّم حدث فيستبيح بالوضوء ما لا بدّ منه و هو قدر التّهيّؤ و الصّلاة،بل قد وردت هذه اللّفظة في الغسل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روى الشّيخ عن ابن بكير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مضى عشرة أيّام فعلت ما تفعله المستحاضة ثمَّ صلّت</w:t>
      </w:r>
      <w:r>
        <w:rPr>
          <w:rFonts w:eastAsia="Amiri" w:cs="Amiri" w:ascii="Amiri" w:hAnsi="Amiri"/>
          <w:color w:val="111111"/>
          <w:sz w:val="28"/>
          <w:szCs w:val="28"/>
          <w:rtl w:val="true"/>
          <w:lang w:bidi="ar-SA"/>
        </w:rPr>
        <w:t xml:space="preserve">) </w:t>
      </w:r>
      <w:r>
        <w:rPr>
          <w:rStyle w:val="FootnoteAnchor"/>
          <w:rtl w:val="true"/>
        </w:rPr>
        <w:footnoteReference w:id="1272"/>
      </w:r>
      <w:r>
        <w:rPr>
          <w:rFonts w:ascii="Amiri" w:hAnsi="Amiri" w:eastAsia="Amiri" w:cs="Amiri"/>
          <w:color w:val="111111"/>
          <w:sz w:val="28"/>
          <w:sz w:val="28"/>
          <w:szCs w:val="28"/>
          <w:rtl w:val="true"/>
          <w:lang w:bidi="ar-SA"/>
        </w:rPr>
        <w:t>و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للتّراخي،إلاّ انّ الرّواية ضعيفة السّند،و ابن بكير لم يسندها إلى إمام،فنحن في هذا من المتوقّفين </w:t>
      </w:r>
      <w:r>
        <w:rPr>
          <w:rFonts w:eastAsia="Amiri" w:cs="Amiri" w:ascii="Amiri" w:hAnsi="Amiri"/>
          <w:color w:val="111111"/>
          <w:sz w:val="28"/>
          <w:szCs w:val="28"/>
          <w:rtl w:val="true"/>
          <w:lang w:bidi="ar-SA"/>
        </w:rPr>
        <w:t>.</w:t>
      </w:r>
    </w:p>
    <w:p>
      <w:pPr>
        <w:pStyle w:val="Heading6"/>
        <w:numPr>
          <w:ilvl w:val="5"/>
          <w:numId w:val="1"/>
        </w:numPr>
        <w:rPr/>
      </w:pPr>
      <w:bookmarkStart w:id="734" w:name="__RefHeading___Toc747199_222507752"/>
      <w:bookmarkStart w:id="735" w:name="_Toc290"/>
      <w:bookmarkEnd w:id="734"/>
      <w:r>
        <w:rPr>
          <w:rtl w:val="true"/>
        </w:rPr>
        <w:t>الخامس</w:t>
      </w:r>
      <w:r>
        <w:rPr>
          <w:rtl w:val="true"/>
        </w:rPr>
        <w:t>:</w:t>
      </w:r>
      <w:r>
        <w:rPr>
          <w:rtl w:val="true"/>
        </w:rPr>
        <w:t>ظهر ممّا قلنا انّ طهارتها تنتقض بدخول الوقت كما تنتقض بخروجه</w:t>
      </w:r>
      <w:bookmarkEnd w:id="735"/>
    </w:p>
    <w:p>
      <w:pPr>
        <w:pStyle w:val="BookText"/>
        <w:rPr/>
      </w:pPr>
      <w:r>
        <w:rPr>
          <w:rFonts w:ascii="Amiri" w:hAnsi="Amiri" w:eastAsia="Amiri" w:cs="Amiri"/>
          <w:color w:val="111111"/>
          <w:sz w:val="28"/>
          <w:sz w:val="28"/>
          <w:szCs w:val="28"/>
          <w:rtl w:val="true"/>
          <w:lang w:bidi="ar-SA"/>
        </w:rPr>
        <w:t>،لا على معنى انّها مرتفعة الحدث،و بالدّخول و الخروج يزول الارتفاع،بل بمعنى انّها كانت مستبيحة للدّخول في الصّلاة في وقتها بطهارتها،فإذا خرج وقتها أو دخل وقت اخرى وجب عليها استئناف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اختيار أبي يوسف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ينتقض بخروج الوقت لا بالدّخول </w:t>
      </w:r>
      <w:r>
        <w:rPr>
          <w:rStyle w:val="FootnoteAnchor"/>
          <w:rtl w:val="true"/>
        </w:rPr>
        <w:footnoteReference w:id="1274"/>
      </w:r>
      <w:r>
        <w:rPr>
          <w:rFonts w:ascii="Amiri" w:hAnsi="Amiri" w:eastAsia="Amiri" w:cs="Amiri"/>
          <w:color w:val="111111"/>
          <w:sz w:val="28"/>
          <w:sz w:val="28"/>
          <w:szCs w:val="28"/>
          <w:rtl w:val="true"/>
          <w:lang w:bidi="ar-SA"/>
        </w:rPr>
        <w:t>،و قال زفر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ينتقض بالدّخول لا بالخروج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طهارة ضروريّة لمقارنة الحدث فيتقدّر بقدر الضّرورة،و الضّرورة مقدّرة بالوقت فلا تثبت قبل الوقت و لا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أبو حنيفة و محمّد بأنّ طهارتها ثبتت للحاجة إلى أداء الصّلاة في الوقت فتثبت عند وجود دليل الحاجة،و يزول عند دليل زوال الحاجة،و دخول الوقت دليل الحاجة، و خروجه دليل زوال الحاجة،فكان المؤثّر في الانتقاض هو الخروج،و هذا الدّليل يقتضي أن لا تتقدّم الطّهارة على الوقت،إلاّ أنّ الحاجة دعت إلى تقديمها على الوقت،لأنّها لا تتمكّن من أداء الصّلاة في أوّل الوقت إلاّ بتقدم الطّهارة على الوقت حتّى تتمكّن</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بناء على انّها في أوّل الوقت مخاطبة بفعل الصّلاة مع تقديم الطّهارة قبله أو مع عدم الطّهارة،و القسمان باطلان إجماعا،و معارض 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المستحاضة تتوضّأ لوقت كلّ صلاة</w:t>
      </w:r>
      <w:r>
        <w:rPr>
          <w:rFonts w:eastAsia="Amiri" w:cs="Amiri" w:ascii="Amiri" w:hAnsi="Amiri"/>
          <w:color w:val="111111"/>
          <w:sz w:val="28"/>
          <w:szCs w:val="28"/>
          <w:rtl w:val="true"/>
          <w:lang w:bidi="ar-SA"/>
        </w:rPr>
        <w:t xml:space="preserve">) </w:t>
      </w:r>
      <w:r>
        <w:rPr>
          <w:rStyle w:val="FootnoteAnchor"/>
          <w:rtl w:val="true"/>
        </w:rPr>
        <w:footnoteReference w:id="1276"/>
      </w:r>
      <w:r>
        <w:rPr>
          <w:rFonts w:ascii="Amiri" w:hAnsi="Amiri" w:eastAsia="Amiri" w:cs="Amiri"/>
          <w:color w:val="111111"/>
          <w:sz w:val="28"/>
          <w:sz w:val="28"/>
          <w:szCs w:val="28"/>
          <w:rtl w:val="true"/>
          <w:lang w:bidi="ar-SA"/>
        </w:rPr>
        <w:t>رواه الحنفيّة</w:t>
      </w:r>
      <w:r>
        <w:rPr>
          <w:rFonts w:eastAsia="Amiri" w:cs="Amiri" w:ascii="Amiri" w:hAnsi="Amiri"/>
          <w:color w:val="111111"/>
          <w:sz w:val="28"/>
          <w:szCs w:val="28"/>
          <w:rtl w:val="true"/>
          <w:lang w:bidi="ar-SA"/>
        </w:rPr>
        <w:t xml:space="preserve">. </w:t>
      </w:r>
      <w:bookmarkStart w:id="736" w:name="pg12672_159958"/>
    </w:p>
    <w:p>
      <w:pPr>
        <w:pStyle w:val="BookText"/>
        <w:rPr/>
      </w:pPr>
      <w:bookmarkEnd w:id="736"/>
      <w:r>
        <w:rPr>
          <w:rFonts w:ascii="Amiri" w:hAnsi="Amiri" w:eastAsia="Amiri" w:cs="Amiri"/>
          <w:color w:val="111111"/>
          <w:sz w:val="28"/>
          <w:sz w:val="28"/>
          <w:szCs w:val="28"/>
          <w:rtl w:val="true"/>
          <w:lang w:bidi="ar-SA"/>
        </w:rPr>
        <w:t>و فائدة الخلاف تظهر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توضّأت بعد الفجر ثمَّ طلعت الشّمس،انتقض عندنا و عند الثّلاثة </w:t>
      </w:r>
      <w:r>
        <w:rPr>
          <w:rStyle w:val="FootnoteAnchor"/>
          <w:rtl w:val="true"/>
        </w:rPr>
        <w:footnoteReference w:id="1277"/>
      </w:r>
      <w:r>
        <w:rPr>
          <w:rFonts w:ascii="Amiri" w:hAnsi="Amiri" w:eastAsia="Amiri" w:cs="Amiri"/>
          <w:color w:val="111111"/>
          <w:sz w:val="28"/>
          <w:sz w:val="28"/>
          <w:szCs w:val="28"/>
          <w:rtl w:val="true"/>
          <w:lang w:bidi="ar-SA"/>
        </w:rPr>
        <w:t>، و قال زفر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ينتقض لعدم دخول الوقت،لأنّ ذلك الوقت مهمل إلى الزّوال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توضّأت بعد طلوع الشّمس،انتقض وضوؤها بالزّوال عندنا،و عند أبي يوسف و زفر،خلافا لأبي حنيفة و محمّد </w:t>
      </w:r>
      <w:r>
        <w:rPr>
          <w:rStyle w:val="FootnoteAnchor"/>
          <w:rtl w:val="true"/>
        </w:rPr>
        <w:footnoteReference w:id="1279"/>
      </w:r>
      <w:r>
        <w:rPr>
          <w:rFonts w:ascii="Amiri" w:hAnsi="Amiri" w:eastAsia="Amiri" w:cs="Amiri"/>
          <w:color w:val="111111"/>
          <w:sz w:val="28"/>
          <w:sz w:val="28"/>
          <w:szCs w:val="28"/>
          <w:rtl w:val="true"/>
          <w:lang w:bidi="ar-SA"/>
        </w:rPr>
        <w:t xml:space="preserve">،و في غير هذين لا فائدة،فإنّه لا يخرج وقت إلاّ بدخول آخر،فتنتقض الطّهارة على المذاهب الثّلاثة </w:t>
      </w:r>
      <w:r>
        <w:rPr>
          <w:rFonts w:eastAsia="Amiri" w:cs="Amiri" w:ascii="Amiri" w:hAnsi="Amiri"/>
          <w:color w:val="111111"/>
          <w:sz w:val="28"/>
          <w:szCs w:val="28"/>
          <w:rtl w:val="true"/>
          <w:lang w:bidi="ar-SA"/>
        </w:rPr>
        <w:t>.</w:t>
      </w:r>
    </w:p>
    <w:p>
      <w:pPr>
        <w:pStyle w:val="Heading6"/>
        <w:numPr>
          <w:ilvl w:val="5"/>
          <w:numId w:val="1"/>
        </w:numPr>
        <w:rPr/>
      </w:pPr>
      <w:bookmarkStart w:id="737" w:name="__RefHeading___Toc747201_222507752"/>
      <w:bookmarkStart w:id="738" w:name="_Toc291"/>
      <w:bookmarkEnd w:id="737"/>
      <w:r>
        <w:rPr>
          <w:rtl w:val="true"/>
        </w:rPr>
        <w:t>مسألة</w:t>
      </w:r>
      <w:r>
        <w:rPr>
          <w:rtl w:val="true"/>
        </w:rPr>
        <w:t>:</w:t>
      </w:r>
      <w:r>
        <w:rPr>
          <w:rtl w:val="true"/>
        </w:rPr>
        <w:t>لا يوجب الوضوء وحده شيء سوى ما ذكرناه</w:t>
      </w:r>
      <w:bookmarkEnd w:id="738"/>
    </w:p>
    <w:p>
      <w:pPr>
        <w:pStyle w:val="BookText"/>
        <w:rPr/>
      </w:pPr>
      <w:r>
        <w:rPr>
          <w:rFonts w:ascii="Amiri" w:hAnsi="Amiri" w:eastAsia="Amiri" w:cs="Amiri"/>
          <w:color w:val="111111"/>
          <w:sz w:val="28"/>
          <w:sz w:val="28"/>
          <w:szCs w:val="28"/>
          <w:rtl w:val="true"/>
          <w:lang w:bidi="ar-SA"/>
        </w:rPr>
        <w:t>،لما تقدّم من الأحاديث الدّالّة على الحصر،</w:t>
      </w:r>
    </w:p>
    <w:p>
      <w:pPr>
        <w:pStyle w:val="Heading6"/>
        <w:numPr>
          <w:ilvl w:val="5"/>
          <w:numId w:val="1"/>
        </w:numPr>
        <w:rPr/>
      </w:pPr>
      <w:bookmarkStart w:id="739" w:name="__RefHeading___Toc747203_222507752"/>
      <w:bookmarkStart w:id="740" w:name="_Toc292"/>
      <w:bookmarkEnd w:id="739"/>
      <w:r>
        <w:rPr>
          <w:rtl w:val="true"/>
        </w:rPr>
        <w:t>و قد ذكر المخالفون أشياء توجب الوضوء</w:t>
      </w:r>
      <w:bookmarkEnd w:id="740"/>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41" w:name="__RefHeading___Toc747205_222507752"/>
      <w:bookmarkStart w:id="742" w:name="_Toc293"/>
      <w:bookmarkEnd w:id="741"/>
      <w:r>
        <w:rPr>
          <w:rtl w:val="true"/>
        </w:rPr>
        <w:t>الأوّل</w:t>
      </w:r>
      <w:r>
        <w:rPr>
          <w:rtl w:val="true"/>
        </w:rPr>
        <w:t>:</w:t>
      </w:r>
      <w:r>
        <w:rPr>
          <w:rtl w:val="true"/>
        </w:rPr>
        <w:t>مسّ القبل و الدّبر سواء كان له أو لغيره</w:t>
      </w:r>
      <w:bookmarkEnd w:id="742"/>
    </w:p>
    <w:p>
      <w:pPr>
        <w:pStyle w:val="BookText"/>
        <w:rPr/>
      </w:pPr>
      <w:r>
        <w:rPr>
          <w:rFonts w:ascii="Amiri" w:hAnsi="Amiri" w:eastAsia="Amiri" w:cs="Amiri"/>
          <w:color w:val="111111"/>
          <w:sz w:val="28"/>
          <w:sz w:val="28"/>
          <w:szCs w:val="28"/>
          <w:rtl w:val="true"/>
          <w:lang w:bidi="ar-SA"/>
        </w:rPr>
        <w:t>،امرأة أو رجلا،بشهوة أو بغيرها،باطنا أو ظاهرا،لا يوجب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مذهب الشّيخين </w:t>
      </w:r>
      <w:r>
        <w:rPr>
          <w:rStyle w:val="FootnoteAnchor"/>
          <w:rtl w:val="true"/>
        </w:rPr>
        <w:footnoteReference w:id="1280"/>
      </w:r>
      <w:r>
        <w:rPr>
          <w:rFonts w:ascii="Amiri" w:hAnsi="Amiri" w:eastAsia="Amiri" w:cs="Amiri"/>
          <w:color w:val="111111"/>
          <w:sz w:val="28"/>
          <w:sz w:val="28"/>
          <w:szCs w:val="28"/>
          <w:rtl w:val="true"/>
          <w:lang w:bidi="ar-SA"/>
        </w:rPr>
        <w:t xml:space="preserve">و السّيّد المرتضى </w:t>
      </w:r>
      <w:r>
        <w:rPr>
          <w:rStyle w:val="FootnoteAnchor"/>
          <w:rtl w:val="true"/>
        </w:rPr>
        <w:footnoteReference w:id="1281"/>
      </w:r>
      <w:r>
        <w:rPr>
          <w:rFonts w:ascii="IRNazanin" w:hAnsi="IRNazanin" w:eastAsia="IRNazanin"/>
          <w:color w:val="111111"/>
          <w:sz w:val="28"/>
          <w:sz w:val="28"/>
          <w:szCs w:val="28"/>
          <w:rtl w:val="true"/>
          <w:lang w:bidi="fa-IR"/>
        </w:rPr>
        <w:t xml:space="preserve">و أتباعهم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مسّ باطن ذكره بإصبعه أو باطن دبره،انتقض وضوؤه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مسّ ما انضمّ عليه الثّقبان نقض وضوؤه،و من مسّ ظاهر الفرج من غيره بشهوة يطهر إذا كان محرّما،و من مسّ باطن الفرجين فعليه الوضوء من المحرّم و المحلّل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اخترناه مذهب ابن عبّاس،و عطاء،و طاوس،و الثّوريّ </w:t>
      </w:r>
      <w:r>
        <w:rPr>
          <w:rStyle w:val="FootnoteAnchor"/>
          <w:rtl w:val="true"/>
        </w:rPr>
        <w:footnoteReference w:id="1285"/>
      </w:r>
      <w:r>
        <w:rPr>
          <w:rFonts w:ascii="IRNazanin" w:hAnsi="IRNazanin" w:eastAsia="IRNazanin"/>
          <w:color w:val="111111"/>
          <w:sz w:val="28"/>
          <w:sz w:val="28"/>
          <w:szCs w:val="28"/>
          <w:rtl w:val="true"/>
          <w:lang w:bidi="fa-IR"/>
        </w:rPr>
        <w:t xml:space="preserve">،و نقله الجمهور، </w:t>
      </w:r>
    </w:p>
    <w:p>
      <w:pPr>
        <w:pStyle w:val="BookText"/>
        <w:rPr/>
      </w:pPr>
      <w:r>
        <w:rPr>
          <w:rFonts w:ascii="Amiri" w:hAnsi="Amiri" w:eastAsia="Amiri" w:cs="Amiri"/>
          <w:color w:val="111111"/>
          <w:sz w:val="28"/>
          <w:sz w:val="28"/>
          <w:szCs w:val="28"/>
          <w:rtl w:val="true"/>
          <w:lang w:bidi="ar-SA"/>
        </w:rPr>
        <w:t xml:space="preserve">عن عليّ </w:t>
      </w:r>
      <w:r>
        <w:rPr>
          <w:rStyle w:val="FootnoteAnchor"/>
          <w:rtl w:val="true"/>
        </w:rPr>
        <w:footnoteReference w:id="1286"/>
      </w:r>
      <w:r>
        <w:rPr>
          <w:rFonts w:ascii="Amiri" w:hAnsi="Amiri" w:eastAsia="Amiri" w:cs="Amiri"/>
          <w:color w:val="111111"/>
          <w:sz w:val="28"/>
          <w:sz w:val="28"/>
          <w:szCs w:val="28"/>
          <w:rtl w:val="true"/>
          <w:lang w:bidi="ar-SA"/>
        </w:rPr>
        <w:t xml:space="preserve">عليه السّلام،و عمّار بن ياسر </w:t>
      </w:r>
      <w:r>
        <w:rPr>
          <w:rStyle w:val="FootnoteAnchor"/>
          <w:rtl w:val="true"/>
        </w:rPr>
        <w:footnoteReference w:id="1287"/>
      </w:r>
      <w:r>
        <w:rPr>
          <w:rFonts w:ascii="IRNazanin" w:hAnsi="IRNazanin" w:eastAsia="IRNazanin"/>
          <w:color w:val="111111"/>
          <w:sz w:val="28"/>
          <w:sz w:val="28"/>
          <w:szCs w:val="28"/>
          <w:rtl w:val="true"/>
          <w:lang w:bidi="fa-IR"/>
        </w:rPr>
        <w:t xml:space="preserve">،و عبد اللّه بن مسعود </w:t>
      </w:r>
      <w:r>
        <w:rPr>
          <w:rStyle w:val="FootnoteAnchor"/>
          <w:rtl w:val="true"/>
        </w:rPr>
        <w:footnoteReference w:id="12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مذهب أبي حنيفة،إلاّ أنّ </w:t>
      </w:r>
      <w:r>
        <w:rPr>
          <w:rStyle w:val="FootnoteAnchor"/>
          <w:rtl w:val="true"/>
        </w:rPr>
        <w:footnoteReference w:id="1289"/>
      </w:r>
      <w:r>
        <w:rPr>
          <w:rFonts w:ascii="Amiri" w:hAnsi="Amiri" w:eastAsia="Amiri" w:cs="Amiri"/>
          <w:color w:val="111111"/>
          <w:sz w:val="28"/>
          <w:sz w:val="28"/>
          <w:szCs w:val="28"/>
          <w:rtl w:val="true"/>
          <w:lang w:bidi="ar-SA"/>
        </w:rPr>
        <w:t>أبا حنيفة،قال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باشر امرأته و انتشر و ليس بينهما ثوب و مسّ الفرج الفرج نقض،خرج شيء أو لم يخرج </w:t>
      </w:r>
      <w:r>
        <w:rPr>
          <w:rStyle w:val="FootnoteAnchor"/>
          <w:rtl w:val="true"/>
        </w:rPr>
        <w:footnoteReference w:id="12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أبي يوسف </w:t>
      </w:r>
      <w:r>
        <w:rPr>
          <w:rStyle w:val="FootnoteAnchor"/>
          <w:rtl w:val="true"/>
        </w:rPr>
        <w:footnoteReference w:id="1291"/>
      </w:r>
      <w:r>
        <w:rPr>
          <w:rFonts w:ascii="Amiri" w:hAnsi="Amiri" w:eastAsia="Amiri" w:cs="Amiri"/>
          <w:color w:val="111111"/>
          <w:sz w:val="28"/>
          <w:sz w:val="28"/>
          <w:szCs w:val="28"/>
          <w:rtl w:val="true"/>
          <w:lang w:bidi="ar-SA"/>
        </w:rPr>
        <w:t>،و الّذي نقوله انّه لا ينقض إلاّ بالإيلاج أو بالإنزال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محمّد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 الذّكر من نفسه أو من غيره،بالرّاحة أو بطون الأصابع ناقض، و كذا فرج المرأة و حلقة الدّبر في الجديد دون فرج البهيمة،و في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ينقض و لا أثر للمسّ بما بين الأصابع و برؤسها </w:t>
      </w:r>
      <w:r>
        <w:rPr>
          <w:rStyle w:val="FootnoteAnchor"/>
          <w:rtl w:val="true"/>
        </w:rPr>
        <w:footnoteReference w:id="1293"/>
      </w:r>
      <w:r>
        <w:rPr>
          <w:rFonts w:ascii="Amiri" w:hAnsi="Amiri" w:eastAsia="Amiri" w:cs="Amiri"/>
          <w:color w:val="111111"/>
          <w:sz w:val="28"/>
          <w:sz w:val="28"/>
          <w:szCs w:val="28"/>
          <w:rtl w:val="true"/>
          <w:lang w:bidi="ar-SA"/>
        </w:rPr>
        <w:t>،و أظهر الوجهين عنده انّ فرج الميّت و الصّغير كفرج الحيّ و الكبير،و انّ الذّكر الأشلّ و اليد الشّلاّء كالصّحيحين،و انّ محلّ الجبّ كالشّاخص،قال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لمس بشرة المرأة الأجنبية ناقض،بشهوة كان اللّمس أو بغير شهوة أيّ موضع كان من بدنها بأيّ موضع كان من بدنه سوى الشّعر </w:t>
      </w:r>
      <w:r>
        <w:rPr>
          <w:rStyle w:val="FootnoteAnchor"/>
          <w:rtl w:val="true"/>
        </w:rPr>
        <w:footnoteReference w:id="1294"/>
      </w:r>
      <w:r>
        <w:rPr>
          <w:rFonts w:ascii="IRNazanin" w:hAnsi="IRNazanin" w:eastAsia="IRNazanin"/>
          <w:color w:val="111111"/>
          <w:sz w:val="28"/>
          <w:sz w:val="28"/>
          <w:szCs w:val="28"/>
          <w:rtl w:val="true"/>
          <w:lang w:bidi="fa-IR"/>
        </w:rPr>
        <w:t xml:space="preserve">، </w:t>
      </w:r>
      <w:r>
        <w:rPr>
          <w:rStyle w:val="FootnoteAnchor"/>
          <w:rtl w:val="true"/>
        </w:rPr>
        <w:footnoteReference w:id="1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قول ابن مسعود، </w:t>
      </w:r>
    </w:p>
    <w:p>
      <w:pPr>
        <w:pStyle w:val="BookText"/>
        <w:rPr/>
      </w:pPr>
      <w:r>
        <w:rPr>
          <w:rFonts w:ascii="Amiri" w:hAnsi="Amiri" w:eastAsia="Amiri" w:cs="Amiri"/>
          <w:color w:val="111111"/>
          <w:sz w:val="28"/>
          <w:sz w:val="28"/>
          <w:szCs w:val="28"/>
          <w:rtl w:val="true"/>
          <w:lang w:bidi="ar-SA"/>
        </w:rPr>
        <w:t xml:space="preserve">و ابن عمر،و الزّهريّ،و ربيعة،و زيد بن أسلم </w:t>
      </w:r>
      <w:r>
        <w:rPr>
          <w:rStyle w:val="FootnoteAnchor"/>
          <w:rtl w:val="true"/>
        </w:rPr>
        <w:footnoteReference w:id="1296"/>
      </w:r>
      <w:r>
        <w:rPr>
          <w:rFonts w:ascii="Amiri" w:hAnsi="Amiri" w:eastAsia="Amiri" w:cs="Amiri"/>
          <w:color w:val="111111"/>
          <w:sz w:val="28"/>
          <w:sz w:val="28"/>
          <w:szCs w:val="28"/>
          <w:rtl w:val="true"/>
          <w:lang w:bidi="ar-SA"/>
        </w:rPr>
        <w:t xml:space="preserve">،و مكحول،و الأوزاعيّ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المحرم و الصّغيرة و الميتة عند الشّافعيّ قولان </w:t>
      </w:r>
      <w:r>
        <w:rPr>
          <w:rStyle w:val="FootnoteAnchor"/>
          <w:rtl w:val="true"/>
        </w:rPr>
        <w:footnoteReference w:id="1298"/>
      </w:r>
      <w:r>
        <w:rPr>
          <w:rFonts w:ascii="Amiri" w:hAnsi="Amiri" w:eastAsia="Amiri" w:cs="Amiri"/>
          <w:color w:val="111111"/>
          <w:sz w:val="28"/>
          <w:sz w:val="28"/>
          <w:szCs w:val="28"/>
          <w:rtl w:val="true"/>
          <w:lang w:bidi="ar-SA"/>
        </w:rPr>
        <w:t xml:space="preserve">،و يستوي اللّمس سهوا و عمدا، و في الملموس قولان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مسّ الخنثى من نفسه أحد فرجيه،لم ينتقض عنده لاحتمال زيادته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مسّ رجل ذكره أو امرأة فرجه انتقض،إذ لا يخلو عن مسّ أو لمس،و إن مسّ رجل فرجه أو امرأة ذكره،لم ينتقض لاحتمال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مسّ أحد الخنثيين من الآخر الفرج،و الآخر من الأوّل الذّكر،انتقضت طهارة أحدهما لا بعينه،و تصحّ صلاة كلّ واحد منهما،لأنّ بقاء طهارته ممكن،و اليقين لا يرفع بالشّك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مالك </w:t>
      </w:r>
      <w:r>
        <w:rPr>
          <w:rStyle w:val="FootnoteAnchor"/>
          <w:rtl w:val="true"/>
        </w:rPr>
        <w:footnoteReference w:id="1301"/>
      </w:r>
      <w:r>
        <w:rPr>
          <w:rFonts w:ascii="IRNazanin" w:hAnsi="IRNazanin" w:eastAsia="IRNazanin"/>
          <w:color w:val="111111"/>
          <w:sz w:val="28"/>
          <w:sz w:val="28"/>
          <w:szCs w:val="28"/>
          <w:rtl w:val="true"/>
          <w:lang w:bidi="fa-IR"/>
        </w:rPr>
        <w:t xml:space="preserve">و أحمد </w:t>
      </w:r>
      <w:r>
        <w:rPr>
          <w:rStyle w:val="FootnoteAnchor"/>
          <w:rtl w:val="true"/>
        </w:rPr>
        <w:footnoteReference w:id="1302"/>
      </w:r>
      <w:r>
        <w:rPr>
          <w:rFonts w:ascii="Amiri" w:hAnsi="Amiri" w:eastAsia="Amiri" w:cs="Amiri"/>
          <w:color w:val="111111"/>
          <w:sz w:val="28"/>
          <w:sz w:val="28"/>
          <w:szCs w:val="28"/>
          <w:rtl w:val="true"/>
          <w:lang w:bidi="ar-SA"/>
        </w:rPr>
        <w:t>و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لمس المرأة بشهوة انتقض الوضوء،و إن كان بغير شهوة لم ينتقض </w:t>
      </w:r>
      <w:r>
        <w:rPr>
          <w:rStyle w:val="FootnoteAnchor"/>
          <w:rtl w:val="true"/>
        </w:rPr>
        <w:footnoteReference w:id="13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حكاه ابن المنذر،عن النّخعيّ و الشّعبيّ </w:t>
      </w:r>
      <w:r>
        <w:rPr>
          <w:rStyle w:val="FootnoteAnchor"/>
          <w:rtl w:val="true"/>
        </w:rPr>
        <w:footnoteReference w:id="1304"/>
      </w:r>
      <w:r>
        <w:rPr>
          <w:rFonts w:ascii="Amiri" w:hAnsi="Amiri" w:eastAsia="Amiri" w:cs="Amiri"/>
          <w:color w:val="111111"/>
          <w:sz w:val="28"/>
          <w:sz w:val="28"/>
          <w:szCs w:val="28"/>
          <w:rtl w:val="true"/>
          <w:lang w:bidi="ar-SA"/>
        </w:rPr>
        <w:t xml:space="preserve">و الحكم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حمّاد </w:t>
      </w:r>
      <w:r>
        <w:rPr>
          <w:rStyle w:val="FootnoteAnchor"/>
          <w:rtl w:val="true"/>
        </w:rPr>
        <w:footnoteReference w:id="1306"/>
      </w:r>
      <w:r>
        <w:rPr>
          <w:rFonts w:ascii="IRNazanin" w:hAnsi="IRNazanin" w:eastAsia="IRNazanin"/>
          <w:color w:val="111111"/>
          <w:sz w:val="28"/>
          <w:sz w:val="28"/>
          <w:szCs w:val="28"/>
          <w:rtl w:val="true"/>
          <w:lang w:bidi="fa-IR"/>
        </w:rPr>
        <w:t xml:space="preserve">،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قصد لمس المرأة انتقض،و إن لم يقصد لم ينتقض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خالفه ابنه،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ينتقض بكلّ حال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مسّ ذكر غيره،لم تنتقض طهارته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الجمهور،عن قيس بن طلق </w:t>
      </w:r>
      <w:r>
        <w:rPr>
          <w:rStyle w:val="FootnoteAnchor"/>
          <w:rtl w:val="true"/>
        </w:rPr>
        <w:footnoteReference w:id="1310"/>
      </w:r>
      <w:r>
        <w:rPr>
          <w:rFonts w:ascii="Amiri" w:hAnsi="Amiri" w:eastAsia="Amiri" w:cs="Amiri"/>
          <w:color w:val="111111"/>
          <w:sz w:val="28"/>
          <w:sz w:val="28"/>
          <w:szCs w:val="28"/>
          <w:rtl w:val="true"/>
          <w:lang w:bidi="ar-SA"/>
        </w:rPr>
        <w:t xml:space="preserve">،عن أبيه طلق بن عليّ </w:t>
      </w:r>
      <w:r>
        <w:rPr>
          <w:rStyle w:val="FootnoteAnchor"/>
          <w:rtl w:val="true"/>
        </w:rPr>
        <w:footnoteReference w:id="1311"/>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اللّه،ربّما أمسّ ذكري و أنا في الصّلاة،هل عليّ منه </w:t>
      </w:r>
      <w:r>
        <w:rPr>
          <w:rStyle w:val="FootnoteAnchor"/>
          <w:rtl w:val="true"/>
        </w:rPr>
        <w:footnoteReference w:id="1312"/>
      </w:r>
      <w:r>
        <w:rPr>
          <w:rFonts w:ascii="Amiri" w:hAnsi="Amiri" w:eastAsia="Amiri" w:cs="Amiri"/>
          <w:color w:val="111111"/>
          <w:sz w:val="28"/>
          <w:sz w:val="28"/>
          <w:szCs w:val="28"/>
          <w:rtl w:val="true"/>
          <w:lang w:bidi="ar-SA"/>
        </w:rPr>
        <w:t>وضوء؟فقال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لا،هل هو إلاّ بضعة منك</w:t>
      </w:r>
      <w:r>
        <w:rPr>
          <w:rFonts w:eastAsia="Amiri" w:cs="Amiri" w:ascii="Amiri" w:hAnsi="Amiri"/>
          <w:color w:val="111111"/>
          <w:sz w:val="28"/>
          <w:szCs w:val="28"/>
          <w:rtl w:val="true"/>
          <w:lang w:bidi="ar-SA"/>
        </w:rPr>
        <w:t xml:space="preserve">) </w:t>
      </w:r>
      <w:r>
        <w:rPr>
          <w:rStyle w:val="FootnoteAnchor"/>
          <w:rtl w:val="true"/>
        </w:rPr>
        <w:footnoteReference w:id="1313"/>
      </w:r>
      <w:r>
        <w:rPr>
          <w:rFonts w:ascii="Amiri" w:hAnsi="Amiri" w:eastAsia="Amiri" w:cs="Amiri"/>
          <w:color w:val="111111"/>
          <w:sz w:val="28"/>
          <w:sz w:val="28"/>
          <w:szCs w:val="28"/>
          <w:rtl w:val="true"/>
          <w:lang w:bidi="ar-SA"/>
        </w:rPr>
        <w:t>نفي عليه السّلام الوجوب، و ذكر علّة جامعة بين الذّكر و الأعضاء</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روت عائشة انّ النّبيّ صلّى اللّه عليه و آله قبّل و هو صائم،و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القبلة لا تنقض الوضوء،و لا تفطّر الصّائم،يا حميراء،انّ في ديننا لسعة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عنها انّه كان عليه السّلام يقبّل بعض نسائه و كان يخرج إلى الصّلاة و لم يتوضّأ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يزيد بن سنان </w:t>
      </w:r>
      <w:r>
        <w:rPr>
          <w:rStyle w:val="FootnoteAnchor"/>
          <w:rtl w:val="true"/>
        </w:rPr>
        <w:footnoteReference w:id="1317"/>
      </w:r>
      <w:r>
        <w:rPr>
          <w:rFonts w:ascii="Amiri" w:hAnsi="Amiri" w:eastAsia="Amiri" w:cs="Amiri"/>
          <w:color w:val="111111"/>
          <w:sz w:val="28"/>
          <w:sz w:val="28"/>
          <w:szCs w:val="28"/>
          <w:rtl w:val="true"/>
          <w:lang w:bidi="ar-SA"/>
        </w:rPr>
        <w:t xml:space="preserve">،عن الأوزاعيّ،عن يحيى </w:t>
      </w:r>
      <w:r>
        <w:rPr>
          <w:rStyle w:val="FootnoteAnchor"/>
          <w:rtl w:val="true"/>
        </w:rPr>
        <w:footnoteReference w:id="1318"/>
      </w:r>
      <w:r>
        <w:rPr>
          <w:rFonts w:ascii="Amiri" w:hAnsi="Amiri" w:eastAsia="Amiri" w:cs="Amiri"/>
          <w:color w:val="111111"/>
          <w:sz w:val="28"/>
          <w:sz w:val="28"/>
          <w:szCs w:val="28"/>
          <w:rtl w:val="true"/>
          <w:lang w:bidi="ar-SA"/>
        </w:rPr>
        <w:t xml:space="preserve">،عن أبي سلمة </w:t>
      </w:r>
      <w:r>
        <w:rPr>
          <w:rStyle w:val="FootnoteAnchor"/>
          <w:rtl w:val="true"/>
        </w:rPr>
        <w:footnoteReference w:id="1319"/>
      </w:r>
      <w:r>
        <w:rPr>
          <w:rFonts w:ascii="Amiri" w:hAnsi="Amiri" w:eastAsia="Amiri" w:cs="Amiri"/>
          <w:color w:val="111111"/>
          <w:sz w:val="28"/>
          <w:sz w:val="28"/>
          <w:szCs w:val="28"/>
          <w:rtl w:val="true"/>
          <w:lang w:bidi="ar-SA"/>
        </w:rPr>
        <w:t xml:space="preserve">،عن أمّ سلمة </w:t>
      </w:r>
      <w:r>
        <w:rPr>
          <w:rStyle w:val="FootnoteAnchor"/>
          <w:rtl w:val="true"/>
        </w:rPr>
        <w:footnoteReference w:id="13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صلّى اللّه عليه و آله،كان يقبّلها و هو صائم،لا يفطر و لا يحدث وضوءا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ابن أبي عمير،عن غير واحد من أصحابنا،عن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 المذي من الشّهوة،و لا من </w:t>
      </w:r>
    </w:p>
    <w:p>
      <w:pPr>
        <w:pStyle w:val="BookText"/>
        <w:rPr/>
      </w:pPr>
      <w:r>
        <w:rPr>
          <w:rFonts w:ascii="Amiri" w:hAnsi="Amiri" w:eastAsia="Amiri" w:cs="Amiri"/>
          <w:color w:val="111111"/>
          <w:sz w:val="28"/>
          <w:sz w:val="28"/>
          <w:szCs w:val="28"/>
          <w:rtl w:val="true"/>
          <w:lang w:bidi="ar-SA"/>
        </w:rPr>
        <w:t>الإنعاظ،و لا من القبلة،و لا من مسّ الفرج،و لا من المضاجعة وضوء،و لا يغسل منه الثّوب و لا الجسد</w:t>
      </w:r>
      <w:r>
        <w:rPr>
          <w:rFonts w:eastAsia="Amiri" w:cs="Amiri" w:ascii="Amiri" w:hAnsi="Amiri"/>
          <w:color w:val="111111"/>
          <w:sz w:val="28"/>
          <w:szCs w:val="28"/>
          <w:rtl w:val="true"/>
          <w:lang w:bidi="ar-SA"/>
        </w:rPr>
        <w:t xml:space="preserve">)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الصّحيح،عن زرارة،عن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القبلة و لا المباشرة و لا مسّ الفرج وضوء</w:t>
      </w:r>
      <w:r>
        <w:rPr>
          <w:rFonts w:eastAsia="Amiri" w:cs="Amiri" w:ascii="Amiri" w:hAnsi="Amiri"/>
          <w:color w:val="111111"/>
          <w:sz w:val="28"/>
          <w:szCs w:val="28"/>
          <w:rtl w:val="true"/>
          <w:lang w:bidi="ar-SA"/>
        </w:rPr>
        <w:t xml:space="preserve">)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الصّحيح،عن الحلبيّ،قال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القبلة تنقض الوضوء؟قال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عن أبي بصير،عن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قبّل الرّجل المرأة من شهوة أو مسّ فرجها،أعاد الوضوء</w:t>
      </w:r>
      <w:r>
        <w:rPr>
          <w:rFonts w:eastAsia="Amiri" w:cs="Amiri" w:ascii="Amiri" w:hAnsi="Amiri"/>
          <w:color w:val="111111"/>
          <w:sz w:val="28"/>
          <w:szCs w:val="28"/>
          <w:rtl w:val="true"/>
          <w:lang w:bidi="ar-SA"/>
        </w:rPr>
        <w:t xml:space="preserve">) </w:t>
      </w:r>
      <w:r>
        <w:rPr>
          <w:rStyle w:val="FootnoteAnchor"/>
          <w:rtl w:val="true"/>
        </w:rPr>
        <w:footnoteReference w:id="13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أبو بصير،عن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مسّ كلبا،فليتوضّأ</w:t>
      </w:r>
      <w:r>
        <w:rPr>
          <w:rFonts w:eastAsia="Amiri" w:cs="Amiri" w:ascii="Amiri" w:hAnsi="Amiri"/>
          <w:color w:val="111111"/>
          <w:sz w:val="28"/>
          <w:szCs w:val="28"/>
          <w:rtl w:val="true"/>
          <w:lang w:bidi="ar-SA"/>
        </w:rPr>
        <w:t xml:space="preserve">)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طريق الحديثين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عثمان بن عيسى و هو واقفيّ </w:t>
      </w:r>
      <w:r>
        <w:rPr>
          <w:rStyle w:val="FootnoteAnchor"/>
          <w:rtl w:val="true"/>
        </w:rPr>
        <w:footnoteReference w:id="1327"/>
      </w:r>
      <w:r>
        <w:rPr>
          <w:rFonts w:ascii="Amiri" w:hAnsi="Amiri" w:eastAsia="Amiri" w:cs="Amiri"/>
          <w:color w:val="111111"/>
          <w:sz w:val="28"/>
          <w:sz w:val="28"/>
          <w:szCs w:val="28"/>
          <w:rtl w:val="true"/>
          <w:lang w:bidi="ar-SA"/>
        </w:rPr>
        <w:t>،فلا تعويل على روايته خصوصا مع وجود الأحاديث الصّحيحة الدّالّة على خلافهما،و ذلك نعم المعين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انّ الحديث الأوّل يحمل على الاستحباب،لما رواه عبد الرّحمن بن أبي عبد اللّه </w:t>
      </w:r>
      <w:r>
        <w:rPr>
          <w:rStyle w:val="FootnoteAnchor"/>
          <w:rtl w:val="true"/>
        </w:rPr>
        <w:footnoteReference w:id="132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سألته عن رجل مسّ فرج امرأته؟قال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 شيء،و إن شاء غسل يده</w:t>
      </w:r>
      <w:r>
        <w:rPr>
          <w:rFonts w:eastAsia="Amiri" w:cs="Amiri" w:ascii="Amiri" w:hAnsi="Amiri"/>
          <w:color w:val="111111"/>
          <w:sz w:val="28"/>
          <w:szCs w:val="28"/>
          <w:rtl w:val="true"/>
          <w:lang w:bidi="ar-SA"/>
        </w:rPr>
        <w:t xml:space="preserve">)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يحمل الحديث الثّاني على غسل اليد،لما رواه الشّيخ في الصّحيح 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الكلب يصيب شيئا من جسد الرّجل؟قال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 المكان الّذي أصابه</w:t>
      </w:r>
      <w:r>
        <w:rPr>
          <w:rFonts w:eastAsia="Amiri" w:cs="Amiri" w:ascii="Amiri" w:hAnsi="Amiri"/>
          <w:color w:val="111111"/>
          <w:sz w:val="28"/>
          <w:szCs w:val="28"/>
          <w:rtl w:val="true"/>
          <w:lang w:bidi="ar-SA"/>
        </w:rPr>
        <w:t xml:space="preserve">)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الحدث هو الخارج النّجس و لم يوجد،و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مسّ ما هو نجس لا يؤثّر في الطّهارة،فمسّ الطّاهر أولى،و لأنّ مسّ الذّكر بظاهر الكفّ لا ينقض،فكذا بباطنه كسائر الأعضاء،و لأنّ كلّ أمر يتعلّق بالذّكر أوجب أعلى الطّهارتين لا يتعلّق بمسّ اليد،فوجب أنّ يكون الموجب لأصغرهما كذلك،و لأنّ مسّ الرّجل المرأة لو كان ناقضا،لكان مسّ الرّجل الرّجل ينقضه كالوطء،و لأنّه مسّ لا يؤثّر في الصّيام،فيجب أن لا ينقض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الأصل من مسّ نفسه</w:t>
      </w:r>
      <w:r>
        <w:rPr>
          <w:rFonts w:eastAsia="Amiri" w:cs="Amiri" w:ascii="Amiri" w:hAnsi="Amiri"/>
          <w:color w:val="111111"/>
          <w:sz w:val="28"/>
          <w:szCs w:val="28"/>
          <w:rtl w:val="true"/>
          <w:lang w:bidi="ar-SA"/>
        </w:rPr>
        <w:t xml:space="preserve">)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الشّافعيّ </w:t>
      </w:r>
      <w:r>
        <w:rPr>
          <w:rStyle w:val="FootnoteAnchor"/>
          <w:rtl w:val="true"/>
        </w:rPr>
        <w:footnoteReference w:id="1332"/>
      </w:r>
      <w:r>
        <w:rPr>
          <w:rFonts w:ascii="Amiri" w:hAnsi="Amiri" w:eastAsia="Amiri" w:cs="Amiri"/>
          <w:color w:val="111111"/>
          <w:sz w:val="28"/>
          <w:sz w:val="28"/>
          <w:szCs w:val="28"/>
          <w:rtl w:val="true"/>
          <w:lang w:bidi="ar-SA"/>
        </w:rPr>
        <w:t>بما رواه أبو هريرة،عن النّبيّ عليه السّلام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أفضى أحدكم بيده إلى ذكره ليس بينه و بينه حجاب و لا ستر،فليتوضّأ</w:t>
      </w:r>
      <w:r>
        <w:rPr>
          <w:rFonts w:eastAsia="Amiri" w:cs="Amiri" w:ascii="Amiri" w:hAnsi="Amiri"/>
          <w:color w:val="111111"/>
          <w:sz w:val="28"/>
          <w:szCs w:val="28"/>
          <w:rtl w:val="true"/>
          <w:lang w:bidi="ar-SA"/>
        </w:rPr>
        <w:t xml:space="preserve">)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رواه </w:t>
      </w:r>
      <w:r>
        <w:rPr>
          <w:rStyle w:val="FootnoteAnchor"/>
          <w:rtl w:val="true"/>
        </w:rPr>
        <w:footnoteReference w:id="1334"/>
      </w:r>
      <w:r>
        <w:rPr>
          <w:rFonts w:ascii="Amiri" w:hAnsi="Amiri" w:eastAsia="Amiri" w:cs="Amiri"/>
          <w:color w:val="111111"/>
          <w:sz w:val="28"/>
          <w:sz w:val="28"/>
          <w:szCs w:val="28"/>
          <w:rtl w:val="true"/>
          <w:lang w:bidi="ar-SA"/>
        </w:rPr>
        <w:t xml:space="preserve">بسرة بنت صفوان </w:t>
      </w:r>
      <w:r>
        <w:rPr>
          <w:rStyle w:val="FootnoteAnchor"/>
          <w:rtl w:val="true"/>
        </w:rPr>
        <w:footnoteReference w:id="1335"/>
      </w:r>
      <w:r>
        <w:rPr>
          <w:rFonts w:ascii="Amiri" w:hAnsi="Amiri" w:eastAsia="Amiri" w:cs="Amiri"/>
          <w:color w:val="111111"/>
          <w:sz w:val="28"/>
          <w:sz w:val="28"/>
          <w:szCs w:val="28"/>
          <w:rtl w:val="true"/>
          <w:lang w:bidi="ar-SA"/>
        </w:rPr>
        <w:t>،عن النّبيّ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مسّ </w:t>
      </w:r>
    </w:p>
    <w:p>
      <w:pPr>
        <w:pStyle w:val="BookText"/>
        <w:rPr/>
      </w:pPr>
      <w:r>
        <w:rPr>
          <w:rFonts w:ascii="Amiri" w:hAnsi="Amiri" w:eastAsia="Amiri" w:cs="Amiri"/>
          <w:color w:val="111111"/>
          <w:sz w:val="28"/>
          <w:sz w:val="28"/>
          <w:szCs w:val="28"/>
          <w:rtl w:val="true"/>
          <w:lang w:bidi="ar-SA"/>
        </w:rPr>
        <w:t>أحدكم ذكره،فليتوضّأ</w:t>
      </w:r>
      <w:r>
        <w:rPr>
          <w:rFonts w:eastAsia="Amiri" w:cs="Amiri" w:ascii="Amiri" w:hAnsi="Amiri"/>
          <w:color w:val="111111"/>
          <w:sz w:val="28"/>
          <w:szCs w:val="28"/>
          <w:rtl w:val="true"/>
          <w:lang w:bidi="ar-SA"/>
        </w:rPr>
        <w:t xml:space="preserve">) </w:t>
      </w:r>
      <w:r>
        <w:rPr>
          <w:rStyle w:val="FootnoteAnchor"/>
          <w:rtl w:val="true"/>
        </w:rPr>
        <w:footnoteReference w:id="1336"/>
      </w:r>
      <w:r>
        <w:rPr>
          <w:rFonts w:ascii="Amiri" w:hAnsi="Amiri" w:eastAsia="Amiri" w:cs="Amiri"/>
          <w:color w:val="111111"/>
          <w:sz w:val="28"/>
          <w:sz w:val="28"/>
          <w:szCs w:val="28"/>
          <w:rtl w:val="true"/>
          <w:lang w:bidi="ar-SA"/>
        </w:rPr>
        <w:t xml:space="preserve">،و قوله تعالى أَوْ لامَسْتُمُ النِّساءَ </w:t>
      </w:r>
      <w:r>
        <w:rPr>
          <w:rStyle w:val="FootnoteAnchor"/>
          <w:rtl w:val="true"/>
        </w:rPr>
        <w:footnoteReference w:id="1337"/>
      </w:r>
      <w:r>
        <w:rPr>
          <w:rFonts w:ascii="Amiri" w:hAnsi="Amiri" w:eastAsia="Amiri" w:cs="Amiri"/>
          <w:color w:val="111111"/>
          <w:sz w:val="28"/>
          <w:sz w:val="28"/>
          <w:szCs w:val="28"/>
          <w:rtl w:val="true"/>
          <w:lang w:bidi="ar-SA"/>
        </w:rPr>
        <w:t>و حقيقة اللّمس،باليد،و لأنّ مسّ الفرج بغير حائل سبب لخروج البلل،فأقيم مقام حقيقة الخروج احتياطا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الجواب عن الأوّل بأنّ رواية </w:t>
      </w:r>
      <w:r>
        <w:rPr>
          <w:rStyle w:val="FootnoteAnchor"/>
          <w:rtl w:val="true"/>
        </w:rPr>
        <w:footnoteReference w:id="1338"/>
      </w:r>
      <w:r>
        <w:rPr>
          <w:rFonts w:ascii="Amiri" w:hAnsi="Amiri" w:eastAsia="Amiri" w:cs="Amiri"/>
          <w:color w:val="111111"/>
          <w:sz w:val="28"/>
          <w:sz w:val="28"/>
          <w:szCs w:val="28"/>
          <w:rtl w:val="true"/>
          <w:lang w:bidi="ar-SA"/>
        </w:rPr>
        <w:t xml:space="preserve">يزيد بن عبد الملك النّوفليّ </w:t>
      </w:r>
      <w:r>
        <w:rPr>
          <w:rStyle w:val="FootnoteAnchor"/>
          <w:rtl w:val="true"/>
        </w:rPr>
        <w:footnoteReference w:id="1339"/>
      </w:r>
      <w:r>
        <w:rPr>
          <w:rFonts w:ascii="Amiri" w:hAnsi="Amiri" w:eastAsia="Amiri" w:cs="Amiri"/>
          <w:color w:val="111111"/>
          <w:sz w:val="28"/>
          <w:sz w:val="28"/>
          <w:szCs w:val="28"/>
          <w:rtl w:val="true"/>
          <w:lang w:bidi="ar-SA"/>
        </w:rPr>
        <w:t xml:space="preserve">،عن أبي موسى الحنّاط </w:t>
      </w:r>
      <w:r>
        <w:rPr>
          <w:rStyle w:val="FootnoteAnchor"/>
          <w:rtl w:val="true"/>
        </w:rPr>
        <w:footnoteReference w:id="1340"/>
      </w:r>
      <w:r>
        <w:rPr>
          <w:rFonts w:ascii="Amiri" w:hAnsi="Amiri" w:eastAsia="Amiri" w:cs="Amiri"/>
          <w:color w:val="111111"/>
          <w:sz w:val="28"/>
          <w:sz w:val="28"/>
          <w:szCs w:val="28"/>
          <w:rtl w:val="true"/>
          <w:lang w:bidi="ar-SA"/>
        </w:rPr>
        <w:t xml:space="preserve">،عن سعيد المقبريّ </w:t>
      </w:r>
      <w:r>
        <w:rPr>
          <w:rStyle w:val="FootnoteAnchor"/>
          <w:rtl w:val="true"/>
        </w:rPr>
        <w:footnoteReference w:id="1341"/>
      </w:r>
      <w:r>
        <w:rPr>
          <w:rFonts w:ascii="Amiri" w:hAnsi="Amiri" w:eastAsia="Amiri" w:cs="Amiri"/>
          <w:color w:val="111111"/>
          <w:sz w:val="28"/>
          <w:sz w:val="28"/>
          <w:szCs w:val="28"/>
          <w:rtl w:val="true"/>
          <w:lang w:bidi="ar-SA"/>
        </w:rPr>
        <w:t>،عن أبي هريرة،و يزيد ضعيف عند أهل النّقل،و أبو موسى مجهول</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حديث بسرة أنّ راويه مروان بن الحكم </w:t>
      </w:r>
      <w:r>
        <w:rPr>
          <w:rStyle w:val="FootnoteAnchor"/>
          <w:rtl w:val="true"/>
        </w:rPr>
        <w:footnoteReference w:id="1342"/>
      </w:r>
      <w:r>
        <w:rPr>
          <w:rFonts w:ascii="Amiri" w:hAnsi="Amiri" w:eastAsia="Amiri" w:cs="Amiri"/>
          <w:color w:val="111111"/>
          <w:sz w:val="28"/>
          <w:sz w:val="28"/>
          <w:szCs w:val="28"/>
          <w:rtl w:val="true"/>
          <w:lang w:bidi="ar-SA"/>
        </w:rPr>
        <w:t xml:space="preserve">و كان قد رواه لعروة فلم يرفع عروة بحديثه رأسا فبعثوا شرطيّا إلى بسرة فأخبر عنها الشّرطيّ بذلك،و كان إبراهيم </w:t>
      </w:r>
      <w:bookmarkStart w:id="743" w:name="pg12672_159966"/>
    </w:p>
    <w:p>
      <w:pPr>
        <w:pStyle w:val="BookText"/>
        <w:rPr/>
      </w:pPr>
      <w:bookmarkEnd w:id="743"/>
      <w:r>
        <w:rPr>
          <w:rFonts w:ascii="Amiri" w:hAnsi="Amiri" w:eastAsia="Amiri" w:cs="Amiri"/>
          <w:color w:val="111111"/>
          <w:sz w:val="28"/>
          <w:sz w:val="28"/>
          <w:szCs w:val="28"/>
          <w:rtl w:val="true"/>
          <w:lang w:bidi="ar-SA"/>
        </w:rPr>
        <w:t xml:space="preserve">الحربيّ </w:t>
      </w:r>
      <w:r>
        <w:rPr>
          <w:rStyle w:val="FootnoteAnchor"/>
          <w:rtl w:val="true"/>
        </w:rPr>
        <w:footnoteReference w:id="1343"/>
      </w:r>
      <w:r>
        <w:rPr>
          <w:rFonts w:ascii="Amiri" w:hAnsi="Amiri" w:eastAsia="Amiri" w:cs="Amiri"/>
          <w:color w:val="111111"/>
          <w:sz w:val="28"/>
          <w:sz w:val="28"/>
          <w:szCs w:val="28"/>
          <w:rtl w:val="true"/>
          <w:lang w:bidi="ar-SA"/>
        </w:rPr>
        <w:t xml:space="preserve">يقول حديث بسرة إنّما هو شرطيّ </w:t>
      </w:r>
      <w:r>
        <w:rPr>
          <w:rStyle w:val="FootnoteAnchor"/>
          <w:rtl w:val="true"/>
        </w:rPr>
        <w:footnoteReference w:id="1344"/>
      </w:r>
      <w:r>
        <w:rPr>
          <w:rFonts w:ascii="Amiri" w:hAnsi="Amiri" w:eastAsia="Amiri" w:cs="Amiri"/>
          <w:color w:val="111111"/>
          <w:sz w:val="28"/>
          <w:sz w:val="28"/>
          <w:szCs w:val="28"/>
          <w:rtl w:val="true"/>
          <w:lang w:bidi="ar-SA"/>
        </w:rPr>
        <w:t xml:space="preserve">عن امرأة،و ردّه يحيى </w:t>
      </w:r>
      <w:r>
        <w:rPr>
          <w:rStyle w:val="FootnoteAnchor"/>
          <w:rtl w:val="true"/>
        </w:rPr>
        <w:footnoteReference w:id="1345"/>
      </w:r>
      <w:r>
        <w:rPr>
          <w:rFonts w:ascii="Amiri" w:hAnsi="Amiri" w:eastAsia="Amiri" w:cs="Amiri"/>
          <w:color w:val="111111"/>
          <w:sz w:val="28"/>
          <w:sz w:val="28"/>
          <w:szCs w:val="28"/>
          <w:rtl w:val="true"/>
          <w:lang w:bidi="ar-SA"/>
        </w:rPr>
        <w:t>بن معين فلم يقبله،و مع التّسليم يحمل على غسل اليد مع عدم الاستنجاء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المراد باللّمس،الوقاع مجازا و التّيمّم المذكور للجنابة على ما اتّفق عليه المفسّرون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ليس بسبب ظاهر بل محتمل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سلّمنا،لكنّ السّبب إنّما يقوم مقام المسبّب مع تعذّر الوقوف على حقيقة المسبّب كما في النّوم و الغفلة،و هذه حالة يقظة، فأمكن الوقوف على حقيقة الخروج</w:t>
      </w:r>
      <w:r>
        <w:rPr>
          <w:rFonts w:eastAsia="Amiri" w:cs="Amiri" w:ascii="Amiri" w:hAnsi="Amiri"/>
          <w:color w:val="111111"/>
          <w:sz w:val="28"/>
          <w:szCs w:val="28"/>
          <w:rtl w:val="true"/>
          <w:lang w:bidi="ar-SA"/>
        </w:rPr>
        <w:t>.</w:t>
      </w:r>
    </w:p>
    <w:p>
      <w:pPr>
        <w:pStyle w:val="Heading6"/>
        <w:numPr>
          <w:ilvl w:val="5"/>
          <w:numId w:val="1"/>
        </w:numPr>
        <w:rPr/>
      </w:pPr>
      <w:bookmarkStart w:id="744" w:name="__RefHeading___Toc747207_222507752"/>
      <w:bookmarkStart w:id="745" w:name="_Toc294"/>
      <w:bookmarkEnd w:id="744"/>
      <w:r>
        <w:rPr>
          <w:rtl w:val="true"/>
        </w:rPr>
        <w:t>فروع</w:t>
      </w:r>
      <w:r>
        <w:rPr>
          <w:rtl w:val="true"/>
        </w:rPr>
        <w:t>:</w:t>
      </w:r>
      <w:bookmarkEnd w:id="745"/>
    </w:p>
    <w:p>
      <w:pPr>
        <w:pStyle w:val="Heading6"/>
        <w:numPr>
          <w:ilvl w:val="5"/>
          <w:numId w:val="1"/>
        </w:numPr>
        <w:rPr/>
      </w:pPr>
      <w:bookmarkStart w:id="746" w:name="__RefHeading___Toc747209_222507752"/>
      <w:bookmarkStart w:id="747" w:name="_Toc295"/>
      <w:bookmarkEnd w:id="746"/>
      <w:r>
        <w:rPr>
          <w:rtl w:val="true"/>
        </w:rPr>
        <w:t>الأوّل</w:t>
      </w:r>
      <w:r>
        <w:rPr>
          <w:rtl w:val="true"/>
        </w:rPr>
        <w:t>:</w:t>
      </w:r>
      <w:r>
        <w:rPr>
          <w:rtl w:val="true"/>
        </w:rPr>
        <w:t>لمس الشّعر عندنا لا يوجب الوضوء</w:t>
      </w:r>
      <w:r>
        <w:rPr>
          <w:rtl w:val="true"/>
        </w:rPr>
        <w:t>.</w:t>
      </w:r>
      <w:bookmarkEnd w:id="747"/>
    </w:p>
    <w:p>
      <w:pPr>
        <w:pStyle w:val="BookText"/>
        <w:rPr/>
      </w:pP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بشهوة نقض كالبشرة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48" w:name="__RefHeading___Toc747211_222507752"/>
      <w:bookmarkStart w:id="749" w:name="_Toc296"/>
      <w:bookmarkEnd w:id="748"/>
      <w:r>
        <w:rPr>
          <w:rtl w:val="true"/>
        </w:rPr>
        <w:t>الثّاني</w:t>
      </w:r>
      <w:r>
        <w:rPr>
          <w:rtl w:val="true"/>
        </w:rPr>
        <w:t>:</w:t>
      </w:r>
      <w:r>
        <w:rPr>
          <w:rtl w:val="true"/>
        </w:rPr>
        <w:t>اللّمس من وراء حائل،لا يوجب الوضوء</w:t>
      </w:r>
      <w:r>
        <w:rPr>
          <w:rtl w:val="true"/>
        </w:rPr>
        <w:t>.</w:t>
      </w:r>
      <w:bookmarkEnd w:id="749"/>
    </w:p>
    <w:p>
      <w:pPr>
        <w:pStyle w:val="BookText"/>
        <w:rPr/>
      </w:pP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مالك و ربيعة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بشهوة نقض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 xml:space="preserve">. </w:t>
      </w:r>
      <w:bookmarkStart w:id="750" w:name="pg12672_159967"/>
    </w:p>
    <w:p>
      <w:pPr>
        <w:pStyle w:val="Heading6"/>
        <w:numPr>
          <w:ilvl w:val="5"/>
          <w:numId w:val="1"/>
        </w:numPr>
        <w:rPr/>
      </w:pPr>
      <w:bookmarkStart w:id="751" w:name="__RefHeading___Toc747213_222507752"/>
      <w:bookmarkStart w:id="752" w:name="_Toc297"/>
      <w:bookmarkEnd w:id="750"/>
      <w:bookmarkEnd w:id="751"/>
      <w:r>
        <w:rPr>
          <w:rtl w:val="true"/>
        </w:rPr>
        <w:t>الثّالث</w:t>
      </w:r>
      <w:r>
        <w:rPr>
          <w:rtl w:val="true"/>
        </w:rPr>
        <w:t>:</w:t>
      </w:r>
      <w:r>
        <w:rPr>
          <w:rtl w:val="true"/>
        </w:rPr>
        <w:t>لو كان له إصبع زائدة فمسّ بباطنها ذكره لم تنتقض طهارته</w:t>
      </w:r>
      <w:r>
        <w:rPr>
          <w:rtl w:val="true"/>
        </w:rPr>
        <w:t>.</w:t>
      </w:r>
      <w:bookmarkEnd w:id="752"/>
    </w:p>
    <w:p>
      <w:pPr>
        <w:pStyle w:val="BookText"/>
        <w:rPr/>
      </w:pPr>
      <w:r>
        <w:rPr>
          <w:rFonts w:ascii="Amiri" w:hAnsi="Amiri" w:eastAsia="Amiri" w:cs="Amiri"/>
          <w:color w:val="111111"/>
          <w:sz w:val="28"/>
          <w:sz w:val="28"/>
          <w:szCs w:val="28"/>
          <w:rtl w:val="true"/>
          <w:lang w:bidi="ar-SA"/>
        </w:rPr>
        <w:t>و هو أحد وجهي الشّافعيّة،و في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تنتقض </w:t>
      </w:r>
      <w:r>
        <w:rPr>
          <w:rStyle w:val="FootnoteAnchor"/>
          <w:rtl w:val="true"/>
        </w:rPr>
        <w:footnoteReference w:id="13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لو مسّه بعد قطعه فيه الوجهان عندهم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53" w:name="__RefHeading___Toc747215_222507752"/>
      <w:bookmarkStart w:id="754" w:name="_Toc298"/>
      <w:bookmarkEnd w:id="753"/>
      <w:r>
        <w:rPr>
          <w:rtl w:val="true"/>
        </w:rPr>
        <w:t>الرّابع</w:t>
      </w:r>
      <w:r>
        <w:rPr>
          <w:rtl w:val="true"/>
        </w:rPr>
        <w:t>:</w:t>
      </w:r>
      <w:r>
        <w:rPr>
          <w:rtl w:val="true"/>
        </w:rPr>
        <w:t>لا فرق بين مسّ ذكر صغير أو كبير عندنا في عدم النّقض،</w:t>
      </w:r>
      <w:bookmarkEnd w:id="754"/>
    </w:p>
    <w:p>
      <w:pPr>
        <w:pStyle w:val="BookText"/>
        <w:rPr/>
      </w:pPr>
      <w:r>
        <w:rPr>
          <w:rFonts w:ascii="Amiri" w:hAnsi="Amiri" w:eastAsia="Amiri" w:cs="Amiri"/>
          <w:color w:val="111111"/>
          <w:sz w:val="28"/>
          <w:sz w:val="28"/>
          <w:szCs w:val="28"/>
          <w:rtl w:val="true"/>
          <w:lang w:bidi="ar-SA"/>
        </w:rPr>
        <w:t xml:space="preserve">و لا عند الشّافعيّ في النّقض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الزّهريّ و الأوزاعيّ و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لا يجب على من مسّ ذكر الصّغير وضوء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55" w:name="__RefHeading___Toc747217_222507752"/>
      <w:bookmarkStart w:id="756" w:name="_Toc299"/>
      <w:bookmarkEnd w:id="755"/>
      <w:r>
        <w:rPr>
          <w:rtl w:val="true"/>
        </w:rPr>
        <w:t>الخامس</w:t>
      </w:r>
      <w:r>
        <w:rPr>
          <w:rtl w:val="true"/>
        </w:rPr>
        <w:t>:</w:t>
      </w:r>
      <w:r>
        <w:rPr>
          <w:rtl w:val="true"/>
        </w:rPr>
        <w:t>لو مسّ الأنثيين أو الألية أو العانة لم ينتقض وضوؤه</w:t>
      </w:r>
      <w:r>
        <w:rPr>
          <w:rtl w:val="true"/>
        </w:rPr>
        <w:t>.</w:t>
      </w:r>
      <w:bookmarkEnd w:id="756"/>
    </w:p>
    <w:p>
      <w:pPr>
        <w:pStyle w:val="BookText"/>
        <w:rPr/>
      </w:pP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1354"/>
      </w:r>
      <w:r>
        <w:rPr>
          <w:rFonts w:ascii="Amiri" w:hAnsi="Amiri" w:eastAsia="Amiri" w:cs="Amiri"/>
          <w:color w:val="111111"/>
          <w:sz w:val="28"/>
          <w:sz w:val="28"/>
          <w:szCs w:val="28"/>
          <w:rtl w:val="true"/>
          <w:lang w:bidi="ar-SA"/>
        </w:rPr>
        <w:t xml:space="preserve">،و حكي عن عروة بن الزّبير أنّ عليه الوضوء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57" w:name="__RefHeading___Toc747219_222507752"/>
      <w:bookmarkStart w:id="758" w:name="_Toc300"/>
      <w:bookmarkEnd w:id="757"/>
      <w:r>
        <w:rPr>
          <w:rtl w:val="true"/>
        </w:rPr>
        <w:t>السّادس</w:t>
      </w:r>
      <w:r>
        <w:rPr>
          <w:rtl w:val="true"/>
        </w:rPr>
        <w:t>:</w:t>
      </w:r>
      <w:r>
        <w:rPr>
          <w:rtl w:val="true"/>
        </w:rPr>
        <w:t>لو مسّت المرأة فرجها لم ينتقض وضوؤها</w:t>
      </w:r>
      <w:r>
        <w:rPr>
          <w:rtl w:val="true"/>
        </w:rPr>
        <w:t>.</w:t>
      </w:r>
      <w:bookmarkEnd w:id="758"/>
    </w:p>
    <w:p>
      <w:pPr>
        <w:pStyle w:val="BookText"/>
        <w:rPr/>
      </w:pPr>
      <w:r>
        <w:rPr>
          <w:rFonts w:ascii="Amiri" w:hAnsi="Amiri" w:eastAsia="Amiri" w:cs="Amiri"/>
          <w:color w:val="111111"/>
          <w:sz w:val="28"/>
          <w:sz w:val="28"/>
          <w:szCs w:val="28"/>
          <w:rtl w:val="true"/>
          <w:lang w:bidi="ar-SA"/>
        </w:rPr>
        <w:t xml:space="preserve">و به قال مالك </w:t>
      </w:r>
      <w:r>
        <w:rPr>
          <w:rStyle w:val="FootnoteAnchor"/>
          <w:rtl w:val="true"/>
        </w:rPr>
        <w:footnoteReference w:id="1356"/>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ينتقض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مسّ فرج البهيمة لم ينتقض وضوؤه عندنا،و عند الشّافعيّ في أحد القولين </w:t>
      </w:r>
      <w:r>
        <w:rPr>
          <w:rStyle w:val="FootnoteAnchor"/>
          <w:rtl w:val="true"/>
        </w:rPr>
        <w:footnoteReference w:id="1358"/>
      </w:r>
      <w:r>
        <w:rPr>
          <w:rFonts w:ascii="Amiri" w:hAnsi="Amiri" w:eastAsia="Amiri" w:cs="Amiri"/>
          <w:color w:val="111111"/>
          <w:sz w:val="28"/>
          <w:sz w:val="28"/>
          <w:szCs w:val="28"/>
          <w:rtl w:val="true"/>
          <w:lang w:bidi="ar-SA"/>
        </w:rPr>
        <w:t>، و في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ينتقض </w:t>
      </w:r>
      <w:r>
        <w:rPr>
          <w:rStyle w:val="FootnoteAnchor"/>
          <w:rtl w:val="true"/>
        </w:rPr>
        <w:footnoteReference w:id="1359"/>
      </w:r>
      <w:r>
        <w:rPr>
          <w:rFonts w:ascii="Amiri" w:hAnsi="Amiri" w:eastAsia="Amiri" w:cs="Amiri"/>
          <w:color w:val="111111"/>
          <w:sz w:val="28"/>
          <w:sz w:val="28"/>
          <w:szCs w:val="28"/>
          <w:rtl w:val="true"/>
          <w:lang w:bidi="ar-SA"/>
        </w:rPr>
        <w:t xml:space="preserve">،و هو مذهب اللّيث بن سعد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59" w:name="__RefHeading___Toc747221_222507752"/>
      <w:bookmarkStart w:id="760" w:name="_Toc301"/>
      <w:bookmarkEnd w:id="759"/>
      <w:r>
        <w:rPr>
          <w:rtl w:val="true"/>
        </w:rPr>
        <w:t>الثّاني</w:t>
      </w:r>
      <w:r>
        <w:rPr>
          <w:rtl w:val="true"/>
        </w:rPr>
        <w:t>:</w:t>
      </w:r>
      <w:r>
        <w:rPr>
          <w:rtl w:val="true"/>
        </w:rPr>
        <w:t>القيء لا ينقض الوضوء،ملأ الفم أو لا</w:t>
      </w:r>
      <w:bookmarkEnd w:id="760"/>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إليه علماؤنا،و به قال عبد اللّه بن </w:t>
      </w:r>
    </w:p>
    <w:p>
      <w:pPr>
        <w:pStyle w:val="BookText"/>
        <w:rPr/>
      </w:pPr>
      <w:r>
        <w:rPr>
          <w:rFonts w:ascii="Amiri" w:hAnsi="Amiri" w:eastAsia="Amiri" w:cs="Amiri"/>
          <w:color w:val="111111"/>
          <w:sz w:val="28"/>
          <w:sz w:val="28"/>
          <w:szCs w:val="28"/>
          <w:rtl w:val="true"/>
          <w:lang w:bidi="ar-SA"/>
        </w:rPr>
        <w:t xml:space="preserve">عبّاس،و عبد اللّه بن عمر،و عبد اللّه بن أبي أوفى </w:t>
      </w:r>
      <w:r>
        <w:rPr>
          <w:rStyle w:val="FootnoteAnchor"/>
          <w:rtl w:val="true"/>
        </w:rPr>
        <w:footnoteReference w:id="1361"/>
      </w:r>
      <w:r>
        <w:rPr>
          <w:rFonts w:ascii="Amiri" w:hAnsi="Amiri" w:eastAsia="Amiri" w:cs="Amiri"/>
          <w:color w:val="111111"/>
          <w:sz w:val="28"/>
          <w:sz w:val="28"/>
          <w:szCs w:val="28"/>
          <w:rtl w:val="true"/>
          <w:lang w:bidi="ar-SA"/>
        </w:rPr>
        <w:t xml:space="preserve">،و أبو هريرة،و عائشة،و جابر بن عبد اللّه </w:t>
      </w:r>
      <w:r>
        <w:rPr>
          <w:rStyle w:val="FootnoteAnchor"/>
          <w:rtl w:val="true"/>
        </w:rPr>
        <w:footnoteReference w:id="1362"/>
      </w:r>
      <w:r>
        <w:rPr>
          <w:rFonts w:ascii="Amiri" w:hAnsi="Amiri" w:eastAsia="Amiri" w:cs="Amiri"/>
          <w:color w:val="111111"/>
          <w:sz w:val="28"/>
          <w:sz w:val="28"/>
          <w:szCs w:val="28"/>
          <w:rtl w:val="true"/>
          <w:lang w:bidi="ar-SA"/>
        </w:rPr>
        <w:t>،و من التّابعين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المسيّب،و القاسم بن محمّد،و عطاء،و طاوس،و سالم بن عبد اللّه بن عمر </w:t>
      </w:r>
      <w:r>
        <w:rPr>
          <w:rStyle w:val="FootnoteAnchor"/>
          <w:rtl w:val="true"/>
        </w:rPr>
        <w:footnoteReference w:id="1363"/>
      </w:r>
      <w:r>
        <w:rPr>
          <w:rFonts w:ascii="Amiri" w:hAnsi="Amiri" w:eastAsia="Amiri" w:cs="Amiri"/>
          <w:color w:val="111111"/>
          <w:sz w:val="28"/>
          <w:sz w:val="28"/>
          <w:szCs w:val="28"/>
          <w:rtl w:val="true"/>
          <w:lang w:bidi="ar-SA"/>
        </w:rPr>
        <w:t>،و مكحول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مذهب ربيعة،و مالك،و الشّافعيّ،و أبي ثور، و داود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قاء طعاما،أو مرّة،أو صفراء،أو سوداء،أو دما لم يخالطه شيء بعد أن وصل الجوف ثمَّ عاد،نقض إن كان ملأ الفم،و إلاّ فلا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زفر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ينقض مطلقا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قاء بلغما إذا انحدر من الرّأس،لم ينقض إجماعا </w:t>
      </w:r>
      <w:r>
        <w:rPr>
          <w:rStyle w:val="FootnoteAnchor"/>
          <w:rtl w:val="true"/>
        </w:rPr>
        <w:footnoteReference w:id="1367"/>
      </w:r>
      <w:r>
        <w:rPr>
          <w:rFonts w:ascii="Amiri" w:hAnsi="Amiri" w:eastAsia="Amiri" w:cs="Amiri"/>
          <w:color w:val="111111"/>
          <w:sz w:val="28"/>
          <w:sz w:val="28"/>
          <w:szCs w:val="28"/>
          <w:rtl w:val="true"/>
          <w:lang w:bidi="ar-SA"/>
        </w:rPr>
        <w:t xml:space="preserve">،و إن ارتقى من الجوف،لم ينقض قليلا و كثيرا في قول أبي حنيفة و محمّد و إن ملأ الفم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ينقض إن كان ملأ الفم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إن قاء دما ارتقى من الجوف نقض،قلّ أو كثر عند أبي حنيفة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ينقض إن كان ملأ الفم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إن انحدر من الرّأس فقد اتّفقوا على نقضه </w:t>
      </w:r>
      <w:r>
        <w:rPr>
          <w:rStyle w:val="FootnoteAnchor"/>
          <w:rtl w:val="true"/>
        </w:rPr>
        <w:footnoteReference w:id="1372"/>
      </w:r>
      <w:r>
        <w:rPr>
          <w:rFonts w:ascii="Amiri" w:hAnsi="Amiri" w:eastAsia="Amiri" w:cs="Amiri"/>
          <w:color w:val="111111"/>
          <w:sz w:val="28"/>
          <w:sz w:val="28"/>
          <w:szCs w:val="28"/>
          <w:rtl w:val="true"/>
          <w:lang w:bidi="ar-SA"/>
        </w:rPr>
        <w:t xml:space="preserve">،و أمّا إذا قاء مرارا قليلا قليلا </w:t>
      </w:r>
      <w:r>
        <w:rPr>
          <w:rStyle w:val="FootnoteAnchor"/>
          <w:rtl w:val="true"/>
        </w:rPr>
        <w:footnoteReference w:id="1373"/>
      </w:r>
      <w:r>
        <w:rPr>
          <w:rFonts w:ascii="Amiri" w:hAnsi="Amiri" w:eastAsia="Amiri" w:cs="Amiri"/>
          <w:color w:val="111111"/>
          <w:sz w:val="28"/>
          <w:sz w:val="28"/>
          <w:szCs w:val="28"/>
          <w:rtl w:val="true"/>
          <w:lang w:bidi="ar-SA"/>
        </w:rPr>
        <w:t xml:space="preserve">بحيث لو جمع يبلغ ملأ الفم إن اتّحد المجلس يجمع عند أبي يوسف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اتّحد السّبب،و هو القيئان يجمع،و إلاّ فلا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الأوزاعيّ و الثّوريّ و أحمد و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القيء ملأ الفم نقض،و إلاّ فلا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الجمهور،عن النّبيّ صلّى اللّه عليه و آله انّه قاء و لم يتوضّأ </w:t>
      </w:r>
      <w:r>
        <w:rPr>
          <w:rStyle w:val="FootnoteAnchor"/>
          <w:rtl w:val="true"/>
        </w:rPr>
        <w:footnoteReference w:id="1377"/>
      </w:r>
      <w:r>
        <w:rPr>
          <w:rFonts w:ascii="Amiri" w:hAnsi="Amiri" w:eastAsia="Amiri" w:cs="Amiri"/>
          <w:color w:val="111111"/>
          <w:sz w:val="28"/>
          <w:sz w:val="28"/>
          <w:szCs w:val="28"/>
          <w:rtl w:val="true"/>
          <w:lang w:bidi="ar-SA"/>
        </w:rPr>
        <w:t>،و رووا عنه عليه السّلام انّه قاء فغسل فمه،و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الوضوء من القيء</w:t>
      </w:r>
      <w:r>
        <w:rPr>
          <w:rFonts w:eastAsia="Amiri" w:cs="Amiri" w:ascii="Amiri" w:hAnsi="Amiri"/>
          <w:color w:val="111111"/>
          <w:sz w:val="28"/>
          <w:szCs w:val="28"/>
          <w:rtl w:val="true"/>
          <w:lang w:bidi="ar-SA"/>
        </w:rPr>
        <w:t xml:space="preserve">)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أبو الدّرداء </w:t>
      </w:r>
      <w:r>
        <w:rPr>
          <w:rStyle w:val="FootnoteAnchor"/>
          <w:rtl w:val="true"/>
        </w:rPr>
        <w:footnoteReference w:id="1379"/>
      </w:r>
      <w:r>
        <w:rPr>
          <w:rFonts w:ascii="Amiri" w:hAnsi="Amiri" w:eastAsia="Amiri" w:cs="Amiri"/>
          <w:color w:val="111111"/>
          <w:sz w:val="28"/>
          <w:sz w:val="28"/>
          <w:szCs w:val="28"/>
          <w:rtl w:val="true"/>
          <w:lang w:bidi="ar-SA"/>
        </w:rPr>
        <w:t>انّ النّبيّ صلّى اللّه عليه و آله قاء فأفطر،قال ثوبان</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فسكبت له وضوءه،و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واجب من القيء يا رسول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واجبا </w:t>
      </w:r>
    </w:p>
    <w:p>
      <w:pPr>
        <w:pStyle w:val="BookText"/>
        <w:rPr/>
      </w:pPr>
      <w:r>
        <w:rPr>
          <w:rFonts w:ascii="Amiri" w:hAnsi="Amiri" w:eastAsia="Amiri" w:cs="Amiri"/>
          <w:color w:val="111111"/>
          <w:sz w:val="28"/>
          <w:sz w:val="28"/>
          <w:szCs w:val="28"/>
          <w:rtl w:val="true"/>
          <w:lang w:bidi="ar-SA"/>
        </w:rPr>
        <w:t>لوجدته في كتاب اللّه عزّ و جل</w:t>
      </w:r>
      <w:r>
        <w:rPr>
          <w:rFonts w:eastAsia="Amiri" w:cs="Amiri" w:ascii="Amiri" w:hAnsi="Amiri"/>
          <w:color w:val="111111"/>
          <w:sz w:val="28"/>
          <w:szCs w:val="28"/>
          <w:rtl w:val="true"/>
          <w:lang w:bidi="ar-SA"/>
        </w:rPr>
        <w:t xml:space="preserve">)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الحسن عن أبي أسامة،قال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القيء و الرّعاف و المدّة،هل ينقض الوضوء؟قال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رواه في الصّحيح،عن إبراهيم بن أبي محمود </w:t>
      </w:r>
      <w:r>
        <w:rPr>
          <w:rStyle w:val="FootnoteAnchor"/>
          <w:rtl w:val="true"/>
        </w:rPr>
        <w:footnoteReference w:id="13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عليه السّلام عن القيء و الرّعاف و المدّة،أ تنقض الوضوء أم 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 شيئا</w:t>
      </w:r>
      <w:r>
        <w:rPr>
          <w:rFonts w:eastAsia="Amiri" w:cs="Amiri" w:ascii="Amiri" w:hAnsi="Amiri"/>
          <w:color w:val="111111"/>
          <w:sz w:val="28"/>
          <w:szCs w:val="28"/>
          <w:rtl w:val="true"/>
          <w:lang w:bidi="ar-SA"/>
        </w:rPr>
        <w:t xml:space="preserve">) </w:t>
      </w:r>
      <w:r>
        <w:rPr>
          <w:rStyle w:val="FootnoteAnchor"/>
          <w:rtl w:val="true"/>
        </w:rPr>
        <w:footnoteReference w:id="1383"/>
      </w:r>
      <w:r>
        <w:rPr>
          <w:rFonts w:ascii="Amiri" w:hAnsi="Amiri" w:eastAsia="Amiri" w:cs="Amiri"/>
          <w:color w:val="111111"/>
          <w:sz w:val="28"/>
          <w:sz w:val="28"/>
          <w:szCs w:val="28"/>
          <w:rtl w:val="true"/>
          <w:lang w:bidi="ar-SA"/>
        </w:rPr>
        <w:t>و لأنّ القليل ليس بحدث فكذلك الكثير،كالدّمع و غيره،و الجامع انّ غسل غير موضع النّجاسة ليس بمعقول فيقتصر على مورد الشّرع</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أبو حنيفة </w:t>
      </w:r>
      <w:r>
        <w:rPr>
          <w:rStyle w:val="FootnoteAnchor"/>
          <w:rtl w:val="true"/>
        </w:rPr>
        <w:footnoteReference w:id="1384"/>
      </w:r>
      <w:r>
        <w:rPr>
          <w:rFonts w:ascii="Amiri" w:hAnsi="Amiri" w:eastAsia="Amiri" w:cs="Amiri"/>
          <w:color w:val="111111"/>
          <w:sz w:val="28"/>
          <w:sz w:val="28"/>
          <w:szCs w:val="28"/>
          <w:rtl w:val="true"/>
          <w:lang w:bidi="ar-SA"/>
        </w:rPr>
        <w:t xml:space="preserve">بما رواه ابن جريج </w:t>
      </w:r>
      <w:r>
        <w:rPr>
          <w:rStyle w:val="FootnoteAnchor"/>
          <w:rtl w:val="true"/>
        </w:rPr>
        <w:footnoteReference w:id="1385"/>
      </w:r>
      <w:r>
        <w:rPr>
          <w:rFonts w:ascii="Amiri" w:hAnsi="Amiri" w:eastAsia="Amiri" w:cs="Amiri"/>
          <w:color w:val="111111"/>
          <w:sz w:val="28"/>
          <w:sz w:val="28"/>
          <w:szCs w:val="28"/>
          <w:rtl w:val="true"/>
          <w:lang w:bidi="ar-SA"/>
        </w:rPr>
        <w:t xml:space="preserve">،عن أبيه،عن ابن أبي </w:t>
      </w:r>
      <w:bookmarkStart w:id="761" w:name="pg12672_159971"/>
    </w:p>
    <w:p>
      <w:pPr>
        <w:pStyle w:val="BookText"/>
        <w:rPr/>
      </w:pPr>
      <w:bookmarkEnd w:id="761"/>
      <w:r>
        <w:rPr>
          <w:rFonts w:ascii="Amiri" w:hAnsi="Amiri" w:eastAsia="Amiri" w:cs="Amiri"/>
          <w:color w:val="111111"/>
          <w:sz w:val="28"/>
          <w:sz w:val="28"/>
          <w:szCs w:val="28"/>
          <w:rtl w:val="true"/>
          <w:lang w:bidi="ar-SA"/>
        </w:rPr>
        <w:t xml:space="preserve">مليكة </w:t>
      </w:r>
      <w:r>
        <w:rPr>
          <w:rStyle w:val="FootnoteAnchor"/>
          <w:rtl w:val="true"/>
        </w:rPr>
        <w:footnoteReference w:id="1386"/>
      </w:r>
      <w:r>
        <w:rPr>
          <w:rFonts w:ascii="Amiri" w:hAnsi="Amiri" w:eastAsia="Amiri" w:cs="Amiri"/>
          <w:color w:val="111111"/>
          <w:sz w:val="28"/>
          <w:sz w:val="28"/>
          <w:szCs w:val="28"/>
          <w:rtl w:val="true"/>
          <w:lang w:bidi="ar-SA"/>
        </w:rPr>
        <w:t>،عن عائشة انّ رسول اللّه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قاء أو رعف في صلاته فلينتقل </w:t>
      </w:r>
      <w:r>
        <w:rPr>
          <w:rStyle w:val="FootnoteAnchor"/>
          <w:rtl w:val="true"/>
        </w:rPr>
        <w:footnoteReference w:id="1387"/>
      </w:r>
      <w:r>
        <w:rPr>
          <w:rFonts w:ascii="Amiri" w:hAnsi="Amiri" w:eastAsia="Amiri" w:cs="Amiri"/>
          <w:color w:val="111111"/>
          <w:sz w:val="28"/>
          <w:sz w:val="28"/>
          <w:szCs w:val="28"/>
          <w:rtl w:val="true"/>
          <w:lang w:bidi="ar-SA"/>
        </w:rPr>
        <w:t>عن صلاته و ليتوضّأ و ليبن على ما مضى من صلاته ما لم يتكلّم أو يحدث</w:t>
      </w:r>
      <w:r>
        <w:rPr>
          <w:rFonts w:eastAsia="Amiri" w:cs="Amiri" w:ascii="Amiri" w:hAnsi="Amiri"/>
          <w:color w:val="111111"/>
          <w:sz w:val="28"/>
          <w:szCs w:val="28"/>
          <w:rtl w:val="true"/>
          <w:lang w:bidi="ar-SA"/>
        </w:rPr>
        <w:t xml:space="preserve">)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لأنّه نجس خرج من البدن،فينقض </w:t>
      </w:r>
      <w:r>
        <w:rPr>
          <w:rStyle w:val="FootnoteAnchor"/>
          <w:rtl w:val="true"/>
        </w:rPr>
        <w:footnoteReference w:id="1389"/>
      </w:r>
      <w:r>
        <w:rPr>
          <w:rFonts w:ascii="Amiri" w:hAnsi="Amiri" w:eastAsia="Amiri" w:cs="Amiri"/>
          <w:color w:val="111111"/>
          <w:sz w:val="28"/>
          <w:sz w:val="28"/>
          <w:szCs w:val="28"/>
          <w:rtl w:val="true"/>
          <w:lang w:bidi="ar-SA"/>
        </w:rPr>
        <w:t>كالخارج من السّبيلين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النّاس قد طعنوا في الحديث،فقالوا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ابن جريج لم يرو عنه غير ابنه عبد الملك،و لم تثبت عدالته،و قالوا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ابن جريج كان يرسله،فلا يكون حجّة </w:t>
      </w:r>
      <w:r>
        <w:rPr>
          <w:rStyle w:val="FootnoteAnchor"/>
          <w:rtl w:val="true"/>
        </w:rPr>
        <w:footnoteReference w:id="1390"/>
      </w:r>
      <w:r>
        <w:rPr>
          <w:rFonts w:ascii="Amiri" w:hAnsi="Amiri" w:eastAsia="Amiri" w:cs="Amiri"/>
          <w:color w:val="111111"/>
          <w:sz w:val="28"/>
          <w:sz w:val="28"/>
          <w:szCs w:val="28"/>
          <w:rtl w:val="true"/>
          <w:lang w:bidi="ar-SA"/>
        </w:rPr>
        <w:t>،و لأنّ مالكا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نصّ فيه،و لو كان صحيحا لما ذهب على مالك </w:t>
      </w:r>
      <w:r>
        <w:rPr>
          <w:rStyle w:val="FootnoteAnchor"/>
          <w:rtl w:val="true"/>
        </w:rPr>
        <w:footnoteReference w:id="1391"/>
      </w:r>
      <w:r>
        <w:rPr>
          <w:rFonts w:ascii="Amiri" w:hAnsi="Amiri" w:eastAsia="Amiri" w:cs="Amiri"/>
          <w:color w:val="111111"/>
          <w:sz w:val="28"/>
          <w:sz w:val="28"/>
          <w:szCs w:val="28"/>
          <w:rtl w:val="true"/>
          <w:lang w:bidi="ar-SA"/>
        </w:rPr>
        <w:t>،و لو سلّم فيحمل الوضوء على غسل الفم،و لأنّه عام في القليل و الكثير،و أبو حنيفة لا يقول به،و لأنّه لو كان ناقضا،لما جاز البناء على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الثّاني بالمنع من وجود العلّة،و سيأتي بيانه </w:t>
      </w:r>
      <w:r>
        <w:rPr>
          <w:rFonts w:eastAsia="Amiri" w:cs="Amiri" w:ascii="Amiri" w:hAnsi="Amiri"/>
          <w:color w:val="111111"/>
          <w:sz w:val="28"/>
          <w:szCs w:val="28"/>
          <w:rtl w:val="true"/>
          <w:lang w:bidi="ar-SA"/>
        </w:rPr>
        <w:t>.</w:t>
      </w:r>
    </w:p>
    <w:p>
      <w:pPr>
        <w:pStyle w:val="Heading6"/>
        <w:numPr>
          <w:ilvl w:val="5"/>
          <w:numId w:val="1"/>
        </w:numPr>
        <w:rPr/>
      </w:pPr>
      <w:bookmarkStart w:id="762" w:name="__RefHeading___Toc747223_222507752"/>
      <w:bookmarkStart w:id="763" w:name="_Toc302"/>
      <w:bookmarkEnd w:id="762"/>
      <w:r>
        <w:rPr>
          <w:rtl w:val="true"/>
        </w:rPr>
        <w:t>الثّالث</w:t>
      </w:r>
      <w:r>
        <w:rPr>
          <w:rtl w:val="true"/>
        </w:rPr>
        <w:t>:</w:t>
      </w:r>
      <w:r>
        <w:rPr>
          <w:rtl w:val="true"/>
        </w:rPr>
        <w:t>القهقهة غير ناقضة للوضوء و إن أبطلت الصّلاة</w:t>
      </w:r>
      <w:bookmarkEnd w:id="7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قهقه في صلاته متعمّدا لنظر أو سماع ما أضحكه،قطع صلاته و أعاد وضوءه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الشّافعيّ كما قلناه نحن </w:t>
      </w:r>
      <w:r>
        <w:rPr>
          <w:rStyle w:val="FootnoteAnchor"/>
          <w:rtl w:val="true"/>
        </w:rPr>
        <w:footnoteReference w:id="1393"/>
      </w:r>
      <w:r>
        <w:rPr>
          <w:rFonts w:ascii="IRNazanin" w:hAnsi="IRNazanin" w:eastAsia="IRNazanin"/>
          <w:color w:val="111111"/>
          <w:sz w:val="28"/>
          <w:sz w:val="28"/>
          <w:szCs w:val="28"/>
          <w:rtl w:val="true"/>
          <w:lang w:bidi="fa-IR"/>
        </w:rPr>
        <w:t xml:space="preserve">،و به قال جابر،و أبو موسى </w:t>
      </w:r>
    </w:p>
    <w:p>
      <w:pPr>
        <w:pStyle w:val="BookText"/>
        <w:rPr/>
      </w:pPr>
      <w:r>
        <w:rPr>
          <w:rFonts w:ascii="Amiri" w:hAnsi="Amiri" w:eastAsia="Amiri" w:cs="Amiri"/>
          <w:color w:val="111111"/>
          <w:sz w:val="28"/>
          <w:sz w:val="28"/>
          <w:szCs w:val="28"/>
          <w:rtl w:val="true"/>
          <w:lang w:bidi="ar-SA"/>
        </w:rPr>
        <w:t xml:space="preserve">الأشعريّ </w:t>
      </w:r>
      <w:r>
        <w:rPr>
          <w:rStyle w:val="FootnoteAnchor"/>
          <w:rtl w:val="true"/>
        </w:rPr>
        <w:footnoteReference w:id="1394"/>
      </w:r>
      <w:r>
        <w:rPr>
          <w:rFonts w:ascii="Amiri" w:hAnsi="Amiri" w:eastAsia="Amiri" w:cs="Amiri"/>
          <w:color w:val="111111"/>
          <w:sz w:val="28"/>
          <w:sz w:val="28"/>
          <w:szCs w:val="28"/>
          <w:rtl w:val="true"/>
          <w:lang w:bidi="ar-SA"/>
        </w:rPr>
        <w:t>،و من التّابعين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القاسم بن محمّد،و عروة،و عطاء،و الزّهريّ،و مكحول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به قال مالك و أحمد و إسحاق و أبو ثور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القهقهة إن حصلت في حرمة صلاة لها ركوع و سجود انتقضت طهارته و فسدت صلاته،و إن كان </w:t>
      </w:r>
      <w:r>
        <w:rPr>
          <w:rStyle w:val="FootnoteAnchor"/>
          <w:rtl w:val="true"/>
        </w:rPr>
        <w:footnoteReference w:id="1397"/>
      </w:r>
      <w:r>
        <w:rPr>
          <w:rFonts w:ascii="IRNazanin" w:hAnsi="IRNazanin" w:eastAsia="IRNazanin"/>
          <w:color w:val="111111"/>
          <w:sz w:val="28"/>
          <w:sz w:val="28"/>
          <w:szCs w:val="28"/>
          <w:rtl w:val="true"/>
          <w:lang w:bidi="fa-IR"/>
        </w:rPr>
        <w:t xml:space="preserve">بعد القعود مقدار التّشهّد انتقض وضوؤه و لم تفسد صلاته </w:t>
      </w:r>
      <w:r>
        <w:rPr>
          <w:rStyle w:val="FootnoteAnchor"/>
          <w:rtl w:val="true"/>
        </w:rPr>
        <w:footnoteReference w:id="13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أبو يوسف و محمّد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زفر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ينتقض وضوؤه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وقعت في حرمة صلاة ليس لها ركوع و لا سجود كالجنازة،و سجود التّلاوة فسدت الصّلاة و السّجدة و لم ينتقض الوضوء،و لو كانت خارجة الصّلاة لم تنتقض الطّهارة إجماعا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قهقه الإمام و المأمومون بعد القعود آخر الصّلاة مقدار التّشهّد انتقض وضوؤهم جميعا إن سبق الإمام بالقهقهة أو كانوا معا،لأنّ ضحكهم حصل في حرمة الصّلاة،أمّا لو تقدّم ضحك الإمام انتقض وضوؤه خاصّة،لأنّه وقع في حرمة الصّلاة،أمّا ضحك القوم فقد حصل خارج الحرمة،لأنّهم خرجوا من حرمة الصّلاة بخروج الإمام،و لا تفسد صلاة الإمام و المأمومين في واحدة من الصّور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الحسن،و النّخعيّ،و الثّوريّ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الوضوء بالقهقهة في الصّلاة </w:t>
      </w:r>
      <w:r>
        <w:rPr>
          <w:rStyle w:val="FootnoteAnchor"/>
          <w:rtl w:val="true"/>
        </w:rPr>
        <w:footnoteReference w:id="1403"/>
      </w:r>
      <w:r>
        <w:rPr>
          <w:rFonts w:ascii="IRNazanin" w:hAnsi="IRNazanin" w:eastAsia="IRNazanin"/>
          <w:color w:val="111111"/>
          <w:sz w:val="28"/>
          <w:sz w:val="28"/>
          <w:szCs w:val="28"/>
          <w:rtl w:val="true"/>
          <w:lang w:bidi="fa-IR"/>
        </w:rPr>
        <w:t xml:space="preserve">،و عن </w:t>
      </w:r>
    </w:p>
    <w:p>
      <w:pPr>
        <w:pStyle w:val="BookText"/>
        <w:rPr/>
      </w:pPr>
      <w:r>
        <w:rPr>
          <w:rFonts w:ascii="Amiri" w:hAnsi="Amiri" w:eastAsia="Amiri" w:cs="Amiri"/>
          <w:color w:val="111111"/>
          <w:sz w:val="28"/>
          <w:sz w:val="28"/>
          <w:szCs w:val="28"/>
          <w:rtl w:val="true"/>
          <w:lang w:bidi="ar-SA"/>
        </w:rPr>
        <w:t xml:space="preserve">الأوزاعيّ روايتان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جابر،عن النّبيّ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الضّحك ينقض الصّلاة،و لا ينقض الوضوء</w:t>
      </w:r>
      <w:r>
        <w:rPr>
          <w:rFonts w:eastAsia="Amiri" w:cs="Amiri" w:ascii="Amiri" w:hAnsi="Amiri"/>
          <w:color w:val="111111"/>
          <w:sz w:val="28"/>
          <w:szCs w:val="28"/>
          <w:rtl w:val="true"/>
          <w:lang w:bidi="ar-SA"/>
        </w:rPr>
        <w:t xml:space="preserve">)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رووه عن جابر أيضا،عن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تقهقه في صلاته،يعيد صلاته و لا يعيد الوضوء</w:t>
      </w:r>
      <w:r>
        <w:rPr>
          <w:rFonts w:eastAsia="Amiri" w:cs="Amiri" w:ascii="Amiri" w:hAnsi="Amiri"/>
          <w:color w:val="111111"/>
          <w:sz w:val="28"/>
          <w:szCs w:val="28"/>
          <w:rtl w:val="true"/>
          <w:lang w:bidi="ar-SA"/>
        </w:rPr>
        <w:t xml:space="preserve">)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رواه معاذ بن أنس </w:t>
      </w:r>
      <w:r>
        <w:rPr>
          <w:rStyle w:val="FootnoteAnchor"/>
          <w:rtl w:val="true"/>
        </w:rPr>
        <w:footnoteReference w:id="14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الضّاحك في صلاته و المتكلّم سواء</w:t>
      </w:r>
      <w:r>
        <w:rPr>
          <w:rFonts w:eastAsia="Amiri" w:cs="Amiri" w:ascii="Amiri" w:hAnsi="Amiri"/>
          <w:color w:val="111111"/>
          <w:sz w:val="28"/>
          <w:szCs w:val="28"/>
          <w:rtl w:val="true"/>
          <w:lang w:bidi="ar-SA"/>
        </w:rPr>
        <w:t xml:space="preserve">) </w:t>
      </w:r>
      <w:r>
        <w:rPr>
          <w:rStyle w:val="FootnoteAnchor"/>
          <w:rtl w:val="true"/>
        </w:rPr>
        <w:footnoteReference w:id="1408"/>
      </w:r>
      <w:r>
        <w:rPr>
          <w:rFonts w:ascii="Amiri" w:hAnsi="Amiri" w:eastAsia="Amiri" w:cs="Amiri"/>
          <w:color w:val="111111"/>
          <w:sz w:val="28"/>
          <w:sz w:val="28"/>
          <w:szCs w:val="28"/>
          <w:rtl w:val="true"/>
          <w:lang w:bidi="ar-SA"/>
        </w:rPr>
        <w:t>و الكلام غير ناقض،فكذا الضّحك قضيّة للتّسوية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قدّمناه من الأحاديث الدّالّة على حصر النّاقض في الخارج من السّبيلين و النّوم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محمّد بن يعقوب في الحسن عن زرارة،عن أبي عبد اللّه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القهقهة لا تنقض الوضوء،و تنقض الصّلاة</w:t>
      </w:r>
      <w:r>
        <w:rPr>
          <w:rFonts w:eastAsia="Amiri" w:cs="Amiri" w:ascii="Amiri" w:hAnsi="Amiri"/>
          <w:color w:val="111111"/>
          <w:sz w:val="28"/>
          <w:szCs w:val="28"/>
          <w:rtl w:val="true"/>
          <w:lang w:bidi="ar-SA"/>
        </w:rPr>
        <w:t xml:space="preserve">)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لأنّها لو كانت حدثا في الصّلاة لكانت حدثا خارج الصّلاة قياسا على البول، و لأنّها لمّا لم تكن حدثا خارج الصّلاة لم تكن حدثا في الصّلاة كالكلام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التّبسّم لا ينقض إجماعا،فكذا الكثير كالكلام و المشي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لأنّها ليست حدثا في الجنازة،فلا تكون حدثا في غيرها كالكلام و التّبسّم</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أبو حنيفة بما رواه أسامة </w:t>
      </w:r>
      <w:r>
        <w:rPr>
          <w:rStyle w:val="FootnoteAnchor"/>
          <w:rtl w:val="true"/>
        </w:rPr>
        <w:footnoteReference w:id="14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نصلّي خلف رسول اللّه صلّى اللّه عليه </w:t>
      </w:r>
      <w:bookmarkStart w:id="764" w:name="pg12672_159974"/>
    </w:p>
    <w:p>
      <w:pPr>
        <w:pStyle w:val="BookText"/>
        <w:rPr/>
      </w:pPr>
      <w:bookmarkEnd w:id="764"/>
      <w:r>
        <w:rPr>
          <w:rFonts w:ascii="Amiri" w:hAnsi="Amiri" w:eastAsia="Amiri" w:cs="Amiri"/>
          <w:color w:val="111111"/>
          <w:sz w:val="28"/>
          <w:sz w:val="28"/>
          <w:szCs w:val="28"/>
          <w:rtl w:val="true"/>
          <w:lang w:bidi="ar-SA"/>
        </w:rPr>
        <w:t>و آله إذ أقبل ضرير فتردّى في بئر،فضحكنا منه،فأمرنا رسول اللّه صلّى اللّه عليه و آله بإعادة الوضوء و إعادة الصّلاة</w:t>
      </w:r>
      <w:r>
        <w:rPr>
          <w:rFonts w:eastAsia="Amiri" w:cs="Amiri" w:ascii="Amiri" w:hAnsi="Amiri"/>
          <w:color w:val="111111"/>
          <w:sz w:val="28"/>
          <w:szCs w:val="28"/>
          <w:rtl w:val="true"/>
          <w:lang w:bidi="ar-SA"/>
        </w:rPr>
        <w:t xml:space="preserve">)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راوي هذا الحديث الأصليّ </w:t>
      </w:r>
      <w:r>
        <w:rPr>
          <w:rStyle w:val="FootnoteAnchor"/>
          <w:rtl w:val="true"/>
        </w:rPr>
        <w:footnoteReference w:id="1413"/>
      </w:r>
      <w:r>
        <w:rPr>
          <w:rFonts w:ascii="Amiri" w:hAnsi="Amiri" w:eastAsia="Amiri" w:cs="Amiri"/>
          <w:color w:val="111111"/>
          <w:sz w:val="28"/>
          <w:sz w:val="28"/>
          <w:szCs w:val="28"/>
          <w:rtl w:val="true"/>
          <w:lang w:bidi="ar-SA"/>
        </w:rPr>
        <w:t xml:space="preserve">الحسن بن دينار،و هو ضعيف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الرّاوي،قال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 رسول اللّه صلّى اللّه عليه و آله و لم ينقل لفظ الرّسول، فلعلّه توهّم ما ليس بأمر أمرا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روى الشّيخ في الصّحيح عن ابن أبي عمير،عن رهط سمعوه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التّبسّم في الصّلاة لا ينقض الصّلاة و لا ينقض الوضوء،إنّما يقطع الضّحك الّذي فيه القهقهة</w:t>
      </w:r>
      <w:r>
        <w:rPr>
          <w:rFonts w:eastAsia="Amiri" w:cs="Amiri" w:ascii="Amiri" w:hAnsi="Amiri"/>
          <w:color w:val="111111"/>
          <w:sz w:val="28"/>
          <w:szCs w:val="28"/>
          <w:rtl w:val="true"/>
          <w:lang w:bidi="ar-SA"/>
        </w:rPr>
        <w:t xml:space="preserve">) </w:t>
      </w:r>
      <w:r>
        <w:rPr>
          <w:rStyle w:val="FootnoteAnchor"/>
          <w:rtl w:val="true"/>
        </w:rPr>
        <w:footnoteReference w:id="1415"/>
      </w:r>
      <w:r>
        <w:rPr>
          <w:rFonts w:ascii="Amiri" w:hAnsi="Amiri" w:eastAsia="Amiri" w:cs="Amiri"/>
          <w:color w:val="111111"/>
          <w:sz w:val="28"/>
          <w:sz w:val="28"/>
          <w:szCs w:val="28"/>
          <w:rtl w:val="true"/>
          <w:lang w:bidi="ar-SA"/>
        </w:rPr>
        <w:t>لأنّا نجيب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الرّهط لم يسندوا القول إلى إمام فلعلّهم رجعوا في ذلك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ليس فيه دلالة على انّ القهقهة تنقض الوضوء،و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يقطع الضّحك الّذي فيه القهقهة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الصّلاة،فإنّ المفهوم من لفظ القطع إنّما يرجع إلى الصّلاة،فيقال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انقطعت صلاته لا الوضوء،فلا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انقطع وضوؤه </w:t>
      </w:r>
      <w:r>
        <w:rPr>
          <w:rFonts w:eastAsia="Amiri" w:cs="Amiri" w:ascii="Amiri" w:hAnsi="Amiri"/>
          <w:color w:val="111111"/>
          <w:sz w:val="28"/>
          <w:szCs w:val="28"/>
          <w:rtl w:val="true"/>
          <w:lang w:bidi="ar-SA"/>
        </w:rPr>
        <w:t>.</w:t>
      </w:r>
    </w:p>
    <w:p>
      <w:pPr>
        <w:pStyle w:val="Heading6"/>
        <w:numPr>
          <w:ilvl w:val="5"/>
          <w:numId w:val="1"/>
        </w:numPr>
        <w:rPr/>
      </w:pPr>
      <w:bookmarkStart w:id="765" w:name="__RefHeading___Toc747225_222507752"/>
      <w:bookmarkStart w:id="766" w:name="_Toc303"/>
      <w:bookmarkEnd w:id="765"/>
      <w:r>
        <w:rPr>
          <w:rtl w:val="true"/>
        </w:rPr>
        <w:t>الرّابع</w:t>
      </w:r>
      <w:r>
        <w:rPr>
          <w:rtl w:val="true"/>
        </w:rPr>
        <w:t>:</w:t>
      </w:r>
      <w:r>
        <w:rPr>
          <w:rtl w:val="true"/>
        </w:rPr>
        <w:t>أكل ما مسّته النّار لا يوجب الوضوء،و كذا لحم الإبل</w:t>
      </w:r>
      <w:bookmarkEnd w:id="766"/>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أكل لحم الإبل ناقض،سواء كان نيّا أو مطبوخا،عالما كان أو </w:t>
      </w:r>
    </w:p>
    <w:p>
      <w:pPr>
        <w:pStyle w:val="BookText"/>
        <w:rPr/>
      </w:pPr>
      <w:r>
        <w:rPr>
          <w:rFonts w:ascii="IRNazanin" w:hAnsi="IRNazanin" w:eastAsia="IRNazanin"/>
          <w:color w:val="111111"/>
          <w:sz w:val="28"/>
          <w:sz w:val="28"/>
          <w:szCs w:val="28"/>
          <w:rtl w:val="true"/>
          <w:lang w:bidi="fa-IR"/>
        </w:rPr>
        <w:t xml:space="preserve">جاهلا </w:t>
      </w:r>
      <w:r>
        <w:rPr>
          <w:rStyle w:val="FootnoteAnchor"/>
          <w:rtl w:val="true"/>
        </w:rPr>
        <w:footnoteReference w:id="1416"/>
      </w:r>
      <w:r>
        <w:rPr>
          <w:rFonts w:ascii="Amiri" w:hAnsi="Amiri" w:eastAsia="Amiri" w:cs="Amiri"/>
          <w:color w:val="111111"/>
          <w:sz w:val="28"/>
          <w:sz w:val="28"/>
          <w:szCs w:val="28"/>
          <w:rtl w:val="true"/>
          <w:lang w:bidi="ar-SA"/>
        </w:rPr>
        <w:t xml:space="preserve">،و هو أحد قولي الشّافعيّ </w:t>
      </w:r>
      <w:r>
        <w:rPr>
          <w:rStyle w:val="FootnoteAnchor"/>
          <w:rtl w:val="true"/>
        </w:rPr>
        <w:footnoteReference w:id="14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الخطّابيّ </w:t>
      </w:r>
      <w:r>
        <w:rPr>
          <w:rStyle w:val="FootnoteAnchor"/>
          <w:rtl w:val="true"/>
        </w:rPr>
        <w:footnoteReference w:id="14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إليه ذهب عامّة أهل الحديث </w:t>
      </w:r>
      <w:r>
        <w:rPr>
          <w:rStyle w:val="FootnoteAnchor"/>
          <w:rtl w:val="true"/>
        </w:rPr>
        <w:footnoteReference w:id="1419"/>
      </w:r>
      <w:r>
        <w:rPr>
          <w:rFonts w:ascii="Amiri" w:hAnsi="Amiri" w:eastAsia="Amiri" w:cs="Amiri"/>
          <w:color w:val="111111"/>
          <w:sz w:val="28"/>
          <w:sz w:val="28"/>
          <w:szCs w:val="28"/>
          <w:rtl w:val="true"/>
          <w:lang w:bidi="ar-SA"/>
        </w:rPr>
        <w:t xml:space="preserve">،و وافقنا على ما اخترناه مالك و الشّافعيّ،و أبو حنيفة </w:t>
      </w:r>
      <w:r>
        <w:rPr>
          <w:rStyle w:val="FootnoteAnchor"/>
          <w:rtl w:val="true"/>
        </w:rPr>
        <w:footnoteReference w:id="1420"/>
      </w:r>
      <w:r>
        <w:rPr>
          <w:rFonts w:ascii="Amiri" w:hAnsi="Amiri" w:eastAsia="Amiri" w:cs="Amiri"/>
          <w:color w:val="111111"/>
          <w:sz w:val="28"/>
          <w:sz w:val="28"/>
          <w:szCs w:val="28"/>
          <w:rtl w:val="true"/>
          <w:lang w:bidi="ar-SA"/>
        </w:rPr>
        <w:t>،و ذهب جماعة من السّلف إلى إيجاب الوضوء من أكل ما غيّرته النّار،منهم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عمر،و زيد بن ثابت </w:t>
      </w:r>
      <w:r>
        <w:rPr>
          <w:rStyle w:val="FootnoteAnchor"/>
          <w:rtl w:val="true"/>
        </w:rPr>
        <w:footnoteReference w:id="1421"/>
      </w:r>
      <w:r>
        <w:rPr>
          <w:rFonts w:ascii="Amiri" w:hAnsi="Amiri" w:eastAsia="Amiri" w:cs="Amiri"/>
          <w:color w:val="111111"/>
          <w:sz w:val="28"/>
          <w:sz w:val="28"/>
          <w:szCs w:val="28"/>
          <w:rtl w:val="true"/>
          <w:lang w:bidi="ar-SA"/>
        </w:rPr>
        <w:t xml:space="preserve">، و أبو موسى،و أبو هريرة،و الحسن،و الزّهريّ </w:t>
      </w:r>
      <w:r>
        <w:rPr>
          <w:rStyle w:val="FootnoteAnchor"/>
          <w:rtl w:val="true"/>
        </w:rPr>
        <w:footnoteReference w:id="1422"/>
      </w:r>
      <w:r>
        <w:rPr>
          <w:rFonts w:ascii="Amiri" w:hAnsi="Amiri" w:eastAsia="Amiri" w:cs="Amiri"/>
          <w:color w:val="111111"/>
          <w:sz w:val="28"/>
          <w:sz w:val="28"/>
          <w:szCs w:val="28"/>
          <w:rtl w:val="true"/>
          <w:lang w:bidi="ar-SA"/>
        </w:rPr>
        <w:t xml:space="preserve">،و ذهب عامّة الفقهاء و الأئمّة من الصّحابة إلى انّه لا يجب الوضوء بأكل ما مسّته النّار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ابن عبّاس،عن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ممّا يخرج،لا ممّا يدخل</w:t>
      </w:r>
      <w:r>
        <w:rPr>
          <w:rFonts w:eastAsia="Amiri" w:cs="Amiri" w:ascii="Amiri" w:hAnsi="Amiri"/>
          <w:color w:val="111111"/>
          <w:sz w:val="28"/>
          <w:szCs w:val="28"/>
          <w:rtl w:val="true"/>
          <w:lang w:bidi="ar-SA"/>
        </w:rPr>
        <w:t xml:space="preserve">)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ما رواه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آخر الأمرين من رسول اللّه صلّى اللّه عليه و آله ترك الوضوء ممّا مسّت النّار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رووه عن النّبيّ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يتوضّأ من لحوم الغنم</w:t>
      </w:r>
      <w:r>
        <w:rPr>
          <w:rFonts w:eastAsia="Amiri" w:cs="Amiri" w:ascii="Amiri" w:hAnsi="Amiri"/>
          <w:color w:val="111111"/>
          <w:sz w:val="28"/>
          <w:szCs w:val="28"/>
          <w:rtl w:val="true"/>
          <w:lang w:bidi="ar-SA"/>
        </w:rPr>
        <w:t xml:space="preserve">) </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 في الصّحيح،عن بكير بن أعين </w:t>
      </w:r>
      <w:r>
        <w:rPr>
          <w:rStyle w:val="FootnoteAnchor"/>
          <w:rtl w:val="true"/>
        </w:rPr>
        <w:footnoteReference w:id="14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الوضوء ممّا غيّرت النّار؟فقال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 فيه وضوء،إنّما الوضوء ممّا يخرج ليس ممّا يدخل</w:t>
      </w:r>
      <w:r>
        <w:rPr>
          <w:rFonts w:eastAsia="Amiri" w:cs="Amiri" w:ascii="Amiri" w:hAnsi="Amiri"/>
          <w:color w:val="111111"/>
          <w:sz w:val="28"/>
          <w:szCs w:val="28"/>
          <w:rtl w:val="true"/>
          <w:lang w:bidi="ar-SA"/>
        </w:rPr>
        <w:t xml:space="preserve">) </w:t>
      </w:r>
      <w:r>
        <w:rPr>
          <w:rStyle w:val="FootnoteAnchor"/>
          <w:rtl w:val="true"/>
        </w:rPr>
        <w:footnoteReference w:id="1428"/>
      </w:r>
      <w:r>
        <w:rPr>
          <w:rFonts w:ascii="Amiri" w:hAnsi="Amiri" w:eastAsia="Amiri" w:cs="Amiri"/>
          <w:color w:val="111111"/>
          <w:sz w:val="28"/>
          <w:sz w:val="28"/>
          <w:szCs w:val="28"/>
          <w:rtl w:val="true"/>
          <w:lang w:bidi="ar-SA"/>
        </w:rPr>
        <w:t xml:space="preserve">و فيه دلالة على انّ أكل لحم </w:t>
      </w:r>
      <w:r>
        <w:rPr>
          <w:rStyle w:val="FootnoteAnchor"/>
          <w:rtl w:val="true"/>
        </w:rPr>
        <w:footnoteReference w:id="1429"/>
      </w:r>
      <w:r>
        <w:rPr>
          <w:rFonts w:ascii="Amiri" w:hAnsi="Amiri" w:eastAsia="Amiri" w:cs="Amiri"/>
          <w:color w:val="111111"/>
          <w:sz w:val="28"/>
          <w:sz w:val="28"/>
          <w:szCs w:val="28"/>
          <w:rtl w:val="true"/>
          <w:lang w:bidi="ar-SA"/>
        </w:rPr>
        <w:t>الجزور غير ناقض،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جوابه بالنّفي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المستوعبة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حصره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للوضوء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نفيه عن الدّاخل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رواه الشّيخ في الحسن </w:t>
      </w:r>
      <w:r>
        <w:rPr>
          <w:rStyle w:val="FootnoteAnchor"/>
          <w:rtl w:val="true"/>
        </w:rPr>
        <w:footnoteReference w:id="1430"/>
      </w:r>
      <w:r>
        <w:rPr>
          <w:rFonts w:ascii="Amiri" w:hAnsi="Amiri" w:eastAsia="Amiri" w:cs="Amiri"/>
          <w:color w:val="111111"/>
          <w:sz w:val="28"/>
          <w:sz w:val="28"/>
          <w:szCs w:val="28"/>
          <w:rtl w:val="true"/>
          <w:lang w:bidi="ar-SA"/>
        </w:rPr>
        <w:t xml:space="preserve">،عن سليمان بن خالد </w:t>
      </w:r>
      <w:r>
        <w:rPr>
          <w:rStyle w:val="FootnoteAnchor"/>
          <w:rtl w:val="true"/>
        </w:rPr>
        <w:footnoteReference w:id="143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w:t>
      </w:r>
    </w:p>
    <w:p>
      <w:pPr>
        <w:pStyle w:val="BookText"/>
        <w:rPr/>
      </w:pPr>
      <w:r>
        <w:rPr>
          <w:rFonts w:ascii="Amiri" w:hAnsi="Amiri" w:eastAsia="Amiri" w:cs="Amiri"/>
          <w:color w:val="111111"/>
          <w:sz w:val="28"/>
          <w:sz w:val="28"/>
          <w:szCs w:val="28"/>
          <w:rtl w:val="true"/>
          <w:lang w:bidi="ar-SA"/>
        </w:rPr>
        <w:t>عليه السّلام،هل يتوضّأ من الطّعام أو شرب اللّبن ألبان البقر و الإبل و الغنم و أبوالها و لحومها؟قال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يتوضّأ منه</w:t>
      </w:r>
      <w:r>
        <w:rPr>
          <w:rFonts w:eastAsia="Amiri" w:cs="Amiri" w:ascii="Amiri" w:hAnsi="Amiri"/>
          <w:color w:val="111111"/>
          <w:sz w:val="28"/>
          <w:szCs w:val="28"/>
          <w:rtl w:val="true"/>
          <w:lang w:bidi="ar-SA"/>
        </w:rPr>
        <w:t xml:space="preserve">)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مأكول أشبه سائر المأكولات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أحمد </w:t>
      </w:r>
      <w:r>
        <w:rPr>
          <w:rStyle w:val="FootnoteAnchor"/>
          <w:rtl w:val="true"/>
        </w:rPr>
        <w:footnoteReference w:id="1433"/>
      </w:r>
      <w:r>
        <w:rPr>
          <w:rFonts w:ascii="IRNazanin" w:hAnsi="IRNazanin" w:eastAsia="IRNazanin"/>
          <w:color w:val="111111"/>
          <w:sz w:val="28"/>
          <w:sz w:val="28"/>
          <w:szCs w:val="28"/>
          <w:rtl w:val="true"/>
          <w:lang w:bidi="fa-IR"/>
        </w:rPr>
        <w:t xml:space="preserve">بما رواه البراء بن عازب </w:t>
      </w:r>
      <w:r>
        <w:rPr>
          <w:rStyle w:val="FootnoteAnchor"/>
          <w:rtl w:val="true"/>
        </w:rPr>
        <w:footnoteReference w:id="14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رسول اللّه صلّى اللّه عليه و آله عن لحوم الإبل؟فقال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توضّأ منها</w:t>
      </w:r>
      <w:r>
        <w:rPr>
          <w:rFonts w:eastAsia="Amiri" w:cs="Amiri" w:ascii="Amiri" w:hAnsi="Amiri"/>
          <w:color w:val="111111"/>
          <w:sz w:val="28"/>
          <w:szCs w:val="28"/>
          <w:rtl w:val="true"/>
          <w:lang w:bidi="ar-SA"/>
        </w:rPr>
        <w:t xml:space="preserve">)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 من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منسوخ بخبر جابر،فإنّه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الأمرين ترك الوضوء ممّا مسّت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يحتمل انّه أراد غسل اليد،لأنّ الوضوء إذا أضيف إلى الطّعام اقتضى </w:t>
      </w:r>
      <w:r>
        <w:rPr>
          <w:rStyle w:val="FootnoteAnchor"/>
          <w:rtl w:val="true"/>
        </w:rPr>
        <w:footnoteReference w:id="1436"/>
      </w:r>
      <w:r>
        <w:rPr>
          <w:rFonts w:ascii="Amiri" w:hAnsi="Amiri" w:eastAsia="Amiri" w:cs="Amiri"/>
          <w:color w:val="111111"/>
          <w:sz w:val="28"/>
          <w:sz w:val="28"/>
          <w:szCs w:val="28"/>
          <w:rtl w:val="true"/>
          <w:lang w:bidi="ar-SA"/>
        </w:rPr>
        <w:t>غسل 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كأمره</w:t>
      </w:r>
      <w:r>
        <w:rPr>
          <w:rFonts w:eastAsia="Amiri" w:cs="Amiri" w:ascii="Amiri" w:hAnsi="Amiri"/>
          <w:color w:val="111111"/>
          <w:sz w:val="28"/>
          <w:szCs w:val="28"/>
          <w:rtl w:val="true"/>
          <w:lang w:bidi="ar-SA"/>
        </w:rPr>
        <w:t xml:space="preserve">) </w:t>
      </w:r>
      <w:r>
        <w:rPr>
          <w:rStyle w:val="FootnoteAnchor"/>
          <w:rtl w:val="true"/>
        </w:rPr>
        <w:footnoteReference w:id="1437"/>
      </w:r>
      <w:r>
        <w:rPr>
          <w:rFonts w:ascii="IRNazanin" w:hAnsi="IRNazanin" w:eastAsia="IRNazanin"/>
          <w:color w:val="111111"/>
          <w:sz w:val="28"/>
          <w:sz w:val="28"/>
          <w:szCs w:val="28"/>
          <w:rtl w:val="true"/>
          <w:lang w:bidi="fa-IR"/>
        </w:rPr>
        <w:t xml:space="preserve">بالوضوء قبل الطّعام و بعده </w:t>
      </w:r>
      <w:r>
        <w:rPr>
          <w:rStyle w:val="FootnoteAnchor"/>
          <w:rtl w:val="true"/>
        </w:rPr>
        <w:footnoteReference w:id="1438"/>
      </w:r>
      <w:r>
        <w:rPr>
          <w:rFonts w:ascii="Amiri" w:hAnsi="Amiri" w:eastAsia="Amiri" w:cs="Amiri"/>
          <w:color w:val="111111"/>
          <w:sz w:val="28"/>
          <w:sz w:val="28"/>
          <w:szCs w:val="28"/>
          <w:rtl w:val="true"/>
          <w:lang w:bidi="ar-SA"/>
        </w:rPr>
        <w:t xml:space="preserve">،و التّخصيص بالإبل للزّهومة </w:t>
      </w:r>
      <w:r>
        <w:rPr>
          <w:rStyle w:val="FootnoteAnchor"/>
          <w:rtl w:val="true"/>
        </w:rPr>
        <w:footnoteReference w:id="1439"/>
      </w:r>
      <w:r>
        <w:rPr>
          <w:rFonts w:ascii="Amiri" w:hAnsi="Amiri" w:eastAsia="Amiri" w:cs="Amiri"/>
          <w:color w:val="111111"/>
          <w:sz w:val="28"/>
          <w:sz w:val="28"/>
          <w:szCs w:val="28"/>
          <w:rtl w:val="true"/>
          <w:lang w:bidi="ar-SA"/>
        </w:rPr>
        <w:t>الّتي ليست في غيرها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يحمل على الاستحباب</w:t>
      </w:r>
      <w:r>
        <w:rPr>
          <w:rFonts w:eastAsia="Amiri" w:cs="Amiri" w:ascii="Amiri" w:hAnsi="Amiri"/>
          <w:color w:val="111111"/>
          <w:sz w:val="28"/>
          <w:szCs w:val="28"/>
          <w:rtl w:val="true"/>
          <w:lang w:bidi="ar-SA"/>
        </w:rPr>
        <w:t xml:space="preserve">. </w:t>
      </w:r>
      <w:bookmarkStart w:id="767" w:name="pg12672_159978"/>
    </w:p>
    <w:p>
      <w:pPr>
        <w:pStyle w:val="Heading6"/>
        <w:numPr>
          <w:ilvl w:val="5"/>
          <w:numId w:val="1"/>
        </w:numPr>
        <w:rPr/>
      </w:pPr>
      <w:bookmarkStart w:id="768" w:name="__RefHeading___Toc747227_222507752"/>
      <w:bookmarkStart w:id="769" w:name="_Toc304"/>
      <w:bookmarkEnd w:id="767"/>
      <w:bookmarkEnd w:id="768"/>
      <w:r>
        <w:rPr>
          <w:rtl w:val="true"/>
        </w:rPr>
        <w:t>الخامس</w:t>
      </w:r>
      <w:r>
        <w:rPr>
          <w:rtl w:val="true"/>
        </w:rPr>
        <w:t>:</w:t>
      </w:r>
      <w:r>
        <w:rPr>
          <w:rtl w:val="true"/>
        </w:rPr>
        <w:t>شرب اللّبن مطلقا و غيره غير ناقض</w:t>
      </w:r>
      <w:bookmarkEnd w:id="769"/>
    </w:p>
    <w:p>
      <w:pPr>
        <w:pStyle w:val="BookText"/>
        <w:rPr/>
      </w:pPr>
      <w:r>
        <w:rPr>
          <w:rStyle w:val="FootnoteAnchor"/>
          <w:rtl w:val="true"/>
        </w:rPr>
        <w:footnoteReference w:id="1440"/>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أحمد في لبن الإبل روايتان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 من الأحاديث،و لأنّه مشروب أشبه الماء،فيتساويان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أحمد </w:t>
      </w:r>
      <w:r>
        <w:rPr>
          <w:rStyle w:val="FootnoteAnchor"/>
          <w:rtl w:val="true"/>
        </w:rPr>
        <w:footnoteReference w:id="1442"/>
      </w:r>
      <w:r>
        <w:rPr>
          <w:rFonts w:ascii="Amiri" w:hAnsi="Amiri" w:eastAsia="Amiri" w:cs="Amiri"/>
          <w:color w:val="111111"/>
          <w:sz w:val="28"/>
          <w:sz w:val="28"/>
          <w:szCs w:val="28"/>
          <w:rtl w:val="true"/>
          <w:lang w:bidi="ar-SA"/>
        </w:rPr>
        <w:t>بما رواه،عن النّبيّ صلّى اللّه عليه و آله انّه سئل عن ألبان الإبل،فقال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توضّأ من ألبانها</w:t>
      </w:r>
      <w:r>
        <w:rPr>
          <w:rFonts w:eastAsia="IRNazanin" w:cs="IRNazanin"/>
          <w:color w:val="111111"/>
          <w:sz w:val="28"/>
          <w:szCs w:val="28"/>
          <w:rtl w:val="true"/>
          <w:lang w:bidi="fa-IR"/>
        </w:rPr>
        <w:t xml:space="preserve">)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انّ المحدّثين طعنوا فيه،و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إنّما ورد في اللّحم </w:t>
      </w:r>
      <w:r>
        <w:rPr>
          <w:rStyle w:val="FootnoteAnchor"/>
          <w:rtl w:val="true"/>
        </w:rPr>
        <w:footnoteReference w:id="1444"/>
      </w:r>
      <w:r>
        <w:rPr>
          <w:rFonts w:ascii="Amiri" w:hAnsi="Amiri" w:eastAsia="Amiri" w:cs="Amiri"/>
          <w:color w:val="111111"/>
          <w:sz w:val="28"/>
          <w:sz w:val="28"/>
          <w:szCs w:val="28"/>
          <w:rtl w:val="true"/>
          <w:lang w:bidi="ar-SA"/>
        </w:rPr>
        <w:t>،فلا تعويل عليه حينئذ مع تخصيصه للنّصّ الدّالّ على حصر الأحداث فيما عدّدناه</w:t>
      </w:r>
      <w:r>
        <w:rPr>
          <w:rFonts w:eastAsia="Amiri" w:cs="Amiri" w:ascii="Amiri" w:hAnsi="Amiri"/>
          <w:color w:val="111111"/>
          <w:sz w:val="28"/>
          <w:szCs w:val="28"/>
          <w:rtl w:val="true"/>
          <w:lang w:bidi="ar-SA"/>
        </w:rPr>
        <w:t>.</w:t>
      </w:r>
    </w:p>
    <w:p>
      <w:pPr>
        <w:pStyle w:val="Heading6"/>
        <w:numPr>
          <w:ilvl w:val="5"/>
          <w:numId w:val="1"/>
        </w:numPr>
        <w:rPr/>
      </w:pPr>
      <w:bookmarkStart w:id="770" w:name="__RefHeading___Toc747229_222507752"/>
      <w:bookmarkStart w:id="771" w:name="_Toc305"/>
      <w:bookmarkEnd w:id="770"/>
      <w:r>
        <w:rPr>
          <w:rtl w:val="true"/>
        </w:rPr>
        <w:t>فرع</w:t>
      </w:r>
      <w:r>
        <w:rPr>
          <w:rtl w:val="true"/>
        </w:rPr>
        <w:t>:</w:t>
      </w:r>
      <w:r>
        <w:rPr>
          <w:rtl w:val="true"/>
        </w:rPr>
        <w:t>لا فرق في عدم النّقض بين لحم البعير و سائر أجزائه</w:t>
      </w:r>
      <w:bookmarkEnd w:id="771"/>
    </w:p>
    <w:p>
      <w:pPr>
        <w:pStyle w:val="BookText"/>
        <w:rPr/>
      </w:pPr>
      <w:r>
        <w:rPr>
          <w:rFonts w:ascii="Amiri" w:hAnsi="Amiri" w:eastAsia="Amiri" w:cs="Amiri"/>
          <w:color w:val="111111"/>
          <w:sz w:val="28"/>
          <w:sz w:val="28"/>
          <w:szCs w:val="28"/>
          <w:rtl w:val="true"/>
          <w:lang w:bidi="ar-SA"/>
        </w:rPr>
        <w:t>و غيره كالطّحال،و الكبد، و الدّهن،و المرق،و الكرش،و المصران،و السّنام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أحمد 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ينقض،لأنّ إطلاق اللّحم في الحيوان يتناول الجملة </w:t>
      </w:r>
      <w:r>
        <w:rPr>
          <w:rStyle w:val="FootnoteAnchor"/>
          <w:rtl w:val="true"/>
        </w:rPr>
        <w:footnoteReference w:id="1445"/>
      </w:r>
      <w:r>
        <w:rPr>
          <w:rFonts w:ascii="Amiri" w:hAnsi="Amiri" w:eastAsia="Amiri" w:cs="Amiri"/>
          <w:color w:val="111111"/>
          <w:sz w:val="28"/>
          <w:sz w:val="28"/>
          <w:szCs w:val="28"/>
          <w:rtl w:val="true"/>
          <w:lang w:bidi="ar-SA"/>
        </w:rPr>
        <w:t xml:space="preserve">،و هو ضعيف لأنّ التّناول هاهنا </w:t>
      </w:r>
      <w:r>
        <w:rPr>
          <w:rStyle w:val="FootnoteAnchor"/>
          <w:rtl w:val="true"/>
        </w:rPr>
        <w:footnoteReference w:id="1446"/>
      </w:r>
      <w:r>
        <w:rPr>
          <w:rFonts w:ascii="Amiri" w:hAnsi="Amiri" w:eastAsia="Amiri" w:cs="Amiri"/>
          <w:color w:val="111111"/>
          <w:sz w:val="28"/>
          <w:sz w:val="28"/>
          <w:szCs w:val="28"/>
          <w:rtl w:val="true"/>
          <w:lang w:bidi="ar-SA"/>
        </w:rPr>
        <w:t xml:space="preserve">مجاز،فيقف على السّماع خصوصا مع وجود النّصّ الدّالّ بالحقيقة على ما ينافيه </w:t>
      </w:r>
      <w:r>
        <w:rPr>
          <w:rFonts w:eastAsia="Amiri" w:cs="Amiri" w:ascii="Amiri" w:hAnsi="Amiri"/>
          <w:color w:val="111111"/>
          <w:sz w:val="28"/>
          <w:szCs w:val="28"/>
          <w:rtl w:val="true"/>
          <w:lang w:bidi="ar-SA"/>
        </w:rPr>
        <w:t>.</w:t>
      </w:r>
    </w:p>
    <w:p>
      <w:pPr>
        <w:pStyle w:val="Heading6"/>
        <w:numPr>
          <w:ilvl w:val="5"/>
          <w:numId w:val="1"/>
        </w:numPr>
        <w:rPr/>
      </w:pPr>
      <w:bookmarkStart w:id="772" w:name="__RefHeading___Toc747231_222507752"/>
      <w:bookmarkStart w:id="773" w:name="_Toc306"/>
      <w:bookmarkEnd w:id="772"/>
      <w:r>
        <w:rPr>
          <w:rtl w:val="true"/>
        </w:rPr>
        <w:t>السّادس</w:t>
      </w:r>
      <w:r>
        <w:rPr>
          <w:rtl w:val="true"/>
        </w:rPr>
        <w:t>:</w:t>
      </w:r>
      <w:r>
        <w:rPr>
          <w:rtl w:val="true"/>
        </w:rPr>
        <w:t>الرّدّة</w:t>
      </w:r>
      <w:bookmarkEnd w:id="773"/>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الإتيان بما يخرج به عن الإسلام،إمّا نطقا،أو اعتقادا،أو شكّا ينقل عن الإسلام،لا يوجب الوضوء و لا ينقض التّيمّم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مذهب أبي حنيفة و صاحبيه و مالك و الشّافعيّ في الوضوء </w:t>
      </w:r>
      <w:r>
        <w:rPr>
          <w:rStyle w:val="FootnoteAnchor"/>
          <w:rtl w:val="true"/>
        </w:rPr>
        <w:footnoteReference w:id="1447"/>
      </w:r>
      <w:r>
        <w:rPr>
          <w:rFonts w:ascii="Amiri" w:hAnsi="Amiri" w:eastAsia="Amiri" w:cs="Amiri"/>
          <w:color w:val="111111"/>
          <w:sz w:val="28"/>
          <w:sz w:val="28"/>
          <w:szCs w:val="28"/>
          <w:rtl w:val="true"/>
          <w:lang w:bidi="ar-SA"/>
        </w:rPr>
        <w:t xml:space="preserve">،و له في التّيمّم قولان </w:t>
      </w:r>
      <w:r>
        <w:rPr>
          <w:rStyle w:val="FootnoteAnchor"/>
          <w:rtl w:val="true"/>
        </w:rPr>
        <w:footnoteReference w:id="14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زفر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انّها </w:t>
      </w:r>
    </w:p>
    <w:p>
      <w:pPr>
        <w:pStyle w:val="BookText"/>
        <w:rPr/>
      </w:pPr>
      <w:r>
        <w:rPr>
          <w:rFonts w:ascii="Amiri" w:hAnsi="Amiri" w:eastAsia="Amiri" w:cs="Amiri"/>
          <w:color w:val="111111"/>
          <w:sz w:val="28"/>
          <w:sz w:val="28"/>
          <w:szCs w:val="28"/>
          <w:rtl w:val="true"/>
          <w:lang w:bidi="ar-SA"/>
        </w:rPr>
        <w:t xml:space="preserve">تبطل التّيمّم </w:t>
      </w:r>
      <w:r>
        <w:rPr>
          <w:rStyle w:val="FootnoteAnchor"/>
          <w:rtl w:val="true"/>
        </w:rPr>
        <w:footnoteReference w:id="14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تنقض الوضوء و التّيمّم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الأوزاعيّ و أبو ثور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حصول الطّهارة و زوالها حكم شرعيّ،فيتوقّف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ذكرناه من الأحاديث الدّالّة على حصر الأحداث </w:t>
      </w:r>
      <w:r>
        <w:rPr>
          <w:rStyle w:val="FootnoteAnchor"/>
          <w:rtl w:val="true"/>
        </w:rPr>
        <w:footnoteReference w:id="1451"/>
      </w:r>
      <w:r>
        <w:rPr>
          <w:rFonts w:ascii="Amiri" w:hAnsi="Amiri" w:eastAsia="Amiri" w:cs="Amiri"/>
          <w:color w:val="111111"/>
          <w:sz w:val="28"/>
          <w:sz w:val="28"/>
          <w:szCs w:val="28"/>
          <w:rtl w:val="true"/>
          <w:lang w:bidi="ar-SA"/>
        </w:rPr>
        <w:t xml:space="preserve">و ليس الردّة منها،و لأنّ الباقي بعد الفراغ من فعل الطّهارة صفة كونه طاهرا،لا نفس الفعل لاستحالة ذلك،و الكفر لا ينافيه كما في الغسل و في الوضوء عند زفر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أحمد </w:t>
      </w:r>
      <w:r>
        <w:rPr>
          <w:rStyle w:val="FootnoteAnchor"/>
          <w:rtl w:val="true"/>
        </w:rPr>
        <w:footnoteReference w:id="1453"/>
      </w:r>
      <w:r>
        <w:rPr>
          <w:rFonts w:ascii="Amiri" w:hAnsi="Amiri" w:eastAsia="Amiri" w:cs="Amiri"/>
          <w:color w:val="111111"/>
          <w:sz w:val="28"/>
          <w:sz w:val="28"/>
          <w:szCs w:val="28"/>
          <w:rtl w:val="true"/>
          <w:lang w:bidi="ar-SA"/>
        </w:rPr>
        <w:t xml:space="preserve">بقوله تعالى لَئِنْ أَشْرَكْتَ لَيَحْبَطَنَّ عَمَلُكَ </w:t>
      </w:r>
      <w:r>
        <w:rPr>
          <w:rStyle w:val="FootnoteAnchor"/>
          <w:rtl w:val="true"/>
        </w:rPr>
        <w:footnoteReference w:id="1454"/>
      </w:r>
      <w:r>
        <w:rPr>
          <w:rFonts w:ascii="IRNazanin" w:hAnsi="IRNazanin" w:eastAsia="IRNazanin"/>
          <w:color w:val="111111"/>
          <w:sz w:val="28"/>
          <w:sz w:val="28"/>
          <w:szCs w:val="28"/>
          <w:rtl w:val="true"/>
          <w:lang w:bidi="fa-IR"/>
        </w:rPr>
        <w:t>و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يَكْفُرْ بِالْإِيمانِ فَقَدْ حَبِطَ عَمَلُهُ </w:t>
      </w:r>
      <w:r>
        <w:rPr>
          <w:rStyle w:val="FootnoteAnchor"/>
          <w:rtl w:val="true"/>
        </w:rPr>
        <w:footnoteReference w:id="1455"/>
      </w:r>
      <w:r>
        <w:rPr>
          <w:rFonts w:ascii="Amiri" w:hAnsi="Amiri" w:eastAsia="Amiri" w:cs="Amiri"/>
          <w:color w:val="111111"/>
          <w:sz w:val="28"/>
          <w:sz w:val="28"/>
          <w:szCs w:val="28"/>
          <w:rtl w:val="true"/>
          <w:lang w:bidi="ar-SA"/>
        </w:rPr>
        <w:t>و بما روي عن ابن عبّاس،انّه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الحدث حدثان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 اللّسان،و حدث الفرج،و أشدّهما حدث اللّسان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يقبل اللّه صلاة أحدكم إذا أحدث حتّى يتوضّأ</w:t>
      </w:r>
      <w:r>
        <w:rPr>
          <w:rFonts w:eastAsia="Amiri" w:cs="Amiri" w:ascii="Amiri" w:hAnsi="Amiri"/>
          <w:color w:val="111111"/>
          <w:sz w:val="28"/>
          <w:szCs w:val="28"/>
          <w:rtl w:val="true"/>
          <w:lang w:bidi="ar-SA"/>
        </w:rPr>
        <w:t xml:space="preserve">) </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احتجّ زفر بالآيتين،و بأنّ الردّة لو قارنت </w:t>
      </w:r>
      <w:r>
        <w:rPr>
          <w:rStyle w:val="FootnoteAnchor"/>
          <w:rtl w:val="true"/>
        </w:rPr>
        <w:footnoteReference w:id="1458"/>
      </w:r>
      <w:r>
        <w:rPr>
          <w:rFonts w:ascii="Amiri" w:hAnsi="Amiri" w:eastAsia="Amiri" w:cs="Amiri"/>
          <w:color w:val="111111"/>
          <w:sz w:val="28"/>
          <w:sz w:val="28"/>
          <w:szCs w:val="28"/>
          <w:rtl w:val="true"/>
          <w:lang w:bidi="ar-SA"/>
        </w:rPr>
        <w:t>التّيمّم منعت صحّته،فإذا طرأت عليه أبطلت،و الجامع انّها عبادة فلا تجامع الكفر</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الجواب عن الآيتين انّهما مشروطتان بالموافاة،و قد بيّنّاه في علم الكلام </w:t>
      </w:r>
      <w:r>
        <w:rPr>
          <w:rStyle w:val="FootnoteAnchor"/>
          <w:rtl w:val="true"/>
        </w:rPr>
        <w:footnoteReference w:id="1459"/>
      </w:r>
      <w:r>
        <w:rPr>
          <w:rFonts w:ascii="Amiri" w:hAnsi="Amiri" w:eastAsia="Amiri" w:cs="Amiri"/>
          <w:color w:val="111111"/>
          <w:sz w:val="28"/>
          <w:sz w:val="28"/>
          <w:szCs w:val="28"/>
          <w:rtl w:val="true"/>
          <w:lang w:bidi="ar-SA"/>
        </w:rPr>
        <w:t>،و يدلّ عليه قوله تعالى</w:t>
      </w:r>
      <w:r>
        <w:rPr>
          <w:rFonts w:eastAsia="Amiri" w:cs="Amiri" w:ascii="Amiri" w:hAnsi="Amiri"/>
          <w:color w:val="111111"/>
          <w:sz w:val="28"/>
          <w:szCs w:val="28"/>
          <w:rtl w:val="true"/>
          <w:lang w:bidi="ar-SA"/>
        </w:rPr>
        <w:t xml:space="preserve">: </w:t>
      </w:r>
      <w:bookmarkStart w:id="774" w:name="pg12672_159980"/>
    </w:p>
    <w:p>
      <w:pPr>
        <w:pStyle w:val="BookText"/>
        <w:rPr/>
      </w:pPr>
      <w:bookmarkEnd w:id="774"/>
      <w:r>
        <w:rPr>
          <w:rFonts w:ascii="Amiri" w:hAnsi="Amiri" w:eastAsia="Amiri" w:cs="Amiri"/>
          <w:color w:val="111111"/>
          <w:sz w:val="28"/>
          <w:sz w:val="28"/>
          <w:szCs w:val="28"/>
          <w:rtl w:val="true"/>
          <w:lang w:bidi="ar-SA"/>
        </w:rPr>
        <w:t xml:space="preserve">وَ مَنْ يَرْتَدِدْ مِنْكُمْ عَنْ دِينِهِ فَيَمُتْ وَ هُوَ كافِرٌ فَأُولئِكَ حَبِطَتْ أَعْمالُهُمْ </w:t>
      </w:r>
      <w:r>
        <w:rPr>
          <w:rStyle w:val="FootnoteAnchor"/>
          <w:rtl w:val="true"/>
        </w:rPr>
        <w:footnoteReference w:id="1460"/>
      </w:r>
      <w:r>
        <w:rPr>
          <w:rFonts w:ascii="Amiri" w:hAnsi="Amiri" w:eastAsia="Amiri" w:cs="Amiri"/>
          <w:color w:val="111111"/>
          <w:sz w:val="28"/>
          <w:sz w:val="28"/>
          <w:szCs w:val="28"/>
          <w:rtl w:val="true"/>
          <w:lang w:bidi="ar-SA"/>
        </w:rPr>
        <w:t>شرط في الإحباط الموت،و أمّا حديث ابن عبّاس فليس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فلأنّه لم ينقله عن النّبيّ صلّى اللّه عليه و آله،بل قاله برأيه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تسميته حدثا لا يوجب كونه ناقضا،فإنّ كلّ متجدّد حادث، و الاشتراك في الاسم لا يوجب الشّركة في الحكم المعلّق على أحد المسمّيين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كلام زفر ضعيف لوقوع الفرق بين المقارنة و التّقدّم،لعدم فقدان شرط التّيمّم في الأوّل و هو مقارنة النّيّة،و النّقض بالطّهارة المائيّة </w:t>
      </w:r>
      <w:r>
        <w:rPr>
          <w:rFonts w:eastAsia="Amiri" w:cs="Amiri" w:ascii="Amiri" w:hAnsi="Amiri"/>
          <w:color w:val="111111"/>
          <w:sz w:val="28"/>
          <w:szCs w:val="28"/>
          <w:rtl w:val="true"/>
          <w:lang w:bidi="ar-SA"/>
        </w:rPr>
        <w:t>.</w:t>
      </w:r>
    </w:p>
    <w:p>
      <w:pPr>
        <w:pStyle w:val="Heading6"/>
        <w:numPr>
          <w:ilvl w:val="5"/>
          <w:numId w:val="1"/>
        </w:numPr>
        <w:rPr/>
      </w:pPr>
      <w:bookmarkStart w:id="775" w:name="__RefHeading___Toc747233_222507752"/>
      <w:bookmarkStart w:id="776" w:name="_Toc307"/>
      <w:bookmarkEnd w:id="775"/>
      <w:r>
        <w:rPr>
          <w:rtl w:val="true"/>
        </w:rPr>
        <w:t>السّابع</w:t>
      </w:r>
      <w:r>
        <w:rPr>
          <w:rtl w:val="true"/>
        </w:rPr>
        <w:t>:</w:t>
      </w:r>
      <w:r>
        <w:rPr>
          <w:rtl w:val="true"/>
        </w:rPr>
        <w:t>إنشاد الشّعر و كلام الفحش و الكذب و الغيبة و القذف،غير ناقض</w:t>
      </w:r>
      <w:bookmarkEnd w:id="7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إجماع علماء الأمصار سواء كان في الصّلاة أو خارجا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النّبيّ صلّى اللّه عليه و آله،انّه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ينقض الصّلاة، و لا ينقض الوضوء</w:t>
      </w:r>
      <w:r>
        <w:rPr>
          <w:rFonts w:eastAsia="Amiri" w:cs="Amiri" w:ascii="Amiri" w:hAnsi="Amiri"/>
          <w:color w:val="111111"/>
          <w:sz w:val="28"/>
          <w:szCs w:val="28"/>
          <w:rtl w:val="true"/>
          <w:lang w:bidi="ar-SA"/>
        </w:rPr>
        <w:t xml:space="preserve">) </w:t>
      </w:r>
      <w:r>
        <w:rPr>
          <w:rStyle w:val="FootnoteAnchor"/>
          <w:rtl w:val="true"/>
        </w:rPr>
        <w:footnoteReference w:id="1461"/>
      </w:r>
      <w:r>
        <w:rPr>
          <w:rFonts w:ascii="Amiri" w:hAnsi="Amiri" w:eastAsia="Amiri" w:cs="Amiri"/>
          <w:color w:val="111111"/>
          <w:sz w:val="28"/>
          <w:sz w:val="28"/>
          <w:szCs w:val="28"/>
          <w:rtl w:val="true"/>
          <w:lang w:bidi="ar-SA"/>
        </w:rPr>
        <w:t>و ما رووه،عنه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حلف باللات، فليقل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Style w:val="FootnoteAnchor"/>
          <w:rtl w:val="true"/>
        </w:rPr>
        <w:footnoteReference w:id="1462"/>
      </w:r>
      <w:r>
        <w:rPr>
          <w:rFonts w:ascii="Amiri" w:hAnsi="Amiri" w:eastAsia="Amiri" w:cs="Amiri"/>
          <w:color w:val="111111"/>
          <w:sz w:val="28"/>
          <w:sz w:val="28"/>
          <w:szCs w:val="28"/>
          <w:rtl w:val="true"/>
          <w:lang w:bidi="ar-SA"/>
        </w:rPr>
        <w:t>و لم يأمر في ذلك بالوضوء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معاوية بن ميسرة،قال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إنشاد الشّعر،هل ينقض الوضوء؟قال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463"/>
      </w:r>
      <w:r>
        <w:rPr>
          <w:rFonts w:ascii="Amiri" w:hAnsi="Amiri" w:eastAsia="Amiri" w:cs="Amiri"/>
          <w:color w:val="111111"/>
          <w:sz w:val="28"/>
          <w:sz w:val="28"/>
          <w:szCs w:val="28"/>
          <w:rtl w:val="true"/>
          <w:lang w:bidi="ar-SA"/>
        </w:rPr>
        <w:t>و لا يعارض هذا برواية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نشيد الشّعر،هل ينقض الوضوء،أو ظلم الرّجل صاحبه،أو الكذب؟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نعم،إلاّ أن يكون شعرا يصدق فيه،أو يكون يسيرا من 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الأبيات الثّلاثة و الأربعة،فأمّا أن يكثر من الشّعر الباطل فهو ينقض الوضوء</w:t>
      </w:r>
      <w:r>
        <w:rPr>
          <w:rFonts w:eastAsia="Amiri" w:cs="Amiri" w:ascii="Amiri" w:hAnsi="Amiri"/>
          <w:color w:val="111111"/>
          <w:sz w:val="28"/>
          <w:szCs w:val="28"/>
          <w:rtl w:val="true"/>
          <w:lang w:bidi="ar-SA"/>
        </w:rPr>
        <w:t xml:space="preserve">) </w:t>
      </w:r>
      <w:r>
        <w:rPr>
          <w:rStyle w:val="FootnoteAnchor"/>
          <w:rtl w:val="true"/>
        </w:rPr>
        <w:footnoteReference w:id="1464"/>
      </w:r>
      <w:r>
        <w:rPr>
          <w:rFonts w:ascii="IRNazanin" w:hAnsi="IRNazanin" w:eastAsia="IRNazanin"/>
          <w:color w:val="111111"/>
          <w:sz w:val="28"/>
          <w:sz w:val="28"/>
          <w:szCs w:val="28"/>
          <w:rtl w:val="true"/>
          <w:lang w:bidi="fa-IR"/>
        </w:rPr>
        <w:t>لوجوه</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سماعة لم يسنده عن إمام،بل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سألته،و يحتمل أن يكون المراد بعض الفقهاء</w:t>
      </w:r>
      <w:r>
        <w:rPr>
          <w:rFonts w:eastAsia="Amiri" w:cs="Amiri" w:ascii="Amiri" w:hAnsi="Amiri"/>
          <w:color w:val="111111"/>
          <w:sz w:val="28"/>
          <w:szCs w:val="28"/>
          <w:rtl w:val="true"/>
          <w:lang w:bidi="ar-SA"/>
        </w:rPr>
        <w:t xml:space="preserve">. </w:t>
      </w:r>
      <w:bookmarkStart w:id="777" w:name="pg12672_159981"/>
    </w:p>
    <w:p>
      <w:pPr>
        <w:pStyle w:val="BookText"/>
        <w:rPr/>
      </w:pPr>
      <w:bookmarkEnd w:id="777"/>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سماعة واقفيّ،و الرّاوي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زرعة </w:t>
      </w:r>
      <w:r>
        <w:rPr>
          <w:rStyle w:val="FootnoteAnchor"/>
          <w:rtl w:val="true"/>
        </w:rPr>
        <w:footnoteReference w:id="1465"/>
      </w:r>
      <w:r>
        <w:rPr>
          <w:rFonts w:ascii="Amiri" w:hAnsi="Amiri" w:eastAsia="Amiri" w:cs="Amiri"/>
          <w:color w:val="111111"/>
          <w:sz w:val="28"/>
          <w:sz w:val="28"/>
          <w:szCs w:val="28"/>
          <w:rtl w:val="true"/>
          <w:lang w:bidi="ar-SA"/>
        </w:rPr>
        <w:t>،و هو واقفيّ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خبر واحد مع معارضة الإجماع،فلا يسمع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المعارضة بما قدّمناه من الأحاديث النّاصّة على حصر الأحداث </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78" w:name="__RefHeading___Toc747235_222507752"/>
      <w:bookmarkStart w:id="779" w:name="_Toc308"/>
      <w:bookmarkEnd w:id="778"/>
      <w:r>
        <w:rPr>
          <w:rtl w:val="true"/>
        </w:rPr>
        <w:t>الثّامن</w:t>
      </w:r>
      <w:r>
        <w:rPr>
          <w:rtl w:val="true"/>
        </w:rPr>
        <w:t>:</w:t>
      </w:r>
      <w:r>
        <w:rPr>
          <w:rtl w:val="true"/>
        </w:rPr>
        <w:t>حلق الشّعر و نتفه و قصّ الأظفار لا ينقض الوضوء و لا يوجب غسل موضعه</w:t>
      </w:r>
      <w:bookmarkEnd w:id="779"/>
    </w:p>
    <w:p>
      <w:pPr>
        <w:pStyle w:val="BookText"/>
        <w:rPr/>
      </w:pPr>
      <w:r>
        <w:rPr>
          <w:rFonts w:ascii="Amiri" w:hAnsi="Amiri" w:eastAsia="Amiri" w:cs="Amiri"/>
          <w:color w:val="111111"/>
          <w:sz w:val="28"/>
          <w:sz w:val="28"/>
          <w:szCs w:val="28"/>
          <w:rtl w:val="true"/>
          <w:lang w:bidi="ar-SA"/>
        </w:rPr>
        <w:t>،لما رواه الشّيخ في الصّحيح عن سعيد بن عبد اللّه الأعرج،قال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آخذ من أظفاري و من شاربي و أحلق رأسي،أ فأغتسل؟قال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467"/>
      </w:r>
      <w:r>
        <w:rPr>
          <w:rFonts w:ascii="Amiri" w:hAnsi="Amiri" w:eastAsia="Amiri" w:cs="Amiri"/>
          <w:color w:val="111111"/>
          <w:sz w:val="28"/>
          <w:sz w:val="28"/>
          <w:szCs w:val="28"/>
          <w:rtl w:val="true"/>
          <w:lang w:bidi="ar-SA"/>
        </w:rPr>
        <w:t>ليس عليك 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فأتوضّأ؟قال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468"/>
      </w:r>
      <w:r>
        <w:rPr>
          <w:rFonts w:ascii="Amiri" w:hAnsi="Amiri" w:eastAsia="Amiri" w:cs="Amiri"/>
          <w:color w:val="111111"/>
          <w:sz w:val="28"/>
          <w:sz w:val="28"/>
          <w:szCs w:val="28"/>
          <w:rtl w:val="true"/>
          <w:lang w:bidi="ar-SA"/>
        </w:rPr>
        <w:t>ليس عليك 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فأمسح على أظفاري الماء؟فقال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Style w:val="FootnoteAnchor"/>
          <w:rtl w:val="true"/>
        </w:rPr>
        <w:footnoteReference w:id="1469"/>
      </w:r>
      <w:r>
        <w:rPr>
          <w:rFonts w:ascii="Amiri" w:hAnsi="Amiri" w:eastAsia="Amiri" w:cs="Amiri"/>
          <w:color w:val="111111"/>
          <w:sz w:val="28"/>
          <w:sz w:val="28"/>
          <w:szCs w:val="28"/>
          <w:rtl w:val="true"/>
          <w:lang w:bidi="ar-SA"/>
        </w:rPr>
        <w:t>طهور،ليس عليك مسح</w:t>
      </w:r>
      <w:r>
        <w:rPr>
          <w:rFonts w:eastAsia="Amiri" w:cs="Amiri" w:ascii="Amiri" w:hAnsi="Amiri"/>
          <w:color w:val="111111"/>
          <w:sz w:val="28"/>
          <w:szCs w:val="28"/>
          <w:rtl w:val="true"/>
          <w:lang w:bidi="ar-SA"/>
        </w:rPr>
        <w:t xml:space="preserve">) </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 الصّحيح عن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يقلّم أظفاره و يجزّ شاربه و يأخذ من شعر لحيته و رأسه،هل ينقض ذلك وضوءه؟فقال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زرارة،كلّ هذا سنّة،و الوضوء فريضة،و ليس شيء من السّنة ينقض الفريضة و انّ ذلك ليزيده تطهيرا</w:t>
      </w:r>
      <w:r>
        <w:rPr>
          <w:rFonts w:eastAsia="Amiri" w:cs="Amiri" w:ascii="Amiri" w:hAnsi="Amiri"/>
          <w:color w:val="111111"/>
          <w:sz w:val="28"/>
          <w:szCs w:val="28"/>
          <w:rtl w:val="true"/>
          <w:lang w:bidi="ar-SA"/>
        </w:rPr>
        <w:t xml:space="preserve">)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في الصّحيح عن الحلبيّ،قال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يكون على طهر فيأخذ من أظفاره أو شعره،أ يعيد الوضوء؟فقال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 يمسح رأسه و أظفاره بالماء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يزعمون انّ فيه الوضوء؟فقال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خاصموكم فلا تخاصموهم </w:t>
      </w:r>
      <w:bookmarkStart w:id="780" w:name="pg12672_159982"/>
    </w:p>
    <w:p>
      <w:pPr>
        <w:pStyle w:val="BookText"/>
        <w:rPr/>
      </w:pPr>
      <w:bookmarkEnd w:id="780"/>
      <w:r>
        <w:rPr>
          <w:rFonts w:ascii="Amiri" w:hAnsi="Amiri" w:eastAsia="Amiri" w:cs="Amiri"/>
          <w:color w:val="111111"/>
          <w:sz w:val="28"/>
          <w:sz w:val="28"/>
          <w:szCs w:val="28"/>
          <w:rtl w:val="true"/>
          <w:lang w:bidi="ar-SA"/>
        </w:rPr>
        <w:t>و قولوا هكذا السّنّة</w:t>
      </w:r>
      <w:r>
        <w:rPr>
          <w:rFonts w:eastAsia="Amiri" w:cs="Amiri" w:ascii="Amiri" w:hAnsi="Amiri"/>
          <w:color w:val="111111"/>
          <w:sz w:val="28"/>
          <w:szCs w:val="28"/>
          <w:rtl w:val="true"/>
          <w:lang w:bidi="ar-SA"/>
        </w:rPr>
        <w:t xml:space="preserve">) </w:t>
      </w:r>
      <w:r>
        <w:rPr>
          <w:rStyle w:val="FootnoteAnchor"/>
          <w:rtl w:val="true"/>
        </w:rPr>
        <w:footnoteReference w:id="1472"/>
      </w:r>
      <w:r>
        <w:rPr>
          <w:rFonts w:ascii="Amiri" w:hAnsi="Amiri" w:eastAsia="Amiri" w:cs="Amiri"/>
          <w:color w:val="111111"/>
          <w:sz w:val="28"/>
          <w:sz w:val="28"/>
          <w:szCs w:val="28"/>
          <w:rtl w:val="true"/>
          <w:lang w:bidi="ar-SA"/>
        </w:rPr>
        <w:t xml:space="preserve">و أمره عليه السّلام بالمسح بالماء للاستحباب من حيث انّ فيه إزالة وسخ إن كان </w:t>
      </w:r>
      <w:r>
        <w:rPr>
          <w:rFonts w:eastAsia="Amiri" w:cs="Amiri" w:ascii="Amiri" w:hAnsi="Amiri"/>
          <w:color w:val="111111"/>
          <w:sz w:val="28"/>
          <w:szCs w:val="28"/>
          <w:rtl w:val="true"/>
          <w:lang w:bidi="ar-SA"/>
        </w:rPr>
        <w:t>.</w:t>
      </w:r>
    </w:p>
    <w:p>
      <w:pPr>
        <w:pStyle w:val="Heading6"/>
        <w:numPr>
          <w:ilvl w:val="5"/>
          <w:numId w:val="1"/>
        </w:numPr>
        <w:rPr/>
      </w:pPr>
      <w:bookmarkStart w:id="781" w:name="__RefHeading___Toc747237_222507752"/>
      <w:bookmarkStart w:id="782" w:name="_Toc309"/>
      <w:bookmarkEnd w:id="781"/>
      <w:r>
        <w:rPr>
          <w:rtl w:val="true"/>
        </w:rPr>
        <w:t>التّاسع</w:t>
      </w:r>
      <w:r>
        <w:rPr>
          <w:rtl w:val="true"/>
        </w:rPr>
        <w:t>:</w:t>
      </w:r>
      <w:r>
        <w:rPr>
          <w:rtl w:val="true"/>
        </w:rPr>
        <w:t>ما يخرج من البدن من دم،أو قيح،أو نخامة،أو رطوبة،أو صديد،لا ينقض</w:t>
      </w:r>
      <w:bookmarkEnd w:id="782"/>
    </w:p>
    <w:p>
      <w:pPr>
        <w:pStyle w:val="BookText"/>
        <w:rPr/>
      </w:pPr>
      <w:r>
        <w:rPr>
          <w:rFonts w:ascii="Amiri" w:hAnsi="Amiri" w:eastAsia="Amiri" w:cs="Amiri"/>
          <w:color w:val="111111"/>
          <w:sz w:val="28"/>
          <w:sz w:val="28"/>
          <w:szCs w:val="28"/>
          <w:rtl w:val="true"/>
          <w:lang w:bidi="ar-SA"/>
        </w:rPr>
        <w:t>الطّهارة</w:t>
      </w:r>
    </w:p>
    <w:p>
      <w:pPr>
        <w:pStyle w:val="BookText"/>
        <w:rPr/>
      </w:pPr>
      <w:r>
        <w:rPr>
          <w:rFonts w:ascii="Amiri" w:hAnsi="Amiri" w:eastAsia="Amiri" w:cs="Amiri"/>
          <w:color w:val="111111"/>
          <w:sz w:val="28"/>
          <w:sz w:val="28"/>
          <w:szCs w:val="28"/>
          <w:rtl w:val="true"/>
          <w:lang w:bidi="ar-SA"/>
        </w:rPr>
        <w:t>كيف خرج كثر أو قلّ،إلاّ الدّماء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الدّم،و القيح،و الصّديد،إذا خرج عن رأس الجرح و سال نقض الطّهارة،و إن لم يسل لم ينقض،قال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خرج من رأس الجرح فمسحه ثمَّ خرج فمسحه،و هكذا،نظر إن كان بحال لو تركه سال،نقض،و إلاّ فلا،و لو أبطل رباط الجراح نقض إن نفذ </w:t>
      </w:r>
      <w:r>
        <w:rPr>
          <w:rStyle w:val="FootnoteAnchor"/>
          <w:rtl w:val="true"/>
        </w:rPr>
        <w:footnoteReference w:id="1473"/>
      </w:r>
      <w:r>
        <w:rPr>
          <w:rFonts w:ascii="Amiri" w:hAnsi="Amiri" w:eastAsia="Amiri" w:cs="Amiri"/>
          <w:color w:val="111111"/>
          <w:sz w:val="28"/>
          <w:sz w:val="28"/>
          <w:szCs w:val="28"/>
          <w:rtl w:val="true"/>
          <w:lang w:bidi="ar-SA"/>
        </w:rPr>
        <w:t xml:space="preserve">البلل إلى الخارج و إلاّ فلا،و لو كان الرّباط ذا طاقين فنفذ </w:t>
      </w:r>
      <w:r>
        <w:rPr>
          <w:rStyle w:val="FootnoteAnchor"/>
          <w:rtl w:val="true"/>
        </w:rPr>
        <w:footnoteReference w:id="1474"/>
      </w:r>
      <w:r>
        <w:rPr>
          <w:rFonts w:ascii="Amiri" w:hAnsi="Amiri" w:eastAsia="Amiri" w:cs="Amiri"/>
          <w:color w:val="111111"/>
          <w:sz w:val="28"/>
          <w:sz w:val="28"/>
          <w:szCs w:val="28"/>
          <w:rtl w:val="true"/>
          <w:lang w:bidi="ar-SA"/>
        </w:rPr>
        <w:t xml:space="preserve">إلى البعض نقض،و لو نزل الدّم إلى قصبة الأنف و أنفه مشدود </w:t>
      </w:r>
      <w:r>
        <w:rPr>
          <w:rStyle w:val="FootnoteAnchor"/>
          <w:rtl w:val="true"/>
        </w:rPr>
        <w:footnoteReference w:id="1475"/>
      </w:r>
      <w:r>
        <w:rPr>
          <w:rFonts w:ascii="Amiri" w:hAnsi="Amiri" w:eastAsia="Amiri" w:cs="Amiri"/>
          <w:color w:val="111111"/>
          <w:sz w:val="28"/>
          <w:sz w:val="28"/>
          <w:szCs w:val="28"/>
          <w:rtl w:val="true"/>
          <w:lang w:bidi="ar-SA"/>
        </w:rPr>
        <w:t xml:space="preserve">نقض،لأنّ داخل الأنف يقبل التّطهير،و لو نزل البول إلى قصبة الذّكر،لم ينقض </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زفر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ينقض سواء سأل أو لم يسل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الخارج من غير القبل و الدّبر كالدّم و البصاق و غير ذلك لا ينقض مطلقا </w:t>
      </w:r>
      <w:r>
        <w:rPr>
          <w:rStyle w:val="FootnoteAnchor"/>
          <w:rtl w:val="true"/>
        </w:rPr>
        <w:footnoteReference w:id="1478"/>
      </w:r>
      <w:r>
        <w:rPr>
          <w:rFonts w:ascii="Amiri" w:hAnsi="Amiri" w:eastAsia="Amiri" w:cs="Amiri"/>
          <w:color w:val="111111"/>
          <w:sz w:val="28"/>
          <w:sz w:val="28"/>
          <w:szCs w:val="28"/>
          <w:rtl w:val="true"/>
          <w:lang w:bidi="ar-SA"/>
        </w:rPr>
        <w:t>كما قلناه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مذهب مالك </w:t>
      </w:r>
      <w:r>
        <w:rPr>
          <w:rStyle w:val="FootnoteAnchor"/>
          <w:rtl w:val="true"/>
        </w:rPr>
        <w:footnoteReference w:id="1479"/>
      </w:r>
      <w:r>
        <w:rPr>
          <w:rFonts w:ascii="Amiri" w:hAnsi="Amiri" w:eastAsia="Amiri" w:cs="Amiri"/>
          <w:color w:val="111111"/>
          <w:sz w:val="28"/>
          <w:sz w:val="28"/>
          <w:szCs w:val="28"/>
          <w:rtl w:val="true"/>
          <w:lang w:bidi="ar-SA"/>
        </w:rPr>
        <w:t>،و به قال عبد اللّه بن عبّاس،و عبد اللّه بن عمر،و عبد اللّه بن أبي أوفى،و أبو هريرة،و عائشة،و جابر بن عبد اللّه،و من التّابعين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سعيد بن المسيّب،و القاسم بن محمّد،و عطاء،و طاوس،و سالم بن عبد اللّه بن عمر، و محكول،و ربيعة،و أبو ثور،و داود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الأوزاعيّ،و الثّوريّ،و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نجس خارج من البدن إذا سال يوجب الوضوء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الدّم قطرة أو قطرتين لم يوجب الوضوء،و عنه رواية اخرى انّه إذا خرج قدر ما يعفى عنه و هو قدر الشّبر لم يوجب الوضوء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أنس عن النّبيّ صلّى اللّه عليه و آله،انّه احتجم و لم يتوضّأ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الحسن بن عليّ الوشّاء،قال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يدخل يده في أنفه فيصيب خمس أصابعه الدّم،قال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ينقيه و لا يعيد الوضوء</w:t>
      </w:r>
      <w:r>
        <w:rPr>
          <w:rFonts w:eastAsia="Amiri" w:cs="Amiri" w:ascii="Amiri" w:hAnsi="Amiri"/>
          <w:color w:val="111111"/>
          <w:sz w:val="28"/>
          <w:szCs w:val="28"/>
          <w:rtl w:val="true"/>
          <w:lang w:bidi="ar-SA"/>
        </w:rPr>
        <w:t xml:space="preserve">) </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رواه عبد الأعلى </w:t>
      </w:r>
      <w:r>
        <w:rPr>
          <w:rStyle w:val="FootnoteAnchor"/>
          <w:rtl w:val="true"/>
        </w:rPr>
        <w:footnoteReference w:id="1485"/>
      </w:r>
      <w:r>
        <w:rPr>
          <w:rFonts w:ascii="Amiri" w:hAnsi="Amiri" w:eastAsia="Amiri" w:cs="Amiri"/>
          <w:color w:val="111111"/>
          <w:sz w:val="28"/>
          <w:sz w:val="28"/>
          <w:szCs w:val="28"/>
          <w:rtl w:val="true"/>
          <w:lang w:bidi="ar-SA"/>
        </w:rPr>
        <w:t>،عن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الحجامة أ فيها وضوء؟قال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لا يغسل مكانها،انّ الحجّام مؤتمن إذا كان ينظفه،و لم يكن صبيّا صغيرا</w:t>
      </w:r>
      <w:r>
        <w:rPr>
          <w:rFonts w:eastAsia="Amiri" w:cs="Amiri" w:ascii="Amiri" w:hAnsi="Amiri"/>
          <w:color w:val="111111"/>
          <w:sz w:val="28"/>
          <w:szCs w:val="28"/>
          <w:rtl w:val="true"/>
          <w:lang w:bidi="ar-SA"/>
        </w:rPr>
        <w:t xml:space="preserve">)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صفوان،قال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رجل أبا الحسن عليه السّلام و أنا حاضر،فقال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بي جرحا في مقعدتي فأتوضّأ ثمَّ أستنجئ ثمَّ أجد بعد ذلك النّداء و الصّفرة تخرج من المقعدة فأعيد الوضوء؟قال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أنقيت؟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 رشّه بالماء و لا تعد الوضوء</w:t>
      </w:r>
      <w:r>
        <w:rPr>
          <w:rFonts w:eastAsia="Amiri" w:cs="Amiri" w:ascii="Amiri" w:hAnsi="Amiri"/>
          <w:color w:val="111111"/>
          <w:sz w:val="28"/>
          <w:szCs w:val="28"/>
          <w:rtl w:val="true"/>
          <w:lang w:bidi="ar-SA"/>
        </w:rPr>
        <w:t xml:space="preserve">)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 xml:space="preserve">. </w:t>
      </w:r>
      <w:bookmarkStart w:id="783" w:name="pg12672_159984"/>
    </w:p>
    <w:p>
      <w:pPr>
        <w:pStyle w:val="BookText"/>
        <w:rPr/>
      </w:pPr>
      <w:bookmarkEnd w:id="783"/>
      <w:r>
        <w:rPr>
          <w:rFonts w:ascii="Amiri" w:hAnsi="Amiri" w:eastAsia="Amiri" w:cs="Amiri"/>
          <w:color w:val="111111"/>
          <w:sz w:val="28"/>
          <w:sz w:val="28"/>
          <w:szCs w:val="28"/>
          <w:rtl w:val="true"/>
          <w:lang w:bidi="ar-SA"/>
        </w:rPr>
        <w:t>و روى أبو بصير 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الرّعاف و الحجامة و كلّ دم سائل؟فقال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هذا وضوء،إنّما الوضوء من طرفيك،الّذين أنعم اللّه بهما عليك</w:t>
      </w:r>
      <w:r>
        <w:rPr>
          <w:rFonts w:eastAsia="Amiri" w:cs="Amiri" w:ascii="Amiri" w:hAnsi="Amiri"/>
          <w:color w:val="111111"/>
          <w:sz w:val="28"/>
          <w:szCs w:val="28"/>
          <w:rtl w:val="true"/>
          <w:lang w:bidi="ar-SA"/>
        </w:rPr>
        <w:t xml:space="preserve">) </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لأنّ النّقض حكم شرعيّ فيتوقّف على النّص </w:t>
      </w:r>
      <w:r>
        <w:rPr>
          <w:rFonts w:eastAsia="Amiri" w:cs="Amiri" w:ascii="Amiri" w:hAnsi="Amiri"/>
          <w:color w:val="111111"/>
          <w:sz w:val="28"/>
          <w:szCs w:val="28"/>
          <w:rtl w:val="true"/>
          <w:lang w:bidi="ar-SA"/>
        </w:rPr>
        <w:t>.</w:t>
      </w:r>
    </w:p>
    <w:p>
      <w:pPr>
        <w:pStyle w:val="Heading6"/>
        <w:numPr>
          <w:ilvl w:val="5"/>
          <w:numId w:val="1"/>
        </w:numPr>
        <w:rPr/>
      </w:pPr>
      <w:bookmarkStart w:id="784" w:name="__RefHeading___Toc747239_222507752"/>
      <w:bookmarkStart w:id="785" w:name="_Toc310"/>
      <w:bookmarkEnd w:id="784"/>
      <w:r>
        <w:rPr>
          <w:rtl w:val="true"/>
        </w:rPr>
        <w:t>العاشر</w:t>
      </w:r>
      <w:r>
        <w:rPr>
          <w:rtl w:val="true"/>
        </w:rPr>
        <w:t>:</w:t>
      </w:r>
      <w:r>
        <w:rPr>
          <w:rtl w:val="true"/>
        </w:rPr>
        <w:t>لا تنقض الطّهارة بظنّ الحدث،لأنّه متيقّن</w:t>
      </w:r>
      <w:bookmarkEnd w:id="785"/>
    </w:p>
    <w:p>
      <w:pPr>
        <w:pStyle w:val="BookText"/>
        <w:rPr/>
      </w:pPr>
      <w:r>
        <w:rPr>
          <w:rStyle w:val="FootnoteAnchor"/>
          <w:rtl w:val="true"/>
        </w:rPr>
        <w:footnoteReference w:id="1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يرتفع إلاّ بيقين،لما رواه الشّيخ في الصّحيح عن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ينقض اليقين أبدا بالشّكّ و لكن ينقضه بيقين آخر</w:t>
      </w:r>
      <w:r>
        <w:rPr>
          <w:rFonts w:eastAsia="Amiri" w:cs="Amiri" w:ascii="Amiri" w:hAnsi="Amiri"/>
          <w:color w:val="111111"/>
          <w:sz w:val="28"/>
          <w:szCs w:val="28"/>
          <w:rtl w:val="true"/>
          <w:lang w:bidi="ar-SA"/>
        </w:rPr>
        <w:t xml:space="preserve">)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الصّحيح عن معاوية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الشّيطان ينفخ في دبر الإنسان حتّى يخيّل إليه انّه قد خرجت منه ريح،فلا ينقض وضوءه إلاّ ريح يسمعها أو يجد ريحها</w:t>
      </w:r>
      <w:r>
        <w:rPr>
          <w:rFonts w:eastAsia="Amiri" w:cs="Amiri" w:ascii="Amiri" w:hAnsi="Amiri"/>
          <w:color w:val="111111"/>
          <w:sz w:val="28"/>
          <w:szCs w:val="28"/>
          <w:rtl w:val="true"/>
          <w:lang w:bidi="ar-SA"/>
        </w:rPr>
        <w:t xml:space="preserve">)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86" w:name="__RefHeading___Toc747241_222507752"/>
      <w:bookmarkStart w:id="787" w:name="_Toc311"/>
      <w:bookmarkEnd w:id="786"/>
      <w:r>
        <w:rPr>
          <w:rtl w:val="true"/>
        </w:rPr>
        <w:t>الحادي عشر</w:t>
      </w:r>
      <w:r>
        <w:rPr>
          <w:rtl w:val="true"/>
        </w:rPr>
        <w:t>:</w:t>
      </w:r>
      <w:r>
        <w:rPr>
          <w:rtl w:val="true"/>
        </w:rPr>
        <w:t>القرقرة في البطن لا تنقض الوضوء</w:t>
      </w:r>
      <w:bookmarkEnd w:id="7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 الوضوء إلاّ ما خرج من طرفيك الأسفلين</w:t>
      </w:r>
      <w:r>
        <w:rPr>
          <w:rFonts w:eastAsia="Amiri" w:cs="Amiri" w:ascii="Amiri" w:hAnsi="Amiri"/>
          <w:color w:val="111111"/>
          <w:sz w:val="28"/>
          <w:szCs w:val="28"/>
          <w:rtl w:val="true"/>
          <w:lang w:bidi="ar-SA"/>
        </w:rPr>
        <w:t xml:space="preserve">)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الجمهور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وجد أحدكم في بطنه شيئا فأشكل عليه أخرج منه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لم</w:t>
      </w:r>
      <w:r>
        <w:rPr>
          <w:rFonts w:eastAsia="Amiri" w:cs="Amiri" w:ascii="Amiri" w:hAnsi="Amiri"/>
          <w:color w:val="111111"/>
          <w:sz w:val="28"/>
          <w:szCs w:val="28"/>
          <w:rtl w:val="true"/>
          <w:lang w:bidi="ar-SA"/>
        </w:rPr>
        <w:t xml:space="preserve">) </w:t>
      </w:r>
      <w:r>
        <w:rPr>
          <w:rStyle w:val="FootnoteAnchor"/>
          <w:rtl w:val="true"/>
        </w:rPr>
        <w:footnoteReference w:id="1493"/>
      </w:r>
      <w:r>
        <w:rPr>
          <w:rFonts w:ascii="Amiri" w:hAnsi="Amiri" w:eastAsia="Amiri" w:cs="Amiri"/>
          <w:color w:val="111111"/>
          <w:sz w:val="28"/>
          <w:sz w:val="28"/>
          <w:szCs w:val="28"/>
          <w:rtl w:val="true"/>
          <w:lang w:bidi="ar-SA"/>
        </w:rPr>
        <w:t>يخرج،فلا يخرج من المسجد حتّى يسمع صوتا أو يجد ريحا</w:t>
      </w:r>
      <w:r>
        <w:rPr>
          <w:rFonts w:eastAsia="Amiri" w:cs="Amiri" w:ascii="Amiri" w:hAnsi="Amiri"/>
          <w:color w:val="111111"/>
          <w:sz w:val="28"/>
          <w:szCs w:val="28"/>
          <w:rtl w:val="true"/>
          <w:lang w:bidi="ar-SA"/>
        </w:rPr>
        <w:t xml:space="preserve">)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 xml:space="preserve">. </w:t>
      </w:r>
      <w:bookmarkStart w:id="788" w:name="pg12672_159985"/>
    </w:p>
    <w:p>
      <w:pPr>
        <w:pStyle w:val="BookText"/>
        <w:rPr/>
      </w:pPr>
      <w:bookmarkEnd w:id="788"/>
      <w:r>
        <w:rPr>
          <w:rFonts w:ascii="Amiri" w:hAnsi="Amiri" w:eastAsia="Amiri" w:cs="Amiri"/>
          <w:color w:val="111111"/>
          <w:sz w:val="28"/>
          <w:sz w:val="28"/>
          <w:szCs w:val="28"/>
          <w:rtl w:val="true"/>
          <w:lang w:bidi="ar-SA"/>
        </w:rPr>
        <w:t>و ما رواه عبد الرّحمن بن أبي عبد اللّه،عن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أجد الرّيح في بطني حتّى أظنّ انّها قد خرجت،فقال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 وضوء حتّى تسمع الصّوت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Style w:val="FootnoteAnchor"/>
          <w:rtl w:val="true"/>
        </w:rPr>
        <w:footnoteReference w:id="1495"/>
      </w:r>
      <w:r>
        <w:rPr>
          <w:rFonts w:ascii="Amiri" w:hAnsi="Amiri" w:eastAsia="Amiri" w:cs="Amiri"/>
          <w:color w:val="111111"/>
          <w:sz w:val="28"/>
          <w:sz w:val="28"/>
          <w:szCs w:val="28"/>
          <w:rtl w:val="true"/>
          <w:lang w:bidi="ar-SA"/>
        </w:rPr>
        <w:t>تجد الرّيح</w:t>
      </w:r>
      <w:r>
        <w:rPr>
          <w:rFonts w:eastAsia="Amiri" w:cs="Amiri" w:ascii="Amiri" w:hAnsi="Amiri"/>
          <w:color w:val="111111"/>
          <w:sz w:val="28"/>
          <w:szCs w:val="28"/>
          <w:rtl w:val="true"/>
          <w:lang w:bidi="ar-SA"/>
        </w:rPr>
        <w:t xml:space="preserve">) </w:t>
      </w:r>
      <w:r>
        <w:rPr>
          <w:rStyle w:val="FootnoteAnchor"/>
          <w:rtl w:val="true"/>
        </w:rPr>
        <w:footnoteReference w:id="1496"/>
      </w:r>
      <w:r>
        <w:rPr>
          <w:rFonts w:ascii="Amiri" w:hAnsi="Amiri" w:eastAsia="Amiri" w:cs="Amiri"/>
          <w:color w:val="111111"/>
          <w:sz w:val="28"/>
          <w:sz w:val="28"/>
          <w:szCs w:val="28"/>
          <w:rtl w:val="true"/>
          <w:lang w:bidi="ar-SA"/>
        </w:rPr>
        <w:t>و هو إجماع العلماء كافّة،و لا يعارض برواية زرعة،عن سماعة،قال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عمّا ينقض الوضوء؟قال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الحدث تسمع صوته أو تجد ريحه، و القرقرة في البطن إلاّ شيء تصبر </w:t>
      </w:r>
      <w:r>
        <w:rPr>
          <w:rStyle w:val="FootnoteAnchor"/>
          <w:rtl w:val="true"/>
        </w:rPr>
        <w:footnoteReference w:id="1497"/>
      </w:r>
      <w:r>
        <w:rPr>
          <w:rFonts w:ascii="Amiri" w:hAnsi="Amiri" w:eastAsia="Amiri" w:cs="Amiri"/>
          <w:color w:val="111111"/>
          <w:sz w:val="28"/>
          <w:sz w:val="28"/>
          <w:szCs w:val="28"/>
          <w:rtl w:val="true"/>
          <w:lang w:bidi="ar-SA"/>
        </w:rPr>
        <w:t>عليه و الضّحك في الصّلاة و القيء</w:t>
      </w:r>
      <w:r>
        <w:rPr>
          <w:rFonts w:eastAsia="Amiri" w:cs="Amiri" w:ascii="Amiri" w:hAnsi="Amiri"/>
          <w:color w:val="111111"/>
          <w:sz w:val="28"/>
          <w:szCs w:val="28"/>
          <w:rtl w:val="true"/>
          <w:lang w:bidi="ar-SA"/>
        </w:rPr>
        <w:t xml:space="preserve">) </w:t>
      </w:r>
      <w:r>
        <w:rPr>
          <w:rStyle w:val="FootnoteAnchor"/>
          <w:rtl w:val="true"/>
        </w:rPr>
        <w:footnoteReference w:id="1498"/>
      </w:r>
      <w:r>
        <w:rPr>
          <w:rFonts w:ascii="Amiri" w:hAnsi="Amiri" w:eastAsia="Amiri" w:cs="Amiri"/>
          <w:color w:val="111111"/>
          <w:sz w:val="28"/>
          <w:sz w:val="28"/>
          <w:szCs w:val="28"/>
          <w:rtl w:val="true"/>
          <w:lang w:bidi="ar-SA"/>
        </w:rPr>
        <w:t>لأنّ سماعة لم يسنده عن إمام فلعلّ المسؤول من لا يوثق بفتواه،و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زرعة و سماعة واقفيّان،فلا تعويل على روايتهما إذا سلمت عن المعارض فضلا عمّا لا تحصل معه السّلامة </w:t>
      </w:r>
      <w:r>
        <w:rPr>
          <w:rFonts w:eastAsia="Amiri" w:cs="Amiri" w:ascii="Amiri" w:hAnsi="Amiri"/>
          <w:color w:val="111111"/>
          <w:sz w:val="28"/>
          <w:szCs w:val="28"/>
          <w:rtl w:val="true"/>
          <w:lang w:bidi="ar-SA"/>
        </w:rPr>
        <w:t>.</w:t>
      </w:r>
    </w:p>
    <w:p>
      <w:pPr>
        <w:pStyle w:val="Heading6"/>
        <w:numPr>
          <w:ilvl w:val="5"/>
          <w:numId w:val="1"/>
        </w:numPr>
        <w:rPr/>
      </w:pPr>
      <w:bookmarkStart w:id="789" w:name="__RefHeading___Toc747243_222507752"/>
      <w:bookmarkStart w:id="790" w:name="_Toc312"/>
      <w:bookmarkEnd w:id="789"/>
      <w:r>
        <w:rPr>
          <w:rtl w:val="true"/>
        </w:rPr>
        <w:t>الثّاني عشر</w:t>
      </w:r>
      <w:r>
        <w:rPr>
          <w:rtl w:val="true"/>
        </w:rPr>
        <w:t>:</w:t>
      </w:r>
      <w:r>
        <w:rPr>
          <w:rtl w:val="true"/>
        </w:rPr>
        <w:t>لو ظهرت مقعدته لعلّة،لم ينتقض الوضوء</w:t>
      </w:r>
      <w:bookmarkEnd w:id="790"/>
    </w:p>
    <w:p>
      <w:pPr>
        <w:pStyle w:val="BookText"/>
        <w:rPr/>
      </w:pPr>
      <w:r>
        <w:rPr>
          <w:rStyle w:val="FootnoteAnchor"/>
          <w:rtl w:val="true"/>
        </w:rPr>
        <w:footnoteReference w:id="1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خروج شيء من الغائط،و هل يشترط انفصاله،أم لا؟فيه نظر</w:t>
      </w:r>
      <w:r>
        <w:rPr>
          <w:rFonts w:eastAsia="Amiri" w:cs="Amiri" w:ascii="Amiri" w:hAnsi="Amiri"/>
          <w:color w:val="111111"/>
          <w:sz w:val="28"/>
          <w:szCs w:val="28"/>
          <w:rtl w:val="true"/>
          <w:lang w:bidi="ar-SA"/>
        </w:rPr>
        <w:t>.</w:t>
      </w:r>
    </w:p>
    <w:p>
      <w:pPr>
        <w:pStyle w:val="Heading6"/>
        <w:numPr>
          <w:ilvl w:val="5"/>
          <w:numId w:val="1"/>
        </w:numPr>
        <w:rPr/>
      </w:pPr>
      <w:bookmarkStart w:id="791" w:name="__RefHeading___Toc747245_222507752"/>
      <w:bookmarkStart w:id="792" w:name="_Toc313"/>
      <w:bookmarkEnd w:id="791"/>
      <w:r>
        <w:rPr>
          <w:rtl w:val="true"/>
        </w:rPr>
        <w:t>البحث الثّاني</w:t>
      </w:r>
      <w:r>
        <w:rPr>
          <w:rtl w:val="true"/>
        </w:rPr>
        <w:t>:</w:t>
      </w:r>
      <w:r>
        <w:rPr>
          <w:rtl w:val="true"/>
        </w:rPr>
        <w:t>في الاستطابة و آداب التّخلّي</w:t>
      </w:r>
      <w:bookmarkEnd w:id="792"/>
    </w:p>
    <w:p>
      <w:pPr>
        <w:pStyle w:val="BookText"/>
        <w:rPr/>
      </w:pPr>
      <w:r>
        <w:rPr>
          <w:rFonts w:ascii="Amiri" w:hAnsi="Amiri" w:eastAsia="Amiri" w:cs="Amiri"/>
          <w:color w:val="111111"/>
          <w:sz w:val="28"/>
          <w:sz w:val="28"/>
          <w:szCs w:val="28"/>
          <w:rtl w:val="true"/>
          <w:lang w:bidi="ar-SA"/>
        </w:rPr>
        <w:t>الاستطابة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الاستنجاء بالماء أو بالأحجار،فيقال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و استطاب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استنجى، و سمّي استطابة،لوجود معنى الطّيب في جسده بإزالة الخبث عنه،و الاستنجاء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استفعال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نجوت الشّجرة،أي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قطعتها،و الاستجمار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استفعال من الجمار،و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الحجارة الصّغار،لأنّه يستعملها في استجماره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لمن أراد التّخلّي أن يطلب موضعا يستتر فيه عن النّاس،فإنّ في ذلك تأسّيا </w:t>
      </w:r>
      <w:bookmarkStart w:id="793" w:name="pg12672_159986"/>
    </w:p>
    <w:p>
      <w:pPr>
        <w:pStyle w:val="BookText"/>
        <w:rPr/>
      </w:pPr>
      <w:bookmarkEnd w:id="793"/>
      <w:r>
        <w:rPr>
          <w:rFonts w:ascii="Amiri" w:hAnsi="Amiri" w:eastAsia="Amiri" w:cs="Amiri"/>
          <w:color w:val="111111"/>
          <w:sz w:val="28"/>
          <w:sz w:val="28"/>
          <w:szCs w:val="28"/>
          <w:rtl w:val="true"/>
          <w:lang w:bidi="ar-SA"/>
        </w:rPr>
        <w:t>بفعل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المنذر بإسناده عن جابر،قال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مع رسول اللّه صلّى اللّه عليه و آله في سفر فإذا هو بشجرتين بينهما أربعة أذرع،فقال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انطلق إلى هذه الشّجرة،فقل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لك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 بصاحبتك،حتّى أجلس خلفكما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فجلس النّبيّ صلّى اللّه عليه و آله خلفهما ثمَّ رجعتا إلى مكانهما </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94" w:name="__RefHeading___Toc747247_222507752"/>
      <w:bookmarkStart w:id="795" w:name="_Toc314"/>
      <w:bookmarkEnd w:id="794"/>
      <w:r>
        <w:rPr>
          <w:rtl w:val="true"/>
        </w:rPr>
        <w:t>مسألة</w:t>
      </w:r>
      <w:r>
        <w:rPr>
          <w:rtl w:val="true"/>
        </w:rPr>
        <w:t>:</w:t>
      </w:r>
      <w:r>
        <w:rPr>
          <w:rtl w:val="true"/>
        </w:rPr>
        <w:t>يجب ستر العورة مطلقا</w:t>
      </w:r>
      <w:bookmarkEnd w:id="795"/>
    </w:p>
    <w:p>
      <w:pPr>
        <w:pStyle w:val="BookText"/>
        <w:rPr/>
      </w:pPr>
      <w:r>
        <w:rPr>
          <w:rFonts w:ascii="Amiri" w:hAnsi="Amiri" w:eastAsia="Amiri" w:cs="Amiri"/>
          <w:color w:val="111111"/>
          <w:sz w:val="28"/>
          <w:sz w:val="28"/>
          <w:szCs w:val="28"/>
          <w:rtl w:val="true"/>
          <w:lang w:bidi="ar-SA"/>
        </w:rPr>
        <w:t>،لما رواه الجمهور عن النّبيّ صلّى اللّه عليه و آله،انّه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ينظر الرّجل إلى عورة الرّجل،و لا المرأة إلى عورة المرأة</w:t>
      </w:r>
      <w:r>
        <w:rPr>
          <w:rFonts w:eastAsia="Amiri" w:cs="Amiri" w:ascii="Amiri" w:hAnsi="Amiri"/>
          <w:color w:val="111111"/>
          <w:sz w:val="28"/>
          <w:szCs w:val="28"/>
          <w:rtl w:val="true"/>
          <w:lang w:bidi="ar-SA"/>
        </w:rPr>
        <w:t xml:space="preserve">)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رووا عنه صلّى اللّه عليه و آله،انّه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احفظ عورتك إلاّ من زوجتك أو ما ملكت يمينك</w:t>
      </w:r>
      <w:r>
        <w:rPr>
          <w:rFonts w:eastAsia="Amiri" w:cs="Amiri" w:ascii="Amiri" w:hAnsi="Amiri"/>
          <w:color w:val="111111"/>
          <w:sz w:val="28"/>
          <w:szCs w:val="28"/>
          <w:rtl w:val="true"/>
          <w:lang w:bidi="ar-SA"/>
        </w:rPr>
        <w:t xml:space="preserve">)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 عن حريز،عن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ينظر الرّجل إلى عورة أخيه</w:t>
      </w:r>
      <w:r>
        <w:rPr>
          <w:rFonts w:eastAsia="Amiri" w:cs="Amiri" w:ascii="Amiri" w:hAnsi="Amiri"/>
          <w:color w:val="111111"/>
          <w:sz w:val="28"/>
          <w:szCs w:val="28"/>
          <w:rtl w:val="true"/>
          <w:lang w:bidi="ar-SA"/>
        </w:rPr>
        <w:t xml:space="preserve">)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عن حمزة بن أحمد،عن أبي الحسن الأوّل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غضّ بصرك</w:t>
      </w:r>
      <w:r>
        <w:rPr>
          <w:rFonts w:eastAsia="Amiri" w:cs="Amiri" w:ascii="Amiri" w:hAnsi="Amiri"/>
          <w:color w:val="111111"/>
          <w:sz w:val="28"/>
          <w:szCs w:val="28"/>
          <w:rtl w:val="true"/>
          <w:lang w:bidi="ar-SA"/>
        </w:rPr>
        <w:t xml:space="preserve">)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أبو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يغتسل الرّجل بارزا؟فقال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يره أحد،فلا بأس</w:t>
      </w:r>
      <w:r>
        <w:rPr>
          <w:rFonts w:eastAsia="Amiri" w:cs="Amiri" w:ascii="Amiri" w:hAnsi="Amiri"/>
          <w:color w:val="111111"/>
          <w:sz w:val="28"/>
          <w:szCs w:val="28"/>
          <w:rtl w:val="true"/>
          <w:lang w:bidi="ar-SA"/>
        </w:rPr>
        <w:t xml:space="preserve">)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عبد اللّه بن سنان،عن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عورة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المؤمن</w:t>
      </w:r>
      <w:r>
        <w:rPr>
          <w:rFonts w:eastAsia="Amiri" w:cs="Amiri" w:ascii="Amiri" w:hAnsi="Amiri"/>
          <w:color w:val="111111"/>
          <w:sz w:val="28"/>
          <w:szCs w:val="28"/>
          <w:rtl w:val="true"/>
          <w:lang w:bidi="ar-SA"/>
        </w:rPr>
        <w:t xml:space="preserve">] </w:t>
      </w:r>
      <w:r>
        <w:rPr>
          <w:rStyle w:val="FootnoteAnchor"/>
          <w:rtl w:val="true"/>
        </w:rPr>
        <w:footnoteReference w:id="1506"/>
      </w:r>
      <w:r>
        <w:rPr>
          <w:rFonts w:ascii="Amiri" w:hAnsi="Amiri" w:eastAsia="Amiri" w:cs="Amiri"/>
          <w:color w:val="111111"/>
          <w:sz w:val="28"/>
          <w:sz w:val="28"/>
          <w:szCs w:val="28"/>
          <w:rtl w:val="true"/>
          <w:lang w:bidi="ar-SA"/>
        </w:rPr>
        <w:t>حرام؟فقال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أعني سفليه؟فقال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حيث تذهب </w:t>
      </w:r>
      <w:bookmarkStart w:id="796" w:name="pg12672_159987"/>
    </w:p>
    <w:p>
      <w:pPr>
        <w:pStyle w:val="BookText"/>
        <w:rPr/>
      </w:pPr>
      <w:bookmarkEnd w:id="796"/>
      <w:r>
        <w:rPr>
          <w:rFonts w:ascii="Amiri" w:hAnsi="Amiri" w:eastAsia="Amiri" w:cs="Amiri"/>
          <w:color w:val="111111"/>
          <w:sz w:val="28"/>
          <w:sz w:val="28"/>
          <w:szCs w:val="28"/>
          <w:rtl w:val="true"/>
          <w:lang w:bidi="ar-SA"/>
        </w:rPr>
        <w:t>إنّما هو إذاعة سرّه</w:t>
      </w:r>
      <w:r>
        <w:rPr>
          <w:rFonts w:eastAsia="Amiri" w:cs="Amiri" w:ascii="Amiri" w:hAnsi="Amiri"/>
          <w:color w:val="111111"/>
          <w:sz w:val="28"/>
          <w:szCs w:val="28"/>
          <w:rtl w:val="true"/>
          <w:lang w:bidi="ar-SA"/>
        </w:rPr>
        <w:t xml:space="preserve">) </w:t>
      </w:r>
      <w:r>
        <w:rPr>
          <w:rStyle w:val="FootnoteAnchor"/>
          <w:rtl w:val="true"/>
        </w:rPr>
        <w:footnoteReference w:id="1507"/>
      </w:r>
      <w:r>
        <w:rPr>
          <w:rFonts w:ascii="Amiri" w:hAnsi="Amiri" w:eastAsia="Amiri" w:cs="Amiri"/>
          <w:color w:val="111111"/>
          <w:sz w:val="28"/>
          <w:sz w:val="28"/>
          <w:szCs w:val="28"/>
          <w:rtl w:val="true"/>
          <w:lang w:bidi="ar-SA"/>
        </w:rPr>
        <w:t xml:space="preserve">و ليس هذا الحديث منافيا لما قلناه،لأنّ فيه تفسير لفظ العورة بمعنى آخر و حكما </w:t>
      </w:r>
      <w:r>
        <w:rPr>
          <w:rStyle w:val="FootnoteAnchor"/>
          <w:rtl w:val="true"/>
        </w:rPr>
        <w:footnoteReference w:id="1508"/>
      </w:r>
      <w:r>
        <w:rPr>
          <w:rFonts w:ascii="Amiri" w:hAnsi="Amiri" w:eastAsia="Amiri" w:cs="Amiri"/>
          <w:color w:val="111111"/>
          <w:sz w:val="28"/>
          <w:sz w:val="28"/>
          <w:szCs w:val="28"/>
          <w:rtl w:val="true"/>
          <w:lang w:bidi="ar-SA"/>
        </w:rPr>
        <w:t>بتحريمه،و نحن قد دلّلنا على تحريم النّظر إلى العورة بالمعنى الّذي قصدناه،فلا ينافي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ابن بابويه في كتابه،عن رسول اللّه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يؤمن باللّه و اليوم الآخر فلا يدخل الحمّام إلاّ بمئزر</w:t>
      </w:r>
      <w:r>
        <w:rPr>
          <w:rFonts w:eastAsia="Amiri" w:cs="Amiri" w:ascii="Amiri" w:hAnsi="Amiri"/>
          <w:color w:val="111111"/>
          <w:sz w:val="28"/>
          <w:szCs w:val="28"/>
          <w:rtl w:val="true"/>
          <w:lang w:bidi="ar-SA"/>
        </w:rPr>
        <w:t xml:space="preserve">)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نقل عن الصّادق عليه السّلام انّه سئل عن قول اللّه عزّ و جلّ قُلْ لِلْمُؤْمِنِينَ يَغُضُّوا مِنْ أَبْصارِهِمْ وَ يَحْفَظُوا فُرُوجَهُمْ ذلِكَ أَزْكى لَهُمْ </w:t>
      </w:r>
      <w:r>
        <w:rPr>
          <w:rStyle w:val="FootnoteAnchor"/>
          <w:rtl w:val="true"/>
        </w:rPr>
        <w:footnoteReference w:id="151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كان في كتاب اللّه عزّ و جلّ من ذكر حفظ الفرج فهو من الزّنا،إلاّ في هذا الموضع فإنّه للحفظ من أن ينظر إليه</w:t>
      </w:r>
      <w:r>
        <w:rPr>
          <w:rFonts w:eastAsia="Amiri" w:cs="Amiri" w:ascii="Amiri" w:hAnsi="Amiri"/>
          <w:color w:val="111111"/>
          <w:sz w:val="28"/>
          <w:szCs w:val="28"/>
          <w:rtl w:val="true"/>
          <w:lang w:bidi="ar-SA"/>
        </w:rPr>
        <w:t xml:space="preserve">) </w:t>
      </w:r>
      <w:r>
        <w:rPr>
          <w:rStyle w:val="FootnoteAnchor"/>
          <w:rtl w:val="true"/>
        </w:rPr>
        <w:footnoteReference w:id="1511"/>
      </w:r>
      <w:r>
        <w:rPr>
          <w:rFonts w:ascii="Amiri" w:hAnsi="Amiri" w:eastAsia="Amiri" w:cs="Amiri"/>
          <w:color w:val="111111"/>
          <w:sz w:val="28"/>
          <w:sz w:val="28"/>
          <w:szCs w:val="28"/>
          <w:rtl w:val="true"/>
          <w:lang w:bidi="ar-SA"/>
        </w:rPr>
        <w:t>و ذلك يدلّ على وجوب الاستتار</w:t>
      </w:r>
      <w:r>
        <w:rPr>
          <w:rFonts w:eastAsia="Amiri" w:cs="Amiri" w:ascii="Amiri" w:hAnsi="Amiri"/>
          <w:color w:val="111111"/>
          <w:sz w:val="28"/>
          <w:szCs w:val="28"/>
          <w:rtl w:val="true"/>
          <w:lang w:bidi="ar-SA"/>
        </w:rPr>
        <w:t>.</w:t>
      </w:r>
    </w:p>
    <w:p>
      <w:pPr>
        <w:pStyle w:val="Heading6"/>
        <w:numPr>
          <w:ilvl w:val="5"/>
          <w:numId w:val="1"/>
        </w:numPr>
        <w:rPr/>
      </w:pPr>
      <w:bookmarkStart w:id="797" w:name="__RefHeading___Toc747249_222507752"/>
      <w:bookmarkStart w:id="798" w:name="_Toc315"/>
      <w:bookmarkEnd w:id="797"/>
      <w:r>
        <w:rPr>
          <w:rtl w:val="true"/>
        </w:rPr>
        <w:t>فرع</w:t>
      </w:r>
      <w:r>
        <w:rPr>
          <w:rtl w:val="true"/>
        </w:rPr>
        <w:t>:</w:t>
      </w:r>
      <w:r>
        <w:rPr>
          <w:rtl w:val="true"/>
        </w:rPr>
        <w:t xml:space="preserve">المراد بالعورة هنا </w:t>
      </w:r>
      <w:r>
        <w:rPr>
          <w:rtl w:val="true"/>
        </w:rPr>
        <w:t>:</w:t>
      </w:r>
      <w:r>
        <w:rPr>
          <w:rtl w:val="true"/>
        </w:rPr>
        <w:t>القبل و الدّبر</w:t>
      </w:r>
      <w:bookmarkEnd w:id="798"/>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رواه الشّيخ عن أبي يحيى الواسطيّ،عن بعض أصحابه،عن أبي الحسن الماضي،قال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العورة عورتان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القبل و الدّبر،و الدّبر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مستور</w:t>
      </w:r>
      <w:r>
        <w:rPr>
          <w:rFonts w:eastAsia="Amiri" w:cs="Amiri" w:ascii="Amiri" w:hAnsi="Amiri"/>
          <w:color w:val="111111"/>
          <w:sz w:val="28"/>
          <w:szCs w:val="28"/>
          <w:rtl w:val="true"/>
          <w:lang w:bidi="ar-SA"/>
        </w:rPr>
        <w:t xml:space="preserve">] </w:t>
      </w:r>
      <w:r>
        <w:rPr>
          <w:rStyle w:val="FootnoteAnchor"/>
          <w:rtl w:val="true"/>
        </w:rPr>
        <w:footnoteReference w:id="1513"/>
      </w:r>
      <w:r>
        <w:rPr>
          <w:rFonts w:ascii="Amiri" w:hAnsi="Amiri" w:eastAsia="Amiri" w:cs="Amiri"/>
          <w:color w:val="111111"/>
          <w:sz w:val="28"/>
          <w:sz w:val="28"/>
          <w:szCs w:val="28"/>
          <w:rtl w:val="true"/>
          <w:lang w:bidi="ar-SA"/>
        </w:rPr>
        <w:t>بالأليتين فإذا سترت القضيب و البيضتين فقد سترت العورة</w:t>
      </w:r>
      <w:r>
        <w:rPr>
          <w:rFonts w:eastAsia="Amiri" w:cs="Amiri" w:ascii="Amiri" w:hAnsi="Amiri"/>
          <w:color w:val="111111"/>
          <w:sz w:val="28"/>
          <w:szCs w:val="28"/>
          <w:rtl w:val="true"/>
          <w:lang w:bidi="ar-SA"/>
        </w:rPr>
        <w:t xml:space="preserve">) </w:t>
      </w:r>
      <w:r>
        <w:rPr>
          <w:rStyle w:val="FootnoteAnchor"/>
          <w:rtl w:val="true"/>
        </w:rPr>
        <w:footnoteReference w:id="1514"/>
      </w:r>
      <w:r>
        <w:rPr>
          <w:rFonts w:ascii="Amiri" w:hAnsi="Amiri" w:eastAsia="Amiri" w:cs="Amiri"/>
          <w:color w:val="111111"/>
          <w:sz w:val="28"/>
          <w:sz w:val="28"/>
          <w:szCs w:val="28"/>
          <w:rtl w:val="true"/>
          <w:lang w:bidi="ar-SA"/>
        </w:rPr>
        <w:t>،و لقول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الفخذ ليست من العورة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الشّيخ أيضا </w:t>
      </w:r>
      <w:r>
        <w:rPr>
          <w:rStyle w:val="FootnoteAnchor"/>
          <w:rtl w:val="true"/>
        </w:rPr>
        <w:footnoteReference w:id="1515"/>
      </w:r>
      <w:r>
        <w:rPr>
          <w:rFonts w:ascii="Amiri" w:hAnsi="Amiri" w:eastAsia="Amiri" w:cs="Amiri"/>
          <w:color w:val="111111"/>
          <w:sz w:val="28"/>
          <w:sz w:val="28"/>
          <w:szCs w:val="28"/>
          <w:rtl w:val="true"/>
          <w:lang w:bidi="ar-SA"/>
        </w:rPr>
        <w:t xml:space="preserve">،و لأنّ الأصل عدم وجوب السّتر،فيخرج منه المجمع عليه،و لما رواه الجمهور عن النّبيّ صلّى اللّه عليه و آله انّه كان يقبّل سرّه الحسين عليه السّلام </w:t>
      </w:r>
      <w:r>
        <w:rPr>
          <w:rStyle w:val="FootnoteAnchor"/>
          <w:rtl w:val="true"/>
        </w:rPr>
        <w:footnoteReference w:id="1516"/>
      </w:r>
      <w:r>
        <w:rPr>
          <w:rFonts w:ascii="Amiri" w:hAnsi="Amiri" w:eastAsia="Amiri" w:cs="Amiri"/>
          <w:color w:val="111111"/>
          <w:sz w:val="28"/>
          <w:sz w:val="28"/>
          <w:szCs w:val="28"/>
          <w:rtl w:val="true"/>
          <w:lang w:bidi="ar-SA"/>
        </w:rPr>
        <w:t>،و لا يظنّ به مسّ العورة من غيره</w:t>
      </w:r>
      <w:r>
        <w:rPr>
          <w:rFonts w:eastAsia="Amiri" w:cs="Amiri" w:ascii="Amiri" w:hAnsi="Amiri"/>
          <w:color w:val="111111"/>
          <w:sz w:val="28"/>
          <w:szCs w:val="28"/>
          <w:rtl w:val="true"/>
          <w:lang w:bidi="ar-SA"/>
        </w:rPr>
        <w:t xml:space="preserve">. </w:t>
      </w:r>
      <w:bookmarkStart w:id="799" w:name="pg12672_159988"/>
    </w:p>
    <w:p>
      <w:pPr>
        <w:pStyle w:val="Heading6"/>
        <w:numPr>
          <w:ilvl w:val="5"/>
          <w:numId w:val="1"/>
        </w:numPr>
        <w:rPr/>
      </w:pPr>
      <w:bookmarkStart w:id="800" w:name="__RefHeading___Toc747251_222507752"/>
      <w:bookmarkStart w:id="801" w:name="_Toc316"/>
      <w:bookmarkEnd w:id="799"/>
      <w:bookmarkEnd w:id="800"/>
      <w:r>
        <w:rPr>
          <w:rtl w:val="true"/>
        </w:rPr>
        <w:t>مسألة</w:t>
      </w:r>
      <w:r>
        <w:rPr>
          <w:rtl w:val="true"/>
        </w:rPr>
        <w:t>:</w:t>
      </w:r>
      <w:r>
        <w:rPr>
          <w:rtl w:val="true"/>
        </w:rPr>
        <w:t>يحرم استقبال القبلة و استدبارها في الصّحاري و البنيان في البول و الغائط</w:t>
      </w:r>
      <w:bookmarkEnd w:id="8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الجنيد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للإنسان إذا أراد التّغوّط في الصّحراء أن يجتنب استقبال القبلة،أو الشّمس،أو القمر،أو الرّيح بغائط أو بول </w:t>
      </w:r>
      <w:r>
        <w:rPr>
          <w:rStyle w:val="FootnoteAnchor"/>
          <w:rtl w:val="true"/>
        </w:rPr>
        <w:footnoteReference w:id="15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أبو أيّوب </w:t>
      </w:r>
      <w:r>
        <w:rPr>
          <w:rStyle w:val="FootnoteAnchor"/>
          <w:rtl w:val="true"/>
        </w:rPr>
        <w:footnoteReference w:id="1518"/>
      </w:r>
      <w:r>
        <w:rPr>
          <w:rFonts w:ascii="Amiri" w:hAnsi="Amiri" w:eastAsia="Amiri" w:cs="Amiri"/>
          <w:color w:val="111111"/>
          <w:sz w:val="28"/>
          <w:sz w:val="28"/>
          <w:szCs w:val="28"/>
          <w:rtl w:val="true"/>
          <w:lang w:bidi="ar-SA"/>
        </w:rPr>
        <w:t xml:space="preserve">الأنصاريّ،و النّخعيّ </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المفيد و سلاّر 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التّحريم مختصّ بالصّحاري </w:t>
      </w:r>
      <w:r>
        <w:rPr>
          <w:rStyle w:val="FootnoteAnchor"/>
          <w:rtl w:val="true"/>
        </w:rPr>
        <w:footnoteReference w:id="1520"/>
      </w:r>
      <w:r>
        <w:rPr>
          <w:rStyle w:val="FootnoteAnchor"/>
          <w:rtl w:val="true"/>
        </w:rPr>
        <w:footnoteReference w:id="15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اختيار الشّافعيّ </w:t>
      </w:r>
      <w:r>
        <w:rPr>
          <w:rStyle w:val="FootnoteAnchor"/>
          <w:rtl w:val="true"/>
        </w:rPr>
        <w:footnoteReference w:id="1522"/>
      </w:r>
      <w:r>
        <w:rPr>
          <w:rFonts w:ascii="Amiri" w:hAnsi="Amiri" w:eastAsia="Amiri" w:cs="Amiri"/>
          <w:color w:val="111111"/>
          <w:sz w:val="28"/>
          <w:sz w:val="28"/>
          <w:szCs w:val="28"/>
          <w:rtl w:val="true"/>
          <w:lang w:bidi="ar-SA"/>
        </w:rPr>
        <w:t xml:space="preserve">،و به قال مالك،و إسحاق،و روي ذلك عن العبّاس بن عبد المطلب،و ابن عمر،و هو إحدى الرّوايات عن أحمد بن حنبل </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حنيفة و الثّوريّ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استقبال القبلة بذلك لا في الصّحاري و لا في البنيان </w:t>
      </w:r>
      <w:r>
        <w:rPr>
          <w:rStyle w:val="FootnoteAnchor"/>
          <w:rtl w:val="true"/>
        </w:rPr>
        <w:footnoteReference w:id="1524"/>
      </w:r>
      <w:r>
        <w:rPr>
          <w:rFonts w:ascii="Amiri" w:hAnsi="Amiri" w:eastAsia="Amiri" w:cs="Amiri"/>
          <w:color w:val="111111"/>
          <w:sz w:val="28"/>
          <w:sz w:val="28"/>
          <w:szCs w:val="28"/>
          <w:rtl w:val="true"/>
          <w:lang w:bidi="ar-SA"/>
        </w:rPr>
        <w:t xml:space="preserve">،و عنه في الاستدبار روايتان </w:t>
      </w:r>
      <w:r>
        <w:rPr>
          <w:rStyle w:val="FootnoteAnchor"/>
          <w:rtl w:val="true"/>
        </w:rPr>
        <w:footnoteReference w:id="1525"/>
      </w:r>
      <w:r>
        <w:rPr>
          <w:rFonts w:ascii="Amiri" w:hAnsi="Amiri" w:eastAsia="Amiri" w:cs="Amiri"/>
          <w:color w:val="111111"/>
          <w:sz w:val="28"/>
          <w:sz w:val="28"/>
          <w:szCs w:val="28"/>
          <w:rtl w:val="true"/>
          <w:lang w:bidi="ar-SA"/>
        </w:rPr>
        <w:t xml:space="preserve">،و روي مثله عن أحمد </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داود و ربيعة و عروة 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استقبالها و استدبارها </w:t>
      </w:r>
      <w:r>
        <w:rPr>
          <w:rStyle w:val="FootnoteAnchor"/>
          <w:rtl w:val="true"/>
        </w:rPr>
        <w:footnoteReference w:id="15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فرّق أبو يوسف بين الاستقبال و الاستدبار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النّبيّ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أتى أحدكم الغائط، فلا يستقبل القبلة و لا يولها ظهره شرّقوا أو غرّبوا</w:t>
      </w:r>
      <w:r>
        <w:rPr>
          <w:rFonts w:eastAsia="Amiri" w:cs="Amiri" w:ascii="Amiri" w:hAnsi="Amiri"/>
          <w:color w:val="111111"/>
          <w:sz w:val="28"/>
          <w:szCs w:val="28"/>
          <w:rtl w:val="true"/>
          <w:lang w:bidi="ar-SA"/>
        </w:rPr>
        <w:t xml:space="preserve">)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رووا </w:t>
      </w:r>
      <w:r>
        <w:rPr>
          <w:rStyle w:val="FootnoteAnchor"/>
          <w:rtl w:val="true"/>
        </w:rPr>
        <w:footnoteReference w:id="1530"/>
      </w:r>
      <w:r>
        <w:rPr>
          <w:rFonts w:ascii="Amiri" w:hAnsi="Amiri" w:eastAsia="Amiri" w:cs="Amiri"/>
          <w:color w:val="111111"/>
          <w:sz w:val="28"/>
          <w:sz w:val="28"/>
          <w:szCs w:val="28"/>
          <w:rtl w:val="true"/>
          <w:lang w:bidi="ar-SA"/>
        </w:rPr>
        <w:t>عنه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جلس أحدكم على حاجته،فلا يستقبل القبلة و لا يستدبرها</w:t>
      </w:r>
      <w:r>
        <w:rPr>
          <w:rFonts w:eastAsia="Amiri" w:cs="Amiri" w:ascii="Amiri" w:hAnsi="Amiri"/>
          <w:color w:val="111111"/>
          <w:sz w:val="28"/>
          <w:szCs w:val="28"/>
          <w:rtl w:val="true"/>
          <w:lang w:bidi="ar-SA"/>
        </w:rPr>
        <w:t xml:space="preserve">)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أنا لكم مثل الوالد،فإذا ذهب أحدكم إلى الغائط فلا يستقبل القبلة و لا يستدبرها بغائط و لا بول</w:t>
      </w:r>
      <w:r>
        <w:rPr>
          <w:rFonts w:eastAsia="Amiri" w:cs="Amiri" w:ascii="Amiri" w:hAnsi="Amiri"/>
          <w:color w:val="111111"/>
          <w:sz w:val="28"/>
          <w:szCs w:val="28"/>
          <w:rtl w:val="true"/>
          <w:lang w:bidi="ar-SA"/>
        </w:rPr>
        <w:t xml:space="preserve">) </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الشّيخ،عن عيسى بن عبد اللّه الهاشميّ </w:t>
      </w:r>
      <w:r>
        <w:rPr>
          <w:rStyle w:val="FootnoteAnchor"/>
          <w:rtl w:val="true"/>
        </w:rPr>
        <w:footnoteReference w:id="1533"/>
      </w:r>
      <w:r>
        <w:rPr>
          <w:rFonts w:ascii="Amiri" w:hAnsi="Amiri" w:eastAsia="Amiri" w:cs="Amiri"/>
          <w:color w:val="111111"/>
          <w:sz w:val="28"/>
          <w:sz w:val="28"/>
          <w:szCs w:val="28"/>
          <w:rtl w:val="true"/>
          <w:lang w:bidi="ar-SA"/>
        </w:rPr>
        <w:t>،عن أبيه، عن جدّه،عن عليّ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 المخرج،فلا تستقبل القبلة و لا تستدبرها،و لكن شرّقوا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Style w:val="FootnoteAnchor"/>
          <w:rtl w:val="true"/>
        </w:rPr>
        <w:footnoteReference w:id="1534"/>
      </w:r>
      <w:r>
        <w:rPr>
          <w:rFonts w:ascii="Amiri" w:hAnsi="Amiri" w:eastAsia="Amiri" w:cs="Amiri"/>
          <w:color w:val="111111"/>
          <w:sz w:val="28"/>
          <w:sz w:val="28"/>
          <w:szCs w:val="28"/>
          <w:rtl w:val="true"/>
          <w:lang w:bidi="ar-SA"/>
        </w:rPr>
        <w:t>غرّبوا</w:t>
      </w:r>
      <w:r>
        <w:rPr>
          <w:rFonts w:eastAsia="Amiri" w:cs="Amiri" w:ascii="Amiri" w:hAnsi="Amiri"/>
          <w:color w:val="111111"/>
          <w:sz w:val="28"/>
          <w:szCs w:val="28"/>
          <w:rtl w:val="true"/>
          <w:lang w:bidi="ar-SA"/>
        </w:rPr>
        <w:t xml:space="preserve">)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رواه عن ابن أبي عمير،عن عبد الحميد بن أبي العلاء </w:t>
      </w:r>
      <w:r>
        <w:rPr>
          <w:rStyle w:val="FootnoteAnchor"/>
          <w:rtl w:val="true"/>
        </w:rPr>
        <w:footnoteReference w:id="1536"/>
      </w:r>
      <w:r>
        <w:rPr>
          <w:rFonts w:ascii="Amiri" w:hAnsi="Amiri" w:eastAsia="Amiri" w:cs="Amiri"/>
          <w:color w:val="111111"/>
          <w:sz w:val="28"/>
          <w:sz w:val="28"/>
          <w:szCs w:val="28"/>
          <w:rtl w:val="true"/>
          <w:lang w:bidi="ar-SA"/>
        </w:rPr>
        <w:t>أو غيره رفعه،قال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w:t>
      </w:r>
    </w:p>
    <w:p>
      <w:pPr>
        <w:pStyle w:val="BookText"/>
        <w:rPr/>
      </w:pPr>
      <w:r>
        <w:rPr>
          <w:rFonts w:ascii="Amiri" w:hAnsi="Amiri" w:eastAsia="Amiri" w:cs="Amiri"/>
          <w:color w:val="111111"/>
          <w:sz w:val="28"/>
          <w:sz w:val="28"/>
          <w:szCs w:val="28"/>
          <w:rtl w:val="true"/>
          <w:lang w:bidi="ar-SA"/>
        </w:rPr>
        <w:t>الحسن بن عليّ عليهما السّلام،ما حدّ الغائط؟قال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تستقبل القبلة و لا تستدبرها و لا تستقبل الرّيح و لا تستدبرها</w:t>
      </w:r>
      <w:r>
        <w:rPr>
          <w:rFonts w:eastAsia="Amiri" w:cs="Amiri" w:ascii="Amiri" w:hAnsi="Amiri"/>
          <w:color w:val="111111"/>
          <w:sz w:val="28"/>
          <w:szCs w:val="28"/>
          <w:rtl w:val="true"/>
          <w:lang w:bidi="ar-SA"/>
        </w:rPr>
        <w:t xml:space="preserve">)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عن عليّ بن إبراهيم </w:t>
      </w:r>
      <w:r>
        <w:rPr>
          <w:rStyle w:val="FootnoteAnchor"/>
          <w:rtl w:val="true"/>
        </w:rPr>
        <w:footnoteReference w:id="1538"/>
      </w:r>
      <w:r>
        <w:rPr>
          <w:rFonts w:ascii="Amiri" w:hAnsi="Amiri" w:eastAsia="Amiri" w:cs="Amiri"/>
          <w:color w:val="111111"/>
          <w:sz w:val="28"/>
          <w:sz w:val="28"/>
          <w:szCs w:val="28"/>
          <w:rtl w:val="true"/>
          <w:lang w:bidi="ar-SA"/>
        </w:rPr>
        <w:t>رفعه،قال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أبو حنيفة من عند أبي عبد اللّه عليه السّلام،و أبو الحسن موسى عليه السّلام قائم و هو غلام،فقال له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أين يضع الغريب ببلدكم؟فقال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 أفنية المساجد،و شطوط الأنهار،و مساقط الثّمار، و منازل النّزّال،و لا تستقبل القبلة بغائط و لا بول و ارفع ثوبك وضع حيث شئت</w:t>
      </w:r>
      <w:r>
        <w:rPr>
          <w:rFonts w:eastAsia="Amiri" w:cs="Amiri" w:ascii="Amiri" w:hAnsi="Amiri"/>
          <w:color w:val="111111"/>
          <w:sz w:val="28"/>
          <w:szCs w:val="28"/>
          <w:rtl w:val="true"/>
          <w:lang w:bidi="ar-SA"/>
        </w:rPr>
        <w:t xml:space="preserve">)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 الحسن عن محمّد بن إسماعيل،قال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الحسن الرّضا عليه السّلام،و في منزله كنيف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مستقبل القبلة</w:t>
      </w:r>
      <w:r>
        <w:rPr>
          <w:rFonts w:eastAsia="Amiri" w:cs="Amiri" w:ascii="Amiri" w:hAnsi="Amiri"/>
          <w:color w:val="111111"/>
          <w:sz w:val="28"/>
          <w:szCs w:val="28"/>
          <w:rtl w:val="true"/>
          <w:lang w:bidi="ar-SA"/>
        </w:rPr>
        <w:t xml:space="preserve">] </w:t>
      </w:r>
      <w:r>
        <w:rPr>
          <w:rStyle w:val="FootnoteAnchor"/>
          <w:rtl w:val="true"/>
        </w:rPr>
        <w:footnoteReference w:id="1540"/>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بال حذاء القبلة ثمَّ ذكر فانحرف عنها إجلالا للقبلة و تعظيما لها،لم يقم من مقعده ذلك حتّى يغفر له</w:t>
      </w:r>
      <w:r>
        <w:rPr>
          <w:rFonts w:eastAsia="Amiri" w:cs="Amiri" w:ascii="Amiri" w:hAnsi="Amiri"/>
          <w:color w:val="111111"/>
          <w:sz w:val="28"/>
          <w:szCs w:val="28"/>
          <w:rtl w:val="true"/>
          <w:lang w:bidi="ar-SA"/>
        </w:rPr>
        <w:t xml:space="preserve">)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استدلّ المفيد و سلاّر على تخصيص التّحريم بالصّحاري بما رواه محمّد بن إسماعيل في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الرّضا عليه السّلام و في منزله كنيف مستقبل القبلة </w:t>
      </w:r>
      <w:r>
        <w:rPr>
          <w:rStyle w:val="FootnoteAnchor"/>
          <w:rtl w:val="true"/>
        </w:rPr>
        <w:footnoteReference w:id="1542"/>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حجّة فيه،لأنّ التّحريم يتناول حالتي القعود لا البناء</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احتجّ الشّافعيّ </w:t>
      </w:r>
      <w:r>
        <w:rPr>
          <w:rStyle w:val="FootnoteAnchor"/>
          <w:rtl w:val="true"/>
        </w:rPr>
        <w:footnoteReference w:id="1544"/>
      </w:r>
      <w:r>
        <w:rPr>
          <w:rFonts w:ascii="Amiri" w:hAnsi="Amiri" w:eastAsia="Amiri" w:cs="Amiri"/>
          <w:color w:val="111111"/>
          <w:sz w:val="28"/>
          <w:sz w:val="28"/>
          <w:szCs w:val="28"/>
          <w:rtl w:val="true"/>
          <w:lang w:bidi="ar-SA"/>
        </w:rPr>
        <w:t xml:space="preserve">على الجواز في البنيان بما رواه البخاريّ في صحيحه،عن ابن عمر </w:t>
      </w:r>
      <w:bookmarkStart w:id="802" w:name="pg12672_159991"/>
    </w:p>
    <w:p>
      <w:pPr>
        <w:pStyle w:val="BookText"/>
        <w:rPr/>
      </w:pPr>
      <w:bookmarkEnd w:id="80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ارتقيت فوق بيت حفصة </w:t>
      </w:r>
      <w:r>
        <w:rPr>
          <w:rStyle w:val="FootnoteAnchor"/>
          <w:rtl w:val="true"/>
        </w:rPr>
        <w:footnoteReference w:id="1545"/>
      </w:r>
      <w:r>
        <w:rPr>
          <w:rFonts w:ascii="Amiri" w:hAnsi="Amiri" w:eastAsia="Amiri" w:cs="Amiri"/>
          <w:color w:val="111111"/>
          <w:sz w:val="28"/>
          <w:sz w:val="28"/>
          <w:szCs w:val="28"/>
          <w:rtl w:val="true"/>
          <w:lang w:bidi="ar-SA"/>
        </w:rPr>
        <w:t xml:space="preserve">فرأيت رسول اللّه صلّى اللّه عليه و آله يقضي حاجته مستدبر القبلة </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عليه السّلام قد كان منحرفا،و لم يتنبّه ابن عمر له لقلّته،و الظّاهر انّه عليه السّلام لم يكن يحرّم هذا في الصّحراء إلاّ لحرمة القبلة،فكيف كان عليه السّلام يفعله في البنيان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احتجّ داود بأنّه قد تعارضت الأخبار </w:t>
      </w:r>
      <w:r>
        <w:rPr>
          <w:rStyle w:val="FootnoteAnchor"/>
          <w:rtl w:val="true"/>
        </w:rPr>
        <w:footnoteReference w:id="1547"/>
      </w:r>
      <w:r>
        <w:rPr>
          <w:rFonts w:ascii="Amiri" w:hAnsi="Amiri" w:eastAsia="Amiri" w:cs="Amiri"/>
          <w:color w:val="111111"/>
          <w:sz w:val="28"/>
          <w:sz w:val="28"/>
          <w:szCs w:val="28"/>
          <w:rtl w:val="true"/>
          <w:lang w:bidi="ar-SA"/>
        </w:rPr>
        <w:t>،و الأصل الإباحة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ليس بجيّد،لأنّا قد بيّنا المحال في الجواز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03" w:name="__RefHeading___Toc747253_222507752"/>
      <w:bookmarkStart w:id="804" w:name="_Toc317"/>
      <w:bookmarkEnd w:id="803"/>
      <w:r>
        <w:rPr>
          <w:rtl w:val="true"/>
        </w:rPr>
        <w:t>فروع</w:t>
      </w:r>
      <w:r>
        <w:rPr>
          <w:rtl w:val="true"/>
        </w:rPr>
        <w:t>:</w:t>
      </w:r>
      <w:bookmarkEnd w:id="804"/>
    </w:p>
    <w:p>
      <w:pPr>
        <w:pStyle w:val="Heading6"/>
        <w:numPr>
          <w:ilvl w:val="5"/>
          <w:numId w:val="1"/>
        </w:numPr>
        <w:rPr/>
      </w:pPr>
      <w:bookmarkStart w:id="805" w:name="__RefHeading___Toc747255_222507752"/>
      <w:bookmarkStart w:id="806" w:name="_Toc318"/>
      <w:bookmarkEnd w:id="805"/>
      <w:r>
        <w:rPr>
          <w:rtl w:val="true"/>
        </w:rPr>
        <w:t>الأول</w:t>
      </w:r>
      <w:r>
        <w:rPr>
          <w:rtl w:val="true"/>
        </w:rPr>
        <w:t>:</w:t>
      </w:r>
      <w:r>
        <w:rPr>
          <w:rtl w:val="true"/>
        </w:rPr>
        <w:t>لو كان الموضع مبنيّا على الاستقبال و الاستدبار و أمكنه الانحراف</w:t>
      </w:r>
      <w:bookmarkEnd w:id="806"/>
    </w:p>
    <w:p>
      <w:pPr>
        <w:pStyle w:val="BookText"/>
        <w:rPr/>
      </w:pPr>
      <w:r>
        <w:rPr>
          <w:rFonts w:ascii="Amiri" w:hAnsi="Amiri" w:eastAsia="Amiri" w:cs="Amiri"/>
          <w:color w:val="111111"/>
          <w:sz w:val="28"/>
          <w:sz w:val="28"/>
          <w:szCs w:val="28"/>
          <w:rtl w:val="true"/>
          <w:lang w:bidi="ar-SA"/>
        </w:rPr>
        <w:t xml:space="preserve">وجب عليه، و إن لم يمكنه و لم يتمكّن من غير ذلك المقعد،جاز له الاستقبال و الاستدبار لمكان الضرورة </w:t>
      </w:r>
      <w:r>
        <w:rPr>
          <w:rFonts w:eastAsia="Amiri" w:cs="Amiri" w:ascii="Amiri" w:hAnsi="Amiri"/>
          <w:color w:val="111111"/>
          <w:sz w:val="28"/>
          <w:szCs w:val="28"/>
          <w:rtl w:val="true"/>
          <w:lang w:bidi="ar-SA"/>
        </w:rPr>
        <w:t>.</w:t>
      </w:r>
    </w:p>
    <w:p>
      <w:pPr>
        <w:pStyle w:val="Heading6"/>
        <w:numPr>
          <w:ilvl w:val="5"/>
          <w:numId w:val="1"/>
        </w:numPr>
        <w:rPr/>
      </w:pPr>
      <w:bookmarkStart w:id="807" w:name="__RefHeading___Toc747257_222507752"/>
      <w:bookmarkStart w:id="808" w:name="_Toc319"/>
      <w:bookmarkEnd w:id="807"/>
      <w:r>
        <w:rPr>
          <w:rtl w:val="true"/>
        </w:rPr>
        <w:t>الثّاني</w:t>
      </w:r>
      <w:r>
        <w:rPr>
          <w:rtl w:val="true"/>
        </w:rPr>
        <w:t>:</w:t>
      </w:r>
      <w:r>
        <w:rPr>
          <w:rtl w:val="true"/>
        </w:rPr>
        <w:t>لو كان في الصّحراء و هدة ،أو نهر،أو شيء يستره جرى عند الشّافعيّة مجرى</w:t>
      </w:r>
      <w:bookmarkEnd w:id="808"/>
    </w:p>
    <w:p>
      <w:pPr>
        <w:pStyle w:val="BookText"/>
        <w:rPr/>
      </w:pPr>
      <w:r>
        <w:rPr>
          <w:rFonts w:ascii="Amiri" w:hAnsi="Amiri" w:eastAsia="Amiri" w:cs="Amiri"/>
          <w:color w:val="111111"/>
          <w:sz w:val="28"/>
          <w:sz w:val="28"/>
          <w:szCs w:val="28"/>
          <w:rtl w:val="true"/>
          <w:lang w:bidi="ar-SA"/>
        </w:rPr>
        <w:t>البنيان ،</w:t>
      </w:r>
    </w:p>
    <w:p>
      <w:pPr>
        <w:pStyle w:val="BookText"/>
        <w:rPr/>
      </w:pPr>
      <w:r>
        <w:rPr>
          <w:rStyle w:val="FootnoteAnchor"/>
          <w:rtl w:val="true"/>
        </w:rPr>
        <w:footnoteReference w:id="1549"/>
      </w:r>
      <w:r>
        <w:rPr>
          <w:rStyle w:val="FootnoteAnchor"/>
          <w:rtl w:val="true"/>
        </w:rPr>
        <w:footnoteReference w:id="1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الفرع عندنا ساقط،و الأقوى على قول المجوّزين من أصحابنا إلحاقه بالصّحراء </w:t>
      </w:r>
      <w:r>
        <w:rPr>
          <w:rFonts w:eastAsia="Amiri" w:cs="Amiri" w:ascii="Amiri" w:hAnsi="Amiri"/>
          <w:color w:val="111111"/>
          <w:sz w:val="28"/>
          <w:szCs w:val="28"/>
          <w:rtl w:val="true"/>
          <w:lang w:bidi="ar-SA"/>
        </w:rPr>
        <w:t>.</w:t>
      </w:r>
    </w:p>
    <w:p>
      <w:pPr>
        <w:pStyle w:val="Heading6"/>
        <w:numPr>
          <w:ilvl w:val="5"/>
          <w:numId w:val="1"/>
        </w:numPr>
        <w:rPr/>
      </w:pPr>
      <w:bookmarkStart w:id="809" w:name="__RefHeading___Toc747259_222507752"/>
      <w:bookmarkStart w:id="810" w:name="_Toc320"/>
      <w:bookmarkEnd w:id="809"/>
      <w:r>
        <w:rPr>
          <w:rtl w:val="true"/>
        </w:rPr>
        <w:t>الثّالث</w:t>
      </w:r>
      <w:r>
        <w:rPr>
          <w:rtl w:val="true"/>
        </w:rPr>
        <w:t>:</w:t>
      </w:r>
      <w:r>
        <w:rPr>
          <w:rtl w:val="true"/>
        </w:rPr>
        <w:t>روي انّه عليه السّلام نهى عن استقبال القبلتين</w:t>
      </w:r>
      <w:bookmarkEnd w:id="810"/>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أمرين</w:t>
      </w:r>
      <w:r>
        <w:rPr>
          <w:rFonts w:eastAsia="Amiri" w:cs="Amiri" w:ascii="Amiri" w:hAnsi="Amiri"/>
          <w:color w:val="111111"/>
          <w:sz w:val="28"/>
          <w:szCs w:val="28"/>
          <w:rtl w:val="true"/>
          <w:lang w:bidi="ar-SA"/>
        </w:rPr>
        <w:t xml:space="preserve">: </w:t>
      </w:r>
      <w:bookmarkStart w:id="811" w:name="pg12672_159992"/>
    </w:p>
    <w:p>
      <w:pPr>
        <w:pStyle w:val="BookText"/>
        <w:rPr/>
      </w:pPr>
      <w:bookmarkEnd w:id="811"/>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 عن الاستقبال إلى بيت المقدس،لأنّه محترم لشرفه و قد كان قبلة له عليه السّلام إلى حين النّسخ،و نهي عن استقبال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نهي عن استقبال الكعبة و استقبال بيت المقدس،لأنّه يكون مستدبر الكعبة،و هو منهيّ عنه </w:t>
      </w:r>
      <w:r>
        <w:rPr>
          <w:rFonts w:eastAsia="Amiri" w:cs="Amiri" w:ascii="Amiri" w:hAnsi="Amiri"/>
          <w:color w:val="111111"/>
          <w:sz w:val="28"/>
          <w:szCs w:val="28"/>
          <w:rtl w:val="true"/>
          <w:lang w:bidi="ar-SA"/>
        </w:rPr>
        <w:t>.</w:t>
      </w:r>
    </w:p>
    <w:p>
      <w:pPr>
        <w:pStyle w:val="Heading6"/>
        <w:numPr>
          <w:ilvl w:val="5"/>
          <w:numId w:val="1"/>
        </w:numPr>
        <w:rPr/>
      </w:pPr>
      <w:bookmarkStart w:id="812" w:name="__RefHeading___Toc747261_222507752"/>
      <w:bookmarkStart w:id="813" w:name="_Toc321"/>
      <w:bookmarkEnd w:id="812"/>
      <w:r>
        <w:rPr>
          <w:rtl w:val="true"/>
        </w:rPr>
        <w:t>الرّابع</w:t>
      </w:r>
      <w:r>
        <w:rPr>
          <w:rtl w:val="true"/>
        </w:rPr>
        <w:t>:</w:t>
      </w:r>
      <w:r>
        <w:rPr>
          <w:rtl w:val="true"/>
        </w:rPr>
        <w:t>ليس التّسقيف شرطا في البنيان،</w:t>
      </w:r>
      <w:bookmarkEnd w:id="813"/>
    </w:p>
    <w:p>
      <w:pPr>
        <w:pStyle w:val="BookText"/>
        <w:rPr/>
      </w:pPr>
      <w:r>
        <w:rPr>
          <w:rFonts w:ascii="Amiri" w:hAnsi="Amiri" w:eastAsia="Amiri" w:cs="Amiri"/>
          <w:color w:val="111111"/>
          <w:sz w:val="28"/>
          <w:sz w:val="28"/>
          <w:szCs w:val="28"/>
          <w:rtl w:val="true"/>
          <w:lang w:bidi="ar-SA"/>
        </w:rPr>
        <w:t xml:space="preserve">بل كونه بحيث يستر القاعد عن أعين النّاس و لو كان بقدر مؤخّرة الرّجل </w:t>
      </w:r>
      <w:r>
        <w:rPr>
          <w:rFonts w:eastAsia="Amiri" w:cs="Amiri" w:ascii="Amiri" w:hAnsi="Amiri"/>
          <w:color w:val="111111"/>
          <w:sz w:val="28"/>
          <w:szCs w:val="28"/>
          <w:rtl w:val="true"/>
          <w:lang w:bidi="ar-SA"/>
        </w:rPr>
        <w:t>.</w:t>
      </w:r>
    </w:p>
    <w:p>
      <w:pPr>
        <w:pStyle w:val="Heading6"/>
        <w:numPr>
          <w:ilvl w:val="5"/>
          <w:numId w:val="1"/>
        </w:numPr>
        <w:rPr/>
      </w:pPr>
      <w:bookmarkStart w:id="814" w:name="__RefHeading___Toc747263_222507752"/>
      <w:bookmarkStart w:id="815" w:name="_Toc322"/>
      <w:bookmarkEnd w:id="814"/>
      <w:r>
        <w:rPr>
          <w:rtl w:val="true"/>
        </w:rPr>
        <w:t>الخامس</w:t>
      </w:r>
      <w:r>
        <w:rPr>
          <w:rtl w:val="true"/>
        </w:rPr>
        <w:t>:</w:t>
      </w:r>
      <w:r>
        <w:rPr>
          <w:rtl w:val="true"/>
        </w:rPr>
        <w:t>قال بعض الشّافعيّة</w:t>
      </w:r>
      <w:r>
        <w:rPr>
          <w:rtl w:val="true"/>
        </w:rPr>
        <w:t>:</w:t>
      </w:r>
      <w:r>
        <w:rPr>
          <w:rtl w:val="true"/>
        </w:rPr>
        <w:t>إنّا لا نحرّم القعود في البنيان إذا قعد قريبا من البناء</w:t>
      </w:r>
      <w:bookmarkEnd w:id="815"/>
    </w:p>
    <w:p>
      <w:pPr>
        <w:pStyle w:val="BookText"/>
        <w:rPr/>
      </w:pPr>
      <w:r>
        <w:rPr>
          <w:rFonts w:ascii="Amiri" w:hAnsi="Amiri" w:eastAsia="Amiri" w:cs="Amiri"/>
          <w:color w:val="111111"/>
          <w:sz w:val="28"/>
          <w:sz w:val="28"/>
          <w:szCs w:val="28"/>
          <w:rtl w:val="true"/>
          <w:lang w:bidi="ar-SA"/>
        </w:rPr>
        <w:t xml:space="preserve">بحيث لا يكون بينه و بين البناء إلاّ قدر ما بين الصّفين،فأمّا إذا تباعد عن البناء فإنّه يحرم، لأنّه لا يؤمن أن يكون هناك مصلّ من الإنس أو الجنّ أو الملائكة يقع بصره على عورته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16" w:name="__RefHeading___Toc747265_222507752"/>
      <w:bookmarkStart w:id="817" w:name="_Toc323"/>
      <w:bookmarkEnd w:id="816"/>
      <w:r>
        <w:rPr>
          <w:rtl w:val="true"/>
        </w:rPr>
        <w:t>السّادس</w:t>
      </w:r>
      <w:r>
        <w:rPr>
          <w:rtl w:val="true"/>
        </w:rPr>
        <w:t>:</w:t>
      </w:r>
      <w:r>
        <w:rPr>
          <w:rtl w:val="true"/>
        </w:rPr>
        <w:t>يكره استقبال بيت المقدس</w:t>
      </w:r>
      <w:bookmarkEnd w:id="817"/>
    </w:p>
    <w:p>
      <w:pPr>
        <w:pStyle w:val="BookText"/>
        <w:rPr/>
      </w:pPr>
      <w:r>
        <w:rPr>
          <w:rFonts w:ascii="Amiri" w:hAnsi="Amiri" w:eastAsia="Amiri" w:cs="Amiri"/>
          <w:color w:val="111111"/>
          <w:sz w:val="28"/>
          <w:sz w:val="28"/>
          <w:szCs w:val="28"/>
          <w:rtl w:val="true"/>
          <w:lang w:bidi="ar-SA"/>
        </w:rPr>
        <w:t>لأنّه قد كان قبلة،و لا يحرم للنّسخ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الشّافعيّ أيضا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18" w:name="__RefHeading___Toc747267_222507752"/>
      <w:bookmarkStart w:id="819" w:name="_Toc324"/>
      <w:bookmarkEnd w:id="818"/>
      <w:r>
        <w:rPr>
          <w:rtl w:val="true"/>
        </w:rPr>
        <w:t>مسألة</w:t>
      </w:r>
      <w:r>
        <w:rPr>
          <w:rtl w:val="true"/>
        </w:rPr>
        <w:t>:</w:t>
      </w:r>
      <w:r>
        <w:rPr>
          <w:rtl w:val="true"/>
        </w:rPr>
        <w:t>و يكره استقبال الشّمس و القمر بفرجه في البول و الغائط</w:t>
      </w:r>
      <w:bookmarkEnd w:id="819"/>
    </w:p>
    <w:p>
      <w:pPr>
        <w:pStyle w:val="BookText"/>
        <w:rPr/>
      </w:pPr>
      <w:r>
        <w:rPr>
          <w:rFonts w:ascii="Amiri" w:hAnsi="Amiri" w:eastAsia="Amiri" w:cs="Amiri"/>
          <w:color w:val="111111"/>
          <w:sz w:val="28"/>
          <w:sz w:val="28"/>
          <w:szCs w:val="28"/>
          <w:rtl w:val="true"/>
          <w:lang w:bidi="ar-SA"/>
        </w:rPr>
        <w:t xml:space="preserve">،لما رواه الشّيخ، عن السّكونيّ </w:t>
      </w:r>
      <w:r>
        <w:rPr>
          <w:rStyle w:val="FootnoteAnchor"/>
          <w:rtl w:val="true"/>
        </w:rPr>
        <w:footnoteReference w:id="1554"/>
      </w:r>
      <w:r>
        <w:rPr>
          <w:rFonts w:ascii="Amiri" w:hAnsi="Amiri" w:eastAsia="Amiri" w:cs="Amiri"/>
          <w:color w:val="111111"/>
          <w:sz w:val="28"/>
          <w:sz w:val="28"/>
          <w:szCs w:val="28"/>
          <w:rtl w:val="true"/>
          <w:lang w:bidi="ar-SA"/>
        </w:rPr>
        <w:t>،عن جعفر عن آبائه عليهم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صلّى اللّه عليه و آله أن يستقبل الرّجل الشّمس و القمر و هو يبول</w:t>
      </w:r>
      <w:r>
        <w:rPr>
          <w:rFonts w:eastAsia="Amiri" w:cs="Amiri" w:ascii="Amiri" w:hAnsi="Amiri"/>
          <w:color w:val="111111"/>
          <w:sz w:val="28"/>
          <w:szCs w:val="28"/>
          <w:rtl w:val="true"/>
          <w:lang w:bidi="ar-SA"/>
        </w:rPr>
        <w:t xml:space="preserve">)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عن عبد اللّه بن يحيى الكاهليّ،عن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يبولنّ أحدكم و فرجه باد للقمر يستقبل به</w:t>
      </w:r>
      <w:r>
        <w:rPr>
          <w:rFonts w:eastAsia="Amiri" w:cs="Amiri" w:ascii="Amiri" w:hAnsi="Amiri"/>
          <w:color w:val="111111"/>
          <w:sz w:val="28"/>
          <w:szCs w:val="28"/>
          <w:rtl w:val="true"/>
          <w:lang w:bidi="ar-SA"/>
        </w:rPr>
        <w:t xml:space="preserve">) </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 xml:space="preserve">. </w:t>
      </w:r>
      <w:bookmarkStart w:id="820" w:name="pg12672_159993"/>
    </w:p>
    <w:p>
      <w:pPr>
        <w:pStyle w:val="BookText"/>
        <w:rPr/>
      </w:pPr>
      <w:bookmarkEnd w:id="820"/>
      <w:r>
        <w:rPr>
          <w:rFonts w:ascii="IRNazanin" w:hAnsi="IRNazanin" w:eastAsia="IRNazanin"/>
          <w:color w:val="111111"/>
          <w:sz w:val="28"/>
          <w:sz w:val="28"/>
          <w:szCs w:val="28"/>
          <w:rtl w:val="true"/>
          <w:lang w:bidi="fa-IR"/>
        </w:rPr>
        <w:t>و لأنّهما اشتملا على نور من نور اللّه تعالى</w:t>
      </w:r>
      <w:r>
        <w:rPr>
          <w:rFonts w:eastAsia="IRNazanin" w:cs="IRNazanin"/>
          <w:color w:val="111111"/>
          <w:sz w:val="28"/>
          <w:szCs w:val="28"/>
          <w:rtl w:val="true"/>
          <w:lang w:bidi="fa-IR"/>
        </w:rPr>
        <w:t>.</w:t>
      </w:r>
    </w:p>
    <w:p>
      <w:pPr>
        <w:pStyle w:val="Heading6"/>
        <w:numPr>
          <w:ilvl w:val="5"/>
          <w:numId w:val="1"/>
        </w:numPr>
        <w:rPr/>
      </w:pPr>
      <w:bookmarkStart w:id="821" w:name="__RefHeading___Toc747269_222507752"/>
      <w:bookmarkStart w:id="822" w:name="_Toc325"/>
      <w:bookmarkEnd w:id="821"/>
      <w:r>
        <w:rPr>
          <w:rtl w:val="true"/>
        </w:rPr>
        <w:t>فرع</w:t>
      </w:r>
      <w:r>
        <w:rPr>
          <w:rtl w:val="true"/>
        </w:rPr>
        <w:t>:</w:t>
      </w:r>
      <w:r>
        <w:rPr>
          <w:rtl w:val="true"/>
        </w:rPr>
        <w:t>لو استتر عنهما بشيء فلا بأس،</w:t>
      </w:r>
      <w:bookmarkEnd w:id="822"/>
    </w:p>
    <w:p>
      <w:pPr>
        <w:pStyle w:val="BookText"/>
        <w:rPr/>
      </w:pPr>
      <w:r>
        <w:rPr>
          <w:rFonts w:ascii="Amiri" w:hAnsi="Amiri" w:eastAsia="Amiri" w:cs="Amiri"/>
          <w:color w:val="111111"/>
          <w:sz w:val="28"/>
          <w:sz w:val="28"/>
          <w:szCs w:val="28"/>
          <w:rtl w:val="true"/>
          <w:lang w:bidi="ar-SA"/>
        </w:rPr>
        <w:t xml:space="preserve">لأنّه لو استتر عن القبلة بالانحراف جاز،فهاهنا أولى </w:t>
      </w:r>
      <w:r>
        <w:rPr>
          <w:rFonts w:eastAsia="Amiri" w:cs="Amiri" w:ascii="Amiri" w:hAnsi="Amiri"/>
          <w:color w:val="111111"/>
          <w:sz w:val="28"/>
          <w:szCs w:val="28"/>
          <w:rtl w:val="true"/>
          <w:lang w:bidi="ar-SA"/>
        </w:rPr>
        <w:t>.</w:t>
      </w:r>
    </w:p>
    <w:p>
      <w:pPr>
        <w:pStyle w:val="Heading6"/>
        <w:numPr>
          <w:ilvl w:val="5"/>
          <w:numId w:val="1"/>
        </w:numPr>
        <w:rPr/>
      </w:pPr>
      <w:bookmarkStart w:id="823" w:name="__RefHeading___Toc747271_222507752"/>
      <w:bookmarkStart w:id="824" w:name="_Toc326"/>
      <w:bookmarkEnd w:id="823"/>
      <w:r>
        <w:rPr>
          <w:rtl w:val="true"/>
        </w:rPr>
        <w:t>مسألة</w:t>
      </w:r>
      <w:r>
        <w:rPr>
          <w:rtl w:val="true"/>
        </w:rPr>
        <w:t>:</w:t>
      </w:r>
      <w:r>
        <w:rPr>
          <w:rtl w:val="true"/>
        </w:rPr>
        <w:t>و يكره في حال البول و الغائط أمور</w:t>
      </w:r>
      <w:r>
        <w:rPr>
          <w:rtl w:val="true"/>
        </w:rPr>
        <w:t>:</w:t>
      </w:r>
      <w:bookmarkEnd w:id="824"/>
    </w:p>
    <w:p>
      <w:pPr>
        <w:pStyle w:val="Heading6"/>
        <w:numPr>
          <w:ilvl w:val="5"/>
          <w:numId w:val="1"/>
        </w:numPr>
        <w:rPr/>
      </w:pPr>
      <w:bookmarkStart w:id="825" w:name="__RefHeading___Toc747273_222507752"/>
      <w:bookmarkStart w:id="826" w:name="_Toc327"/>
      <w:bookmarkEnd w:id="825"/>
      <w:r>
        <w:rPr>
          <w:rtl w:val="true"/>
        </w:rPr>
        <w:t>الأول</w:t>
      </w:r>
      <w:r>
        <w:rPr>
          <w:rtl w:val="true"/>
        </w:rPr>
        <w:t>:</w:t>
      </w:r>
      <w:r>
        <w:rPr>
          <w:rtl w:val="true"/>
        </w:rPr>
        <w:t>استقبال الرّيح بالبول</w:t>
      </w:r>
      <w:bookmarkEnd w:id="826"/>
    </w:p>
    <w:p>
      <w:pPr>
        <w:pStyle w:val="BookText"/>
        <w:rPr/>
      </w:pPr>
      <w:r>
        <w:rPr>
          <w:rFonts w:ascii="Amiri" w:hAnsi="Amiri" w:eastAsia="Amiri" w:cs="Amiri"/>
          <w:color w:val="111111"/>
          <w:sz w:val="28"/>
          <w:sz w:val="28"/>
          <w:szCs w:val="28"/>
          <w:rtl w:val="true"/>
          <w:lang w:bidi="ar-SA"/>
        </w:rPr>
        <w:t xml:space="preserve">لئلاّ يعكسه فيردّه على جسده و ثيابه،و لما قدّمناه من رواية ابن أبي العلاء </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27" w:name="__RefHeading___Toc747275_222507752"/>
      <w:bookmarkStart w:id="828" w:name="_Toc328"/>
      <w:bookmarkEnd w:id="827"/>
      <w:r>
        <w:rPr>
          <w:rtl w:val="true"/>
        </w:rPr>
        <w:t>الثّاني</w:t>
      </w:r>
      <w:r>
        <w:rPr>
          <w:rtl w:val="true"/>
        </w:rPr>
        <w:t>:</w:t>
      </w:r>
      <w:r>
        <w:rPr>
          <w:rtl w:val="true"/>
        </w:rPr>
        <w:t>البول على الأرض الصّلبة لئلاّ يردّ عليه</w:t>
      </w:r>
      <w:bookmarkEnd w:id="828"/>
    </w:p>
    <w:p>
      <w:pPr>
        <w:pStyle w:val="BookText"/>
        <w:rPr/>
      </w:pPr>
      <w:r>
        <w:rPr>
          <w:rFonts w:ascii="Amiri" w:hAnsi="Amiri" w:eastAsia="Amiri" w:cs="Amiri"/>
          <w:color w:val="111111"/>
          <w:sz w:val="28"/>
          <w:sz w:val="28"/>
          <w:szCs w:val="28"/>
          <w:rtl w:val="true"/>
          <w:lang w:bidi="ar-SA"/>
        </w:rPr>
        <w:t>،و لما رواه الشّيخ في الحسن،عن عبد اللّه بن مسكان،عن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أشدّ النّاس توقّيا عن البول،كان إذا أراد البول يعمد إلى مكان مرتفع من الأرض أو إلى مكان من الأمكنة يكون فيه التّراب الكثير كراهيّة أن ينضح عليه البول</w:t>
      </w:r>
      <w:r>
        <w:rPr>
          <w:rFonts w:eastAsia="Amiri" w:cs="Amiri" w:ascii="Amiri" w:hAnsi="Amiri"/>
          <w:color w:val="111111"/>
          <w:sz w:val="28"/>
          <w:szCs w:val="28"/>
          <w:rtl w:val="true"/>
          <w:lang w:bidi="ar-SA"/>
        </w:rPr>
        <w:t xml:space="preserve">)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عن سليمان الجعفريّ </w:t>
      </w:r>
      <w:r>
        <w:rPr>
          <w:rStyle w:val="FootnoteAnchor"/>
          <w:rtl w:val="true"/>
        </w:rPr>
        <w:footnoteReference w:id="15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 مع الرّضا عليه السّلام في سفح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w:t>
      </w:r>
      <w:r>
        <w:rPr>
          <w:rFonts w:eastAsia="Amiri" w:cs="Amiri" w:ascii="Amiri" w:hAnsi="Amiri"/>
          <w:color w:val="111111"/>
          <w:sz w:val="28"/>
          <w:szCs w:val="28"/>
          <w:rtl w:val="true"/>
          <w:lang w:bidi="ar-SA"/>
        </w:rPr>
        <w:t xml:space="preserve">] </w:t>
      </w:r>
      <w:r>
        <w:rPr>
          <w:rStyle w:val="FootnoteAnchor"/>
          <w:rtl w:val="true"/>
        </w:rPr>
        <w:footnoteReference w:id="1560"/>
      </w:r>
      <w:r>
        <w:rPr>
          <w:rFonts w:ascii="Amiri" w:hAnsi="Amiri" w:eastAsia="Amiri" w:cs="Amiri"/>
          <w:color w:val="111111"/>
          <w:sz w:val="28"/>
          <w:sz w:val="28"/>
          <w:szCs w:val="28"/>
          <w:rtl w:val="true"/>
          <w:lang w:bidi="ar-SA"/>
        </w:rPr>
        <w:t>فلمّا كان آخر اللّيل قام فتنحى و صار على موضع مرتفع فبال و توضّأ،و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فقه الرّجل أن يرتاد لموضع بوله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بسط سراويله و قام عليه و صلّى صلاة اللّيل </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ظهر من هذا استحباب طلب المرتفع من الأرض </w:t>
      </w:r>
      <w:r>
        <w:rPr>
          <w:rFonts w:eastAsia="IRNazanin" w:cs="IRNazanin"/>
          <w:color w:val="111111"/>
          <w:sz w:val="28"/>
          <w:szCs w:val="28"/>
          <w:rtl w:val="true"/>
          <w:lang w:bidi="fa-IR"/>
        </w:rPr>
        <w:t>.</w:t>
      </w:r>
    </w:p>
    <w:p>
      <w:pPr>
        <w:pStyle w:val="Heading6"/>
        <w:numPr>
          <w:ilvl w:val="5"/>
          <w:numId w:val="1"/>
        </w:numPr>
        <w:rPr/>
      </w:pPr>
      <w:bookmarkStart w:id="829" w:name="__RefHeading___Toc747277_222507752"/>
      <w:bookmarkStart w:id="830" w:name="_Toc329"/>
      <w:bookmarkEnd w:id="829"/>
      <w:r>
        <w:rPr>
          <w:rtl w:val="true"/>
        </w:rPr>
        <w:t>الثّالث</w:t>
      </w:r>
      <w:r>
        <w:rPr>
          <w:rtl w:val="true"/>
        </w:rPr>
        <w:t>:</w:t>
      </w:r>
      <w:r>
        <w:rPr>
          <w:rtl w:val="true"/>
        </w:rPr>
        <w:t>البول قائما لئلاّ يترشّش عليه</w:t>
      </w:r>
      <w:bookmarkEnd w:id="830"/>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بلت قائما منذ أسلمت </w:t>
      </w:r>
      <w:r>
        <w:rPr>
          <w:rStyle w:val="FootnoteAnchor"/>
          <w:rtl w:val="true"/>
        </w:rPr>
        <w:footnoteReference w:id="1562"/>
      </w:r>
      <w:r>
        <w:rPr>
          <w:rFonts w:ascii="IRNazanin" w:hAnsi="IRNazanin" w:eastAsia="IRNazanin"/>
          <w:color w:val="111111"/>
          <w:sz w:val="28"/>
          <w:sz w:val="28"/>
          <w:szCs w:val="28"/>
          <w:rtl w:val="true"/>
          <w:lang w:bidi="fa-IR"/>
        </w:rPr>
        <w:t>،و قال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الجفاء أن تبول و أنت قائم </w:t>
      </w:r>
      <w:r>
        <w:rPr>
          <w:rStyle w:val="FootnoteAnchor"/>
          <w:rtl w:val="true"/>
        </w:rPr>
        <w:footnoteReference w:id="1563"/>
      </w:r>
      <w:r>
        <w:rPr>
          <w:rFonts w:ascii="Amiri" w:hAnsi="Amiri" w:eastAsia="Amiri" w:cs="Amiri"/>
          <w:color w:val="111111"/>
          <w:sz w:val="28"/>
          <w:sz w:val="28"/>
          <w:szCs w:val="28"/>
          <w:rtl w:val="true"/>
          <w:lang w:bidi="ar-SA"/>
        </w:rPr>
        <w:t xml:space="preserve">،و كان </w:t>
      </w:r>
      <w:bookmarkStart w:id="831" w:name="pg12672_159994"/>
    </w:p>
    <w:p>
      <w:pPr>
        <w:pStyle w:val="BookText"/>
        <w:rPr/>
      </w:pPr>
      <w:bookmarkEnd w:id="831"/>
      <w:r>
        <w:rPr>
          <w:rFonts w:ascii="Amiri" w:hAnsi="Amiri" w:eastAsia="Amiri" w:cs="Amiri"/>
          <w:color w:val="111111"/>
          <w:sz w:val="28"/>
          <w:sz w:val="28"/>
          <w:szCs w:val="28"/>
          <w:rtl w:val="true"/>
          <w:lang w:bidi="ar-SA"/>
        </w:rPr>
        <w:t xml:space="preserve">سعد بن إبراهيم </w:t>
      </w:r>
      <w:r>
        <w:rPr>
          <w:rStyle w:val="FootnoteAnchor"/>
          <w:rtl w:val="true"/>
        </w:rPr>
        <w:footnoteReference w:id="1564"/>
      </w:r>
      <w:r>
        <w:rPr>
          <w:rFonts w:ascii="Amiri" w:hAnsi="Amiri" w:eastAsia="Amiri" w:cs="Amiri"/>
          <w:color w:val="111111"/>
          <w:sz w:val="28"/>
          <w:sz w:val="28"/>
          <w:szCs w:val="28"/>
          <w:rtl w:val="true"/>
          <w:lang w:bidi="ar-SA"/>
        </w:rPr>
        <w:t xml:space="preserve">لا يجيز شهادة من بال قائما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ابن بابويه في كتابه،عن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البول قائما من غير علّة من الجفاء،و الاستنجاء باليمين من الجفاء</w:t>
      </w:r>
      <w:r>
        <w:rPr>
          <w:rFonts w:eastAsia="Amiri" w:cs="Amiri" w:ascii="Amiri" w:hAnsi="Amiri"/>
          <w:color w:val="111111"/>
          <w:sz w:val="28"/>
          <w:szCs w:val="28"/>
          <w:rtl w:val="true"/>
          <w:lang w:bidi="ar-SA"/>
        </w:rPr>
        <w:t xml:space="preserve">)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الجمهور عن النّبيّ صلّى اللّه عليه و آله انّه أتى سباطة قوم فبال قائما </w:t>
      </w:r>
      <w:r>
        <w:rPr>
          <w:rStyle w:val="FootnoteAnchor"/>
          <w:rtl w:val="true"/>
        </w:rPr>
        <w:footnoteReference w:id="15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الرّواية لا تنافي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فللطّعن فيها،فإنّهم رووا عن عائشة انّها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حدّثكم انّ رسول اللّه صلّى اللّه عليه و آله كان يبول قائما فلا تصدّقوه،ما كان يبول إلاّ قاعدا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نقله التّرمذيّ،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شيء أصحّ ما في هذا الباب </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فلأنّه عليه السّلام فعله بيانا للجواز،و لم يفعله إلاّ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فلاحتمال أن يكون في موضع لا يتمكّن من الجلوس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قيل إنّما فعل ذلك لعلّة كانت بمأبضه،و المأبض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تحت الركبة من كلّ حيوان </w:t>
      </w:r>
      <w:r>
        <w:rPr>
          <w:rFonts w:eastAsia="Amiri" w:cs="Amiri" w:ascii="Amiri" w:hAnsi="Amiri"/>
          <w:color w:val="111111"/>
          <w:sz w:val="28"/>
          <w:szCs w:val="28"/>
          <w:rtl w:val="true"/>
          <w:lang w:bidi="ar-SA"/>
        </w:rPr>
        <w:t>.</w:t>
      </w:r>
    </w:p>
    <w:p>
      <w:pPr>
        <w:pStyle w:val="Heading6"/>
        <w:numPr>
          <w:ilvl w:val="5"/>
          <w:numId w:val="1"/>
        </w:numPr>
        <w:rPr/>
      </w:pPr>
      <w:bookmarkStart w:id="832" w:name="__RefHeading___Toc747279_222507752"/>
      <w:bookmarkStart w:id="833" w:name="_Toc330"/>
      <w:bookmarkEnd w:id="832"/>
      <w:r>
        <w:rPr>
          <w:rtl w:val="true"/>
        </w:rPr>
        <w:t>الرّابع</w:t>
      </w:r>
      <w:r>
        <w:rPr>
          <w:rtl w:val="true"/>
        </w:rPr>
        <w:t>:</w:t>
      </w:r>
      <w:r>
        <w:rPr>
          <w:rtl w:val="true"/>
        </w:rPr>
        <w:t>أن يطمّح ببوله من السّطح في الهواء</w:t>
      </w:r>
      <w:bookmarkEnd w:id="833"/>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رواه الشّيخ عن </w:t>
      </w:r>
      <w:bookmarkStart w:id="834" w:name="pg12672_159995"/>
    </w:p>
    <w:p>
      <w:pPr>
        <w:pStyle w:val="BookText"/>
        <w:rPr/>
      </w:pPr>
      <w:bookmarkEnd w:id="834"/>
      <w:r>
        <w:rPr>
          <w:rFonts w:ascii="IRNazanin" w:hAnsi="IRNazanin" w:eastAsia="IRNazanin"/>
          <w:color w:val="111111"/>
          <w:sz w:val="28"/>
          <w:sz w:val="28"/>
          <w:szCs w:val="28"/>
          <w:rtl w:val="true"/>
          <w:lang w:bidi="fa-IR"/>
        </w:rPr>
        <w:t xml:space="preserve">مسمع </w:t>
      </w:r>
      <w:r>
        <w:rPr>
          <w:rStyle w:val="FootnoteAnchor"/>
          <w:rtl w:val="true"/>
        </w:rPr>
        <w:footnoteReference w:id="1569"/>
      </w:r>
      <w:r>
        <w:rPr>
          <w:rFonts w:ascii="Amiri" w:hAnsi="Amiri" w:eastAsia="Amiri" w:cs="Amiri"/>
          <w:color w:val="111111"/>
          <w:sz w:val="28"/>
          <w:sz w:val="28"/>
          <w:szCs w:val="28"/>
          <w:rtl w:val="true"/>
          <w:lang w:bidi="ar-SA"/>
        </w:rPr>
        <w:t>،عن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للرّجل أو ينهى الرّجل أن يطمّح ببوله من السّطح في الهواء</w:t>
      </w:r>
      <w:r>
        <w:rPr>
          <w:rFonts w:eastAsia="Amiri" w:cs="Amiri" w:ascii="Amiri" w:hAnsi="Amiri"/>
          <w:color w:val="111111"/>
          <w:sz w:val="28"/>
          <w:szCs w:val="28"/>
          <w:rtl w:val="true"/>
          <w:lang w:bidi="ar-SA"/>
        </w:rPr>
        <w:t xml:space="preserve">) </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35" w:name="__RefHeading___Toc747281_222507752"/>
      <w:bookmarkStart w:id="836" w:name="_Toc331"/>
      <w:bookmarkEnd w:id="835"/>
      <w:r>
        <w:rPr>
          <w:rtl w:val="true"/>
        </w:rPr>
        <w:t>الخامس</w:t>
      </w:r>
      <w:r>
        <w:rPr>
          <w:rtl w:val="true"/>
        </w:rPr>
        <w:t>:</w:t>
      </w:r>
      <w:r>
        <w:rPr>
          <w:rtl w:val="true"/>
        </w:rPr>
        <w:t>البول في الماء جاريا و راكدا</w:t>
      </w:r>
      <w:bookmarkEnd w:id="836"/>
    </w:p>
    <w:p>
      <w:pPr>
        <w:pStyle w:val="BookText"/>
        <w:rPr/>
      </w:pPr>
      <w:r>
        <w:rPr>
          <w:rStyle w:val="FootnoteAnchor"/>
          <w:rtl w:val="true"/>
        </w:rPr>
        <w:footnoteReference w:id="15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الرّاكد أشدّ كراهيّة،لما رواه الشّيخ،عن الفضيل،عن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يبول الرّجل في الماء الجاري، و كره أن يبول في الرّاكد</w:t>
      </w:r>
      <w:r>
        <w:rPr>
          <w:rFonts w:eastAsia="Amiri" w:cs="Amiri" w:ascii="Amiri" w:hAnsi="Amiri"/>
          <w:color w:val="111111"/>
          <w:sz w:val="28"/>
          <w:szCs w:val="28"/>
          <w:rtl w:val="true"/>
          <w:lang w:bidi="ar-SA"/>
        </w:rPr>
        <w:t xml:space="preserve">)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 مسمع،عن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نهى أن يبول الرّجل في الماء الجاري إلاّ من 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للماء أهلا</w:t>
      </w:r>
      <w:r>
        <w:rPr>
          <w:rFonts w:eastAsia="Amiri" w:cs="Amiri" w:ascii="Amiri" w:hAnsi="Amiri"/>
          <w:color w:val="111111"/>
          <w:sz w:val="28"/>
          <w:szCs w:val="28"/>
          <w:rtl w:val="true"/>
          <w:lang w:bidi="ar-SA"/>
        </w:rPr>
        <w:t xml:space="preserve">) </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37" w:name="__RefHeading___Toc747283_222507752"/>
      <w:bookmarkStart w:id="838" w:name="_Toc332"/>
      <w:bookmarkEnd w:id="837"/>
      <w:r>
        <w:rPr>
          <w:rtl w:val="true"/>
        </w:rPr>
        <w:t>السّادس</w:t>
      </w:r>
      <w:r>
        <w:rPr>
          <w:rtl w:val="true"/>
        </w:rPr>
        <w:t>:</w:t>
      </w:r>
      <w:r>
        <w:rPr>
          <w:rtl w:val="true"/>
        </w:rPr>
        <w:t>الجلوس للحدث في المشارع،و الشّوارع،و مواضع اللّعن</w:t>
      </w:r>
      <w:bookmarkEnd w:id="838"/>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تحت الأشجار المثمرة،و فيء النّزّال،و مساقط الثّمار،و جحرة الحيوان،و أفنية الدّور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رواه الشّيخ في الصّحيح،عن عاصم بن حميد </w:t>
      </w:r>
      <w:r>
        <w:rPr>
          <w:rStyle w:val="FootnoteAnchor"/>
          <w:rtl w:val="true"/>
        </w:rPr>
        <w:footnoteReference w:id="1574"/>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لعليّ بن الحسين صلوات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يتوضّأ </w:t>
      </w:r>
      <w:r>
        <w:rPr>
          <w:rStyle w:val="FootnoteAnchor"/>
          <w:rtl w:val="true"/>
        </w:rPr>
        <w:footnoteReference w:id="1575"/>
      </w:r>
      <w:r>
        <w:rPr>
          <w:rFonts w:ascii="Amiri" w:hAnsi="Amiri" w:eastAsia="Amiri" w:cs="Amiri"/>
          <w:color w:val="111111"/>
          <w:sz w:val="28"/>
          <w:sz w:val="28"/>
          <w:szCs w:val="28"/>
          <w:rtl w:val="true"/>
          <w:lang w:bidi="ar-SA"/>
        </w:rPr>
        <w:t>الغرباء؟فقال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يتّقي </w:t>
      </w:r>
      <w:r>
        <w:rPr>
          <w:rStyle w:val="FootnoteAnchor"/>
          <w:rtl w:val="true"/>
        </w:rPr>
        <w:footnoteReference w:id="1576"/>
      </w:r>
      <w:r>
        <w:rPr>
          <w:rFonts w:ascii="IRNazanin" w:hAnsi="IRNazanin" w:eastAsia="IRNazanin"/>
          <w:color w:val="111111"/>
          <w:sz w:val="28"/>
          <w:sz w:val="28"/>
          <w:szCs w:val="28"/>
          <w:rtl w:val="true"/>
          <w:lang w:bidi="fa-IR"/>
        </w:rPr>
        <w:t xml:space="preserve">شطوط الأنهار و الطّرق </w:t>
      </w:r>
    </w:p>
    <w:p>
      <w:pPr>
        <w:pStyle w:val="BookText"/>
        <w:rPr/>
      </w:pPr>
      <w:r>
        <w:rPr>
          <w:rFonts w:ascii="Amiri" w:hAnsi="Amiri" w:eastAsia="Amiri" w:cs="Amiri"/>
          <w:color w:val="111111"/>
          <w:sz w:val="28"/>
          <w:sz w:val="28"/>
          <w:szCs w:val="28"/>
          <w:rtl w:val="true"/>
          <w:lang w:bidi="ar-SA"/>
        </w:rPr>
        <w:t>النّافذة و تحت الأشجار المثمرة و مواضع اللّعن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مواضع اللّعن؟قال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أبواب الدّور</w:t>
      </w:r>
      <w:r>
        <w:rPr>
          <w:rFonts w:eastAsia="Amiri" w:cs="Amiri" w:ascii="Amiri" w:hAnsi="Amiri"/>
          <w:color w:val="111111"/>
          <w:sz w:val="28"/>
          <w:szCs w:val="28"/>
          <w:rtl w:val="true"/>
          <w:lang w:bidi="ar-SA"/>
        </w:rPr>
        <w:t xml:space="preserve">) </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الحديث الّذي نقلناه عن أبي الحسن عليه السّلام جوابا لسؤال أبي حنيفة </w:t>
      </w:r>
      <w:r>
        <w:rPr>
          <w:rStyle w:val="FootnoteAnchor"/>
          <w:rtl w:val="true"/>
        </w:rPr>
        <w:footnoteReference w:id="1578"/>
      </w:r>
      <w:r>
        <w:rPr>
          <w:rFonts w:ascii="Amiri" w:hAnsi="Amiri" w:eastAsia="Amiri" w:cs="Amiri"/>
          <w:color w:val="111111"/>
          <w:sz w:val="28"/>
          <w:sz w:val="28"/>
          <w:szCs w:val="28"/>
          <w:rtl w:val="true"/>
          <w:lang w:bidi="ar-SA"/>
        </w:rPr>
        <w:t>ما يدلّ على كراهيّة أفنية المساجد و منازل النّزّال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الشّيخ عن إبراهيم بن أبي زياد الكرخيّ </w:t>
      </w:r>
      <w:r>
        <w:rPr>
          <w:rStyle w:val="FootnoteAnchor"/>
          <w:rtl w:val="true"/>
        </w:rPr>
        <w:footnoteReference w:id="1579"/>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من فعلهنّ ملعون،المتغوّط في ظلّ النّزّال،و المانع الماء المنتاب،و سادّ الطّريق المسلوك</w:t>
      </w:r>
      <w:r>
        <w:rPr>
          <w:rFonts w:eastAsia="Amiri" w:cs="Amiri" w:ascii="Amiri" w:hAnsi="Amiri"/>
          <w:color w:val="111111"/>
          <w:sz w:val="28"/>
          <w:szCs w:val="28"/>
          <w:rtl w:val="true"/>
          <w:lang w:bidi="ar-SA"/>
        </w:rPr>
        <w:t xml:space="preserve">) </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روى الجمهور عن عبد اللّه بن سرجس </w:t>
      </w:r>
      <w:r>
        <w:rPr>
          <w:rStyle w:val="FootnoteAnchor"/>
          <w:rtl w:val="true"/>
        </w:rPr>
        <w:footnoteReference w:id="1581"/>
      </w:r>
      <w:r>
        <w:rPr>
          <w:rFonts w:ascii="Amiri" w:hAnsi="Amiri" w:eastAsia="Amiri" w:cs="Amiri"/>
          <w:color w:val="111111"/>
          <w:sz w:val="28"/>
          <w:sz w:val="28"/>
          <w:szCs w:val="28"/>
          <w:rtl w:val="true"/>
          <w:lang w:bidi="ar-SA"/>
        </w:rPr>
        <w:t xml:space="preserve">انّ النّبيّ صلّى اللّه عليه و آله نهى أن يبال في الجحر </w:t>
      </w:r>
      <w:r>
        <w:rPr>
          <w:rStyle w:val="FootnoteAnchor"/>
          <w:rtl w:val="true"/>
        </w:rPr>
        <w:footnoteReference w:id="15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 لا يؤمن خروج حيوان يلسعه،فقد حكي انّ سعد بن عبادة </w:t>
      </w:r>
      <w:r>
        <w:rPr>
          <w:rStyle w:val="FootnoteAnchor"/>
          <w:rtl w:val="true"/>
        </w:rPr>
        <w:footnoteReference w:id="1583"/>
      </w:r>
      <w:r>
        <w:rPr>
          <w:rFonts w:ascii="Amiri" w:hAnsi="Amiri" w:eastAsia="Amiri" w:cs="Amiri"/>
          <w:color w:val="111111"/>
          <w:sz w:val="28"/>
          <w:sz w:val="28"/>
          <w:szCs w:val="28"/>
          <w:rtl w:val="true"/>
          <w:lang w:bidi="ar-SA"/>
        </w:rPr>
        <w:t>بال في جحر بالشّام فاستلقى ميّتا،فسمعت الجنّ تنوح عليه بالمدينة،و تقول</w:t>
      </w:r>
      <w:r>
        <w:rPr>
          <w:rFonts w:eastAsia="Amiri" w:cs="Amiri" w:ascii="Amiri" w:hAnsi="Amiri"/>
          <w:color w:val="111111"/>
          <w:sz w:val="28"/>
          <w:szCs w:val="28"/>
          <w:rtl w:val="true"/>
          <w:lang w:bidi="ar-SA"/>
        </w:rPr>
        <w:t xml:space="preserve">: </w:t>
      </w:r>
      <w:bookmarkStart w:id="839" w:name="pg12672_159997"/>
    </w:p>
    <w:p>
      <w:pPr>
        <w:pStyle w:val="BookText"/>
        <w:rPr/>
      </w:pPr>
      <w:bookmarkEnd w:id="839"/>
      <w:r>
        <w:rPr>
          <w:rFonts w:ascii="Amiri" w:hAnsi="Amiri" w:eastAsia="Amiri" w:cs="Amiri"/>
          <w:color w:val="111111"/>
          <w:sz w:val="28"/>
          <w:sz w:val="28"/>
          <w:szCs w:val="28"/>
          <w:rtl w:val="true"/>
          <w:lang w:bidi="ar-SA"/>
        </w:rPr>
        <w:t>نحن قتلنا سيّد الخزرج سعد بن عباده</w:t>
      </w:r>
    </w:p>
    <w:p>
      <w:pPr>
        <w:pStyle w:val="BookText"/>
        <w:rPr/>
      </w:pPr>
      <w:r>
        <w:rPr>
          <w:rFonts w:ascii="Amiri" w:hAnsi="Amiri" w:eastAsia="Amiri" w:cs="Amiri"/>
          <w:color w:val="111111"/>
          <w:sz w:val="28"/>
          <w:sz w:val="28"/>
          <w:szCs w:val="28"/>
          <w:rtl w:val="true"/>
          <w:lang w:bidi="ar-SA"/>
        </w:rPr>
        <w:t xml:space="preserve">و رميناه بسهمين فلم نخطئ فؤاده </w:t>
      </w:r>
      <w:r>
        <w:rPr>
          <w:rStyle w:val="FootnoteAnchor"/>
          <w:rtl w:val="true"/>
        </w:rPr>
        <w:footnoteReference w:id="1584"/>
      </w:r>
    </w:p>
    <w:p>
      <w:pPr>
        <w:pStyle w:val="Heading6"/>
        <w:numPr>
          <w:ilvl w:val="5"/>
          <w:numId w:val="1"/>
        </w:numPr>
        <w:rPr/>
      </w:pPr>
      <w:bookmarkStart w:id="840" w:name="__RefHeading___Toc747285_222507752"/>
      <w:bookmarkStart w:id="841" w:name="_Toc333"/>
      <w:bookmarkEnd w:id="840"/>
      <w:r>
        <w:rPr>
          <w:rtl w:val="true"/>
        </w:rPr>
        <w:t>السّابع</w:t>
      </w:r>
      <w:r>
        <w:rPr>
          <w:rtl w:val="true"/>
        </w:rPr>
        <w:t>:</w:t>
      </w:r>
      <w:r>
        <w:rPr>
          <w:rtl w:val="true"/>
        </w:rPr>
        <w:t>السّواك على الخلاء</w:t>
      </w:r>
      <w:bookmarkEnd w:id="841"/>
    </w:p>
    <w:p>
      <w:pPr>
        <w:pStyle w:val="BookText"/>
        <w:rPr/>
      </w:pPr>
      <w:r>
        <w:rPr>
          <w:rFonts w:ascii="Amiri" w:hAnsi="Amiri" w:eastAsia="Amiri" w:cs="Amiri"/>
          <w:color w:val="111111"/>
          <w:sz w:val="28"/>
          <w:sz w:val="28"/>
          <w:szCs w:val="28"/>
          <w:rtl w:val="true"/>
          <w:lang w:bidi="ar-SA"/>
        </w:rPr>
        <w:t>،لما رواه ابن بابويه في من لا يحضره الفقيه،عن موسى بن جعفر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السّواك على الخلاء يورث البخر</w:t>
      </w:r>
      <w:r>
        <w:rPr>
          <w:rFonts w:eastAsia="Amiri" w:cs="Amiri" w:ascii="Amiri" w:hAnsi="Amiri"/>
          <w:color w:val="111111"/>
          <w:sz w:val="28"/>
          <w:szCs w:val="28"/>
          <w:rtl w:val="true"/>
          <w:lang w:bidi="ar-SA"/>
        </w:rPr>
        <w:t xml:space="preserve">)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42" w:name="__RefHeading___Toc747287_222507752"/>
      <w:bookmarkStart w:id="843" w:name="_Toc334"/>
      <w:bookmarkEnd w:id="842"/>
      <w:r>
        <w:rPr>
          <w:rtl w:val="true"/>
        </w:rPr>
        <w:t>الثّامن</w:t>
      </w:r>
      <w:r>
        <w:rPr>
          <w:rtl w:val="true"/>
        </w:rPr>
        <w:t>:</w:t>
      </w:r>
      <w:r>
        <w:rPr>
          <w:rtl w:val="true"/>
        </w:rPr>
        <w:t>الكلام على حال الخلاء</w:t>
      </w:r>
      <w:bookmarkEnd w:id="843"/>
    </w:p>
    <w:p>
      <w:pPr>
        <w:pStyle w:val="BookText"/>
        <w:rPr/>
      </w:pPr>
      <w:r>
        <w:rPr>
          <w:rFonts w:ascii="Amiri" w:hAnsi="Amiri" w:eastAsia="Amiri" w:cs="Amiri"/>
          <w:color w:val="111111"/>
          <w:sz w:val="28"/>
          <w:sz w:val="28"/>
          <w:szCs w:val="28"/>
          <w:rtl w:val="true"/>
          <w:lang w:bidi="ar-SA"/>
        </w:rPr>
        <w:t xml:space="preserve">،لما رواه الجمهور،عن أبي سعيد الخدريّ </w:t>
      </w:r>
      <w:r>
        <w:rPr>
          <w:rStyle w:val="FootnoteAnchor"/>
          <w:rtl w:val="true"/>
        </w:rPr>
        <w:footnoteReference w:id="158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 الرّجلان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يضربان</w:t>
      </w:r>
      <w:r>
        <w:rPr>
          <w:rFonts w:eastAsia="Amiri" w:cs="Amiri" w:ascii="Amiri" w:hAnsi="Amiri"/>
          <w:color w:val="111111"/>
          <w:sz w:val="28"/>
          <w:szCs w:val="28"/>
          <w:rtl w:val="true"/>
          <w:lang w:bidi="ar-SA"/>
        </w:rPr>
        <w:t xml:space="preserve">] </w:t>
      </w:r>
      <w:r>
        <w:rPr>
          <w:rStyle w:val="FootnoteAnchor"/>
          <w:rtl w:val="true"/>
        </w:rPr>
        <w:footnoteReference w:id="1587"/>
      </w:r>
      <w:r>
        <w:rPr>
          <w:rFonts w:ascii="Amiri" w:hAnsi="Amiri" w:eastAsia="Amiri" w:cs="Amiri"/>
          <w:color w:val="111111"/>
          <w:sz w:val="28"/>
          <w:sz w:val="28"/>
          <w:szCs w:val="28"/>
          <w:rtl w:val="true"/>
          <w:lang w:bidi="ar-SA"/>
        </w:rPr>
        <w:t>الغائط كاشفان عن عورتهما يتحدّثان،فإنّ اللّه يمقت على ذلك</w:t>
      </w:r>
      <w:r>
        <w:rPr>
          <w:rFonts w:eastAsia="Amiri" w:cs="Amiri" w:ascii="Amiri" w:hAnsi="Amiri"/>
          <w:color w:val="111111"/>
          <w:sz w:val="28"/>
          <w:szCs w:val="28"/>
          <w:rtl w:val="true"/>
          <w:lang w:bidi="ar-SA"/>
        </w:rPr>
        <w:t xml:space="preserve">) </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 عن صفوان </w:t>
      </w:r>
      <w:r>
        <w:rPr>
          <w:rStyle w:val="FootnoteAnchor"/>
          <w:rtl w:val="true"/>
        </w:rPr>
        <w:footnoteReference w:id="1589"/>
      </w:r>
      <w:r>
        <w:rPr>
          <w:rFonts w:ascii="Amiri" w:hAnsi="Amiri" w:eastAsia="Amiri" w:cs="Amiri"/>
          <w:color w:val="111111"/>
          <w:sz w:val="28"/>
          <w:sz w:val="28"/>
          <w:szCs w:val="28"/>
          <w:rtl w:val="true"/>
          <w:lang w:bidi="ar-SA"/>
        </w:rPr>
        <w:t>،عن أبي الحسن الرّضا عليه السّلام،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صلّى اللّه عليه و آله أن يجيب الرّجل آخر،و هو على الغائط أو يكلّمه حتّى يفرغ</w:t>
      </w:r>
      <w:r>
        <w:rPr>
          <w:rFonts w:eastAsia="Amiri" w:cs="Amiri" w:ascii="Amiri" w:hAnsi="Amiri"/>
          <w:color w:val="111111"/>
          <w:sz w:val="28"/>
          <w:szCs w:val="28"/>
          <w:rtl w:val="true"/>
          <w:lang w:bidi="ar-SA"/>
        </w:rPr>
        <w:t xml:space="preserve">) </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الذّكر للّه تعالى أو حكاية الأذان أو قراءة آية الكرسيّ فلا يكره،لما رواه الشّيخ،عن </w:t>
      </w:r>
    </w:p>
    <w:p>
      <w:pPr>
        <w:pStyle w:val="BookText"/>
        <w:rPr/>
      </w:pPr>
      <w:r>
        <w:rPr>
          <w:rFonts w:ascii="Amiri" w:hAnsi="Amiri" w:eastAsia="Amiri" w:cs="Amiri"/>
          <w:color w:val="111111"/>
          <w:sz w:val="28"/>
          <w:sz w:val="28"/>
          <w:szCs w:val="28"/>
          <w:rtl w:val="true"/>
          <w:lang w:bidi="ar-SA"/>
        </w:rPr>
        <w:t xml:space="preserve">عمر بن يزيد </w:t>
      </w:r>
      <w:r>
        <w:rPr>
          <w:rStyle w:val="FootnoteAnchor"/>
          <w:rtl w:val="true"/>
        </w:rPr>
        <w:footnoteReference w:id="15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التّسبيح في المخرج و قراءة القرآن،قال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يرخّص في الكنيف في أكثر من آية الكرسيّ و حمد اللّه أو آية</w:t>
      </w:r>
      <w:r>
        <w:rPr>
          <w:rFonts w:eastAsia="Amiri" w:cs="Amiri" w:ascii="Amiri" w:hAnsi="Amiri"/>
          <w:color w:val="111111"/>
          <w:sz w:val="28"/>
          <w:szCs w:val="28"/>
          <w:rtl w:val="true"/>
          <w:lang w:bidi="ar-SA"/>
        </w:rPr>
        <w:t xml:space="preserve">) </w:t>
      </w:r>
      <w:r>
        <w:rPr>
          <w:rStyle w:val="FootnoteAnchor"/>
          <w:rtl w:val="true"/>
        </w:rPr>
        <w:footnoteReference w:id="1592"/>
      </w:r>
      <w:r>
        <w:rPr>
          <w:rFonts w:ascii="Amiri" w:hAnsi="Amiri" w:eastAsia="Amiri" w:cs="Amiri"/>
          <w:color w:val="111111"/>
          <w:sz w:val="28"/>
          <w:sz w:val="28"/>
          <w:szCs w:val="28"/>
          <w:rtl w:val="true"/>
          <w:lang w:bidi="ar-SA"/>
        </w:rPr>
        <w:t xml:space="preserve">،و مثله رواية محمّد بن بابويه في كتابه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الشّيخ عن محمّد بن مسلم،عن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الحائض و الجنب يقرءان شيئا؟قال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نعم،ما شاءا إلاّ السّجدة،و يذكران اللّه على كلّ حال</w:t>
      </w:r>
      <w:r>
        <w:rPr>
          <w:rFonts w:eastAsia="Amiri" w:cs="Amiri" w:ascii="Amiri" w:hAnsi="Amiri"/>
          <w:color w:val="111111"/>
          <w:sz w:val="28"/>
          <w:szCs w:val="28"/>
          <w:rtl w:val="true"/>
          <w:lang w:bidi="ar-SA"/>
        </w:rPr>
        <w:t xml:space="preserve">) </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بابويه في كتابه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ناجى اللّه موسى بن عمران عليه السّلام،قال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أ بعيد أنت منّي فأناديك،أم قريب فأناجيك؟فأوحى اللّه جلّ جلاله أنا جليس من ذكرني،فقال موسى يا ربّ انّي أكون في أحوال أجلّك أن أذكرك فيها؟فقال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موسى،اذكرني على كلّ حال</w:t>
      </w:r>
      <w:r>
        <w:rPr>
          <w:rFonts w:eastAsia="Amiri" w:cs="Amiri" w:ascii="Amiri" w:hAnsi="Amiri"/>
          <w:color w:val="111111"/>
          <w:sz w:val="28"/>
          <w:szCs w:val="28"/>
          <w:rtl w:val="true"/>
          <w:lang w:bidi="ar-SA"/>
        </w:rPr>
        <w:t xml:space="preserve">) </w:t>
      </w:r>
      <w:r>
        <w:rPr>
          <w:rStyle w:val="FootnoteAnchor"/>
          <w:rtl w:val="true"/>
        </w:rPr>
        <w:footnoteReference w:id="15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كره الشّافعيّ ذلك كلّه </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لنا </w:t>
      </w:r>
      <w:r>
        <w:rPr>
          <w:rStyle w:val="FootnoteAnchor"/>
          <w:rtl w:val="true"/>
        </w:rPr>
        <w:footnoteReference w:id="1597"/>
      </w:r>
      <w:r>
        <w:rPr>
          <w:rFonts w:ascii="Amiri" w:hAnsi="Amiri" w:eastAsia="Amiri" w:cs="Amiri"/>
          <w:color w:val="111111"/>
          <w:sz w:val="28"/>
          <w:sz w:val="28"/>
          <w:szCs w:val="28"/>
          <w:rtl w:val="true"/>
          <w:lang w:bidi="ar-SA"/>
        </w:rPr>
        <w:t>ما تقدّم</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احتجّ بما رواه المهاجرين قنفذ </w:t>
      </w:r>
      <w:r>
        <w:rPr>
          <w:rStyle w:val="FootnoteAnchor"/>
          <w:rtl w:val="true"/>
        </w:rPr>
        <w:footnoteReference w:id="1598"/>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كرهت أن أذكر اللّه تعالى </w:t>
      </w:r>
      <w:bookmarkStart w:id="844" w:name="pg12672_159999"/>
    </w:p>
    <w:p>
      <w:pPr>
        <w:pStyle w:val="BookText"/>
        <w:rPr/>
      </w:pPr>
      <w:bookmarkEnd w:id="844"/>
      <w:r>
        <w:rPr>
          <w:rFonts w:ascii="Amiri" w:hAnsi="Amiri" w:eastAsia="Amiri" w:cs="Amiri"/>
          <w:color w:val="111111"/>
          <w:sz w:val="28"/>
          <w:sz w:val="28"/>
          <w:szCs w:val="28"/>
          <w:rtl w:val="true"/>
          <w:lang w:bidi="ar-SA"/>
        </w:rPr>
        <w:t>إلاّ على طهر</w:t>
      </w:r>
      <w:r>
        <w:rPr>
          <w:rFonts w:eastAsia="Amiri" w:cs="Amiri" w:ascii="Amiri" w:hAnsi="Amiri"/>
          <w:color w:val="111111"/>
          <w:sz w:val="28"/>
          <w:szCs w:val="28"/>
          <w:rtl w:val="true"/>
          <w:lang w:bidi="ar-SA"/>
        </w:rPr>
        <w:t xml:space="preserve">) </w:t>
      </w:r>
      <w:r>
        <w:rPr>
          <w:rStyle w:val="FootnoteAnchor"/>
          <w:rtl w:val="true"/>
        </w:rPr>
        <w:footnoteReference w:id="15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أحاديثنا أشهر</w:t>
      </w:r>
      <w:r>
        <w:rPr>
          <w:rFonts w:eastAsia="Amiri" w:cs="Amiri" w:ascii="Amiri" w:hAnsi="Amiri"/>
          <w:color w:val="111111"/>
          <w:sz w:val="28"/>
          <w:szCs w:val="28"/>
          <w:rtl w:val="true"/>
          <w:lang w:bidi="ar-SA"/>
        </w:rPr>
        <w:t>.</w:t>
      </w:r>
    </w:p>
    <w:p>
      <w:pPr>
        <w:pStyle w:val="Heading6"/>
        <w:numPr>
          <w:ilvl w:val="5"/>
          <w:numId w:val="1"/>
        </w:numPr>
        <w:rPr/>
      </w:pPr>
      <w:bookmarkStart w:id="845" w:name="__RefHeading___Toc747289_222507752"/>
      <w:bookmarkStart w:id="846" w:name="_Toc335"/>
      <w:bookmarkEnd w:id="845"/>
      <w:r>
        <w:rPr>
          <w:rtl w:val="true"/>
        </w:rPr>
        <w:t>فروع</w:t>
      </w:r>
      <w:r>
        <w:rPr>
          <w:rtl w:val="true"/>
        </w:rPr>
        <w:t>:</w:t>
      </w:r>
      <w:bookmarkEnd w:id="846"/>
    </w:p>
    <w:p>
      <w:pPr>
        <w:pStyle w:val="Heading6"/>
        <w:numPr>
          <w:ilvl w:val="5"/>
          <w:numId w:val="1"/>
        </w:numPr>
        <w:rPr/>
      </w:pPr>
      <w:bookmarkStart w:id="847" w:name="__RefHeading___Toc747291_222507752"/>
      <w:bookmarkStart w:id="848" w:name="_Toc336"/>
      <w:bookmarkEnd w:id="847"/>
      <w:r>
        <w:rPr>
          <w:rtl w:val="true"/>
        </w:rPr>
        <w:t>الأوّل</w:t>
      </w:r>
      <w:r>
        <w:rPr>
          <w:rtl w:val="true"/>
        </w:rPr>
        <w:t>:</w:t>
      </w:r>
      <w:r>
        <w:rPr>
          <w:rtl w:val="true"/>
        </w:rPr>
        <w:t>يجب ردّ السّلام</w:t>
      </w:r>
      <w:bookmarkEnd w:id="848"/>
    </w:p>
    <w:p>
      <w:pPr>
        <w:pStyle w:val="BookText"/>
        <w:rPr/>
      </w:pPr>
      <w:r>
        <w:rPr>
          <w:rFonts w:ascii="Amiri" w:hAnsi="Amiri" w:eastAsia="Amiri" w:cs="Amiri"/>
          <w:color w:val="111111"/>
          <w:sz w:val="28"/>
          <w:sz w:val="28"/>
          <w:szCs w:val="28"/>
          <w:rtl w:val="true"/>
          <w:lang w:bidi="ar-SA"/>
        </w:rPr>
        <w:t xml:space="preserve">لقوله تعالى فَحَيُّوا بِأَحْسَنَ مِنْها </w:t>
      </w:r>
      <w:r>
        <w:rPr>
          <w:rStyle w:val="FootnoteAnchor"/>
          <w:rtl w:val="true"/>
        </w:rPr>
        <w:footnoteReference w:id="1600"/>
      </w:r>
      <w:r>
        <w:rPr>
          <w:rFonts w:ascii="Amiri" w:hAnsi="Amiri" w:eastAsia="Amiri" w:cs="Amiri"/>
          <w:color w:val="111111"/>
          <w:sz w:val="28"/>
          <w:sz w:val="28"/>
          <w:szCs w:val="28"/>
          <w:rtl w:val="true"/>
          <w:lang w:bidi="ar-SA"/>
        </w:rPr>
        <w:t xml:space="preserve">و الأمر للوجوب، و كرهه الشّافعيّ </w:t>
      </w:r>
      <w:r>
        <w:rPr>
          <w:rStyle w:val="FootnoteAnchor"/>
          <w:rtl w:val="true"/>
        </w:rPr>
        <w:footnoteReference w:id="1601"/>
      </w:r>
      <w:r>
        <w:rPr>
          <w:rFonts w:ascii="Amiri" w:hAnsi="Amiri" w:eastAsia="Amiri" w:cs="Amiri"/>
          <w:color w:val="111111"/>
          <w:sz w:val="28"/>
          <w:sz w:val="28"/>
          <w:szCs w:val="28"/>
          <w:rtl w:val="true"/>
          <w:lang w:bidi="ar-SA"/>
        </w:rPr>
        <w:t xml:space="preserve">،لما روى المهاجر بن قنفذ انّه سلّم على رسول اللّه صلّى اللّه عليه و آله، و هو يبول فلم يردّ عليه حتّى توضّأ فلمّا توضّأ ردّ عليه </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49" w:name="__RefHeading___Toc747293_222507752"/>
      <w:bookmarkStart w:id="850" w:name="_Toc337"/>
      <w:bookmarkEnd w:id="849"/>
      <w:r>
        <w:rPr>
          <w:rtl w:val="true"/>
        </w:rPr>
        <w:t>الثّاني</w:t>
      </w:r>
      <w:r>
        <w:rPr>
          <w:rtl w:val="true"/>
        </w:rPr>
        <w:t>:</w:t>
      </w:r>
      <w:r>
        <w:rPr>
          <w:rtl w:val="true"/>
        </w:rPr>
        <w:t>يستحب أن يحمد اللّه تعالى إذا عطس،و أن يسمّت العاطس</w:t>
      </w:r>
      <w:bookmarkEnd w:id="850"/>
    </w:p>
    <w:p>
      <w:pPr>
        <w:pStyle w:val="BookText"/>
        <w:rPr/>
      </w:pPr>
      <w:r>
        <w:rPr>
          <w:rStyle w:val="FootnoteAnchor"/>
          <w:rtl w:val="true"/>
        </w:rPr>
        <w:footnoteReference w:id="1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فيهما من الذّكر،و كرههما الشّافعيّ </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51" w:name="__RefHeading___Toc747295_222507752"/>
      <w:bookmarkStart w:id="852" w:name="_Toc338"/>
      <w:bookmarkEnd w:id="851"/>
      <w:r>
        <w:rPr>
          <w:rtl w:val="true"/>
        </w:rPr>
        <w:t>الثّالث</w:t>
      </w:r>
      <w:r>
        <w:rPr>
          <w:rtl w:val="true"/>
        </w:rPr>
        <w:t>:</w:t>
      </w:r>
      <w:r>
        <w:rPr>
          <w:rtl w:val="true"/>
        </w:rPr>
        <w:t>لو احتاج إلى أمر</w:t>
      </w:r>
      <w:bookmarkEnd w:id="852"/>
    </w:p>
    <w:p>
      <w:pPr>
        <w:pStyle w:val="BookText"/>
        <w:rPr/>
      </w:pPr>
      <w:r>
        <w:rPr>
          <w:rFonts w:ascii="Amiri" w:hAnsi="Amiri" w:eastAsia="Amiri" w:cs="Amiri"/>
          <w:color w:val="111111"/>
          <w:sz w:val="28"/>
          <w:sz w:val="28"/>
          <w:szCs w:val="28"/>
          <w:rtl w:val="true"/>
          <w:lang w:bidi="ar-SA"/>
        </w:rPr>
        <w:t xml:space="preserve">فإن قدر عليه بغير الكلام كالتّصفيق باليد أو ضرب الحائط كان أولى من الكلام،و إلاّ تكلّم </w:t>
      </w:r>
      <w:r>
        <w:rPr>
          <w:rFonts w:eastAsia="Amiri" w:cs="Amiri" w:ascii="Amiri" w:hAnsi="Amiri"/>
          <w:color w:val="111111"/>
          <w:sz w:val="28"/>
          <w:szCs w:val="28"/>
          <w:rtl w:val="true"/>
          <w:lang w:bidi="ar-SA"/>
        </w:rPr>
        <w:t>.</w:t>
      </w:r>
    </w:p>
    <w:p>
      <w:pPr>
        <w:pStyle w:val="Heading6"/>
        <w:numPr>
          <w:ilvl w:val="5"/>
          <w:numId w:val="1"/>
        </w:numPr>
        <w:rPr/>
      </w:pPr>
      <w:bookmarkStart w:id="853" w:name="__RefHeading___Toc747297_222507752"/>
      <w:bookmarkStart w:id="854" w:name="_Toc339"/>
      <w:bookmarkEnd w:id="853"/>
      <w:r>
        <w:rPr>
          <w:rtl w:val="true"/>
        </w:rPr>
        <w:t>التّاسع</w:t>
      </w:r>
      <w:r>
        <w:rPr>
          <w:rtl w:val="true"/>
        </w:rPr>
        <w:t>:</w:t>
      </w:r>
      <w:r>
        <w:rPr>
          <w:rtl w:val="true"/>
        </w:rPr>
        <w:t>الاستنجاء باليمين</w:t>
      </w:r>
      <w:bookmarkEnd w:id="854"/>
    </w:p>
    <w:p>
      <w:pPr>
        <w:pStyle w:val="BookText"/>
        <w:rPr/>
      </w:pPr>
      <w:r>
        <w:rPr>
          <w:rFonts w:ascii="Amiri" w:hAnsi="Amiri" w:eastAsia="Amiri" w:cs="Amiri"/>
          <w:color w:val="111111"/>
          <w:sz w:val="28"/>
          <w:sz w:val="28"/>
          <w:szCs w:val="28"/>
          <w:rtl w:val="true"/>
          <w:lang w:bidi="ar-SA"/>
        </w:rPr>
        <w:t>،لما نقله ابن بابويه،قال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الجفاء الاستنجاء باليمين</w:t>
      </w:r>
      <w:r>
        <w:rPr>
          <w:rFonts w:eastAsia="Amiri" w:cs="Amiri" w:ascii="Amiri" w:hAnsi="Amiri"/>
          <w:color w:val="111111"/>
          <w:sz w:val="28"/>
          <w:szCs w:val="28"/>
          <w:rtl w:val="true"/>
          <w:lang w:bidi="ar-SA"/>
        </w:rPr>
        <w:t xml:space="preserve">) </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الجمهور انّ النّبيّ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بال أحدكم فلا يمسّ ذكره بيمينه،و إذا خلى فلا يستنج بيمينه</w:t>
      </w:r>
      <w:r>
        <w:rPr>
          <w:rFonts w:eastAsia="Amiri" w:cs="Amiri" w:ascii="Amiri" w:hAnsi="Amiri"/>
          <w:color w:val="111111"/>
          <w:sz w:val="28"/>
          <w:szCs w:val="28"/>
          <w:rtl w:val="true"/>
          <w:lang w:bidi="ar-SA"/>
        </w:rPr>
        <w:t xml:space="preserve">) </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عائشة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يد رسول اللّه صلّى اللّه عليه و آله اليمنى لطعامه و طهوره،و يده اليسرى للاستنجاء </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النّبيّ صلّى اللّه عليه و آله استحبّ أن يجعل اليمنى،لما علا من الأمور </w:t>
      </w:r>
      <w:r>
        <w:rPr>
          <w:rFonts w:eastAsia="Amiri" w:cs="Amiri" w:ascii="Amiri" w:hAnsi="Amiri"/>
          <w:color w:val="111111"/>
          <w:sz w:val="28"/>
          <w:szCs w:val="28"/>
          <w:rtl w:val="true"/>
          <w:lang w:bidi="ar-SA"/>
        </w:rPr>
        <w:t xml:space="preserve">( </w:t>
      </w:r>
      <w:bookmarkStart w:id="855" w:name="pg12672_160000"/>
    </w:p>
    <w:p>
      <w:pPr>
        <w:pStyle w:val="BookText"/>
        <w:rPr/>
      </w:pPr>
      <w:bookmarkEnd w:id="855"/>
      <w:r>
        <w:rPr>
          <w:rFonts w:ascii="Amiri" w:hAnsi="Amiri" w:eastAsia="Amiri" w:cs="Amiri"/>
          <w:color w:val="111111"/>
          <w:sz w:val="28"/>
          <w:sz w:val="28"/>
          <w:szCs w:val="28"/>
          <w:rtl w:val="true"/>
          <w:lang w:bidi="ar-SA"/>
        </w:rPr>
        <w:t xml:space="preserve">و اليسرى لما دنا </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56" w:name="__RefHeading___Toc747299_222507752"/>
      <w:bookmarkStart w:id="857" w:name="_Toc340"/>
      <w:bookmarkEnd w:id="856"/>
      <w:r>
        <w:rPr>
          <w:rtl w:val="true"/>
        </w:rPr>
        <w:t>فروع</w:t>
      </w:r>
      <w:r>
        <w:rPr>
          <w:rtl w:val="true"/>
        </w:rPr>
        <w:t>:</w:t>
      </w:r>
      <w:bookmarkEnd w:id="857"/>
    </w:p>
    <w:p>
      <w:pPr>
        <w:pStyle w:val="Heading6"/>
        <w:numPr>
          <w:ilvl w:val="5"/>
          <w:numId w:val="1"/>
        </w:numPr>
        <w:rPr/>
      </w:pPr>
      <w:bookmarkStart w:id="858" w:name="__RefHeading___Toc747301_222507752"/>
      <w:bookmarkStart w:id="859" w:name="_Toc341"/>
      <w:bookmarkEnd w:id="858"/>
      <w:r>
        <w:rPr>
          <w:rtl w:val="true"/>
        </w:rPr>
        <w:t>الأوّل</w:t>
      </w:r>
      <w:r>
        <w:rPr>
          <w:rtl w:val="true"/>
        </w:rPr>
        <w:t>:</w:t>
      </w:r>
      <w:r>
        <w:rPr>
          <w:rtl w:val="true"/>
        </w:rPr>
        <w:t>لو استنجى بيمينه أجزأ،</w:t>
      </w:r>
      <w:bookmarkEnd w:id="859"/>
    </w:p>
    <w:p>
      <w:pPr>
        <w:pStyle w:val="BookText"/>
        <w:rPr/>
      </w:pPr>
      <w:r>
        <w:rPr>
          <w:rFonts w:ascii="Amiri" w:hAnsi="Amiri" w:eastAsia="Amiri" w:cs="Amiri"/>
          <w:color w:val="111111"/>
          <w:sz w:val="28"/>
          <w:sz w:val="28"/>
          <w:szCs w:val="28"/>
          <w:rtl w:val="true"/>
          <w:lang w:bidi="ar-SA"/>
        </w:rPr>
        <w:t xml:space="preserve">و ترك الأولى في قول العلماء،و حكي عن بعض الظّاهريّة عدم الإجزاء </w:t>
      </w:r>
      <w:r>
        <w:rPr>
          <w:rStyle w:val="FootnoteAnchor"/>
          <w:rtl w:val="true"/>
        </w:rPr>
        <w:footnoteReference w:id="1609"/>
      </w:r>
      <w:r>
        <w:rPr>
          <w:rFonts w:ascii="Amiri" w:hAnsi="Amiri" w:eastAsia="Amiri" w:cs="Amiri"/>
          <w:color w:val="111111"/>
          <w:sz w:val="28"/>
          <w:sz w:val="28"/>
          <w:szCs w:val="28"/>
          <w:rtl w:val="true"/>
          <w:lang w:bidi="ar-SA"/>
        </w:rPr>
        <w:t xml:space="preserve">للنّهي،و هو غلط،لأنّه نهي تنزيه </w:t>
      </w:r>
      <w:r>
        <w:rPr>
          <w:rFonts w:eastAsia="Amiri" w:cs="Amiri" w:ascii="Amiri" w:hAnsi="Amiri"/>
          <w:color w:val="111111"/>
          <w:sz w:val="28"/>
          <w:szCs w:val="28"/>
          <w:rtl w:val="true"/>
          <w:lang w:bidi="ar-SA"/>
        </w:rPr>
        <w:t>.</w:t>
      </w:r>
    </w:p>
    <w:p>
      <w:pPr>
        <w:pStyle w:val="Heading6"/>
        <w:numPr>
          <w:ilvl w:val="5"/>
          <w:numId w:val="1"/>
        </w:numPr>
        <w:rPr/>
      </w:pPr>
      <w:bookmarkStart w:id="860" w:name="__RefHeading___Toc747303_222507752"/>
      <w:bookmarkStart w:id="861" w:name="_Toc342"/>
      <w:bookmarkEnd w:id="860"/>
      <w:r>
        <w:rPr>
          <w:rtl w:val="true"/>
        </w:rPr>
        <w:t>الثّاني</w:t>
      </w:r>
      <w:r>
        <w:rPr>
          <w:rtl w:val="true"/>
        </w:rPr>
        <w:t>:</w:t>
      </w:r>
      <w:r>
        <w:rPr>
          <w:rtl w:val="true"/>
        </w:rPr>
        <w:t>لا يكره الاستعانة باليمنى،</w:t>
      </w:r>
      <w:bookmarkEnd w:id="861"/>
    </w:p>
    <w:p>
      <w:pPr>
        <w:pStyle w:val="BookText"/>
        <w:rPr/>
      </w:pPr>
      <w:r>
        <w:rPr>
          <w:rFonts w:ascii="Amiri" w:hAnsi="Amiri" w:eastAsia="Amiri" w:cs="Amiri"/>
          <w:color w:val="111111"/>
          <w:sz w:val="28"/>
          <w:sz w:val="28"/>
          <w:szCs w:val="28"/>
          <w:rtl w:val="true"/>
          <w:lang w:bidi="ar-SA"/>
        </w:rPr>
        <w:t xml:space="preserve">خلافا لبعض الشّافعيّة </w:t>
      </w:r>
      <w:r>
        <w:rPr>
          <w:rStyle w:val="FootnoteAnchor"/>
          <w:rtl w:val="true"/>
        </w:rPr>
        <w:footnoteReference w:id="1610"/>
      </w:r>
      <w:r>
        <w:rPr>
          <w:rFonts w:ascii="Amiri" w:hAnsi="Amiri" w:eastAsia="Amiri" w:cs="Amiri"/>
          <w:color w:val="111111"/>
          <w:sz w:val="28"/>
          <w:sz w:val="28"/>
          <w:szCs w:val="28"/>
          <w:rtl w:val="true"/>
          <w:lang w:bidi="ar-SA"/>
        </w:rPr>
        <w:t xml:space="preserve">،و ذلك بصبّ الماء أو غيره لعدم تناول النّهي له،و للحاجة إليه </w:t>
      </w:r>
      <w:r>
        <w:rPr>
          <w:rFonts w:eastAsia="Amiri" w:cs="Amiri" w:ascii="Amiri" w:hAnsi="Amiri"/>
          <w:color w:val="111111"/>
          <w:sz w:val="28"/>
          <w:szCs w:val="28"/>
          <w:rtl w:val="true"/>
          <w:lang w:bidi="ar-SA"/>
        </w:rPr>
        <w:t>.</w:t>
      </w:r>
    </w:p>
    <w:p>
      <w:pPr>
        <w:pStyle w:val="Heading6"/>
        <w:numPr>
          <w:ilvl w:val="5"/>
          <w:numId w:val="1"/>
        </w:numPr>
        <w:rPr/>
      </w:pPr>
      <w:bookmarkStart w:id="862" w:name="__RefHeading___Toc747305_222507752"/>
      <w:bookmarkStart w:id="863" w:name="_Toc343"/>
      <w:bookmarkEnd w:id="862"/>
      <w:r>
        <w:rPr>
          <w:rtl w:val="true"/>
        </w:rPr>
        <w:t>الثّالث</w:t>
      </w:r>
      <w:r>
        <w:rPr>
          <w:rtl w:val="true"/>
        </w:rPr>
        <w:t>:</w:t>
      </w:r>
      <w:r>
        <w:rPr>
          <w:rtl w:val="true"/>
        </w:rPr>
        <w:t>لا يكره الاستنجاء باليمين مع الحاجة</w:t>
      </w:r>
      <w:bookmarkEnd w:id="863"/>
    </w:p>
    <w:p>
      <w:pPr>
        <w:pStyle w:val="BookText"/>
        <w:rPr/>
      </w:pPr>
      <w:r>
        <w:rPr>
          <w:rFonts w:ascii="Amiri" w:hAnsi="Amiri" w:eastAsia="Amiri" w:cs="Amiri"/>
          <w:color w:val="111111"/>
          <w:sz w:val="28"/>
          <w:sz w:val="28"/>
          <w:szCs w:val="28"/>
          <w:rtl w:val="true"/>
          <w:lang w:bidi="ar-SA"/>
        </w:rPr>
        <w:t xml:space="preserve">كمرض اليسار و شبهه </w:t>
      </w:r>
      <w:r>
        <w:rPr>
          <w:rFonts w:eastAsia="Amiri" w:cs="Amiri" w:ascii="Amiri" w:hAnsi="Amiri"/>
          <w:color w:val="111111"/>
          <w:sz w:val="28"/>
          <w:szCs w:val="28"/>
          <w:rtl w:val="true"/>
          <w:lang w:bidi="ar-SA"/>
        </w:rPr>
        <w:t>.</w:t>
      </w:r>
    </w:p>
    <w:p>
      <w:pPr>
        <w:pStyle w:val="Heading6"/>
        <w:numPr>
          <w:ilvl w:val="5"/>
          <w:numId w:val="1"/>
        </w:numPr>
        <w:rPr/>
      </w:pPr>
      <w:bookmarkStart w:id="864" w:name="__RefHeading___Toc747307_222507752"/>
      <w:bookmarkStart w:id="865" w:name="_Toc344"/>
      <w:bookmarkEnd w:id="864"/>
      <w:r>
        <w:rPr>
          <w:rtl w:val="true"/>
        </w:rPr>
        <w:t>العاشر</w:t>
      </w:r>
      <w:r>
        <w:rPr>
          <w:rtl w:val="true"/>
        </w:rPr>
        <w:t>:</w:t>
      </w:r>
      <w:r>
        <w:rPr>
          <w:rtl w:val="true"/>
        </w:rPr>
        <w:t>الاستنجاء باليسار،و فيها خاتم عليه اسم من أسماء اللّه تعالى</w:t>
      </w:r>
      <w:bookmarkEnd w:id="865"/>
    </w:p>
    <w:p>
      <w:pPr>
        <w:pStyle w:val="BookText"/>
        <w:rPr/>
      </w:pPr>
      <w:r>
        <w:rPr>
          <w:rFonts w:ascii="Amiri" w:hAnsi="Amiri" w:eastAsia="Amiri" w:cs="Amiri"/>
          <w:color w:val="111111"/>
          <w:sz w:val="28"/>
          <w:sz w:val="28"/>
          <w:szCs w:val="28"/>
          <w:rtl w:val="true"/>
          <w:lang w:bidi="ar-SA"/>
        </w:rPr>
        <w:t>،أو أسماء أنبيائه،أو أحد الأئمّة عليهم السّلام،أو ما كان فصّه من حجر زمزم،فإن كان فيها شيء من ذلك فليحوّله،لما رواه عمّار السّاباطيّ،عن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 الجنب درهما و لا دينارا عليه اسم اللّه تعالى،و لا يستنجي و عليه خاتم فيه اسم اللّه تعالى،و لا يجامع و هو عليه،و لا يدخل المخرج و هو عليه</w:t>
      </w:r>
      <w:r>
        <w:rPr>
          <w:rFonts w:eastAsia="Amiri" w:cs="Amiri" w:ascii="Amiri" w:hAnsi="Amiri"/>
          <w:color w:val="111111"/>
          <w:sz w:val="28"/>
          <w:szCs w:val="28"/>
          <w:rtl w:val="true"/>
          <w:lang w:bidi="ar-SA"/>
        </w:rPr>
        <w:t xml:space="preserve">) </w:t>
      </w:r>
      <w:r>
        <w:rPr>
          <w:rStyle w:val="FootnoteAnchor"/>
          <w:rtl w:val="true"/>
        </w:rPr>
        <w:footnoteReference w:id="1611"/>
      </w:r>
      <w:r>
        <w:rPr>
          <w:rFonts w:ascii="Amiri" w:hAnsi="Amiri" w:eastAsia="Amiri" w:cs="Amiri"/>
          <w:color w:val="111111"/>
          <w:sz w:val="28"/>
          <w:sz w:val="28"/>
          <w:szCs w:val="28"/>
          <w:rtl w:val="true"/>
          <w:lang w:bidi="ar-SA"/>
        </w:rPr>
        <w:t>،و لأنّ فيه إجلالا للّه تعالى و تعظيما،فكان ذلك مناسبا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يعارض بما روى الشّيخ عن وهب بن وهب،عن أبي عبد اللّه عليه السّلام،قال</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نقش خاتم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العزّة للّه جميعا،و كان في يساره يستنجي بها،و كان نقش خاتم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للّه،و كان في يده اليسرى يستنجي بها</w:t>
      </w:r>
      <w:r>
        <w:rPr>
          <w:rFonts w:eastAsia="Amiri" w:cs="Amiri" w:ascii="Amiri" w:hAnsi="Amiri"/>
          <w:color w:val="111111"/>
          <w:sz w:val="28"/>
          <w:szCs w:val="28"/>
          <w:rtl w:val="true"/>
          <w:lang w:bidi="ar-SA"/>
        </w:rPr>
        <w:t xml:space="preserve">) </w:t>
      </w:r>
      <w:r>
        <w:rPr>
          <w:rStyle w:val="FootnoteAnchor"/>
          <w:rtl w:val="true"/>
        </w:rPr>
        <w:footnoteReference w:id="1612"/>
      </w:r>
      <w:r>
        <w:rPr>
          <w:rFonts w:ascii="Amiri" w:hAnsi="Amiri" w:eastAsia="Amiri" w:cs="Amiri"/>
          <w:color w:val="111111"/>
          <w:sz w:val="28"/>
          <w:sz w:val="28"/>
          <w:szCs w:val="28"/>
          <w:rtl w:val="true"/>
          <w:lang w:bidi="ar-SA"/>
        </w:rPr>
        <w:t>و لا بما رواه عن أبي القاسم،عن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يريد الخلاء و عليه خاتم فيه </w:t>
      </w:r>
      <w:bookmarkStart w:id="866" w:name="pg12672_160001"/>
    </w:p>
    <w:p>
      <w:pPr>
        <w:pStyle w:val="BookText"/>
        <w:rPr/>
      </w:pPr>
      <w:bookmarkEnd w:id="866"/>
      <w:r>
        <w:rPr>
          <w:rFonts w:ascii="Amiri" w:hAnsi="Amiri" w:eastAsia="Amiri" w:cs="Amiri"/>
          <w:color w:val="111111"/>
          <w:sz w:val="28"/>
          <w:sz w:val="28"/>
          <w:szCs w:val="28"/>
          <w:rtl w:val="true"/>
          <w:lang w:bidi="ar-SA"/>
        </w:rPr>
        <w:t>اسم اللّه تعالى؟فقال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اسم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613"/>
      </w:r>
      <w:r>
        <w:rPr>
          <w:rFonts w:ascii="Amiri" w:hAnsi="Amiri" w:eastAsia="Amiri" w:cs="Amiri"/>
          <w:color w:val="111111"/>
          <w:sz w:val="28"/>
          <w:sz w:val="28"/>
          <w:szCs w:val="28"/>
          <w:rtl w:val="true"/>
          <w:lang w:bidi="ar-SA"/>
        </w:rPr>
        <w:t>لأنّ وهب بن وهب كذّاب عاميّ المذهب،فلا يعوّل على روايته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الرّواية الثّانية،فإنّ رواتها لا يعرف حالهم،و في طريقها ابن زياد </w:t>
      </w:r>
      <w:r>
        <w:rPr>
          <w:rStyle w:val="FootnoteAnchor"/>
          <w:rtl w:val="true"/>
        </w:rPr>
        <w:footnoteReference w:id="1614"/>
      </w:r>
      <w:r>
        <w:rPr>
          <w:rFonts w:ascii="Amiri" w:hAnsi="Amiri" w:eastAsia="Amiri" w:cs="Amiri"/>
          <w:color w:val="111111"/>
          <w:sz w:val="28"/>
          <w:sz w:val="28"/>
          <w:szCs w:val="28"/>
          <w:rtl w:val="true"/>
          <w:lang w:bidi="ar-SA"/>
        </w:rPr>
        <w:t xml:space="preserve">،فإن كان سهلا فهو ضعيف،على انّها لا تدلّ على الملاقاة بل إنّما تدلّ على الدّخول باستصحاب الخاتم </w:t>
      </w:r>
      <w:r>
        <w:rPr>
          <w:rFonts w:eastAsia="Amiri" w:cs="Amiri" w:ascii="Amiri" w:hAnsi="Amiri"/>
          <w:color w:val="111111"/>
          <w:sz w:val="28"/>
          <w:szCs w:val="28"/>
          <w:rtl w:val="true"/>
          <w:lang w:bidi="ar-SA"/>
        </w:rPr>
        <w:t>.</w:t>
      </w:r>
    </w:p>
    <w:p>
      <w:pPr>
        <w:pStyle w:val="Heading6"/>
        <w:numPr>
          <w:ilvl w:val="5"/>
          <w:numId w:val="1"/>
        </w:numPr>
        <w:rPr/>
      </w:pPr>
      <w:bookmarkStart w:id="867" w:name="__RefHeading___Toc747309_222507752"/>
      <w:bookmarkStart w:id="868" w:name="_Toc345"/>
      <w:bookmarkEnd w:id="867"/>
      <w:r>
        <w:rPr>
          <w:rtl w:val="true"/>
        </w:rPr>
        <w:t>الحادي عشر</w:t>
      </w:r>
      <w:r>
        <w:rPr>
          <w:rtl w:val="true"/>
        </w:rPr>
        <w:t>:</w:t>
      </w:r>
      <w:r>
        <w:rPr>
          <w:rtl w:val="true"/>
        </w:rPr>
        <w:t>الأكل و الشّرب على حال الخلاء</w:t>
      </w:r>
      <w:bookmarkEnd w:id="868"/>
    </w:p>
    <w:p>
      <w:pPr>
        <w:pStyle w:val="BookText"/>
        <w:rPr/>
      </w:pPr>
      <w:r>
        <w:rPr>
          <w:rFonts w:ascii="Amiri" w:hAnsi="Amiri" w:eastAsia="Amiri" w:cs="Amiri"/>
          <w:color w:val="111111"/>
          <w:sz w:val="28"/>
          <w:sz w:val="28"/>
          <w:szCs w:val="28"/>
          <w:rtl w:val="true"/>
          <w:lang w:bidi="ar-SA"/>
        </w:rPr>
        <w:t>،لما روى ابن بابويه في كتابه،قال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أبو جعفر الباقر عليه السّلام الخلاء فوجد لقمة خبز في القذر فأخذها و غسلها و دفعها إلى مملوك معه،و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معك لآكلها إذا خرجت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خرج عليه السّلام،قال للمملوك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اللّقمة؟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أكلتها يا ابن رسول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ما استقرّت في جوف أحد إلاّ وجبت له الجنّة فاذهب فأنت حرّ لوجه اللّه،فإنّي،أكره أن أستخدم رجلا من أهل الجنّة</w:t>
      </w:r>
      <w:r>
        <w:rPr>
          <w:rFonts w:eastAsia="Amiri" w:cs="Amiri" w:ascii="Amiri" w:hAnsi="Amiri"/>
          <w:color w:val="111111"/>
          <w:sz w:val="28"/>
          <w:szCs w:val="28"/>
          <w:rtl w:val="true"/>
          <w:lang w:bidi="ar-SA"/>
        </w:rPr>
        <w:t xml:space="preserve">) </w:t>
      </w:r>
      <w:r>
        <w:rPr>
          <w:rStyle w:val="FootnoteAnchor"/>
          <w:rtl w:val="true"/>
        </w:rPr>
        <w:footnoteReference w:id="1615"/>
      </w:r>
      <w:r>
        <w:rPr>
          <w:rFonts w:ascii="Amiri" w:hAnsi="Amiri" w:eastAsia="Amiri" w:cs="Amiri"/>
          <w:color w:val="111111"/>
          <w:sz w:val="28"/>
          <w:sz w:val="28"/>
          <w:szCs w:val="28"/>
          <w:rtl w:val="true"/>
          <w:lang w:bidi="ar-SA"/>
        </w:rPr>
        <w:t xml:space="preserve">،فتأخيره عليه السّلام لأكلها مع ما فيه من الثّواب الوافر،دالّ على كراهيّة الأكل حينئذ خصوصا لما علّق الأكل بالخروج </w:t>
      </w:r>
      <w:r>
        <w:rPr>
          <w:rFonts w:eastAsia="Amiri" w:cs="Amiri" w:ascii="Amiri" w:hAnsi="Amiri"/>
          <w:color w:val="111111"/>
          <w:sz w:val="28"/>
          <w:szCs w:val="28"/>
          <w:rtl w:val="true"/>
          <w:lang w:bidi="ar-SA"/>
        </w:rPr>
        <w:t>.</w:t>
      </w:r>
    </w:p>
    <w:p>
      <w:pPr>
        <w:pStyle w:val="Heading6"/>
        <w:numPr>
          <w:ilvl w:val="5"/>
          <w:numId w:val="1"/>
        </w:numPr>
        <w:rPr/>
      </w:pPr>
      <w:bookmarkStart w:id="869" w:name="__RefHeading___Toc747311_222507752"/>
      <w:bookmarkStart w:id="870" w:name="_Toc346"/>
      <w:bookmarkEnd w:id="869"/>
      <w:r>
        <w:rPr>
          <w:rtl w:val="true"/>
        </w:rPr>
        <w:t>الثّاني عشر</w:t>
      </w:r>
      <w:r>
        <w:rPr>
          <w:rtl w:val="true"/>
        </w:rPr>
        <w:t>:</w:t>
      </w:r>
      <w:r>
        <w:rPr>
          <w:rtl w:val="true"/>
        </w:rPr>
        <w:t>الحدث على شطوط الأنهار و رءوس الآبار</w:t>
      </w:r>
      <w:bookmarkEnd w:id="870"/>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قدّمناه من الحديثين </w:t>
      </w:r>
      <w:r>
        <w:rPr>
          <w:rStyle w:val="FootnoteAnchor"/>
          <w:rtl w:val="true"/>
        </w:rPr>
        <w:footnoteReference w:id="1616"/>
      </w:r>
      <w:r>
        <w:rPr>
          <w:rFonts w:ascii="Amiri" w:hAnsi="Amiri" w:eastAsia="Amiri" w:cs="Amiri"/>
          <w:color w:val="111111"/>
          <w:sz w:val="28"/>
          <w:sz w:val="28"/>
          <w:szCs w:val="28"/>
          <w:rtl w:val="true"/>
          <w:lang w:bidi="ar-SA"/>
        </w:rPr>
        <w:t>،و لما رواه الشّيخ عن السّكونيّ،عن جعفر،عن أبيه،عن آبائه،قال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صلّى اللّه عليه و آله أن يتغوّط على شفير بئر ماء يستعذب منها أو نهر يستعذب أو تحت شجرة فيها ثمرتها</w:t>
      </w:r>
      <w:r>
        <w:rPr>
          <w:rFonts w:eastAsia="Amiri" w:cs="Amiri" w:ascii="Amiri" w:hAnsi="Amiri"/>
          <w:color w:val="111111"/>
          <w:sz w:val="28"/>
          <w:szCs w:val="28"/>
          <w:rtl w:val="true"/>
          <w:lang w:bidi="ar-SA"/>
        </w:rPr>
        <w:t xml:space="preserve">)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 xml:space="preserve">. </w:t>
      </w:r>
      <w:bookmarkStart w:id="871" w:name="pg12672_160002"/>
    </w:p>
    <w:p>
      <w:pPr>
        <w:pStyle w:val="Heading6"/>
        <w:numPr>
          <w:ilvl w:val="5"/>
          <w:numId w:val="1"/>
        </w:numPr>
        <w:rPr/>
      </w:pPr>
      <w:bookmarkStart w:id="872" w:name="__RefHeading___Toc747313_222507752"/>
      <w:bookmarkStart w:id="873" w:name="_Toc347"/>
      <w:bookmarkEnd w:id="871"/>
      <w:bookmarkEnd w:id="872"/>
      <w:r>
        <w:rPr>
          <w:rtl w:val="true"/>
        </w:rPr>
        <w:t>الثّالث عشر</w:t>
      </w:r>
      <w:r>
        <w:rPr>
          <w:rtl w:val="true"/>
        </w:rPr>
        <w:t>:</w:t>
      </w:r>
      <w:r>
        <w:rPr>
          <w:rtl w:val="true"/>
        </w:rPr>
        <w:t>طول الجلوس على الخلاء</w:t>
      </w:r>
      <w:bookmarkEnd w:id="873"/>
    </w:p>
    <w:p>
      <w:pPr>
        <w:pStyle w:val="BookText"/>
        <w:rPr/>
      </w:pPr>
      <w:r>
        <w:rPr>
          <w:rFonts w:ascii="Amiri" w:hAnsi="Amiri" w:eastAsia="Amiri" w:cs="Amiri"/>
          <w:color w:val="111111"/>
          <w:sz w:val="28"/>
          <w:sz w:val="28"/>
          <w:szCs w:val="28"/>
          <w:rtl w:val="true"/>
          <w:lang w:bidi="ar-SA"/>
        </w:rPr>
        <w:t>،لما رواه أبو جعفر بن بابويه،عن الصّادق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 الجلوس على الخلاء يورث الباسور</w:t>
      </w:r>
      <w:r>
        <w:rPr>
          <w:rFonts w:eastAsia="Amiri" w:cs="Amiri" w:ascii="Amiri" w:hAnsi="Amiri"/>
          <w:color w:val="111111"/>
          <w:sz w:val="28"/>
          <w:szCs w:val="28"/>
          <w:rtl w:val="true"/>
          <w:lang w:bidi="ar-SA"/>
        </w:rPr>
        <w:t xml:space="preserve">) </w:t>
      </w:r>
      <w:r>
        <w:rPr>
          <w:rStyle w:val="FootnoteAnchor"/>
          <w:rtl w:val="true"/>
        </w:rPr>
        <w:footnoteReference w:id="1618"/>
      </w:r>
      <w:r>
        <w:rPr>
          <w:rFonts w:ascii="Amiri" w:hAnsi="Amiri" w:eastAsia="Amiri" w:cs="Amiri"/>
          <w:color w:val="111111"/>
          <w:sz w:val="28"/>
          <w:sz w:val="28"/>
          <w:szCs w:val="28"/>
          <w:rtl w:val="true"/>
          <w:lang w:bidi="ar-SA"/>
        </w:rPr>
        <w:t>و رواه الشّيخ أبو جعفر الطّوسيّ،عن محمّد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لقمان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طول الجلوس على الخلاء يورث الباسور،قال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هذا على باب الحشّ</w:t>
      </w:r>
      <w:r>
        <w:rPr>
          <w:rFonts w:eastAsia="Amiri" w:cs="Amiri" w:ascii="Amiri" w:hAnsi="Amiri"/>
          <w:color w:val="111111"/>
          <w:sz w:val="28"/>
          <w:szCs w:val="28"/>
          <w:rtl w:val="true"/>
          <w:lang w:bidi="ar-SA"/>
        </w:rPr>
        <w:t xml:space="preserve">) </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74" w:name="__RefHeading___Toc747315_222507752"/>
      <w:bookmarkStart w:id="875" w:name="_Toc348"/>
      <w:bookmarkEnd w:id="874"/>
      <w:r>
        <w:rPr>
          <w:rtl w:val="true"/>
        </w:rPr>
        <w:t>الرّابع عشر</w:t>
      </w:r>
      <w:r>
        <w:rPr>
          <w:rtl w:val="true"/>
        </w:rPr>
        <w:t>:</w:t>
      </w:r>
      <w:r>
        <w:rPr>
          <w:rtl w:val="true"/>
        </w:rPr>
        <w:t>أن يمسّ الرّجل ذكره بيمينه عند البول</w:t>
      </w:r>
      <w:bookmarkEnd w:id="875"/>
    </w:p>
    <w:p>
      <w:pPr>
        <w:pStyle w:val="BookText"/>
        <w:rPr/>
      </w:pPr>
      <w:r>
        <w:rPr>
          <w:rFonts w:ascii="Amiri" w:hAnsi="Amiri" w:eastAsia="Amiri" w:cs="Amiri"/>
          <w:color w:val="111111"/>
          <w:sz w:val="28"/>
          <w:sz w:val="28"/>
          <w:szCs w:val="28"/>
          <w:rtl w:val="true"/>
          <w:lang w:bidi="ar-SA"/>
        </w:rPr>
        <w:t>،لما رواه ابن بابويه عن الباقر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بال الرّجل فلا يمسّ ذكره بيمينه</w:t>
      </w:r>
      <w:r>
        <w:rPr>
          <w:rFonts w:eastAsia="Amiri" w:cs="Amiri" w:ascii="Amiri" w:hAnsi="Amiri"/>
          <w:color w:val="111111"/>
          <w:sz w:val="28"/>
          <w:szCs w:val="28"/>
          <w:rtl w:val="true"/>
          <w:lang w:bidi="ar-SA"/>
        </w:rPr>
        <w:t xml:space="preserve">)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76" w:name="__RefHeading___Toc747317_222507752"/>
      <w:bookmarkStart w:id="877" w:name="_Toc349"/>
      <w:bookmarkEnd w:id="876"/>
      <w:r>
        <w:rPr>
          <w:rtl w:val="true"/>
        </w:rPr>
        <w:t>الخامس عشر</w:t>
      </w:r>
      <w:r>
        <w:rPr>
          <w:rtl w:val="true"/>
        </w:rPr>
        <w:t>:</w:t>
      </w:r>
      <w:r>
        <w:rPr>
          <w:rtl w:val="true"/>
        </w:rPr>
        <w:t>يكره استصحاب دراهم بيض</w:t>
      </w:r>
      <w:bookmarkEnd w:id="877"/>
    </w:p>
    <w:p>
      <w:pPr>
        <w:pStyle w:val="BookText"/>
        <w:rPr/>
      </w:pPr>
      <w:r>
        <w:rPr>
          <w:rFonts w:ascii="Amiri" w:hAnsi="Amiri" w:eastAsia="Amiri" w:cs="Amiri"/>
          <w:color w:val="111111"/>
          <w:sz w:val="28"/>
          <w:sz w:val="28"/>
          <w:szCs w:val="28"/>
          <w:rtl w:val="true"/>
          <w:lang w:bidi="ar-SA"/>
        </w:rPr>
        <w:t xml:space="preserve">،لما رواه الشّيخ عن غياث،عن جعفر،عن أبيه عليه السّلام،انّه كره أن يدخل الخلاء و معه درهم أبيض </w:t>
      </w:r>
      <w:r>
        <w:rPr>
          <w:rStyle w:val="FootnoteAnchor"/>
          <w:rtl w:val="true"/>
        </w:rPr>
        <w:footnoteReference w:id="1621"/>
      </w:r>
      <w:r>
        <w:rPr>
          <w:rFonts w:ascii="Amiri" w:hAnsi="Amiri" w:eastAsia="Amiri" w:cs="Amiri"/>
          <w:color w:val="111111"/>
          <w:sz w:val="28"/>
          <w:sz w:val="28"/>
          <w:szCs w:val="28"/>
          <w:rtl w:val="true"/>
          <w:lang w:bidi="ar-SA"/>
        </w:rPr>
        <w:t xml:space="preserve">إلاّ أن يكون مصرورا </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78" w:name="__RefHeading___Toc747319_222507752"/>
      <w:bookmarkStart w:id="879" w:name="_Toc350"/>
      <w:bookmarkEnd w:id="878"/>
      <w:r>
        <w:rPr>
          <w:rtl w:val="true"/>
        </w:rPr>
        <w:t>مسألة</w:t>
      </w:r>
      <w:r>
        <w:rPr>
          <w:rtl w:val="true"/>
        </w:rPr>
        <w:t>:</w:t>
      </w:r>
      <w:r>
        <w:rPr>
          <w:rtl w:val="true"/>
        </w:rPr>
        <w:t>يستحبّ لطالب الحدث أشياء</w:t>
      </w:r>
      <w:r>
        <w:rPr>
          <w:rtl w:val="true"/>
        </w:rPr>
        <w:t>:</w:t>
      </w:r>
      <w:bookmarkEnd w:id="879"/>
    </w:p>
    <w:p>
      <w:pPr>
        <w:pStyle w:val="Heading6"/>
        <w:numPr>
          <w:ilvl w:val="5"/>
          <w:numId w:val="1"/>
        </w:numPr>
        <w:rPr/>
      </w:pPr>
      <w:bookmarkStart w:id="880" w:name="__RefHeading___Toc747321_222507752"/>
      <w:bookmarkStart w:id="881" w:name="_Toc351"/>
      <w:bookmarkEnd w:id="880"/>
      <w:r>
        <w:rPr>
          <w:rtl w:val="true"/>
        </w:rPr>
        <w:t>الأوّل</w:t>
      </w:r>
      <w:r>
        <w:rPr>
          <w:rtl w:val="true"/>
        </w:rPr>
        <w:t>:</w:t>
      </w:r>
      <w:r>
        <w:rPr>
          <w:rtl w:val="true"/>
        </w:rPr>
        <w:t>تغطية الرّأس عند دخول الخلاء</w:t>
      </w:r>
      <w:bookmarkEnd w:id="881"/>
    </w:p>
    <w:p>
      <w:pPr>
        <w:pStyle w:val="BookText"/>
        <w:rPr/>
      </w:pPr>
      <w:r>
        <w:rPr>
          <w:rFonts w:ascii="Amiri" w:hAnsi="Amiri" w:eastAsia="Amiri" w:cs="Amiri"/>
          <w:color w:val="111111"/>
          <w:sz w:val="28"/>
          <w:sz w:val="28"/>
          <w:szCs w:val="28"/>
          <w:rtl w:val="true"/>
          <w:lang w:bidi="ar-SA"/>
        </w:rPr>
        <w:t xml:space="preserve">،لما رواه الشّيخ عن عليّ بن أسباط </w:t>
      </w:r>
      <w:r>
        <w:rPr>
          <w:rStyle w:val="FootnoteAnchor"/>
          <w:rtl w:val="true"/>
        </w:rPr>
        <w:footnoteReference w:id="1623"/>
      </w:r>
      <w:r>
        <w:rPr>
          <w:rFonts w:ascii="Amiri" w:hAnsi="Amiri" w:eastAsia="Amiri" w:cs="Amiri"/>
          <w:color w:val="111111"/>
          <w:sz w:val="28"/>
          <w:sz w:val="28"/>
          <w:szCs w:val="28"/>
          <w:rtl w:val="true"/>
          <w:lang w:bidi="ar-SA"/>
        </w:rPr>
        <w:t>أو رجل عنه،عمّن رواه عن أبي عبد اللّه عليه السّلام انّه كان إذا دخل الكنيف،يقنّع رأسه، و يقول سرّا في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w:t>
      </w:r>
      <w:r>
        <w:rPr>
          <w:rFonts w:eastAsia="Amiri" w:cs="Amiri" w:ascii="Amiri" w:hAnsi="Amiri"/>
          <w:color w:val="111111"/>
          <w:sz w:val="28"/>
          <w:szCs w:val="28"/>
          <w:rtl w:val="true"/>
          <w:lang w:bidi="ar-SA"/>
        </w:rPr>
        <w:t xml:space="preserve">) </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انّها من سنن النّبيّ صلّى اللّه عليه و آله </w:t>
      </w:r>
      <w:r>
        <w:rPr>
          <w:rStyle w:val="FootnoteAnchor"/>
          <w:rtl w:val="true"/>
        </w:rPr>
        <w:footnoteReference w:id="16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 لا يؤمن من وصول الرّائحة </w:t>
      </w:r>
      <w:bookmarkStart w:id="882" w:name="pg12672_160003"/>
    </w:p>
    <w:p>
      <w:pPr>
        <w:pStyle w:val="BookText"/>
        <w:rPr/>
      </w:pPr>
      <w:bookmarkEnd w:id="882"/>
      <w:r>
        <w:rPr>
          <w:rFonts w:ascii="Amiri" w:hAnsi="Amiri" w:eastAsia="Amiri" w:cs="Amiri"/>
          <w:color w:val="111111"/>
          <w:sz w:val="28"/>
          <w:sz w:val="28"/>
          <w:szCs w:val="28"/>
          <w:rtl w:val="true"/>
          <w:lang w:bidi="ar-SA"/>
        </w:rPr>
        <w:t xml:space="preserve">إلى دماغه مع الكشف </w:t>
      </w:r>
      <w:r>
        <w:rPr>
          <w:rFonts w:eastAsia="Amiri" w:cs="Amiri" w:ascii="Amiri" w:hAnsi="Amiri"/>
          <w:color w:val="111111"/>
          <w:sz w:val="28"/>
          <w:szCs w:val="28"/>
          <w:rtl w:val="true"/>
          <w:lang w:bidi="ar-SA"/>
        </w:rPr>
        <w:t>.</w:t>
      </w:r>
    </w:p>
    <w:p>
      <w:pPr>
        <w:pStyle w:val="Heading6"/>
        <w:numPr>
          <w:ilvl w:val="5"/>
          <w:numId w:val="1"/>
        </w:numPr>
        <w:rPr/>
      </w:pPr>
      <w:bookmarkStart w:id="883" w:name="__RefHeading___Toc747323_222507752"/>
      <w:bookmarkStart w:id="884" w:name="_Toc352"/>
      <w:bookmarkEnd w:id="883"/>
      <w:r>
        <w:rPr>
          <w:rtl w:val="true"/>
        </w:rPr>
        <w:t>الثّاني</w:t>
      </w:r>
      <w:r>
        <w:rPr>
          <w:rtl w:val="true"/>
        </w:rPr>
        <w:t>:</w:t>
      </w:r>
      <w:r>
        <w:rPr>
          <w:rtl w:val="true"/>
        </w:rPr>
        <w:t>يستحبّ التّسمية عند الدّخول</w:t>
      </w:r>
      <w:bookmarkEnd w:id="884"/>
    </w:p>
    <w:p>
      <w:pPr>
        <w:pStyle w:val="BookText"/>
        <w:rPr/>
      </w:pPr>
      <w:r>
        <w:rPr>
          <w:rFonts w:ascii="Amiri" w:hAnsi="Amiri" w:eastAsia="Amiri" w:cs="Amiri"/>
          <w:color w:val="111111"/>
          <w:sz w:val="28"/>
          <w:sz w:val="28"/>
          <w:szCs w:val="28"/>
          <w:rtl w:val="true"/>
          <w:lang w:bidi="ar-SA"/>
        </w:rPr>
        <w:t>،لرواية عليّ بن أسباط،و لما رواه الشّيخ في الصّحيح،عن معاوية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 المخرج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اللّهم إنّي أعوذ بك من الخبيث المخبث الرّجس النّجس الشّيطان الرّجيم،و إذا خرجت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اللّه،الحمد للّه الّذي عافاني من الخبيث المخبث،و أماط عنّي الأذى،و إذا توضّأت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اللّه،اللّهمّ اجعلني من التّوّابين و اجعلني من المتطهّرين و 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85" w:name="__RefHeading___Toc747325_222507752"/>
      <w:bookmarkStart w:id="886" w:name="_Toc353"/>
      <w:bookmarkEnd w:id="885"/>
      <w:r>
        <w:rPr>
          <w:rtl w:val="true"/>
        </w:rPr>
        <w:t>الثّالث</w:t>
      </w:r>
      <w:r>
        <w:rPr>
          <w:rtl w:val="true"/>
        </w:rPr>
        <w:t>:</w:t>
      </w:r>
      <w:r>
        <w:rPr>
          <w:rtl w:val="true"/>
        </w:rPr>
        <w:t>الدّعاء عند دخول الخلاء و الخروج منه و عند الاستنجاء و الفراغ منه</w:t>
      </w:r>
      <w:bookmarkEnd w:id="886"/>
    </w:p>
    <w:p>
      <w:pPr>
        <w:pStyle w:val="BookText"/>
        <w:rPr/>
      </w:pPr>
      <w:r>
        <w:rPr>
          <w:rFonts w:ascii="Amiri" w:hAnsi="Amiri" w:eastAsia="Amiri" w:cs="Amiri"/>
          <w:color w:val="111111"/>
          <w:sz w:val="28"/>
          <w:sz w:val="28"/>
          <w:szCs w:val="28"/>
          <w:rtl w:val="true"/>
          <w:lang w:bidi="ar-SA"/>
        </w:rPr>
        <w:t>،لما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عليّ بن أبي حمزة،عن أبي بصير،عن أحدهما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 الغائط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من الرّجس النّجس الخبيث المخبث الشّيطان الرّجيم،فإذا فرغت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عافاني من البلاء،و أماط عنّي الأذى</w:t>
      </w:r>
      <w:r>
        <w:rPr>
          <w:rFonts w:eastAsia="Amiri" w:cs="Amiri" w:ascii="Amiri" w:hAnsi="Amiri"/>
          <w:color w:val="111111"/>
          <w:sz w:val="28"/>
          <w:szCs w:val="28"/>
          <w:rtl w:val="true"/>
          <w:lang w:bidi="ar-SA"/>
        </w:rPr>
        <w:t xml:space="preserve">) </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عن الحسين بن سعيد،عن محمّد بن الحسين </w:t>
      </w:r>
      <w:r>
        <w:rPr>
          <w:rStyle w:val="FootnoteAnchor"/>
          <w:rtl w:val="true"/>
        </w:rPr>
        <w:footnoteReference w:id="1628"/>
      </w:r>
      <w:r>
        <w:rPr>
          <w:rFonts w:ascii="Amiri" w:hAnsi="Amiri" w:eastAsia="Amiri" w:cs="Amiri"/>
          <w:color w:val="111111"/>
          <w:sz w:val="28"/>
          <w:sz w:val="28"/>
          <w:szCs w:val="28"/>
          <w:rtl w:val="true"/>
          <w:lang w:bidi="ar-SA"/>
        </w:rPr>
        <w:t>،عن الحسن بن عليّ،عن أبيه،عن آبائه،عن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انكشف أحدكم لبول أو غير ذلك فليقل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اللّه،فإنّ الشّيطان يغضّ بصره</w:t>
      </w:r>
      <w:r>
        <w:rPr>
          <w:rFonts w:eastAsia="Amiri" w:cs="Amiri" w:ascii="Amiri" w:hAnsi="Amiri"/>
          <w:color w:val="111111"/>
          <w:sz w:val="28"/>
          <w:szCs w:val="28"/>
          <w:rtl w:val="true"/>
          <w:lang w:bidi="ar-SA"/>
        </w:rPr>
        <w:t xml:space="preserve">) </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في الصّحيح عن عبد اللّه بن ميمون القدّاح </w:t>
      </w:r>
      <w:r>
        <w:rPr>
          <w:rStyle w:val="FootnoteAnchor"/>
          <w:rtl w:val="true"/>
        </w:rPr>
        <w:footnoteReference w:id="1630"/>
      </w:r>
      <w:r>
        <w:rPr>
          <w:rFonts w:ascii="Amiri" w:hAnsi="Amiri" w:eastAsia="Amiri" w:cs="Amiri"/>
          <w:color w:val="111111"/>
          <w:sz w:val="28"/>
          <w:sz w:val="28"/>
          <w:szCs w:val="28"/>
          <w:rtl w:val="true"/>
          <w:lang w:bidi="ar-SA"/>
        </w:rPr>
        <w:t>،عن أبي عبد اللّه عليه السّلام، عن آبائه،عن عليّ عليه السّلام،انّه كان إذا خرج من الخلاء،قال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w:t>
      </w:r>
      <w:bookmarkStart w:id="887" w:name="pg12672_160004"/>
    </w:p>
    <w:p>
      <w:pPr>
        <w:pStyle w:val="BookText"/>
        <w:rPr/>
      </w:pPr>
      <w:bookmarkEnd w:id="887"/>
      <w:r>
        <w:rPr>
          <w:rFonts w:ascii="Amiri" w:hAnsi="Amiri" w:eastAsia="Amiri" w:cs="Amiri"/>
          <w:color w:val="111111"/>
          <w:sz w:val="28"/>
          <w:sz w:val="28"/>
          <w:szCs w:val="28"/>
          <w:rtl w:val="true"/>
          <w:lang w:bidi="ar-SA"/>
        </w:rPr>
        <w:t>رزقني لذّته،و أبقى قوّته في جسدي و أخرج عنّي أذاه،يا لها 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ثلاثا </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بابويه،عن رسول اللّه صلّى اللّه عليه و آله،انّه كان إذا أراد دخول المتوّضأ،قال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الرّجس النّجس الخبيث المخبث الشّيطان الرّجيم، اللّهمّ أمط عنّي الأذى و أعذني من الشّيطان الرّجيم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استوى جالسا للوضوء،قال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أذهب عنّي القذى و الأذى و اجعلني من المتطهّرين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تزحّر،قال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كما أطعمتنيه طيّبا في عافية فأخرجه منّي خبيثا في عافية</w:t>
      </w:r>
      <w:r>
        <w:rPr>
          <w:rFonts w:eastAsia="Amiri" w:cs="Amiri" w:ascii="Amiri" w:hAnsi="Amiri"/>
          <w:color w:val="111111"/>
          <w:sz w:val="28"/>
          <w:szCs w:val="28"/>
          <w:rtl w:val="true"/>
          <w:lang w:bidi="ar-SA"/>
        </w:rPr>
        <w:t xml:space="preserve">)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أيضا،عنه عليه السّلام </w:t>
      </w:r>
      <w:r>
        <w:rPr>
          <w:rStyle w:val="FootnoteAnchor"/>
          <w:rtl w:val="true"/>
        </w:rPr>
        <w:footnoteReference w:id="1633"/>
      </w:r>
      <w:r>
        <w:rPr>
          <w:rFonts w:ascii="Amiri" w:hAnsi="Amiri" w:eastAsia="Amiri" w:cs="Amiri"/>
          <w:color w:val="111111"/>
          <w:sz w:val="28"/>
          <w:sz w:val="28"/>
          <w:szCs w:val="28"/>
          <w:rtl w:val="true"/>
          <w:lang w:bidi="ar-SA"/>
        </w:rPr>
        <w:t>،انّه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إلاّ و به ملك موكّل يلوي عنقه حتّى ينظر إلى حدثه ثمَّ يقول له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آدم هذا رزقك،فانظر من أين أخذته،و إلى ما صار؟فعند ذلك ينبغي للعبد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ارزقني من الحلال و جنّبني الحرام</w:t>
      </w:r>
      <w:r>
        <w:rPr>
          <w:rFonts w:eastAsia="Amiri" w:cs="Amiri" w:ascii="Amiri" w:hAnsi="Amiri"/>
          <w:color w:val="111111"/>
          <w:sz w:val="28"/>
          <w:szCs w:val="28"/>
          <w:rtl w:val="true"/>
          <w:lang w:bidi="ar-SA"/>
        </w:rPr>
        <w:t xml:space="preserve">) </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أمير المؤمنين عليه السّلام إذا أراد الحاجة وقف على باب المتوضّأ ثمَّ التفت عن يمينه و يساره إلى ملكيه،فيقول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أميطا عنّي فلكما اللّه عليّ أن </w:t>
      </w:r>
      <w:r>
        <w:rPr>
          <w:rStyle w:val="FootnoteAnchor"/>
          <w:rtl w:val="true"/>
        </w:rPr>
        <w:footnoteReference w:id="1635"/>
      </w:r>
      <w:r>
        <w:rPr>
          <w:rFonts w:ascii="Amiri" w:hAnsi="Amiri" w:eastAsia="Amiri" w:cs="Amiri"/>
          <w:color w:val="111111"/>
          <w:sz w:val="28"/>
          <w:sz w:val="28"/>
          <w:szCs w:val="28"/>
          <w:rtl w:val="true"/>
          <w:lang w:bidi="ar-SA"/>
        </w:rPr>
        <w:t>لا أحدّث بلساني شيئا حتّى أخرج إليكما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عند الدّخول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الحافظ المؤدّي</w:t>
      </w:r>
      <w:r>
        <w:rPr>
          <w:rFonts w:eastAsia="Amiri" w:cs="Amiri" w:ascii="Amiri" w:hAnsi="Amiri"/>
          <w:color w:val="111111"/>
          <w:sz w:val="28"/>
          <w:szCs w:val="28"/>
          <w:rtl w:val="true"/>
          <w:lang w:bidi="ar-SA"/>
        </w:rPr>
        <w:t xml:space="preserve">) </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88" w:name="__RefHeading___Toc747327_222507752"/>
      <w:bookmarkStart w:id="889" w:name="_Toc354"/>
      <w:bookmarkEnd w:id="888"/>
      <w:r>
        <w:rPr>
          <w:rtl w:val="true"/>
        </w:rPr>
        <w:t>الرّابع</w:t>
      </w:r>
      <w:r>
        <w:rPr>
          <w:rtl w:val="true"/>
        </w:rPr>
        <w:t>:</w:t>
      </w:r>
      <w:r>
        <w:rPr>
          <w:rtl w:val="true"/>
        </w:rPr>
        <w:t>تقديم الرّجل اليسرى عند الدّخول،و اليمنى عند الخروج،بخلاف المسجد فيهما</w:t>
      </w:r>
      <w:bookmarkEnd w:id="8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ذكره الأصحاب </w:t>
      </w:r>
      <w:r>
        <w:rPr>
          <w:rStyle w:val="FootnoteAnchor"/>
          <w:rtl w:val="true"/>
        </w:rPr>
        <w:footnoteReference w:id="1637"/>
      </w:r>
      <w:r>
        <w:rPr>
          <w:rFonts w:ascii="Amiri" w:hAnsi="Amiri" w:eastAsia="Amiri" w:cs="Amiri"/>
          <w:color w:val="111111"/>
          <w:sz w:val="28"/>
          <w:sz w:val="28"/>
          <w:szCs w:val="28"/>
          <w:rtl w:val="true"/>
          <w:lang w:bidi="ar-SA"/>
        </w:rPr>
        <w:t xml:space="preserve">،فإنّ المسجد مكان شريف،فاستحبّ ابتداء العضو الشّريف بالدّخول فيه،و الخلاء بضدّه </w:t>
      </w:r>
      <w:r>
        <w:rPr>
          <w:rFonts w:eastAsia="Amiri" w:cs="Amiri" w:ascii="Amiri" w:hAnsi="Amiri"/>
          <w:color w:val="111111"/>
          <w:sz w:val="28"/>
          <w:szCs w:val="28"/>
          <w:rtl w:val="true"/>
          <w:lang w:bidi="ar-SA"/>
        </w:rPr>
        <w:t>.</w:t>
      </w:r>
    </w:p>
    <w:p>
      <w:pPr>
        <w:pStyle w:val="Heading6"/>
        <w:numPr>
          <w:ilvl w:val="5"/>
          <w:numId w:val="1"/>
        </w:numPr>
        <w:rPr/>
      </w:pPr>
      <w:bookmarkStart w:id="890" w:name="__RefHeading___Toc747329_222507752"/>
      <w:bookmarkStart w:id="891" w:name="_Toc355"/>
      <w:bookmarkEnd w:id="890"/>
      <w:r>
        <w:rPr>
          <w:rtl w:val="true"/>
        </w:rPr>
        <w:t>الخامس</w:t>
      </w:r>
      <w:r>
        <w:rPr>
          <w:rtl w:val="true"/>
        </w:rPr>
        <w:t>:</w:t>
      </w:r>
      <w:r>
        <w:rPr>
          <w:rtl w:val="true"/>
        </w:rPr>
        <w:t>الاستبراء في البول</w:t>
      </w:r>
      <w:bookmarkEnd w:id="891"/>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يمسح يده من عند المقعدة إلى أصل القضيب ثلاثا ثمَّ يمسح القضيب ثلاثا و ينتره ثلاثا</w:t>
      </w:r>
      <w:r>
        <w:rPr>
          <w:rFonts w:eastAsia="Amiri" w:cs="Amiri" w:ascii="Amiri" w:hAnsi="Amiri"/>
          <w:color w:val="111111"/>
          <w:sz w:val="28"/>
          <w:szCs w:val="28"/>
          <w:rtl w:val="true"/>
          <w:lang w:bidi="ar-SA"/>
        </w:rPr>
        <w:t xml:space="preserve">. </w:t>
      </w:r>
      <w:bookmarkStart w:id="892" w:name="pg12672_160005"/>
    </w:p>
    <w:p>
      <w:pPr>
        <w:pStyle w:val="BookText"/>
        <w:rPr/>
      </w:pPr>
      <w:bookmarkEnd w:id="892"/>
      <w:r>
        <w:rPr>
          <w:rFonts w:ascii="Amiri" w:hAnsi="Amiri" w:eastAsia="Amiri" w:cs="Amiri"/>
          <w:color w:val="111111"/>
          <w:sz w:val="28"/>
          <w:sz w:val="28"/>
          <w:szCs w:val="28"/>
          <w:rtl w:val="true"/>
          <w:lang w:bidi="ar-SA"/>
        </w:rPr>
        <w:t>قال علم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w:t>
      </w:r>
      <w:r>
        <w:rPr>
          <w:rStyle w:val="FootnoteAnchor"/>
          <w:rtl w:val="true"/>
        </w:rPr>
        <w:footnoteReference w:id="1638"/>
      </w:r>
      <w:r>
        <w:rPr>
          <w:rFonts w:ascii="Amiri" w:hAnsi="Amiri" w:eastAsia="Amiri" w:cs="Amiri"/>
          <w:color w:val="111111"/>
          <w:sz w:val="28"/>
          <w:sz w:val="28"/>
          <w:szCs w:val="28"/>
          <w:rtl w:val="true"/>
          <w:lang w:bidi="ar-SA"/>
        </w:rPr>
        <w:t xml:space="preserve">عند البول نتر القضيب من أصله إلى طرفه،ثلاث مرّات </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محمّد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بال و لم يكن معه ماء؟قال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يعصر أصل ذكره إلى طرفه ثلاث عصرات و ينتر طرفه،فإن خرج بعد ذلك شيء،فليس من البول و لكنّه من الحبائل</w:t>
      </w:r>
      <w:r>
        <w:rPr>
          <w:rFonts w:eastAsia="Amiri" w:cs="Amiri" w:ascii="Amiri" w:hAnsi="Amiri"/>
          <w:color w:val="111111"/>
          <w:sz w:val="28"/>
          <w:szCs w:val="28"/>
          <w:rtl w:val="true"/>
          <w:lang w:bidi="ar-SA"/>
        </w:rPr>
        <w:t xml:space="preserve">) </w:t>
      </w:r>
      <w:r>
        <w:rPr>
          <w:rStyle w:val="FootnoteAnchor"/>
          <w:rtl w:val="true"/>
        </w:rPr>
        <w:footnoteReference w:id="16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عروق الظّهر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احتجّ المرتضى بما رواه الشّيخ في الصّحيح،عن حفص بن البختريّ </w:t>
      </w:r>
      <w:r>
        <w:rPr>
          <w:rStyle w:val="FootnoteAnchor"/>
          <w:rtl w:val="true"/>
        </w:rPr>
        <w:footnoteReference w:id="1641"/>
      </w:r>
      <w:r>
        <w:rPr>
          <w:rFonts w:ascii="Amiri" w:hAnsi="Amiri" w:eastAsia="Amiri" w:cs="Amiri"/>
          <w:color w:val="111111"/>
          <w:sz w:val="28"/>
          <w:sz w:val="28"/>
          <w:szCs w:val="28"/>
          <w:rtl w:val="true"/>
          <w:lang w:bidi="ar-SA"/>
        </w:rPr>
        <w:t>،عن أبي عبد اللّه عليه السّلام،في الرّجل يبول،قال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ينتره ثلاثا،ثمَّ إن سال يبلغ السّاق فلا يبالي</w:t>
      </w:r>
      <w:r>
        <w:rPr>
          <w:rFonts w:eastAsia="Amiri" w:cs="Amiri" w:ascii="Amiri" w:hAnsi="Amiri"/>
          <w:color w:val="111111"/>
          <w:sz w:val="28"/>
          <w:szCs w:val="28"/>
          <w:rtl w:val="true"/>
          <w:lang w:bidi="ar-SA"/>
        </w:rPr>
        <w:t xml:space="preserve">) </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تنافي بين الحديثين،لأنّ المستحبّ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الاستظهار </w:t>
      </w:r>
      <w:r>
        <w:rPr>
          <w:rStyle w:val="FootnoteAnchor"/>
          <w:rtl w:val="true"/>
        </w:rPr>
        <w:footnoteReference w:id="1643"/>
      </w:r>
      <w:r>
        <w:rPr>
          <w:rFonts w:ascii="Amiri" w:hAnsi="Amiri" w:eastAsia="Amiri" w:cs="Amiri"/>
          <w:color w:val="111111"/>
          <w:sz w:val="28"/>
          <w:sz w:val="28"/>
          <w:szCs w:val="28"/>
          <w:rtl w:val="true"/>
          <w:lang w:bidi="ar-SA"/>
        </w:rPr>
        <w:t>بحيث لا يتخلّف شيء من أجزاء البول في القضيب،و ذلك قابل للشدّة و الضّعف و متفاوت بقوّة المثانة و ضعفها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ذهب بعض الأصحاب إلى وجوب الاستبراء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93" w:name="__RefHeading___Toc747331_222507752"/>
      <w:bookmarkStart w:id="894" w:name="_Toc356"/>
      <w:bookmarkEnd w:id="893"/>
      <w:r>
        <w:rPr>
          <w:rtl w:val="true"/>
        </w:rPr>
        <w:t>فروع</w:t>
      </w:r>
      <w:r>
        <w:rPr>
          <w:rtl w:val="true"/>
        </w:rPr>
        <w:t>:</w:t>
      </w:r>
      <w:bookmarkEnd w:id="894"/>
    </w:p>
    <w:p>
      <w:pPr>
        <w:pStyle w:val="Heading6"/>
        <w:numPr>
          <w:ilvl w:val="5"/>
          <w:numId w:val="1"/>
        </w:numPr>
        <w:rPr/>
      </w:pPr>
      <w:bookmarkStart w:id="895" w:name="__RefHeading___Toc747333_222507752"/>
      <w:bookmarkStart w:id="896" w:name="_Toc357"/>
      <w:bookmarkEnd w:id="895"/>
      <w:r>
        <w:rPr>
          <w:rtl w:val="true"/>
        </w:rPr>
        <w:t>الأوّل</w:t>
      </w:r>
      <w:r>
        <w:rPr>
          <w:rtl w:val="true"/>
        </w:rPr>
        <w:t>:</w:t>
      </w:r>
      <w:r>
        <w:rPr>
          <w:rtl w:val="true"/>
        </w:rPr>
        <w:t>لو استبرأ ثمَّ وجد بللا كان طاهرا</w:t>
      </w:r>
      <w:bookmarkEnd w:id="896"/>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يجب منه إعادة الوضوء،لقول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من البول و لكنّه من الحبائل</w:t>
      </w:r>
      <w:r>
        <w:rPr>
          <w:rFonts w:eastAsia="Amiri" w:cs="Amiri" w:ascii="Amiri" w:hAnsi="Amiri"/>
          <w:color w:val="111111"/>
          <w:sz w:val="28"/>
          <w:szCs w:val="28"/>
          <w:rtl w:val="true"/>
          <w:lang w:bidi="ar-SA"/>
        </w:rPr>
        <w:t xml:space="preserve">). </w:t>
      </w:r>
      <w:bookmarkStart w:id="897" w:name="pg12672_160006"/>
    </w:p>
    <w:p>
      <w:pPr>
        <w:pStyle w:val="BookText"/>
        <w:rPr/>
      </w:pPr>
      <w:bookmarkEnd w:id="897"/>
      <w:r>
        <w:rPr>
          <w:rFonts w:ascii="Amiri" w:hAnsi="Amiri" w:eastAsia="Amiri" w:cs="Amiri"/>
          <w:color w:val="111111"/>
          <w:sz w:val="28"/>
          <w:sz w:val="28"/>
          <w:szCs w:val="28"/>
          <w:rtl w:val="true"/>
          <w:lang w:bidi="ar-SA"/>
        </w:rPr>
        <w:t xml:space="preserve">و لا يعارض بما رواه الشّيخ،عن الصّفار </w:t>
      </w:r>
      <w:r>
        <w:rPr>
          <w:rStyle w:val="FootnoteAnchor"/>
          <w:rtl w:val="true"/>
        </w:rPr>
        <w:footnoteReference w:id="1645"/>
      </w:r>
      <w:r>
        <w:rPr>
          <w:rFonts w:ascii="Amiri" w:hAnsi="Amiri" w:eastAsia="Amiri" w:cs="Amiri"/>
          <w:color w:val="111111"/>
          <w:sz w:val="28"/>
          <w:sz w:val="28"/>
          <w:szCs w:val="28"/>
          <w:rtl w:val="true"/>
          <w:lang w:bidi="ar-SA"/>
        </w:rPr>
        <w:t xml:space="preserve">،عن محمّد بن عيسى </w:t>
      </w:r>
      <w:r>
        <w:rPr>
          <w:rStyle w:val="FootnoteAnchor"/>
          <w:rtl w:val="true"/>
        </w:rPr>
        <w:footnoteReference w:id="16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إليه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يجب الوضوء ممّا خرج من الذّكر بعد الاستبراء؟فكتب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647"/>
      </w:r>
      <w:r>
        <w:rPr>
          <w:rFonts w:ascii="Amiri" w:hAnsi="Amiri" w:eastAsia="Amiri" w:cs="Amiri"/>
          <w:color w:val="111111"/>
          <w:sz w:val="28"/>
          <w:sz w:val="28"/>
          <w:szCs w:val="28"/>
          <w:rtl w:val="true"/>
          <w:lang w:bidi="ar-SA"/>
        </w:rPr>
        <w:t>لأنّ محمّد بن عيسى لم يسنده إلى إمام،فلعلّه عوّل على فتوى من لا يوثق به،و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نقل بالكتابة لا المشافهة،و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أن يكون المجيب،فهم انّ الخارج بول فأوجب منه الوضوء،و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ان يكون أراد الاستحباب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ذكره الشّيخ </w:t>
      </w:r>
      <w:r>
        <w:rPr>
          <w:rStyle w:val="FootnoteAnchor"/>
          <w:rtl w:val="true"/>
        </w:rPr>
        <w:footnoteReference w:id="1648"/>
      </w:r>
      <w:r>
        <w:rPr>
          <w:rFonts w:ascii="Amiri" w:hAnsi="Amiri" w:eastAsia="Amiri" w:cs="Amiri"/>
          <w:color w:val="111111"/>
          <w:sz w:val="28"/>
          <w:sz w:val="28"/>
          <w:szCs w:val="28"/>
          <w:rtl w:val="true"/>
          <w:lang w:bidi="ar-SA"/>
        </w:rPr>
        <w:t>،و هو بعيد،لأنّه أجاب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عقيب هل يجب الوضوء </w:t>
      </w:r>
      <w:r>
        <w:rPr>
          <w:rFonts w:eastAsia="Amiri" w:cs="Amiri" w:ascii="Amiri" w:hAnsi="Amiri"/>
          <w:color w:val="111111"/>
          <w:sz w:val="28"/>
          <w:szCs w:val="28"/>
          <w:rtl w:val="true"/>
          <w:lang w:bidi="ar-SA"/>
        </w:rPr>
        <w:t>.</w:t>
      </w:r>
    </w:p>
    <w:p>
      <w:pPr>
        <w:pStyle w:val="Heading6"/>
        <w:numPr>
          <w:ilvl w:val="5"/>
          <w:numId w:val="1"/>
        </w:numPr>
        <w:rPr/>
      </w:pPr>
      <w:bookmarkStart w:id="898" w:name="__RefHeading___Toc747335_222507752"/>
      <w:bookmarkStart w:id="899" w:name="_Toc358"/>
      <w:bookmarkEnd w:id="898"/>
      <w:r>
        <w:rPr>
          <w:rtl w:val="true"/>
        </w:rPr>
        <w:t>الثّاني</w:t>
      </w:r>
      <w:r>
        <w:rPr>
          <w:rtl w:val="true"/>
        </w:rPr>
        <w:t>:</w:t>
      </w:r>
      <w:r>
        <w:rPr>
          <w:rtl w:val="true"/>
        </w:rPr>
        <w:t>لو لم يستبرئ و توضّأ و صلّى صحّت تلك الصّلاة</w:t>
      </w:r>
      <w:bookmarkEnd w:id="899"/>
    </w:p>
    <w:p>
      <w:pPr>
        <w:pStyle w:val="BookText"/>
        <w:rPr/>
      </w:pPr>
      <w:r>
        <w:rPr>
          <w:rFonts w:ascii="Amiri" w:hAnsi="Amiri" w:eastAsia="Amiri" w:cs="Amiri"/>
          <w:color w:val="111111"/>
          <w:sz w:val="28"/>
          <w:sz w:val="28"/>
          <w:szCs w:val="28"/>
          <w:rtl w:val="true"/>
          <w:lang w:bidi="ar-SA"/>
        </w:rPr>
        <w:t>،لأنّ الظّاهر انقطاعه،و قد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الماء يقطع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رأى حينئذ بللا قبل الصّلاة أعاد الطّهارة لغلبة الظّنّ بكونه من بقايا البول المحتقن في الذّكر،فتكون الطّهارة مشكوكة،و لو رأى البلل بعد الصّلاة لم يعد صلاته لحصولها على الوجه المشروع فكانت مجزية و يعيد الوضوء لحصول الحدث و يغسل الموضع </w:t>
      </w:r>
      <w:r>
        <w:rPr>
          <w:rFonts w:eastAsia="Amiri" w:cs="Amiri" w:ascii="Amiri" w:hAnsi="Amiri"/>
          <w:color w:val="111111"/>
          <w:sz w:val="28"/>
          <w:szCs w:val="28"/>
          <w:rtl w:val="true"/>
          <w:lang w:bidi="ar-SA"/>
        </w:rPr>
        <w:t>.</w:t>
      </w:r>
    </w:p>
    <w:p>
      <w:pPr>
        <w:pStyle w:val="Heading6"/>
        <w:numPr>
          <w:ilvl w:val="5"/>
          <w:numId w:val="1"/>
        </w:numPr>
        <w:rPr/>
      </w:pPr>
      <w:bookmarkStart w:id="900" w:name="__RefHeading___Toc747337_222507752"/>
      <w:bookmarkStart w:id="901" w:name="_Toc359"/>
      <w:bookmarkEnd w:id="900"/>
      <w:r>
        <w:rPr>
          <w:rtl w:val="true"/>
        </w:rPr>
        <w:t>الثّالث</w:t>
      </w:r>
      <w:r>
        <w:rPr>
          <w:rtl w:val="true"/>
        </w:rPr>
        <w:t>:</w:t>
      </w:r>
      <w:r>
        <w:rPr>
          <w:rtl w:val="true"/>
        </w:rPr>
        <w:t>الرّجل و المرأة في ذلك سواء</w:t>
      </w:r>
      <w:r>
        <w:rPr>
          <w:rtl w:val="true"/>
        </w:rPr>
        <w:t>.</w:t>
      </w:r>
      <w:r>
        <w:rPr>
          <w:rtl w:val="true"/>
        </w:rPr>
        <w:t>و كذا البكر و الثّيّب</w:t>
      </w:r>
      <w:bookmarkEnd w:id="901"/>
    </w:p>
    <w:p>
      <w:pPr>
        <w:pStyle w:val="BookText"/>
        <w:rPr/>
      </w:pPr>
      <w:r>
        <w:rPr>
          <w:rFonts w:ascii="Amiri" w:hAnsi="Amiri" w:eastAsia="Amiri" w:cs="Amiri"/>
          <w:color w:val="111111"/>
          <w:sz w:val="28"/>
          <w:sz w:val="28"/>
          <w:szCs w:val="28"/>
          <w:rtl w:val="true"/>
          <w:lang w:bidi="ar-SA"/>
        </w:rPr>
        <w:t xml:space="preserve">،لأنّ مخرج البول غير موضع </w:t>
      </w:r>
      <w:r>
        <w:rPr>
          <w:rStyle w:val="FootnoteAnchor"/>
          <w:rtl w:val="true"/>
        </w:rPr>
        <w:footnoteReference w:id="1649"/>
      </w:r>
      <w:r>
        <w:rPr>
          <w:rFonts w:ascii="Amiri" w:hAnsi="Amiri" w:eastAsia="Amiri" w:cs="Amiri"/>
          <w:color w:val="111111"/>
          <w:sz w:val="28"/>
          <w:sz w:val="28"/>
          <w:szCs w:val="28"/>
          <w:rtl w:val="true"/>
          <w:lang w:bidi="ar-SA"/>
        </w:rPr>
        <w:t xml:space="preserve">البكارة و الثّيوبة </w:t>
      </w:r>
      <w:r>
        <w:rPr>
          <w:rFonts w:eastAsia="Amiri" w:cs="Amiri" w:ascii="Amiri" w:hAnsi="Amiri"/>
          <w:color w:val="111111"/>
          <w:sz w:val="28"/>
          <w:szCs w:val="28"/>
          <w:rtl w:val="true"/>
          <w:lang w:bidi="ar-SA"/>
        </w:rPr>
        <w:t>.</w:t>
      </w:r>
    </w:p>
    <w:p>
      <w:pPr>
        <w:pStyle w:val="Heading6"/>
        <w:numPr>
          <w:ilvl w:val="5"/>
          <w:numId w:val="1"/>
        </w:numPr>
        <w:rPr/>
      </w:pPr>
      <w:bookmarkStart w:id="902" w:name="__RefHeading___Toc747339_222507752"/>
      <w:bookmarkStart w:id="903" w:name="_Toc360"/>
      <w:bookmarkEnd w:id="902"/>
      <w:r>
        <w:rPr>
          <w:rtl w:val="true"/>
        </w:rPr>
        <w:t>مسألة</w:t>
      </w:r>
      <w:r>
        <w:rPr>
          <w:rtl w:val="true"/>
        </w:rPr>
        <w:t>:</w:t>
      </w:r>
      <w:r>
        <w:rPr>
          <w:rtl w:val="true"/>
        </w:rPr>
        <w:t>مذهب علمائنا انّ البول لا يجزي فيه إلاّ الماء</w:t>
      </w:r>
      <w:bookmarkEnd w:id="903"/>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خالف فيه الجمهور فإنّ أبا حنيفة لم يوجب الاستنجاء منه و لا من الغائط بالماء و لا بغيره </w:t>
      </w:r>
      <w:r>
        <w:rPr>
          <w:rStyle w:val="FootnoteAnchor"/>
          <w:rtl w:val="true"/>
        </w:rPr>
        <w:footnoteReference w:id="16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إحدى الرّوايتين عن </w:t>
      </w:r>
    </w:p>
    <w:p>
      <w:pPr>
        <w:pStyle w:val="BookText"/>
        <w:rPr/>
      </w:pPr>
      <w:r>
        <w:rPr>
          <w:rFonts w:ascii="Amiri" w:hAnsi="Amiri" w:eastAsia="Amiri" w:cs="Amiri"/>
          <w:color w:val="111111"/>
          <w:sz w:val="28"/>
          <w:sz w:val="28"/>
          <w:szCs w:val="28"/>
          <w:rtl w:val="true"/>
          <w:lang w:bidi="ar-SA"/>
        </w:rPr>
        <w:t xml:space="preserve">مالك </w:t>
      </w:r>
      <w:r>
        <w:rPr>
          <w:rStyle w:val="FootnoteAnchor"/>
          <w:rtl w:val="true"/>
        </w:rPr>
        <w:footnoteReference w:id="1651"/>
      </w:r>
      <w:r>
        <w:rPr>
          <w:rFonts w:ascii="Amiri" w:hAnsi="Amiri" w:eastAsia="Amiri" w:cs="Amiri"/>
          <w:color w:val="111111"/>
          <w:sz w:val="28"/>
          <w:sz w:val="28"/>
          <w:szCs w:val="28"/>
          <w:rtl w:val="true"/>
          <w:lang w:bidi="ar-SA"/>
        </w:rPr>
        <w:t>،و حكى ذلك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قدّر أبو حنيفة النّجاسة تصيب الثّوب أو البدن بموضع الاستنجاء،فقال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أصاب الثّوب أو البدن </w:t>
      </w:r>
      <w:r>
        <w:rPr>
          <w:rStyle w:val="FootnoteAnchor"/>
          <w:rtl w:val="true"/>
        </w:rPr>
        <w:footnoteReference w:id="1652"/>
      </w:r>
      <w:r>
        <w:rPr>
          <w:rFonts w:ascii="Amiri" w:hAnsi="Amiri" w:eastAsia="Amiri" w:cs="Amiri"/>
          <w:color w:val="111111"/>
          <w:sz w:val="28"/>
          <w:sz w:val="28"/>
          <w:szCs w:val="28"/>
          <w:rtl w:val="true"/>
          <w:lang w:bidi="ar-SA"/>
        </w:rPr>
        <w:t xml:space="preserve">قدر ذلك لم يجب إزالته،و قدّره بالدّرهم البغليّ </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الشّافعيّ و أحمد و إسحاق و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الاستنجاء،و يكفي فيه الحجر كالغائط </w:t>
      </w:r>
      <w:r>
        <w:rPr>
          <w:rStyle w:val="FootnoteAnchor"/>
          <w:rtl w:val="true"/>
        </w:rPr>
        <w:footnoteReference w:id="1654"/>
      </w:r>
      <w:r>
        <w:rPr>
          <w:rFonts w:ascii="Amiri" w:hAnsi="Amiri" w:eastAsia="Amiri" w:cs="Amiri"/>
          <w:color w:val="111111"/>
          <w:sz w:val="28"/>
          <w:sz w:val="28"/>
          <w:szCs w:val="28"/>
          <w:rtl w:val="true"/>
          <w:lang w:bidi="ar-SA"/>
        </w:rPr>
        <w:t xml:space="preserve">،و هو قول مالك في الرّواية الأخرى عنه </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النّبيّ صلّى اللّه عليه و آله انّه مرّ بقبرين جديدين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انّهما يعذّبان و ما يعذّبان بكبيرة،أمّا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يمشي بالنّميمة،و أمّا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لا يتنزّه من البول</w:t>
      </w:r>
      <w:r>
        <w:rPr>
          <w:rFonts w:eastAsia="Amiri" w:cs="Amiri" w:ascii="Amiri" w:hAnsi="Amiri"/>
          <w:color w:val="111111"/>
          <w:sz w:val="28"/>
          <w:szCs w:val="28"/>
          <w:rtl w:val="true"/>
          <w:lang w:bidi="ar-SA"/>
        </w:rPr>
        <w:t xml:space="preserve">)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زرارة،عن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البول فلا بدّ من غسله</w:t>
      </w:r>
      <w:r>
        <w:rPr>
          <w:rFonts w:eastAsia="Amiri" w:cs="Amiri" w:ascii="Amiri" w:hAnsi="Amiri"/>
          <w:color w:val="111111"/>
          <w:sz w:val="28"/>
          <w:szCs w:val="28"/>
          <w:rtl w:val="true"/>
          <w:lang w:bidi="ar-SA"/>
        </w:rPr>
        <w:t xml:space="preserve">) </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عن بريد بن معاوية،عن أبي جعفر عليه السّلام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 من الغائط المسح بالأحجار،و لا يجزي من البول إلاّ الماء</w:t>
      </w:r>
      <w:r>
        <w:rPr>
          <w:rFonts w:eastAsia="Amiri" w:cs="Amiri" w:ascii="Amiri" w:hAnsi="Amiri"/>
          <w:color w:val="111111"/>
          <w:sz w:val="28"/>
          <w:szCs w:val="28"/>
          <w:rtl w:val="true"/>
          <w:lang w:bidi="ar-SA"/>
        </w:rPr>
        <w:t xml:space="preserve">) </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في الصّحيح عن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توضّأت يوما و لم أغسل ذكري ثمَّ صلّيت فسألت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ذلك</w:t>
      </w:r>
      <w:r>
        <w:rPr>
          <w:rFonts w:eastAsia="Amiri" w:cs="Amiri" w:ascii="Amiri" w:hAnsi="Amiri"/>
          <w:color w:val="111111"/>
          <w:sz w:val="28"/>
          <w:szCs w:val="28"/>
          <w:rtl w:val="true"/>
          <w:lang w:bidi="ar-SA"/>
        </w:rPr>
        <w:t xml:space="preserve">] </w:t>
      </w:r>
      <w:r>
        <w:rPr>
          <w:rStyle w:val="FootnoteAnchor"/>
          <w:rtl w:val="true"/>
        </w:rPr>
        <w:footnoteReference w:id="165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اغسل ذكرك،و أعد </w:t>
      </w:r>
    </w:p>
    <w:p>
      <w:pPr>
        <w:pStyle w:val="BookText"/>
        <w:rPr/>
      </w:pPr>
      <w:r>
        <w:rPr>
          <w:rFonts w:ascii="Amiri" w:hAnsi="Amiri" w:eastAsia="Amiri" w:cs="Amiri"/>
          <w:color w:val="111111"/>
          <w:sz w:val="28"/>
          <w:sz w:val="28"/>
          <w:szCs w:val="28"/>
          <w:rtl w:val="true"/>
          <w:lang w:bidi="ar-SA"/>
        </w:rPr>
        <w:t>صلاتك</w:t>
      </w:r>
      <w:r>
        <w:rPr>
          <w:rFonts w:eastAsia="Amiri" w:cs="Amiri" w:ascii="Amiri" w:hAnsi="Amiri"/>
          <w:color w:val="111111"/>
          <w:sz w:val="28"/>
          <w:szCs w:val="28"/>
          <w:rtl w:val="true"/>
          <w:lang w:bidi="ar-SA"/>
        </w:rPr>
        <w:t xml:space="preserve">) </w:t>
      </w:r>
      <w:r>
        <w:rPr>
          <w:rStyle w:val="FootnoteAnchor"/>
          <w:rtl w:val="true"/>
        </w:rPr>
        <w:footnoteReference w:id="1660"/>
      </w:r>
      <w:r>
        <w:rPr>
          <w:rFonts w:ascii="Amiri" w:hAnsi="Amiri" w:eastAsia="Amiri" w:cs="Amiri"/>
          <w:color w:val="111111"/>
          <w:sz w:val="28"/>
          <w:sz w:val="28"/>
          <w:szCs w:val="28"/>
          <w:rtl w:val="true"/>
          <w:lang w:bidi="ar-SA"/>
        </w:rPr>
        <w:t xml:space="preserve">و الغسل حقيقة في الإزالة بالماء،فلو كان غيره مجزيا لما اقتصر عليه للتّنظيف </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في الحسن،عن يونس بن يعقوب </w:t>
      </w:r>
      <w:r>
        <w:rPr>
          <w:rStyle w:val="FootnoteAnchor"/>
          <w:rtl w:val="true"/>
        </w:rPr>
        <w:footnoteReference w:id="16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الوضوء الّذي افترضه اللّه على العباد لمن جاء من الغائط أو بال؟قال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 ذكره و يذهب الغائط ثمَّ يتوضّأ مرّتين مرّتين</w:t>
      </w:r>
      <w:r>
        <w:rPr>
          <w:rFonts w:eastAsia="Amiri" w:cs="Amiri" w:ascii="Amiri" w:hAnsi="Amiri"/>
          <w:color w:val="111111"/>
          <w:sz w:val="28"/>
          <w:szCs w:val="28"/>
          <w:rtl w:val="true"/>
          <w:lang w:bidi="ar-SA"/>
        </w:rPr>
        <w:t xml:space="preserve">) </w:t>
      </w:r>
      <w:r>
        <w:rPr>
          <w:rStyle w:val="FootnoteAnchor"/>
          <w:rtl w:val="true"/>
        </w:rPr>
        <w:footnoteReference w:id="1663"/>
      </w:r>
      <w:r>
        <w:rPr>
          <w:rFonts w:ascii="Amiri" w:hAnsi="Amiri" w:eastAsia="Amiri" w:cs="Amiri"/>
          <w:color w:val="111111"/>
          <w:sz w:val="28"/>
          <w:sz w:val="28"/>
          <w:szCs w:val="28"/>
          <w:rtl w:val="true"/>
          <w:lang w:bidi="ar-SA"/>
        </w:rPr>
        <w:t>فذكر الغسل جوابا عن السّؤال المشتمل على المفروض يدلّ على المقصود،و لهذا لم يجب الغسل في الغائط،قال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يذهب الغائط</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روى </w:t>
      </w:r>
      <w:r>
        <w:rPr>
          <w:rStyle w:val="FootnoteAnchor"/>
          <w:rtl w:val="true"/>
        </w:rPr>
        <w:footnoteReference w:id="1664"/>
      </w:r>
      <w:r>
        <w:rPr>
          <w:rFonts w:ascii="Amiri" w:hAnsi="Amiri" w:eastAsia="Amiri" w:cs="Amiri"/>
          <w:color w:val="111111"/>
          <w:sz w:val="28"/>
          <w:sz w:val="28"/>
          <w:szCs w:val="28"/>
          <w:rtl w:val="true"/>
          <w:lang w:bidi="ar-SA"/>
        </w:rPr>
        <w:t xml:space="preserve">في الصّحيح عن ابن أذينة </w:t>
      </w:r>
      <w:r>
        <w:rPr>
          <w:rStyle w:val="FootnoteAnchor"/>
          <w:rtl w:val="true"/>
        </w:rPr>
        <w:footnoteReference w:id="16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أبو مريم الأنصاريّ انّ الحكم بن عتيبة </w:t>
      </w:r>
      <w:r>
        <w:rPr>
          <w:rStyle w:val="FootnoteAnchor"/>
          <w:rtl w:val="true"/>
        </w:rPr>
        <w:footnoteReference w:id="1666"/>
      </w:r>
      <w:r>
        <w:rPr>
          <w:rFonts w:ascii="Amiri" w:hAnsi="Amiri" w:eastAsia="Amiri" w:cs="Amiri"/>
          <w:color w:val="111111"/>
          <w:sz w:val="28"/>
          <w:sz w:val="28"/>
          <w:szCs w:val="28"/>
          <w:rtl w:val="true"/>
          <w:lang w:bidi="ar-SA"/>
        </w:rPr>
        <w:t xml:space="preserve">بال يوما و لم يغسل ذكره متعمّدا،فذكرت ذلك لأبي عبد اللّه عليه السّلام،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ما صنع،عليه أن يغسل ذكره و يعيد صلاته و لا يعيد وضوءه</w:t>
      </w:r>
      <w:r>
        <w:rPr>
          <w:rFonts w:eastAsia="Amiri" w:cs="Amiri" w:ascii="Amiri" w:hAnsi="Amiri"/>
          <w:color w:val="111111"/>
          <w:sz w:val="28"/>
          <w:szCs w:val="28"/>
          <w:rtl w:val="true"/>
          <w:lang w:bidi="ar-SA"/>
        </w:rPr>
        <w:t xml:space="preserve">) </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رواه في الصّحيح عن عمرو بن أبي نصر </w:t>
      </w:r>
      <w:r>
        <w:rPr>
          <w:rStyle w:val="FootnoteAnchor"/>
          <w:rtl w:val="true"/>
        </w:rPr>
        <w:footnoteReference w:id="16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يبول فينسب أن يغسل ذكره و يتوضّأ؟قال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 ذكره و لا يعيد وضوءه</w:t>
      </w:r>
      <w:r>
        <w:rPr>
          <w:rFonts w:eastAsia="Amiri" w:cs="Amiri" w:ascii="Amiri" w:hAnsi="Amiri"/>
          <w:color w:val="111111"/>
          <w:sz w:val="28"/>
          <w:szCs w:val="28"/>
          <w:rtl w:val="true"/>
          <w:lang w:bidi="ar-SA"/>
        </w:rPr>
        <w:t xml:space="preserve">) </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رواه في الصحيح عن داود بن فرقد </w:t>
      </w:r>
      <w:r>
        <w:rPr>
          <w:rStyle w:val="FootnoteAnchor"/>
          <w:rtl w:val="true"/>
        </w:rPr>
        <w:footnoteReference w:id="1670"/>
      </w:r>
      <w:r>
        <w:rPr>
          <w:rFonts w:ascii="Amiri" w:hAnsi="Amiri" w:eastAsia="Amiri" w:cs="Amiri"/>
          <w:color w:val="111111"/>
          <w:sz w:val="28"/>
          <w:sz w:val="28"/>
          <w:szCs w:val="28"/>
          <w:rtl w:val="true"/>
          <w:lang w:bidi="ar-SA"/>
        </w:rPr>
        <w:t>،عن أبي عبد اللّه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بنو إسرائيل إذا أصاب أحدهم قطرة بول،قرضوا لحومهم بالمقاريض،و قد وسّع اللّه عليكم بأوسع ما بين السّماء و الأرض و جعل لكم الماء طهورا،فانظروا كيف تكونون</w:t>
      </w:r>
      <w:r>
        <w:rPr>
          <w:rFonts w:eastAsia="Amiri" w:cs="Amiri" w:ascii="Amiri" w:hAnsi="Amiri"/>
          <w:color w:val="111111"/>
          <w:sz w:val="28"/>
          <w:szCs w:val="28"/>
          <w:rtl w:val="true"/>
          <w:lang w:bidi="ar-SA"/>
        </w:rPr>
        <w:t xml:space="preserve">) </w:t>
      </w:r>
      <w:r>
        <w:rPr>
          <w:rStyle w:val="FootnoteAnchor"/>
          <w:rtl w:val="true"/>
        </w:rPr>
        <w:footnoteReference w:id="1671"/>
      </w:r>
      <w:r>
        <w:rPr>
          <w:rFonts w:ascii="Amiri" w:hAnsi="Amiri" w:eastAsia="Amiri" w:cs="Amiri"/>
          <w:color w:val="111111"/>
          <w:sz w:val="28"/>
          <w:sz w:val="28"/>
          <w:szCs w:val="28"/>
          <w:rtl w:val="true"/>
          <w:lang w:bidi="ar-SA"/>
        </w:rPr>
        <w:t>فتخصيصه عليه السّلام بالماء يدلّ على نفي الطّهوريّة عن غيره خصوصا عقيب ذكر النّعمة بالتّخفيف،فلو كان البول يزول بغيره لكان التّخصيص منافيا للمراد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في الصّحيح،عن جميل بن درّاج،عن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انقطعت درّة البول،فصبّ الماء</w:t>
      </w:r>
      <w:r>
        <w:rPr>
          <w:rFonts w:eastAsia="Amiri" w:cs="Amiri" w:ascii="Amiri" w:hAnsi="Amiri"/>
          <w:color w:val="111111"/>
          <w:sz w:val="28"/>
          <w:szCs w:val="28"/>
          <w:rtl w:val="true"/>
          <w:lang w:bidi="ar-SA"/>
        </w:rPr>
        <w:t xml:space="preserve">) </w:t>
      </w:r>
      <w:r>
        <w:rPr>
          <w:rStyle w:val="FootnoteAnchor"/>
          <w:rtl w:val="true"/>
        </w:rPr>
        <w:footnoteReference w:id="1672"/>
      </w:r>
      <w:r>
        <w:rPr>
          <w:rFonts w:ascii="IRNazanin" w:hAnsi="IRNazanin" w:eastAsia="IRNazanin"/>
          <w:color w:val="111111"/>
          <w:sz w:val="28"/>
          <w:sz w:val="28"/>
          <w:szCs w:val="28"/>
          <w:rtl w:val="true"/>
          <w:lang w:bidi="fa-IR"/>
        </w:rPr>
        <w:t>و الأمر للوجوب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أيضا فإنّ مقتضى الدّليل عدم إزالة النّجاسة بغير الماء،فيجب المصير إليه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جاز إزالة البول بغير الماء لجاز إزالته إذا تعدّى المخرج،و التّالي باطل عند الشّافعيّ </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 xml:space="preserve">. </w:t>
      </w:r>
      <w:bookmarkStart w:id="904" w:name="pg12672_160010"/>
    </w:p>
    <w:p>
      <w:pPr>
        <w:pStyle w:val="BookText"/>
        <w:rPr/>
      </w:pPr>
      <w:bookmarkEnd w:id="904"/>
      <w:r>
        <w:rPr>
          <w:rFonts w:ascii="Amiri" w:hAnsi="Amiri" w:eastAsia="Amiri" w:cs="Amiri"/>
          <w:color w:val="111111"/>
          <w:sz w:val="28"/>
          <w:sz w:val="28"/>
          <w:szCs w:val="28"/>
          <w:rtl w:val="true"/>
          <w:lang w:bidi="ar-SA"/>
        </w:rPr>
        <w:t>و بيان الملازمة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حصول الإزالة الموجبة للتّطهير بالمناسبة المشتركة بين البابين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جاز إزالته بغير الماء،لجاز إزالة ما زاد على الدّرهم إذا </w:t>
      </w:r>
      <w:r>
        <w:rPr>
          <w:rStyle w:val="FootnoteAnchor"/>
          <w:rtl w:val="true"/>
        </w:rPr>
        <w:footnoteReference w:id="1674"/>
      </w:r>
      <w:r>
        <w:rPr>
          <w:rFonts w:ascii="Amiri" w:hAnsi="Amiri" w:eastAsia="Amiri" w:cs="Amiri"/>
          <w:color w:val="111111"/>
          <w:sz w:val="28"/>
          <w:sz w:val="28"/>
          <w:szCs w:val="28"/>
          <w:rtl w:val="true"/>
          <w:lang w:bidi="ar-SA"/>
        </w:rPr>
        <w:t xml:space="preserve">كان في غير المخرج، و التّالي باطل عند أبي حنيفة </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وجه الملازمة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قدّمناه</w:t>
      </w:r>
      <w:r>
        <w:rPr>
          <w:rFonts w:eastAsia="Amiri" w:cs="Amiri" w:ascii="Amiri" w:hAnsi="Amiri"/>
          <w:color w:val="111111"/>
          <w:sz w:val="28"/>
          <w:szCs w:val="28"/>
          <w:rtl w:val="true"/>
          <w:lang w:bidi="ar-SA"/>
        </w:rPr>
        <w:t>.</w:t>
      </w:r>
    </w:p>
    <w:p>
      <w:pPr>
        <w:pStyle w:val="Heading6"/>
        <w:numPr>
          <w:ilvl w:val="5"/>
          <w:numId w:val="1"/>
        </w:numPr>
        <w:rPr/>
      </w:pPr>
      <w:bookmarkStart w:id="905" w:name="__RefHeading___Toc747341_222507752"/>
      <w:bookmarkStart w:id="906" w:name="_Toc361"/>
      <w:bookmarkEnd w:id="905"/>
      <w:r>
        <w:rPr>
          <w:rtl w:val="true"/>
        </w:rPr>
        <w:t>فروع</w:t>
      </w:r>
      <w:r>
        <w:rPr>
          <w:rtl w:val="true"/>
        </w:rPr>
        <w:t>:</w:t>
      </w:r>
      <w:bookmarkEnd w:id="906"/>
    </w:p>
    <w:p>
      <w:pPr>
        <w:pStyle w:val="Heading6"/>
        <w:numPr>
          <w:ilvl w:val="5"/>
          <w:numId w:val="1"/>
        </w:numPr>
        <w:rPr/>
      </w:pPr>
      <w:bookmarkStart w:id="907" w:name="__RefHeading___Toc747343_222507752"/>
      <w:bookmarkStart w:id="908" w:name="_Toc362"/>
      <w:bookmarkEnd w:id="907"/>
      <w:r>
        <w:rPr>
          <w:rtl w:val="true"/>
        </w:rPr>
        <w:t>الأوّل</w:t>
      </w:r>
      <w:r>
        <w:rPr>
          <w:rtl w:val="true"/>
        </w:rPr>
        <w:t>:</w:t>
      </w:r>
      <w:r>
        <w:rPr>
          <w:rtl w:val="true"/>
        </w:rPr>
        <w:t>البكر كالثّيّب في وجوب الغسل بالماء</w:t>
      </w:r>
      <w:bookmarkEnd w:id="908"/>
    </w:p>
    <w:p>
      <w:pPr>
        <w:pStyle w:val="BookText"/>
        <w:rPr/>
      </w:pPr>
      <w:r>
        <w:rPr>
          <w:rFonts w:ascii="IRNazanin" w:hAnsi="IRNazanin" w:eastAsia="IRNazanin"/>
          <w:color w:val="111111"/>
          <w:sz w:val="28"/>
          <w:sz w:val="28"/>
          <w:szCs w:val="28"/>
          <w:rtl w:val="true"/>
          <w:lang w:bidi="fa-IR"/>
        </w:rPr>
        <w:t>،لما قلناه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المقتصرون على الأحجار،فرّقوا بينهما فجعلوا البكر كالرّجل،لأنّ عذرتها تمنع انتشار البول </w:t>
      </w:r>
      <w:r>
        <w:rPr>
          <w:rStyle w:val="FootnoteAnchor"/>
          <w:rtl w:val="true"/>
        </w:rPr>
        <w:footnoteReference w:id="1676"/>
      </w:r>
      <w:r>
        <w:rPr>
          <w:rFonts w:ascii="Amiri" w:hAnsi="Amiri" w:eastAsia="Amiri" w:cs="Amiri"/>
          <w:color w:val="111111"/>
          <w:sz w:val="28"/>
          <w:sz w:val="28"/>
          <w:szCs w:val="28"/>
          <w:rtl w:val="true"/>
          <w:lang w:bidi="ar-SA"/>
        </w:rPr>
        <w:t xml:space="preserve">،و أمّا الثّيّب فإن خرج البول بحدّة فلم ينتشر فكذلك،و إن تعدّى مخرج الحيض،فقد أوجب بعضهم الغسل،لأنّ مخرج الحيض و الولد غير مخرج البول </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09" w:name="__RefHeading___Toc747345_222507752"/>
      <w:bookmarkStart w:id="910" w:name="_Toc363"/>
      <w:bookmarkEnd w:id="909"/>
      <w:r>
        <w:rPr>
          <w:rtl w:val="true"/>
        </w:rPr>
        <w:t>الثّاني</w:t>
      </w:r>
      <w:r>
        <w:rPr>
          <w:rtl w:val="true"/>
        </w:rPr>
        <w:t>:</w:t>
      </w:r>
      <w:r>
        <w:rPr>
          <w:rtl w:val="true"/>
        </w:rPr>
        <w:t>الأقلف إن كان مرتتقا لا يمكنه إخراج البشرة فهو كالمختتن</w:t>
      </w:r>
      <w:bookmarkEnd w:id="910"/>
    </w:p>
    <w:p>
      <w:pPr>
        <w:pStyle w:val="BookText"/>
        <w:rPr/>
      </w:pPr>
      <w:r>
        <w:rPr>
          <w:rStyle w:val="FootnoteAnchor"/>
          <w:rtl w:val="true"/>
        </w:rPr>
        <w:footnoteReference w:id="16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أمكنه إخراجها كشفها إذا بال و غسل المخرج،فإن لم يكشفها وقت البول فهل يجب كشفها لغسل المخرج؟الأقرب الوجوب،و لو تنجّست </w:t>
      </w:r>
      <w:r>
        <w:rPr>
          <w:rStyle w:val="FootnoteAnchor"/>
          <w:rtl w:val="true"/>
        </w:rPr>
        <w:footnoteReference w:id="1679"/>
      </w:r>
      <w:r>
        <w:rPr>
          <w:rFonts w:ascii="Amiri" w:hAnsi="Amiri" w:eastAsia="Amiri" w:cs="Amiri"/>
          <w:color w:val="111111"/>
          <w:sz w:val="28"/>
          <w:sz w:val="28"/>
          <w:szCs w:val="28"/>
          <w:rtl w:val="true"/>
          <w:lang w:bidi="ar-SA"/>
        </w:rPr>
        <w:t xml:space="preserve">بالبول،وجب غسلها كما لو انتشر إلى الحشفة </w:t>
      </w:r>
      <w:r>
        <w:rPr>
          <w:rFonts w:eastAsia="Amiri" w:cs="Amiri" w:ascii="Amiri" w:hAnsi="Amiri"/>
          <w:color w:val="111111"/>
          <w:sz w:val="28"/>
          <w:szCs w:val="28"/>
          <w:rtl w:val="true"/>
          <w:lang w:bidi="ar-SA"/>
        </w:rPr>
        <w:t>.</w:t>
      </w:r>
    </w:p>
    <w:p>
      <w:pPr>
        <w:pStyle w:val="Heading6"/>
        <w:numPr>
          <w:ilvl w:val="5"/>
          <w:numId w:val="1"/>
        </w:numPr>
        <w:rPr/>
      </w:pPr>
      <w:bookmarkStart w:id="911" w:name="__RefHeading___Toc747347_222507752"/>
      <w:bookmarkStart w:id="912" w:name="_Toc364"/>
      <w:bookmarkEnd w:id="911"/>
      <w:r>
        <w:rPr>
          <w:rtl w:val="true"/>
        </w:rPr>
        <w:t>الثّالث</w:t>
      </w:r>
      <w:r>
        <w:rPr>
          <w:rtl w:val="true"/>
        </w:rPr>
        <w:t>:</w:t>
      </w:r>
      <w:r>
        <w:rPr>
          <w:rtl w:val="true"/>
        </w:rPr>
        <w:t>لو توضّأ قبل غسل المخرج جاز</w:t>
      </w:r>
      <w:bookmarkEnd w:id="912"/>
    </w:p>
    <w:p>
      <w:pPr>
        <w:pStyle w:val="BookText"/>
        <w:rPr/>
      </w:pPr>
      <w:r>
        <w:rPr>
          <w:rFonts w:ascii="Amiri" w:hAnsi="Amiri" w:eastAsia="Amiri" w:cs="Amiri"/>
          <w:color w:val="111111"/>
          <w:sz w:val="28"/>
          <w:sz w:val="28"/>
          <w:szCs w:val="28"/>
          <w:rtl w:val="true"/>
          <w:lang w:bidi="ar-SA"/>
        </w:rPr>
        <w:t>،و لو صلّى أعاد الصّلاة و لم يعد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مذهب أكثر علمائنا </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صلّى فذكر انّه لم يغسل ذكره فعليه أن يغسل ذكره و يعيد الوضوء و الصّلاة </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تقدّم من الرّوايات الصّحيحة كرواية ابن أذينة،و عمرو بن أبي نصر </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الشّيخ،عن عليّ بن يقطين،عن أبي الحسن موسى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يبول فلا يغسل ذكره حتّى يتوضّأ وضوء الصّلاة؟فقال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 ذكره و لا يعيد وضوءه</w:t>
      </w:r>
      <w:r>
        <w:rPr>
          <w:rFonts w:eastAsia="Amiri" w:cs="Amiri" w:ascii="Amiri" w:hAnsi="Amiri"/>
          <w:color w:val="111111"/>
          <w:sz w:val="28"/>
          <w:szCs w:val="28"/>
          <w:rtl w:val="true"/>
          <w:lang w:bidi="ar-SA"/>
        </w:rPr>
        <w:t xml:space="preserve">) </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ابن بابويه بروايات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سماعة</w:t>
      </w:r>
      <w:r>
        <w:rPr>
          <w:rFonts w:eastAsia="Amiri" w:cs="Amiri" w:ascii="Amiri" w:hAnsi="Amiri"/>
          <w:color w:val="111111"/>
          <w:sz w:val="28"/>
          <w:szCs w:val="28"/>
          <w:rtl w:val="true"/>
          <w:lang w:bidi="ar-SA"/>
        </w:rPr>
        <w:t xml:space="preserve">] </w:t>
      </w:r>
      <w:r>
        <w:rPr>
          <w:rStyle w:val="FootnoteAnchor"/>
          <w:rtl w:val="true"/>
        </w:rPr>
        <w:footnoteReference w:id="1684"/>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كنت أهرقت الماء فنسيت أن تغسل ذكرك حتّى صلّيت فعليك إعادة الوضوء و الصّلاة و غسل ذكرك</w:t>
      </w:r>
      <w:r>
        <w:rPr>
          <w:rFonts w:eastAsia="Amiri" w:cs="Amiri" w:ascii="Amiri" w:hAnsi="Amiri"/>
          <w:color w:val="111111"/>
          <w:sz w:val="28"/>
          <w:szCs w:val="28"/>
          <w:rtl w:val="true"/>
          <w:lang w:bidi="ar-SA"/>
        </w:rPr>
        <w:t xml:space="preserve">) </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أبو بصير،عن أبي عبد اللّه عليه السّلام مثله </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سليمان بن خالد،عن أبي جعفر عليه السّلام،في الرّجل يتوضّأ فينسى غسل ذكره؟قال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 ذكره ثمَّ يعيد الوضوء</w:t>
      </w:r>
      <w:r>
        <w:rPr>
          <w:rFonts w:eastAsia="Amiri" w:cs="Amiri" w:ascii="Amiri" w:hAnsi="Amiri"/>
          <w:color w:val="111111"/>
          <w:sz w:val="28"/>
          <w:szCs w:val="28"/>
          <w:rtl w:val="true"/>
          <w:lang w:bidi="ar-SA"/>
        </w:rPr>
        <w:t xml:space="preserve">) </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من حيث الإجمال،و من حيث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الإجمال،فمن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 الأمر على الاستحباب،فإنّ تكرار الطّهارة 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 الوضوء على مفهومه اللّغويّ جمعا بين الأدلّة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التّفصيل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الرّواية الأولى،فإنّ راويها محمّد بن عيسى،عن يونس،عن زرعة،عن سماعة،و زرعة و سماعة واقفيّان،فلا تعويل </w:t>
      </w:r>
      <w:r>
        <w:rPr>
          <w:rStyle w:val="FootnoteAnchor"/>
          <w:rtl w:val="true"/>
        </w:rPr>
        <w:footnoteReference w:id="1688"/>
      </w:r>
      <w:r>
        <w:rPr>
          <w:rFonts w:ascii="Amiri" w:hAnsi="Amiri" w:eastAsia="Amiri" w:cs="Amiri"/>
          <w:color w:val="111111"/>
          <w:sz w:val="28"/>
          <w:sz w:val="28"/>
          <w:szCs w:val="28"/>
          <w:rtl w:val="true"/>
          <w:lang w:bidi="ar-SA"/>
        </w:rPr>
        <w:t xml:space="preserve">على روايتهما،و أحاديث </w:t>
      </w:r>
    </w:p>
    <w:p>
      <w:pPr>
        <w:pStyle w:val="BookText"/>
        <w:rPr/>
      </w:pPr>
      <w:r>
        <w:rPr>
          <w:rFonts w:ascii="Amiri" w:hAnsi="Amiri" w:eastAsia="Amiri" w:cs="Amiri"/>
          <w:color w:val="111111"/>
          <w:sz w:val="28"/>
          <w:sz w:val="28"/>
          <w:szCs w:val="28"/>
          <w:rtl w:val="true"/>
          <w:lang w:bidi="ar-SA"/>
        </w:rPr>
        <w:t xml:space="preserve">محمّد بن عيسى عن يونس،نقل ابن بابويه منع العمل بها،عن ابن الوليد </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في طريقها سماعة بن مهران و هو واقفيّ </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سليمان بن خالد راويها،لم ينصّ أصحابنا على تعديله،بل ذكروا انّه خرج مع زيد بن عليّ </w:t>
      </w:r>
      <w:r>
        <w:rPr>
          <w:rStyle w:val="FootnoteAnchor"/>
          <w:rtl w:val="true"/>
        </w:rPr>
        <w:footnoteReference w:id="1691"/>
      </w:r>
      <w:r>
        <w:rPr>
          <w:rFonts w:ascii="Amiri" w:hAnsi="Amiri" w:eastAsia="Amiri" w:cs="Amiri"/>
          <w:color w:val="111111"/>
          <w:sz w:val="28"/>
          <w:sz w:val="28"/>
          <w:szCs w:val="28"/>
          <w:rtl w:val="true"/>
          <w:lang w:bidi="ar-SA"/>
        </w:rPr>
        <w:t>فقطعت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قال النّجاشيّ </w:t>
      </w:r>
      <w:r>
        <w:rPr>
          <w:rStyle w:val="FootnoteAnchor"/>
          <w:rtl w:val="true"/>
        </w:rPr>
        <w:footnoteReference w:id="1692"/>
      </w: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قطعت إصبعه،قالا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يخرج معه من أصحاب أبي جعفر عليه السّلام غيره </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يعارض ما ذهبنا إليه من وجوب إعادة الصّلاة بما رواه هشام بن سالم </w:t>
      </w:r>
      <w:r>
        <w:rPr>
          <w:rStyle w:val="FootnoteAnchor"/>
          <w:rtl w:val="true"/>
        </w:rPr>
        <w:footnoteReference w:id="1694"/>
      </w:r>
      <w:r>
        <w:rPr>
          <w:rFonts w:ascii="Amiri" w:hAnsi="Amiri" w:eastAsia="Amiri" w:cs="Amiri"/>
          <w:color w:val="111111"/>
          <w:sz w:val="28"/>
          <w:sz w:val="28"/>
          <w:szCs w:val="28"/>
          <w:rtl w:val="true"/>
          <w:lang w:bidi="ar-SA"/>
        </w:rPr>
        <w:t>،عن أبي عبد اللّه عليه السّلام،في الرّجل يتوضّأ و ينسى أن يغسل ذكره و قد بال،فقال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 ذكره و لا يعيد الصّلاة</w:t>
      </w:r>
      <w:r>
        <w:rPr>
          <w:rFonts w:eastAsia="Amiri" w:cs="Amiri" w:ascii="Amiri" w:hAnsi="Amiri"/>
          <w:color w:val="111111"/>
          <w:sz w:val="28"/>
          <w:szCs w:val="28"/>
          <w:rtl w:val="true"/>
          <w:lang w:bidi="ar-SA"/>
        </w:rPr>
        <w:t xml:space="preserve">) </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فلاحتمال تخصيص هذا الحكم بمن لم يجد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الشّيخ </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في طريقها أحمد بن هلال،و هو ضعيف،قال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غال </w:t>
      </w:r>
      <w:r>
        <w:rPr>
          <w:rStyle w:val="FootnoteAnchor"/>
          <w:rtl w:val="true"/>
        </w:rPr>
        <w:footnoteReference w:id="1697"/>
      </w:r>
      <w:r>
        <w:rPr>
          <w:rFonts w:ascii="IRNazanin" w:hAnsi="IRNazanin" w:eastAsia="IRNazanin"/>
          <w:color w:val="111111"/>
          <w:sz w:val="28"/>
          <w:sz w:val="28"/>
          <w:szCs w:val="28"/>
          <w:rtl w:val="true"/>
          <w:lang w:bidi="fa-IR"/>
        </w:rPr>
        <w:t xml:space="preserve">، </w:t>
      </w:r>
      <w:bookmarkStart w:id="913" w:name="pg12672_160013"/>
    </w:p>
    <w:p>
      <w:pPr>
        <w:pStyle w:val="BookText"/>
        <w:rPr/>
      </w:pPr>
      <w:bookmarkEnd w:id="913"/>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فيه ذموم من سيّدنا أبي محمّد العسكريّ عليه السّلام </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14" w:name="__RefHeading___Toc747349_222507752"/>
      <w:bookmarkStart w:id="915" w:name="_Toc365"/>
      <w:bookmarkEnd w:id="914"/>
      <w:r>
        <w:rPr>
          <w:rtl w:val="true"/>
        </w:rPr>
        <w:t>الرّابع</w:t>
      </w:r>
      <w:r>
        <w:rPr>
          <w:rtl w:val="true"/>
        </w:rPr>
        <w:t>:</w:t>
      </w:r>
      <w:r>
        <w:rPr>
          <w:rtl w:val="true"/>
        </w:rPr>
        <w:t>لو لم يجد الماء لغسل البول أو تعذّر استعماله لجرح و شبهه</w:t>
      </w:r>
      <w:bookmarkEnd w:id="915"/>
    </w:p>
    <w:p>
      <w:pPr>
        <w:pStyle w:val="BookText"/>
        <w:rPr/>
      </w:pPr>
      <w:r>
        <w:rPr>
          <w:rStyle w:val="FootnoteAnchor"/>
          <w:rtl w:val="true"/>
        </w:rPr>
        <w:footnoteReference w:id="16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،أجزأه المسح بالحجر و شبهه ممّا يزيل العين،لأنّ الواجب إزالة العين و الأثر،فلمّا تعذّرت إزالتهما لم يسقط إزالة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الشّيخ،عن عبد اللّه بن بكير،قال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يبول و لا يكون عنده الماء فيمسح ذكره بالحائط؟قال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يابس زكيّ</w:t>
      </w:r>
      <w:r>
        <w:rPr>
          <w:rFonts w:eastAsia="Amiri" w:cs="Amiri" w:ascii="Amiri" w:hAnsi="Amiri"/>
          <w:color w:val="111111"/>
          <w:sz w:val="28"/>
          <w:szCs w:val="28"/>
          <w:rtl w:val="true"/>
          <w:lang w:bidi="ar-SA"/>
        </w:rPr>
        <w:t xml:space="preserve">) </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وجد الماء بعد ذلك وجب عليه الغسل،و لا يجتزئ بالمسح المتقدّم،لأنّه اجتزأ به للضّرورة و قد زالت،و نجاسة المحل باقية،لأنّ المزيل لم يوجد،فلو لاقاه شيء برطوبة كان نجسا </w:t>
      </w:r>
      <w:r>
        <w:rPr>
          <w:rFonts w:eastAsia="Amiri" w:cs="Amiri" w:ascii="Amiri" w:hAnsi="Amiri"/>
          <w:color w:val="111111"/>
          <w:sz w:val="28"/>
          <w:szCs w:val="28"/>
          <w:rtl w:val="true"/>
          <w:lang w:bidi="ar-SA"/>
        </w:rPr>
        <w:t>.</w:t>
      </w:r>
    </w:p>
    <w:p>
      <w:pPr>
        <w:pStyle w:val="Heading6"/>
        <w:numPr>
          <w:ilvl w:val="5"/>
          <w:numId w:val="1"/>
        </w:numPr>
        <w:rPr/>
      </w:pPr>
      <w:bookmarkStart w:id="916" w:name="__RefHeading___Toc747351_222507752"/>
      <w:bookmarkStart w:id="917" w:name="_Toc366"/>
      <w:bookmarkEnd w:id="916"/>
      <w:r>
        <w:rPr>
          <w:rtl w:val="true"/>
        </w:rPr>
        <w:t>الخامس</w:t>
      </w:r>
      <w:r>
        <w:rPr>
          <w:rtl w:val="true"/>
        </w:rPr>
        <w:t>:</w:t>
      </w:r>
      <w:r>
        <w:rPr>
          <w:rtl w:val="true"/>
        </w:rPr>
        <w:t>لو خرج من الذّكر دود،أو حصى،أو غيره</w:t>
      </w:r>
      <w:bookmarkEnd w:id="917"/>
    </w:p>
    <w:p>
      <w:pPr>
        <w:pStyle w:val="BookText"/>
        <w:rPr/>
      </w:pPr>
      <w:r>
        <w:rPr>
          <w:rFonts w:ascii="Amiri" w:hAnsi="Amiri" w:eastAsia="Amiri" w:cs="Amiri"/>
          <w:color w:val="111111"/>
          <w:sz w:val="28"/>
          <w:sz w:val="28"/>
          <w:szCs w:val="28"/>
          <w:rtl w:val="true"/>
          <w:lang w:bidi="ar-SA"/>
        </w:rPr>
        <w:t>ممّا ليس ببول و لا دم و لا منيّ، لا يجب غسله،سواء كان جامدا،أو مائعا عملا بالأصلين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 الذّمّة،و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أدخل شيئا ثمَّ أخرجه كالميل و الحقنة ما لم يحصل هناك نجاسة من أحد الثّلاثة،و للشّافعيّ قولان في الجامد كالحصى و الدّود إذا خرجت غير ملوّثة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الاستنجاء إذ لا يخلو من نداوة و إن لم يظهر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الوجوب لعدم البلّة فأشبه الرّيح </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الأوّل هل تجزي الحجارة أو يتعيّن الماء؟قولان </w:t>
      </w:r>
      <w:r>
        <w:rPr>
          <w:rStyle w:val="FootnoteAnchor"/>
          <w:rtl w:val="true"/>
        </w:rPr>
        <w:footnoteReference w:id="1702"/>
      </w:r>
      <w:r>
        <w:rPr>
          <w:rFonts w:ascii="Amiri" w:hAnsi="Amiri" w:eastAsia="Amiri" w:cs="Amiri"/>
          <w:color w:val="111111"/>
          <w:sz w:val="28"/>
          <w:sz w:val="28"/>
          <w:szCs w:val="28"/>
          <w:rtl w:val="true"/>
          <w:lang w:bidi="ar-SA"/>
        </w:rPr>
        <w:t xml:space="preserve">،و أوجب الاستنجاء من المائع كالدّم و القيح و الصّديد و المذي قطعا </w:t>
      </w:r>
      <w:r>
        <w:rPr>
          <w:rStyle w:val="FootnoteAnchor"/>
          <w:rtl w:val="true"/>
        </w:rPr>
        <w:footnoteReference w:id="1703"/>
      </w:r>
      <w:r>
        <w:rPr>
          <w:rFonts w:ascii="Amiri" w:hAnsi="Amiri" w:eastAsia="Amiri" w:cs="Amiri"/>
          <w:color w:val="111111"/>
          <w:sz w:val="28"/>
          <w:sz w:val="28"/>
          <w:szCs w:val="28"/>
          <w:rtl w:val="true"/>
          <w:lang w:bidi="ar-SA"/>
        </w:rPr>
        <w:t xml:space="preserve">،و في تعيين الماء أو التّخيير بينه و بين الحجارة، قولان </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 xml:space="preserve">. </w:t>
      </w:r>
      <w:bookmarkStart w:id="918" w:name="pg12672_160014"/>
    </w:p>
    <w:p>
      <w:pPr>
        <w:pStyle w:val="BookText"/>
        <w:rPr/>
      </w:pPr>
      <w:bookmarkEnd w:id="918"/>
      <w:r>
        <w:rPr>
          <w:rFonts w:ascii="Amiri" w:hAnsi="Amiri" w:eastAsia="Amiri" w:cs="Amiri"/>
          <w:color w:val="111111"/>
          <w:sz w:val="28"/>
          <w:sz w:val="28"/>
          <w:szCs w:val="28"/>
          <w:rtl w:val="true"/>
          <w:lang w:bidi="ar-SA"/>
        </w:rPr>
        <w:t xml:space="preserve">و لو خرجت البعرة يابسة لا بلل فيها،كان حكمها حكم الحصاة عنده </w:t>
      </w:r>
      <w:r>
        <w:rPr>
          <w:rStyle w:val="FootnoteAnchor"/>
          <w:rtl w:val="true"/>
        </w:rPr>
        <w:footnoteReference w:id="1705"/>
      </w:r>
      <w:r>
        <w:rPr>
          <w:rFonts w:ascii="IRNazanin" w:hAnsi="IRNazanin" w:eastAsia="IRNazanin"/>
          <w:color w:val="111111"/>
          <w:sz w:val="28"/>
          <w:sz w:val="28"/>
          <w:szCs w:val="28"/>
          <w:rtl w:val="true"/>
          <w:lang w:bidi="fa-IR"/>
        </w:rPr>
        <w:t>،و عندنا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يجب فيها الاستنجاء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سال إلى فرج امرأة منيّ من ذكر أو أنثى ثمَّ خرج،لم يجب به وضوء و لا غسل و يكون حكمه حكم النّجاسة الملاقية للبدن في وجوب غسل موضع الملاقاة خاصّة </w:t>
      </w:r>
      <w:r>
        <w:rPr>
          <w:rFonts w:eastAsia="Amiri" w:cs="Amiri" w:ascii="Amiri" w:hAnsi="Amiri"/>
          <w:color w:val="111111"/>
          <w:sz w:val="28"/>
          <w:szCs w:val="28"/>
          <w:rtl w:val="true"/>
          <w:lang w:bidi="ar-SA"/>
        </w:rPr>
        <w:t>.</w:t>
      </w:r>
    </w:p>
    <w:p>
      <w:pPr>
        <w:pStyle w:val="Heading6"/>
        <w:numPr>
          <w:ilvl w:val="5"/>
          <w:numId w:val="1"/>
        </w:numPr>
        <w:rPr/>
      </w:pPr>
      <w:bookmarkStart w:id="919" w:name="__RefHeading___Toc747353_222507752"/>
      <w:bookmarkStart w:id="920" w:name="_Toc367"/>
      <w:bookmarkEnd w:id="919"/>
      <w:r>
        <w:rPr>
          <w:rtl w:val="true"/>
        </w:rPr>
        <w:t>السّادس</w:t>
      </w:r>
      <w:r>
        <w:rPr>
          <w:rtl w:val="true"/>
        </w:rPr>
        <w:t>:</w:t>
      </w:r>
      <w:r>
        <w:rPr>
          <w:rtl w:val="true"/>
        </w:rPr>
        <w:t>من بال لا يجب عليه إلاّ غسل مخرج البول لا غير</w:t>
      </w:r>
      <w:bookmarkEnd w:id="920"/>
    </w:p>
    <w:p>
      <w:pPr>
        <w:pStyle w:val="BookText"/>
        <w:rPr/>
      </w:pPr>
      <w:r>
        <w:rPr>
          <w:rFonts w:ascii="Amiri" w:hAnsi="Amiri" w:eastAsia="Amiri" w:cs="Amiri"/>
          <w:color w:val="111111"/>
          <w:sz w:val="28"/>
          <w:sz w:val="28"/>
          <w:szCs w:val="28"/>
          <w:rtl w:val="true"/>
          <w:lang w:bidi="ar-SA"/>
        </w:rPr>
        <w:t>،لأنّه محلّ النّجاسة، فالتّعدي في الغسل إلى غيره غير معقول،و هو إجماع علمائنا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بال الرّجل و لم يخرج منه شيء غيره فإنّما عليه أن يغسل إحليله وحده و لا يغسل مقعدته</w:t>
      </w:r>
      <w:r>
        <w:rPr>
          <w:rFonts w:eastAsia="Amiri" w:cs="Amiri" w:ascii="Amiri" w:hAnsi="Amiri"/>
          <w:color w:val="111111"/>
          <w:sz w:val="28"/>
          <w:szCs w:val="28"/>
          <w:rtl w:val="true"/>
          <w:lang w:bidi="ar-SA"/>
        </w:rPr>
        <w:t xml:space="preserve">) </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21" w:name="__RefHeading___Toc747355_222507752"/>
      <w:bookmarkStart w:id="922" w:name="_Toc368"/>
      <w:bookmarkEnd w:id="921"/>
      <w:r>
        <w:rPr>
          <w:rtl w:val="true"/>
        </w:rPr>
        <w:t>السّابع</w:t>
      </w:r>
      <w:r>
        <w:rPr>
          <w:rtl w:val="true"/>
        </w:rPr>
        <w:t>:</w:t>
      </w:r>
      <w:r>
        <w:rPr>
          <w:rtl w:val="true"/>
        </w:rPr>
        <w:t>أقلّ ما يجزي من الماء لغسله ما أزال العين عن رأس الفرج</w:t>
      </w:r>
      <w:bookmarkEnd w:id="922"/>
    </w:p>
    <w:p>
      <w:pPr>
        <w:pStyle w:val="BookText"/>
        <w:rPr/>
      </w:pPr>
      <w:r>
        <w:rPr>
          <w:rFonts w:ascii="Amiri" w:hAnsi="Amiri" w:eastAsia="Amiri" w:cs="Amiri"/>
          <w:color w:val="111111"/>
          <w:sz w:val="28"/>
          <w:sz w:val="28"/>
          <w:szCs w:val="28"/>
          <w:rtl w:val="true"/>
          <w:lang w:bidi="ar-SA"/>
        </w:rPr>
        <w:t xml:space="preserve">،هذا قول أبي الصّلاح </w:t>
      </w:r>
      <w:r>
        <w:rPr>
          <w:rStyle w:val="FootnoteAnchor"/>
          <w:rtl w:val="true"/>
        </w:rPr>
        <w:footnoteReference w:id="1707"/>
      </w:r>
      <w:r>
        <w:rPr>
          <w:rFonts w:ascii="Amiri" w:hAnsi="Amiri" w:eastAsia="Amiri" w:cs="Amiri"/>
          <w:color w:val="111111"/>
          <w:sz w:val="28"/>
          <w:sz w:val="28"/>
          <w:szCs w:val="28"/>
          <w:rtl w:val="true"/>
          <w:lang w:bidi="ar-SA"/>
        </w:rPr>
        <w:t xml:space="preserve">،و قدّره الشّيخان بمثلي ما على الحشفة </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المنع تابع للعين و قد زالت،فيخرج </w:t>
      </w:r>
      <w:r>
        <w:rPr>
          <w:rStyle w:val="FootnoteAnchor"/>
          <w:rtl w:val="true"/>
        </w:rPr>
        <w:footnoteReference w:id="1709"/>
      </w:r>
      <w:r>
        <w:rPr>
          <w:rFonts w:ascii="Amiri" w:hAnsi="Amiri" w:eastAsia="Amiri" w:cs="Amiri"/>
          <w:color w:val="111111"/>
          <w:sz w:val="28"/>
          <w:sz w:val="28"/>
          <w:szCs w:val="28"/>
          <w:rtl w:val="true"/>
          <w:lang w:bidi="ar-SA"/>
        </w:rPr>
        <w:t>عن العهدة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استدلّ الشّيخ بما رواه نشيط بن صالح </w:t>
      </w:r>
      <w:r>
        <w:rPr>
          <w:rStyle w:val="FootnoteAnchor"/>
          <w:rtl w:val="true"/>
        </w:rPr>
        <w:footnoteReference w:id="1710"/>
      </w:r>
      <w:r>
        <w:rPr>
          <w:rFonts w:ascii="Amiri" w:hAnsi="Amiri" w:eastAsia="Amiri" w:cs="Amiri"/>
          <w:color w:val="111111"/>
          <w:sz w:val="28"/>
          <w:sz w:val="28"/>
          <w:szCs w:val="28"/>
          <w:rtl w:val="true"/>
          <w:lang w:bidi="ar-SA"/>
        </w:rPr>
        <w:t>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كم يجزي من الماء في الاستنجاء من البول؟قال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ما على الحشفة من البلل</w:t>
      </w:r>
      <w:r>
        <w:rPr>
          <w:rFonts w:eastAsia="Amiri" w:cs="Amiri" w:ascii="Amiri" w:hAnsi="Amiri"/>
          <w:color w:val="111111"/>
          <w:sz w:val="28"/>
          <w:szCs w:val="28"/>
          <w:rtl w:val="true"/>
          <w:lang w:bidi="ar-SA"/>
        </w:rPr>
        <w:t xml:space="preserve">) </w:t>
      </w:r>
      <w:r>
        <w:rPr>
          <w:rStyle w:val="FootnoteAnchor"/>
          <w:rtl w:val="true"/>
        </w:rPr>
        <w:footnoteReference w:id="1711"/>
      </w:r>
      <w:r>
        <w:rPr>
          <w:rFonts w:ascii="Amiri" w:hAnsi="Amiri" w:eastAsia="Amiri" w:cs="Amiri"/>
          <w:color w:val="111111"/>
          <w:sz w:val="28"/>
          <w:sz w:val="28"/>
          <w:szCs w:val="28"/>
          <w:rtl w:val="true"/>
          <w:lang w:bidi="ar-SA"/>
        </w:rPr>
        <w:t xml:space="preserve">و في </w:t>
      </w:r>
      <w:bookmarkStart w:id="923" w:name="pg12672_160015"/>
    </w:p>
    <w:p>
      <w:pPr>
        <w:pStyle w:val="BookText"/>
        <w:rPr/>
      </w:pPr>
      <w:bookmarkEnd w:id="923"/>
      <w:r>
        <w:rPr>
          <w:rFonts w:ascii="Amiri" w:hAnsi="Amiri" w:eastAsia="Amiri" w:cs="Amiri"/>
          <w:color w:val="111111"/>
          <w:sz w:val="28"/>
          <w:sz w:val="28"/>
          <w:szCs w:val="28"/>
          <w:rtl w:val="true"/>
          <w:lang w:bidi="ar-SA"/>
        </w:rPr>
        <w:t xml:space="preserve">طريق هذه الرّواية مروك بن عبيد </w:t>
      </w:r>
      <w:r>
        <w:rPr>
          <w:rStyle w:val="FootnoteAnchor"/>
          <w:rtl w:val="true"/>
        </w:rPr>
        <w:footnoteReference w:id="1712"/>
      </w:r>
      <w:r>
        <w:rPr>
          <w:rFonts w:ascii="Amiri" w:hAnsi="Amiri" w:eastAsia="Amiri" w:cs="Amiri"/>
          <w:color w:val="111111"/>
          <w:sz w:val="28"/>
          <w:sz w:val="28"/>
          <w:szCs w:val="28"/>
          <w:rtl w:val="true"/>
          <w:lang w:bidi="ar-SA"/>
        </w:rPr>
        <w:t xml:space="preserve">و لا أعرف حاله،فنحن فيها من المتوقّفين،و لأنّ الإجماع واقع على الاكتفاء في الغائط بالإزالة ففي البول أولى،لسرعة انفصاله بجميع </w:t>
      </w:r>
      <w:r>
        <w:rPr>
          <w:rStyle w:val="FootnoteAnchor"/>
          <w:rtl w:val="true"/>
        </w:rPr>
        <w:footnoteReference w:id="1713"/>
      </w:r>
      <w:r>
        <w:rPr>
          <w:rFonts w:ascii="IRNazanin" w:hAnsi="IRNazanin" w:eastAsia="IRNazanin"/>
          <w:color w:val="111111"/>
          <w:sz w:val="28"/>
          <w:sz w:val="28"/>
          <w:szCs w:val="28"/>
          <w:rtl w:val="true"/>
          <w:lang w:bidi="fa-IR"/>
        </w:rPr>
        <w:t>أجزائه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روى نشيط،عن بعض أصحابنا،عن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 من البول أن يغسله بمثله</w:t>
      </w:r>
      <w:r>
        <w:rPr>
          <w:rFonts w:eastAsia="Amiri" w:cs="Amiri" w:ascii="Amiri" w:hAnsi="Amiri"/>
          <w:color w:val="111111"/>
          <w:sz w:val="28"/>
          <w:szCs w:val="28"/>
          <w:rtl w:val="true"/>
          <w:lang w:bidi="ar-SA"/>
        </w:rPr>
        <w:t xml:space="preserve">) </w:t>
      </w:r>
      <w:r>
        <w:rPr>
          <w:rStyle w:val="FootnoteAnchor"/>
          <w:rtl w:val="true"/>
        </w:rPr>
        <w:footnoteReference w:id="1714"/>
      </w:r>
      <w:r>
        <w:rPr>
          <w:rFonts w:ascii="Amiri" w:hAnsi="Amiri" w:eastAsia="Amiri" w:cs="Amiri"/>
          <w:color w:val="111111"/>
          <w:sz w:val="28"/>
          <w:sz w:val="28"/>
          <w:szCs w:val="28"/>
          <w:rtl w:val="true"/>
          <w:lang w:bidi="ar-SA"/>
        </w:rPr>
        <w:t xml:space="preserve">و هذا الخبر مرسل،و في طريقه مروك و لا نعرفه </w:t>
      </w:r>
      <w:r>
        <w:rPr>
          <w:rFonts w:eastAsia="Amiri" w:cs="Amiri" w:ascii="Amiri" w:hAnsi="Amiri"/>
          <w:color w:val="111111"/>
          <w:sz w:val="28"/>
          <w:szCs w:val="28"/>
          <w:rtl w:val="true"/>
          <w:lang w:bidi="ar-SA"/>
        </w:rPr>
        <w:t>.</w:t>
      </w:r>
    </w:p>
    <w:p>
      <w:pPr>
        <w:pStyle w:val="Heading6"/>
        <w:numPr>
          <w:ilvl w:val="5"/>
          <w:numId w:val="1"/>
        </w:numPr>
        <w:rPr/>
      </w:pPr>
      <w:bookmarkStart w:id="924" w:name="__RefHeading___Toc747357_222507752"/>
      <w:bookmarkStart w:id="925" w:name="_Toc369"/>
      <w:bookmarkEnd w:id="924"/>
      <w:r>
        <w:rPr>
          <w:rtl w:val="true"/>
        </w:rPr>
        <w:t>الثّامن</w:t>
      </w:r>
      <w:r>
        <w:rPr>
          <w:rtl w:val="true"/>
        </w:rPr>
        <w:t>:</w:t>
      </w:r>
      <w:r>
        <w:rPr>
          <w:rtl w:val="true"/>
        </w:rPr>
        <w:t>لا يجب على المرأة إدخال إصبعها في فرجها</w:t>
      </w:r>
      <w:bookmarkEnd w:id="925"/>
    </w:p>
    <w:p>
      <w:pPr>
        <w:pStyle w:val="BookText"/>
        <w:rPr/>
      </w:pPr>
      <w:r>
        <w:rPr>
          <w:rFonts w:ascii="Amiri" w:hAnsi="Amiri" w:eastAsia="Amiri" w:cs="Amiri"/>
          <w:color w:val="111111"/>
          <w:sz w:val="28"/>
          <w:sz w:val="28"/>
          <w:szCs w:val="28"/>
          <w:rtl w:val="true"/>
          <w:lang w:bidi="ar-SA"/>
        </w:rPr>
        <w:t xml:space="preserve">،و نقل عن بعض الحنفيّة قول مردود عندهم وجوبه </w:t>
      </w:r>
      <w:r>
        <w:rPr>
          <w:rStyle w:val="FootnoteAnchor"/>
          <w:rtl w:val="true"/>
        </w:rPr>
        <w:footnoteReference w:id="1715"/>
      </w:r>
      <w:r>
        <w:rPr>
          <w:rFonts w:ascii="Amiri" w:hAnsi="Amiri" w:eastAsia="Amiri" w:cs="Amiri"/>
          <w:color w:val="111111"/>
          <w:sz w:val="28"/>
          <w:sz w:val="28"/>
          <w:szCs w:val="28"/>
          <w:rtl w:val="true"/>
          <w:lang w:bidi="ar-SA"/>
        </w:rPr>
        <w:t xml:space="preserve">،و ليس بشيء لعدم الدّليل،و لأنّ الباطن لا يقبل النّجاسة و إلاّ لزم الحرج و الضّرر </w:t>
      </w:r>
      <w:r>
        <w:rPr>
          <w:rFonts w:eastAsia="Amiri" w:cs="Amiri" w:ascii="Amiri" w:hAnsi="Amiri"/>
          <w:color w:val="111111"/>
          <w:sz w:val="28"/>
          <w:szCs w:val="28"/>
          <w:rtl w:val="true"/>
          <w:lang w:bidi="ar-SA"/>
        </w:rPr>
        <w:t>.</w:t>
      </w:r>
    </w:p>
    <w:p>
      <w:pPr>
        <w:pStyle w:val="Heading6"/>
        <w:numPr>
          <w:ilvl w:val="5"/>
          <w:numId w:val="1"/>
        </w:numPr>
        <w:rPr/>
      </w:pPr>
      <w:bookmarkStart w:id="926" w:name="__RefHeading___Toc747359_222507752"/>
      <w:bookmarkStart w:id="927" w:name="_Toc370"/>
      <w:bookmarkEnd w:id="926"/>
      <w:r>
        <w:rPr>
          <w:rtl w:val="true"/>
        </w:rPr>
        <w:t>مسألة</w:t>
      </w:r>
      <w:r>
        <w:rPr>
          <w:rtl w:val="true"/>
        </w:rPr>
        <w:t>:</w:t>
      </w:r>
      <w:r>
        <w:rPr>
          <w:rtl w:val="true"/>
        </w:rPr>
        <w:t>قال علماؤنا</w:t>
      </w:r>
      <w:r>
        <w:rPr>
          <w:rtl w:val="true"/>
        </w:rPr>
        <w:t>:</w:t>
      </w:r>
      <w:r>
        <w:rPr>
          <w:rtl w:val="true"/>
        </w:rPr>
        <w:t>الاستنجاء من الغائط واجب</w:t>
      </w:r>
      <w:bookmarkEnd w:id="9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مذهب أكثر أهل العلم </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سنّة و ليس بواجب </w:t>
      </w:r>
      <w:r>
        <w:rPr>
          <w:rStyle w:val="FootnoteAnchor"/>
          <w:rtl w:val="true"/>
        </w:rPr>
        <w:footnoteReference w:id="17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رواية عن مالك </w:t>
      </w:r>
      <w:r>
        <w:rPr>
          <w:rStyle w:val="FootnoteAnchor"/>
          <w:rtl w:val="true"/>
        </w:rPr>
        <w:footnoteReference w:id="1718"/>
      </w:r>
      <w:r>
        <w:rPr>
          <w:rFonts w:ascii="Amiri" w:hAnsi="Amiri" w:eastAsia="Amiri" w:cs="Amiri"/>
          <w:color w:val="111111"/>
          <w:sz w:val="28"/>
          <w:sz w:val="28"/>
          <w:szCs w:val="28"/>
          <w:rtl w:val="true"/>
          <w:lang w:bidi="ar-SA"/>
        </w:rPr>
        <w:t>،و حكي أيضا عن الزّهريّ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النّبيّ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ذهب أحدكم إلى الغائط،فليذهب معه بثلاثة أحجار فإنّها تجزي عنه</w:t>
      </w:r>
      <w:r>
        <w:rPr>
          <w:rFonts w:eastAsia="Amiri" w:cs="Amiri" w:ascii="Amiri" w:hAnsi="Amiri"/>
          <w:color w:val="111111"/>
          <w:sz w:val="28"/>
          <w:szCs w:val="28"/>
          <w:rtl w:val="true"/>
          <w:lang w:bidi="ar-SA"/>
        </w:rPr>
        <w:t xml:space="preserve">) </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يستنجئ أحدكم بدون ثلاثة أحجار</w:t>
      </w:r>
      <w:r>
        <w:rPr>
          <w:rFonts w:eastAsia="Amiri" w:cs="Amiri" w:ascii="Amiri" w:hAnsi="Amiri"/>
          <w:color w:val="111111"/>
          <w:sz w:val="28"/>
          <w:szCs w:val="28"/>
          <w:rtl w:val="true"/>
          <w:lang w:bidi="ar-SA"/>
        </w:rPr>
        <w:t xml:space="preserve">) </w:t>
      </w:r>
      <w:r>
        <w:rPr>
          <w:rStyle w:val="FootnoteAnchor"/>
          <w:rtl w:val="true"/>
        </w:rPr>
        <w:footnoteReference w:id="1720"/>
      </w:r>
      <w:r>
        <w:rPr>
          <w:rFonts w:ascii="Amiri" w:hAnsi="Amiri" w:eastAsia="Amiri" w:cs="Amiri"/>
          <w:color w:val="111111"/>
          <w:sz w:val="28"/>
          <w:sz w:val="28"/>
          <w:szCs w:val="28"/>
          <w:rtl w:val="true"/>
          <w:lang w:bidi="ar-SA"/>
        </w:rPr>
        <w:t>رواه مسلم،و في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نهانا أن نستنجي بدون ثلاثة</w:t>
      </w:r>
      <w:r>
        <w:rPr>
          <w:rFonts w:eastAsia="Amiri" w:cs="Amiri" w:ascii="Amiri" w:hAnsi="Amiri"/>
          <w:color w:val="111111"/>
          <w:sz w:val="28"/>
          <w:szCs w:val="28"/>
          <w:rtl w:val="true"/>
          <w:lang w:bidi="ar-SA"/>
        </w:rPr>
        <w:t xml:space="preserve">) </w:t>
      </w:r>
      <w:r>
        <w:rPr>
          <w:rStyle w:val="FootnoteAnchor"/>
          <w:rtl w:val="true"/>
        </w:rPr>
        <w:footnoteReference w:id="1721"/>
      </w:r>
      <w:r>
        <w:rPr>
          <w:rFonts w:ascii="Amiri" w:hAnsi="Amiri" w:eastAsia="Amiri" w:cs="Amiri"/>
          <w:color w:val="111111"/>
          <w:sz w:val="28"/>
          <w:sz w:val="28"/>
          <w:szCs w:val="28"/>
          <w:rtl w:val="true"/>
          <w:lang w:bidi="ar-SA"/>
        </w:rPr>
        <w:t>و الأمر يقتضي الوجوب،و الإجزاء إنّما يستعمل في الواجب،و النّهي عن الاقتصار على أقلّ من ثلاثة،يقتضي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لأنّ المحلّ لا يخلو من ملاقاة نجاسة فيجب إزالتها ليحصل </w:t>
      </w:r>
      <w:r>
        <w:rPr>
          <w:rStyle w:val="FootnoteAnchor"/>
          <w:rtl w:val="true"/>
        </w:rPr>
        <w:footnoteReference w:id="1722"/>
      </w:r>
      <w:r>
        <w:rPr>
          <w:rFonts w:ascii="Amiri" w:hAnsi="Amiri" w:eastAsia="Amiri" w:cs="Amiri"/>
          <w:color w:val="111111"/>
          <w:sz w:val="28"/>
          <w:sz w:val="28"/>
          <w:szCs w:val="28"/>
          <w:rtl w:val="true"/>
          <w:lang w:bidi="ar-SA"/>
        </w:rPr>
        <w:t>الطّهور المشروط في الصّلاة 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الحسن،عن يونس بن يعقوب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الّذي افترضه اللّه على العباد لمن جاء من الغائط أو بال؟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 ذكره و يذهب الغائط ثمَّ يتوضّأ مرّتين مرّتين</w:t>
      </w:r>
      <w:r>
        <w:rPr>
          <w:rFonts w:eastAsia="Amiri" w:cs="Amiri" w:ascii="Amiri" w:hAnsi="Amiri"/>
          <w:color w:val="111111"/>
          <w:sz w:val="28"/>
          <w:szCs w:val="28"/>
          <w:rtl w:val="true"/>
          <w:lang w:bidi="ar-SA"/>
        </w:rPr>
        <w:t xml:space="preserve">) </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الشّيخ في الحسن،عن ابن المغيرة،عن أبي الحسن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ينقي ما ثمّة</w:t>
      </w:r>
      <w:r>
        <w:rPr>
          <w:rFonts w:eastAsia="Amiri" w:cs="Amiri" w:ascii="Amiri" w:hAnsi="Amiri"/>
          <w:color w:val="111111"/>
          <w:sz w:val="28"/>
          <w:szCs w:val="28"/>
          <w:rtl w:val="true"/>
          <w:lang w:bidi="ar-SA"/>
        </w:rPr>
        <w:t xml:space="preserve">) </w:t>
      </w:r>
      <w:r>
        <w:rPr>
          <w:rStyle w:val="FootnoteAnchor"/>
          <w:rtl w:val="true"/>
        </w:rPr>
        <w:footnoteReference w:id="1725"/>
      </w:r>
      <w:r>
        <w:rPr>
          <w:rFonts w:ascii="IRNazanin" w:hAnsi="IRNazanin" w:eastAsia="IRNazanin"/>
          <w:color w:val="111111"/>
          <w:sz w:val="28"/>
          <w:sz w:val="28"/>
          <w:szCs w:val="28"/>
          <w:rtl w:val="true"/>
          <w:lang w:bidi="fa-IR"/>
        </w:rPr>
        <w:t>و الأمر للوجوب</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رواه الشّيخ عن مسعدة بن زياد </w:t>
      </w:r>
      <w:r>
        <w:rPr>
          <w:rStyle w:val="FootnoteAnchor"/>
          <w:rtl w:val="true"/>
        </w:rPr>
        <w:footnoteReference w:id="1726"/>
      </w:r>
      <w:r>
        <w:rPr>
          <w:rFonts w:ascii="Amiri" w:hAnsi="Amiri" w:eastAsia="Amiri" w:cs="Amiri"/>
          <w:color w:val="111111"/>
          <w:sz w:val="28"/>
          <w:sz w:val="28"/>
          <w:szCs w:val="28"/>
          <w:rtl w:val="true"/>
          <w:lang w:bidi="ar-SA"/>
        </w:rPr>
        <w:t xml:space="preserve">،عن جعفر،عن أبيه،عن آبائه،عن النّبيّ </w:t>
      </w:r>
    </w:p>
    <w:p>
      <w:pPr>
        <w:pStyle w:val="BookText"/>
        <w:rPr/>
      </w:pPr>
      <w:r>
        <w:rPr>
          <w:rFonts w:ascii="Amiri" w:hAnsi="Amiri" w:eastAsia="Amiri" w:cs="Amiri"/>
          <w:color w:val="111111"/>
          <w:sz w:val="28"/>
          <w:sz w:val="28"/>
          <w:szCs w:val="28"/>
          <w:rtl w:val="true"/>
          <w:lang w:bidi="ar-SA"/>
        </w:rPr>
        <w:t>صلّى اللّه عليه و آله،قال لبعض نسائه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 نساء المؤمنين أن يستنجين بالماء،فإنّه مطهّرة للحواشي و مذهبة للبواسير</w:t>
      </w:r>
      <w:r>
        <w:rPr>
          <w:rFonts w:eastAsia="Amiri" w:cs="Amiri" w:ascii="Amiri" w:hAnsi="Amiri"/>
          <w:color w:val="111111"/>
          <w:sz w:val="28"/>
          <w:szCs w:val="28"/>
          <w:rtl w:val="true"/>
          <w:lang w:bidi="ar-SA"/>
        </w:rPr>
        <w:t xml:space="preserve">) </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روى،عن زرارة،عن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جرت السنّة في أثر الغائط بثلاثة أحجار أن يمسح العجان </w:t>
      </w:r>
      <w:r>
        <w:rPr>
          <w:rStyle w:val="FootnoteAnchor"/>
          <w:rtl w:val="true"/>
        </w:rPr>
        <w:footnoteReference w:id="1728"/>
      </w:r>
      <w:r>
        <w:rPr>
          <w:rFonts w:ascii="Amiri" w:hAnsi="Amiri" w:eastAsia="Amiri" w:cs="Amiri"/>
          <w:color w:val="111111"/>
          <w:sz w:val="28"/>
          <w:sz w:val="28"/>
          <w:szCs w:val="28"/>
          <w:rtl w:val="true"/>
          <w:lang w:bidi="ar-SA"/>
        </w:rPr>
        <w:t>و لا يغسله،و يجوز أن يمسح رجليه و لا يغسلها</w:t>
      </w:r>
      <w:r>
        <w:rPr>
          <w:rFonts w:eastAsia="Amiri" w:cs="Amiri" w:ascii="Amiri" w:hAnsi="Amiri"/>
          <w:color w:val="111111"/>
          <w:sz w:val="28"/>
          <w:szCs w:val="28"/>
          <w:rtl w:val="true"/>
          <w:lang w:bidi="ar-SA"/>
        </w:rPr>
        <w:t xml:space="preserve">) </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 الصّحيح،عن زرارة،عن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بطهور،و يجزيك من الاستنجاء ثلاثة أحجار،بذلك جرت السّنّة من رسول اللّه صلّى اللّه عليه و آله،و أمّا البول فلا بدّ من غسله</w:t>
      </w:r>
      <w:r>
        <w:rPr>
          <w:rFonts w:eastAsia="Amiri" w:cs="Amiri" w:ascii="Amiri" w:hAnsi="Amiri"/>
          <w:color w:val="111111"/>
          <w:sz w:val="28"/>
          <w:szCs w:val="28"/>
          <w:rtl w:val="true"/>
          <w:lang w:bidi="ar-SA"/>
        </w:rPr>
        <w:t xml:space="preserve">) </w:t>
      </w:r>
      <w:r>
        <w:rPr>
          <w:rStyle w:val="FootnoteAnchor"/>
          <w:rtl w:val="true"/>
        </w:rPr>
        <w:footnoteReference w:id="1730"/>
      </w:r>
      <w:r>
        <w:rPr>
          <w:rFonts w:ascii="IRNazanin" w:hAnsi="IRNazanin" w:eastAsia="IRNazanin"/>
          <w:color w:val="111111"/>
          <w:sz w:val="28"/>
          <w:sz w:val="28"/>
          <w:szCs w:val="28"/>
          <w:rtl w:val="true"/>
          <w:lang w:bidi="fa-IR"/>
        </w:rPr>
        <w:t xml:space="preserve">و لفظ </w:t>
      </w:r>
      <w:r>
        <w:rPr>
          <w:rStyle w:val="FootnoteAnchor"/>
          <w:rtl w:val="true"/>
        </w:rPr>
        <w:footnoteReference w:id="1731"/>
      </w:r>
      <w:r>
        <w:rPr>
          <w:rFonts w:ascii="Amiri" w:hAnsi="Amiri" w:eastAsia="Amiri" w:cs="Amiri"/>
          <w:color w:val="111111"/>
          <w:sz w:val="28"/>
          <w:sz w:val="28"/>
          <w:szCs w:val="28"/>
          <w:rtl w:val="true"/>
          <w:lang w:bidi="ar-SA"/>
        </w:rPr>
        <w:t>الإجزاء يدلّ على الوجوب،خصوصا بعد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لمّا ذكر ذلك و عقّب بالاستنجاء،كان القصد انّه من جملة الطّهور و إلاّ لم يكن لذكر الحكم الأوّل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في الصّحيح،عن عليّ بن جعفر،عن أخيه موسى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ذكر و هو في صلاته انّه لم يستنج من الخلاء؟قال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ينصرف و يستنجي من الخلاء و يعيد الصّلاة،و إن ذكر و قد فرغ من صلاته أجزأه ذلك و لا إعادة عليه</w:t>
      </w:r>
      <w:r>
        <w:rPr>
          <w:rFonts w:eastAsia="Amiri" w:cs="Amiri" w:ascii="Amiri" w:hAnsi="Amiri"/>
          <w:color w:val="111111"/>
          <w:sz w:val="28"/>
          <w:szCs w:val="28"/>
          <w:rtl w:val="true"/>
          <w:lang w:bidi="ar-SA"/>
        </w:rPr>
        <w:t xml:space="preserve">) </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أبو حنيفة </w:t>
      </w:r>
      <w:r>
        <w:rPr>
          <w:rStyle w:val="FootnoteAnchor"/>
          <w:rtl w:val="true"/>
        </w:rPr>
        <w:footnoteReference w:id="1733"/>
      </w:r>
      <w:r>
        <w:rPr>
          <w:rFonts w:ascii="Amiri" w:hAnsi="Amiri" w:eastAsia="Amiri" w:cs="Amiri"/>
          <w:color w:val="111111"/>
          <w:sz w:val="28"/>
          <w:sz w:val="28"/>
          <w:szCs w:val="28"/>
          <w:rtl w:val="true"/>
          <w:lang w:bidi="ar-SA"/>
        </w:rPr>
        <w:t>بما رواه أبو داود،عن النّبيّ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استجمر فليوتر،من فعل فقد أحسن و من لا فلا حرج</w:t>
      </w:r>
      <w:r>
        <w:rPr>
          <w:rFonts w:eastAsia="Amiri" w:cs="Amiri" w:ascii="Amiri" w:hAnsi="Amiri"/>
          <w:color w:val="111111"/>
          <w:sz w:val="28"/>
          <w:szCs w:val="28"/>
          <w:rtl w:val="true"/>
          <w:lang w:bidi="ar-SA"/>
        </w:rPr>
        <w:t xml:space="preserve">) </w:t>
      </w:r>
      <w:r>
        <w:rPr>
          <w:rStyle w:val="FootnoteAnchor"/>
          <w:rtl w:val="true"/>
        </w:rPr>
        <w:footnoteReference w:id="1734"/>
      </w:r>
      <w:r>
        <w:rPr>
          <w:rFonts w:ascii="Amiri" w:hAnsi="Amiri" w:eastAsia="Amiri" w:cs="Amiri"/>
          <w:color w:val="111111"/>
          <w:sz w:val="28"/>
          <w:sz w:val="28"/>
          <w:szCs w:val="28"/>
          <w:rtl w:val="true"/>
          <w:lang w:bidi="ar-SA"/>
        </w:rPr>
        <w:t xml:space="preserve">و لأنّها نجاسة يكتفي فيها </w:t>
      </w:r>
      <w:bookmarkStart w:id="928" w:name="pg12672_160018"/>
    </w:p>
    <w:p>
      <w:pPr>
        <w:pStyle w:val="BookText"/>
        <w:rPr/>
      </w:pPr>
      <w:bookmarkEnd w:id="928"/>
      <w:r>
        <w:rPr>
          <w:rFonts w:ascii="Amiri" w:hAnsi="Amiri" w:eastAsia="Amiri" w:cs="Amiri"/>
          <w:color w:val="111111"/>
          <w:sz w:val="28"/>
          <w:sz w:val="28"/>
          <w:szCs w:val="28"/>
          <w:rtl w:val="true"/>
          <w:lang w:bidi="ar-SA"/>
        </w:rPr>
        <w:t>بالمسح،فلم يجب إزالتها كيسير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نفي الحرج عائد إلى الوتر إذ هو المأمور به في الخبر،و نحن نقول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الاجتزاء بالمسح لمشقّة الغسل،لكثرة تكرّره في محلّ الاستنجاء</w:t>
      </w:r>
      <w:r>
        <w:rPr>
          <w:rFonts w:eastAsia="Amiri" w:cs="Amiri" w:ascii="Amiri" w:hAnsi="Amiri"/>
          <w:color w:val="111111"/>
          <w:sz w:val="28"/>
          <w:szCs w:val="28"/>
          <w:rtl w:val="true"/>
          <w:lang w:bidi="ar-SA"/>
        </w:rPr>
        <w:t>.</w:t>
      </w:r>
    </w:p>
    <w:p>
      <w:pPr>
        <w:pStyle w:val="Heading6"/>
        <w:numPr>
          <w:ilvl w:val="5"/>
          <w:numId w:val="1"/>
        </w:numPr>
        <w:rPr/>
      </w:pPr>
      <w:bookmarkStart w:id="929" w:name="__RefHeading___Toc747361_222507752"/>
      <w:bookmarkStart w:id="930" w:name="_Toc371"/>
      <w:bookmarkEnd w:id="929"/>
      <w:r>
        <w:rPr>
          <w:rtl w:val="true"/>
        </w:rPr>
        <w:t>فروع</w:t>
      </w:r>
      <w:r>
        <w:rPr>
          <w:rtl w:val="true"/>
        </w:rPr>
        <w:t>:</w:t>
      </w:r>
      <w:bookmarkEnd w:id="930"/>
    </w:p>
    <w:p>
      <w:pPr>
        <w:pStyle w:val="Heading6"/>
        <w:numPr>
          <w:ilvl w:val="5"/>
          <w:numId w:val="1"/>
        </w:numPr>
        <w:rPr/>
      </w:pPr>
      <w:bookmarkStart w:id="931" w:name="__RefHeading___Toc747363_222507752"/>
      <w:bookmarkStart w:id="932" w:name="_Toc372"/>
      <w:bookmarkEnd w:id="931"/>
      <w:r>
        <w:rPr>
          <w:rtl w:val="true"/>
        </w:rPr>
        <w:t>الأوّل</w:t>
      </w:r>
      <w:r>
        <w:rPr>
          <w:rtl w:val="true"/>
        </w:rPr>
        <w:t>:</w:t>
      </w:r>
      <w:r>
        <w:rPr>
          <w:rtl w:val="true"/>
        </w:rPr>
        <w:t>إذا تعدّى المخرج تعيّن الماء</w:t>
      </w:r>
      <w:bookmarkEnd w:id="9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أحد قولي الشّافعيّ و إسحاق،و القول الثّاني للشّافعيّ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تعدّى إلى باطن الأليتين و لم يتجاوز إلى ظاهرهما فإنّه يجزيه الحجارة،فإن تجاوز ذلك و ظهر على الأليتين وجب الماء عنده قولا واحدا </w:t>
      </w:r>
      <w:r>
        <w:rPr>
          <w:rStyle w:val="FootnoteAnchor"/>
          <w:rtl w:val="true"/>
        </w:rPr>
        <w:footnoteReference w:id="1735"/>
      </w:r>
      <w:r>
        <w:rPr>
          <w:rFonts w:ascii="Amiri" w:hAnsi="Amiri" w:eastAsia="Amiri" w:cs="Amiri"/>
          <w:color w:val="111111"/>
          <w:sz w:val="28"/>
          <w:sz w:val="28"/>
          <w:szCs w:val="28"/>
          <w:rtl w:val="true"/>
          <w:lang w:bidi="ar-SA"/>
        </w:rPr>
        <w:t xml:space="preserve">،و أمّا البول فإذا انتشر على ما أقبل على الثّقب أجزأه الاستنجاء،و إن انتشر حتّى تجاوز ذلك وجب الماء فيما جاوزه </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صاحب الفتاوي اختلاف الحنفيّة فيما إذا أصاب موضع الاستنجاء أكثر من قدر الدّرهم،فاستنجى بثلاثة أحجار،و لم يغسله فقال بعضهم بالطّهارة و نفاه آخرون،و لو كانت النّجاسة في سائر المواضع أكثر من قدر الدّرهم،لم يجز إلاّ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عليّ عليه السّلام،انّه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انّكم كنتم تبعرون بعرا و أنتم اليوم تثلطون ثلطا،فاتّبعوا الماء و الأحجار</w:t>
      </w:r>
      <w:r>
        <w:rPr>
          <w:rFonts w:eastAsia="Amiri" w:cs="Amiri" w:ascii="Amiri" w:hAnsi="Amiri"/>
          <w:color w:val="111111"/>
          <w:sz w:val="28"/>
          <w:szCs w:val="28"/>
          <w:rtl w:val="true"/>
          <w:lang w:bidi="ar-SA"/>
        </w:rPr>
        <w:t xml:space="preserve">) </w:t>
      </w:r>
      <w:r>
        <w:rPr>
          <w:rStyle w:val="FootnoteAnchor"/>
          <w:rtl w:val="true"/>
        </w:rPr>
        <w:footnoteReference w:id="1737"/>
      </w:r>
      <w:r>
        <w:rPr>
          <w:rFonts w:ascii="Amiri" w:hAnsi="Amiri" w:eastAsia="Amiri" w:cs="Amiri"/>
          <w:color w:val="111111"/>
          <w:sz w:val="28"/>
          <w:sz w:val="28"/>
          <w:szCs w:val="28"/>
          <w:rtl w:val="true"/>
          <w:lang w:bidi="ar-SA"/>
        </w:rPr>
        <w:t xml:space="preserve">و لأنّ المتعيّن لإزالة النّجاسة إنّما هو الماء، و الاستجمار في المحلّ المعتاد رخصة لأجل المشقّة الحاصلة من تكرّر </w:t>
      </w:r>
      <w:r>
        <w:rPr>
          <w:rStyle w:val="FootnoteAnchor"/>
          <w:rtl w:val="true"/>
        </w:rPr>
        <w:footnoteReference w:id="1738"/>
      </w:r>
      <w:r>
        <w:rPr>
          <w:rFonts w:ascii="Amiri" w:hAnsi="Amiri" w:eastAsia="Amiri" w:cs="Amiri"/>
          <w:color w:val="111111"/>
          <w:sz w:val="28"/>
          <w:sz w:val="28"/>
          <w:szCs w:val="28"/>
          <w:rtl w:val="true"/>
          <w:lang w:bidi="ar-SA"/>
        </w:rPr>
        <w:t xml:space="preserve">الغسل مع تكرّر </w:t>
      </w:r>
      <w:r>
        <w:rPr>
          <w:rStyle w:val="FootnoteAnchor"/>
          <w:rtl w:val="true"/>
        </w:rPr>
        <w:footnoteReference w:id="1739"/>
      </w:r>
      <w:r>
        <w:rPr>
          <w:rFonts w:ascii="Amiri" w:hAnsi="Amiri" w:eastAsia="Amiri" w:cs="Amiri"/>
          <w:color w:val="111111"/>
          <w:sz w:val="28"/>
          <w:sz w:val="28"/>
          <w:szCs w:val="28"/>
          <w:rtl w:val="true"/>
          <w:lang w:bidi="ar-SA"/>
        </w:rPr>
        <w:t>النّجاسة،أمّا ما لا يتكرّر فيه حصول النّجاسة فلا يجزي فيه إلاّ الغسل كالسّاق و الفخذ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مسعدة بن زياد من أمر النّبي صلّى اللّه عليه و آله لنسائه، بأن يأمرن النّساء بالاستنجاء بالماء،و قد تقدّم </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عمّار بن موسى،عن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خرج من مقعدته شيء </w:t>
      </w:r>
      <w:bookmarkStart w:id="933" w:name="pg12672_160019"/>
    </w:p>
    <w:p>
      <w:pPr>
        <w:pStyle w:val="BookText"/>
        <w:rPr/>
      </w:pPr>
      <w:bookmarkEnd w:id="933"/>
      <w:r>
        <w:rPr>
          <w:rFonts w:ascii="Amiri" w:hAnsi="Amiri" w:eastAsia="Amiri" w:cs="Amiri"/>
          <w:color w:val="111111"/>
          <w:sz w:val="28"/>
          <w:sz w:val="28"/>
          <w:szCs w:val="28"/>
          <w:rtl w:val="true"/>
          <w:lang w:bidi="ar-SA"/>
        </w:rPr>
        <w:t>و لم يبل فإنّما عليه أن يغسل المقعدة</w:t>
      </w:r>
      <w:r>
        <w:rPr>
          <w:rFonts w:eastAsia="Amiri" w:cs="Amiri" w:ascii="Amiri" w:hAnsi="Amiri"/>
          <w:color w:val="111111"/>
          <w:sz w:val="28"/>
          <w:szCs w:val="28"/>
          <w:rtl w:val="true"/>
          <w:lang w:bidi="ar-SA"/>
        </w:rPr>
        <w:t xml:space="preserve">) </w:t>
      </w:r>
      <w:r>
        <w:rPr>
          <w:rStyle w:val="FootnoteAnchor"/>
          <w:rtl w:val="true"/>
        </w:rPr>
        <w:footnoteReference w:id="1741"/>
      </w:r>
      <w:r>
        <w:rPr>
          <w:rFonts w:ascii="Amiri" w:hAnsi="Amiri" w:eastAsia="Amiri" w:cs="Amiri"/>
          <w:color w:val="111111"/>
          <w:sz w:val="28"/>
          <w:sz w:val="28"/>
          <w:szCs w:val="28"/>
          <w:rtl w:val="true"/>
          <w:lang w:bidi="ar-SA"/>
        </w:rPr>
        <w:t>و الغسل حقيقة في الإزالة بالماء و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الشّيخ في الصّحيح،عن إبراهيم بن أبي محمود،عن الرّضا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يقول في الاستنجاء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 ما ظهر على الشّرج و لا يدخل الأنملة</w:t>
      </w:r>
      <w:r>
        <w:rPr>
          <w:rFonts w:eastAsia="Amiri" w:cs="Amiri" w:ascii="Amiri" w:hAnsi="Amiri"/>
          <w:color w:val="111111"/>
          <w:sz w:val="28"/>
          <w:szCs w:val="28"/>
          <w:rtl w:val="true"/>
          <w:lang w:bidi="ar-SA"/>
        </w:rPr>
        <w:t xml:space="preserve">) </w:t>
      </w:r>
      <w:r>
        <w:rPr>
          <w:rStyle w:val="FootnoteAnchor"/>
          <w:rtl w:val="true"/>
        </w:rPr>
        <w:footnoteReference w:id="17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الأمر</w:t>
      </w:r>
      <w:r>
        <w:rPr>
          <w:rFonts w:eastAsia="IRNazanin" w:cs="IRNazanin"/>
          <w:color w:val="111111"/>
          <w:sz w:val="28"/>
          <w:szCs w:val="28"/>
          <w:rtl w:val="true"/>
          <w:lang w:bidi="fa-IR"/>
        </w:rPr>
        <w:t xml:space="preserve">) </w:t>
      </w:r>
      <w:r>
        <w:rPr>
          <w:rStyle w:val="FootnoteAnchor"/>
          <w:rtl w:val="true"/>
        </w:rPr>
        <w:footnoteReference w:id="1743"/>
      </w:r>
      <w:r>
        <w:rPr>
          <w:rFonts w:ascii="IRNazanin" w:hAnsi="IRNazanin" w:eastAsia="IRNazanin"/>
          <w:color w:val="111111"/>
          <w:sz w:val="28"/>
          <w:sz w:val="28"/>
          <w:szCs w:val="28"/>
          <w:rtl w:val="true"/>
          <w:lang w:bidi="fa-IR"/>
        </w:rPr>
        <w:t>للوجوب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في الصّحيح عن هشام بن الحكم،عن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الأنصار انّ اللّه قد أحسن عليكم الثّناء فما ذا تصنعون؟قالوا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نستنجي بالماء</w:t>
      </w:r>
      <w:r>
        <w:rPr>
          <w:rFonts w:eastAsia="Amiri" w:cs="Amiri" w:ascii="Amiri" w:hAnsi="Amiri"/>
          <w:color w:val="111111"/>
          <w:sz w:val="28"/>
          <w:szCs w:val="28"/>
          <w:rtl w:val="true"/>
          <w:lang w:bidi="ar-SA"/>
        </w:rPr>
        <w:t xml:space="preserve">) </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دلّت عليه هذه الآثار لا تقولون به،و ما تقولون به لا تدلّ عليه هذه الأخبار، بيانه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كما تتناول المتعدّى تتناول غيره،و أنتم لا تقولون به،و ما تقولون به من التّخصيص بالمتعدّي لا تدلّ عليه هذه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انّها كما دلّت على المطلوب و هو وجوب الغسل بالماء في المتعدّي لكونه أحد أفراد العموم المستفاد من الأحاديث،فهي دالّة على غيره،و نحن لم نتعرّض الآن له فإذا أخرجناه عن الإرادة للمخصّصات،لا يلزم خروج المطلوب عن الإرادة </w:t>
      </w:r>
      <w:r>
        <w:rPr>
          <w:rFonts w:eastAsia="Amiri" w:cs="Amiri" w:ascii="Amiri" w:hAnsi="Amiri"/>
          <w:color w:val="111111"/>
          <w:sz w:val="28"/>
          <w:szCs w:val="28"/>
          <w:rtl w:val="true"/>
          <w:lang w:bidi="ar-SA"/>
        </w:rPr>
        <w:t>.</w:t>
      </w:r>
    </w:p>
    <w:p>
      <w:pPr>
        <w:pStyle w:val="Heading6"/>
        <w:numPr>
          <w:ilvl w:val="5"/>
          <w:numId w:val="1"/>
        </w:numPr>
        <w:rPr/>
      </w:pPr>
      <w:bookmarkStart w:id="934" w:name="__RefHeading___Toc747365_222507752"/>
      <w:bookmarkStart w:id="935" w:name="_Toc373"/>
      <w:bookmarkEnd w:id="934"/>
      <w:r>
        <w:rPr>
          <w:rtl w:val="true"/>
        </w:rPr>
        <w:t>الثّاني</w:t>
      </w:r>
      <w:r>
        <w:rPr>
          <w:rtl w:val="true"/>
        </w:rPr>
        <w:t>:</w:t>
      </w:r>
      <w:r>
        <w:rPr>
          <w:rtl w:val="true"/>
        </w:rPr>
        <w:t>إذا لم يتعدّ المخرج،تخيّر بين الماء و الأحجار،و الماء أفضل</w:t>
      </w:r>
      <w:bookmarkEnd w:id="935"/>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الجمع بينهما أكمل،و هو مذهب أهل العلم </w:t>
      </w:r>
      <w:r>
        <w:rPr>
          <w:rStyle w:val="FootnoteAnchor"/>
          <w:rtl w:val="true"/>
        </w:rPr>
        <w:footnoteReference w:id="1745"/>
      </w:r>
      <w:r>
        <w:rPr>
          <w:rFonts w:ascii="Amiri" w:hAnsi="Amiri" w:eastAsia="Amiri" w:cs="Amiri"/>
          <w:color w:val="111111"/>
          <w:sz w:val="28"/>
          <w:sz w:val="28"/>
          <w:szCs w:val="28"/>
          <w:rtl w:val="true"/>
          <w:lang w:bidi="ar-SA"/>
        </w:rPr>
        <w:t>إلاّ من شذّ كعطاء،فإنّه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غسل الدّبر محدث </w:t>
      </w:r>
      <w:r>
        <w:rPr>
          <w:rStyle w:val="FootnoteAnchor"/>
          <w:rtl w:val="true"/>
        </w:rPr>
        <w:footnoteReference w:id="1746"/>
      </w:r>
      <w:r>
        <w:rPr>
          <w:rFonts w:ascii="Amiri" w:hAnsi="Amiri" w:eastAsia="Amiri" w:cs="Amiri"/>
          <w:color w:val="111111"/>
          <w:sz w:val="28"/>
          <w:sz w:val="28"/>
          <w:szCs w:val="28"/>
          <w:rtl w:val="true"/>
          <w:lang w:bidi="ar-SA"/>
        </w:rPr>
        <w:t>، و كسعيد بن المسيّب 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يفعله إلاّ النّساء </w:t>
      </w:r>
      <w:r>
        <w:rPr>
          <w:rStyle w:val="FootnoteAnchor"/>
          <w:rtl w:val="true"/>
        </w:rPr>
        <w:footnoteReference w:id="174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أنكر ابن الزّبير و سعد بن أبي </w:t>
      </w:r>
    </w:p>
    <w:p>
      <w:pPr>
        <w:pStyle w:val="BookText"/>
        <w:rPr/>
      </w:pPr>
      <w:r>
        <w:rPr>
          <w:rFonts w:ascii="Amiri" w:hAnsi="Amiri" w:eastAsia="Amiri" w:cs="Amiri"/>
          <w:color w:val="111111"/>
          <w:sz w:val="28"/>
          <w:sz w:val="28"/>
          <w:szCs w:val="28"/>
          <w:rtl w:val="true"/>
          <w:lang w:bidi="ar-SA"/>
        </w:rPr>
        <w:t xml:space="preserve">وقّاص </w:t>
      </w:r>
      <w:r>
        <w:rPr>
          <w:rStyle w:val="FootnoteAnchor"/>
          <w:rtl w:val="true"/>
        </w:rPr>
        <w:footnoteReference w:id="1748"/>
      </w:r>
      <w:r>
        <w:rPr>
          <w:rFonts w:ascii="IRNazanin" w:hAnsi="IRNazanin" w:eastAsia="IRNazanin"/>
          <w:color w:val="111111"/>
          <w:sz w:val="28"/>
          <w:sz w:val="28"/>
          <w:szCs w:val="28"/>
          <w:rtl w:val="true"/>
          <w:lang w:bidi="fa-IR"/>
        </w:rPr>
        <w:t xml:space="preserve">الاستنجاء بالماء </w:t>
      </w:r>
      <w:r>
        <w:rPr>
          <w:rStyle w:val="FootnoteAnchor"/>
          <w:rtl w:val="true"/>
        </w:rPr>
        <w:footnoteReference w:id="1749"/>
      </w:r>
      <w:r>
        <w:rPr>
          <w:rFonts w:ascii="Amiri" w:hAnsi="Amiri" w:eastAsia="Amiri" w:cs="Amiri"/>
          <w:color w:val="111111"/>
          <w:sz w:val="28"/>
          <w:sz w:val="28"/>
          <w:szCs w:val="28"/>
          <w:rtl w:val="true"/>
          <w:lang w:bidi="ar-SA"/>
        </w:rPr>
        <w:t xml:space="preserve">،و كان الحسن البصريّ لا يستنجئ بالماء </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حكي عن قوم من الزّيديّة </w:t>
      </w:r>
      <w:r>
        <w:rPr>
          <w:rStyle w:val="FootnoteAnchor"/>
          <w:rtl w:val="true"/>
        </w:rPr>
        <w:footnoteReference w:id="1751"/>
      </w:r>
      <w:r>
        <w:rPr>
          <w:rFonts w:ascii="Amiri" w:hAnsi="Amiri" w:eastAsia="Amiri" w:cs="Amiri"/>
          <w:color w:val="111111"/>
          <w:sz w:val="28"/>
          <w:sz w:val="28"/>
          <w:szCs w:val="28"/>
          <w:rtl w:val="true"/>
          <w:lang w:bidi="ar-SA"/>
        </w:rPr>
        <w:t xml:space="preserve">و القاسميّة </w:t>
      </w:r>
      <w:r>
        <w:rPr>
          <w:rStyle w:val="FootnoteAnchor"/>
          <w:rtl w:val="true"/>
        </w:rPr>
        <w:footnoteReference w:id="1752"/>
      </w:r>
      <w:r>
        <w:rPr>
          <w:rFonts w:ascii="Amiri" w:hAnsi="Amiri" w:eastAsia="Amiri" w:cs="Amiri"/>
          <w:color w:val="111111"/>
          <w:sz w:val="28"/>
          <w:sz w:val="28"/>
          <w:szCs w:val="28"/>
          <w:rtl w:val="true"/>
          <w:lang w:bidi="ar-SA"/>
        </w:rPr>
        <w:t xml:space="preserve">ما يضادّ قول هؤلاء،و هو انّه لا يجوز الاستنجاء بالأحجار مع وجود الماء </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الجمهور،عن عائشة،انّ النّبيّ صلّى اللّه عليه و آله كان يستنجي بالماء </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يدخل الخلاء فأحمل أنا و غلام نحوي أداؤه من ماء و عنزة فيستنجي بالماء </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أبو هريرة،عن النّبيّ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هذه الآية في أهل قبا فِيهِ رِجالٌ يُحِبُّونَ أَنْ يَتَطَهَّرُوا </w:t>
      </w:r>
      <w:r>
        <w:rPr>
          <w:rStyle w:val="FootnoteAnchor"/>
          <w:rtl w:val="true"/>
        </w:rPr>
        <w:footnoteReference w:id="17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يستنجون بالماء</w:t>
      </w:r>
      <w:r>
        <w:rPr>
          <w:rFonts w:eastAsia="Amiri" w:cs="Amiri" w:ascii="Amiri" w:hAnsi="Amiri"/>
          <w:color w:val="111111"/>
          <w:sz w:val="28"/>
          <w:szCs w:val="28"/>
          <w:rtl w:val="true"/>
          <w:lang w:bidi="ar-SA"/>
        </w:rPr>
        <w:t xml:space="preserve">) </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قدّمناه من حديث هشام،عن النّبيّ صلّى اللّه عليه و آله </w:t>
      </w:r>
      <w:r>
        <w:rPr>
          <w:rStyle w:val="FootnoteAnchor"/>
          <w:rtl w:val="true"/>
        </w:rPr>
        <w:footnoteReference w:id="1758"/>
      </w:r>
    </w:p>
    <w:p>
      <w:pPr>
        <w:pStyle w:val="BookText"/>
        <w:rPr/>
      </w:pPr>
      <w:r>
        <w:rPr>
          <w:rFonts w:ascii="Amiri" w:hAnsi="Amiri" w:eastAsia="Amiri" w:cs="Amiri"/>
          <w:color w:val="111111"/>
          <w:sz w:val="28"/>
          <w:sz w:val="28"/>
          <w:szCs w:val="28"/>
          <w:rtl w:val="true"/>
          <w:lang w:bidi="ar-SA"/>
        </w:rPr>
        <w:t>و غيره من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رواه الشّيخ،عن الحسن بن راشد </w:t>
      </w:r>
      <w:r>
        <w:rPr>
          <w:rStyle w:val="FootnoteAnchor"/>
          <w:rtl w:val="true"/>
        </w:rPr>
        <w:footnoteReference w:id="1759"/>
      </w:r>
      <w:r>
        <w:rPr>
          <w:rFonts w:ascii="Amiri" w:hAnsi="Amiri" w:eastAsia="Amiri" w:cs="Amiri"/>
          <w:color w:val="111111"/>
          <w:sz w:val="28"/>
          <w:sz w:val="28"/>
          <w:szCs w:val="28"/>
          <w:rtl w:val="true"/>
          <w:lang w:bidi="ar-SA"/>
        </w:rPr>
        <w:t>،عن أبي بصير،عن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الاستنجاء بالماء البارد يقطع البواسير</w:t>
      </w:r>
      <w:r>
        <w:rPr>
          <w:rFonts w:eastAsia="Amiri" w:cs="Amiri" w:ascii="Amiri" w:hAnsi="Amiri"/>
          <w:color w:val="111111"/>
          <w:sz w:val="28"/>
          <w:szCs w:val="28"/>
          <w:rtl w:val="true"/>
          <w:lang w:bidi="ar-SA"/>
        </w:rPr>
        <w:t xml:space="preserve">) </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ما يدلّ على كون الماء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 من حديث أبي هريرة و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زرارة في الصّحيح،عن أبي جعفر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يجزيك من الاستنجاء ثلاثة أحجار</w:t>
      </w:r>
      <w:r>
        <w:rPr>
          <w:rFonts w:eastAsia="Amiri" w:cs="Amiri" w:ascii="Amiri" w:hAnsi="Amiri"/>
          <w:color w:val="111111"/>
          <w:sz w:val="28"/>
          <w:szCs w:val="28"/>
          <w:rtl w:val="true"/>
          <w:lang w:bidi="ar-SA"/>
        </w:rPr>
        <w:t xml:space="preserve">) </w:t>
      </w:r>
      <w:r>
        <w:rPr>
          <w:rStyle w:val="FootnoteAnchor"/>
          <w:rtl w:val="true"/>
        </w:rPr>
        <w:footnoteReference w:id="1761"/>
      </w:r>
      <w:r>
        <w:rPr>
          <w:rFonts w:ascii="Amiri" w:hAnsi="Amiri" w:eastAsia="Amiri" w:cs="Amiri"/>
          <w:color w:val="111111"/>
          <w:sz w:val="28"/>
          <w:sz w:val="28"/>
          <w:szCs w:val="28"/>
          <w:rtl w:val="true"/>
          <w:lang w:bidi="ar-SA"/>
        </w:rPr>
        <w:t>و هذا يدلّ على أفضليّة غيره و هو الماء عليه،و ما رواه هشام أيضا،و لأنّه يطهّر المحلّ و يزيل العين و الأثر،و ذلك أبلغ في التّنظيف،و لما رواه الشّيخ،عن عيسى بن عبد اللّه،عن أبيه،عن جدّه،عن عليّ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استنجى أحدكم،فليوتر بها وترا إذا لم يكن الماء</w:t>
      </w:r>
      <w:r>
        <w:rPr>
          <w:rFonts w:eastAsia="Amiri" w:cs="Amiri" w:ascii="Amiri" w:hAnsi="Amiri"/>
          <w:color w:val="111111"/>
          <w:sz w:val="28"/>
          <w:szCs w:val="28"/>
          <w:rtl w:val="true"/>
          <w:lang w:bidi="ar-SA"/>
        </w:rPr>
        <w:t xml:space="preserve">) </w:t>
      </w:r>
      <w:r>
        <w:rPr>
          <w:rStyle w:val="FootnoteAnchor"/>
          <w:rtl w:val="true"/>
        </w:rPr>
        <w:footnoteReference w:id="1762"/>
      </w:r>
      <w:r>
        <w:rPr>
          <w:rFonts w:ascii="Amiri" w:hAnsi="Amiri" w:eastAsia="Amiri" w:cs="Amiri"/>
          <w:color w:val="111111"/>
          <w:sz w:val="28"/>
          <w:sz w:val="28"/>
          <w:szCs w:val="28"/>
          <w:rtl w:val="true"/>
          <w:lang w:bidi="ar-SA"/>
        </w:rPr>
        <w:t>فسوّغ الاستنجاء مع عدم الماء،و ليس ذلك شرطا لما يأتي من جواز الاقتصار على الأحجار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يدلّ على انّ الجمع أفضل فما رواه الشّيخ،عن بعض أصحابنا رفعه إلى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جرت السّنّة في الاستنجاء بثلاثة أحجار أبكار،و يتبع بالماء</w:t>
      </w:r>
      <w:r>
        <w:rPr>
          <w:rFonts w:eastAsia="Amiri" w:cs="Amiri" w:ascii="Amiri" w:hAnsi="Amiri"/>
          <w:color w:val="111111"/>
          <w:sz w:val="28"/>
          <w:szCs w:val="28"/>
          <w:rtl w:val="true"/>
          <w:lang w:bidi="ar-SA"/>
        </w:rPr>
        <w:t xml:space="preserve">) </w:t>
      </w:r>
      <w:r>
        <w:rPr>
          <w:rStyle w:val="FootnoteAnchor"/>
          <w:rtl w:val="true"/>
        </w:rPr>
        <w:footnoteReference w:id="1763"/>
      </w:r>
      <w:r>
        <w:rPr>
          <w:rFonts w:ascii="Amiri" w:hAnsi="Amiri" w:eastAsia="Amiri" w:cs="Amiri"/>
          <w:color w:val="111111"/>
          <w:sz w:val="28"/>
          <w:sz w:val="28"/>
          <w:szCs w:val="28"/>
          <w:rtl w:val="true"/>
          <w:lang w:bidi="ar-SA"/>
        </w:rPr>
        <w:t>و ليس الجمع شرطا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يدلّ على جواز الاقتصار على الأحجار مع عدم التّعدّي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فإجماع علماء الإسلام، و ما رواه الجمهور،عن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ذهب أحدكم إلى الغائط فليذهب معه بثلاثة أحجار فإنّها تجزي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زرارة و غيرها و قد تقدّمت </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 xml:space="preserve">. </w:t>
      </w:r>
      <w:bookmarkStart w:id="936" w:name="pg12672_160022"/>
    </w:p>
    <w:p>
      <w:pPr>
        <w:pStyle w:val="BookText"/>
        <w:rPr/>
      </w:pPr>
      <w:bookmarkEnd w:id="936"/>
      <w:r>
        <w:rPr>
          <w:rFonts w:ascii="Amiri" w:hAnsi="Amiri" w:eastAsia="Amiri" w:cs="Amiri"/>
          <w:color w:val="111111"/>
          <w:sz w:val="28"/>
          <w:sz w:val="28"/>
          <w:szCs w:val="28"/>
          <w:rtl w:val="true"/>
          <w:lang w:bidi="ar-SA"/>
        </w:rPr>
        <w:t>و ما رواه الشّيخ في الصّحيح عن زرارة،عن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الحسين بن عليّ عليهما السّلام يتمسّح من الغائط بالكرسف و لا يغسل</w:t>
      </w:r>
      <w:r>
        <w:rPr>
          <w:rFonts w:eastAsia="Amiri" w:cs="Amiri" w:ascii="Amiri" w:hAnsi="Amiri"/>
          <w:color w:val="111111"/>
          <w:sz w:val="28"/>
          <w:szCs w:val="28"/>
          <w:rtl w:val="true"/>
          <w:lang w:bidi="ar-SA"/>
        </w:rPr>
        <w:t xml:space="preserve">) </w:t>
      </w:r>
      <w:r>
        <w:rPr>
          <w:rStyle w:val="FootnoteAnchor"/>
          <w:rtl w:val="true"/>
        </w:rPr>
        <w:footnoteReference w:id="1766"/>
      </w:r>
      <w:r>
        <w:rPr>
          <w:rFonts w:ascii="Amiri" w:hAnsi="Amiri" w:eastAsia="Amiri" w:cs="Amiri"/>
          <w:color w:val="111111"/>
          <w:sz w:val="28"/>
          <w:sz w:val="28"/>
          <w:szCs w:val="28"/>
          <w:rtl w:val="true"/>
          <w:lang w:bidi="ar-SA"/>
        </w:rPr>
        <w:t xml:space="preserve">و لأنّ المحلّ طاهر حال الضّرورة،فكذا حال الاختيار </w:t>
      </w:r>
      <w:r>
        <w:rPr>
          <w:rFonts w:eastAsia="Amiri" w:cs="Amiri" w:ascii="Amiri" w:hAnsi="Amiri"/>
          <w:color w:val="111111"/>
          <w:sz w:val="28"/>
          <w:szCs w:val="28"/>
          <w:rtl w:val="true"/>
          <w:lang w:bidi="ar-SA"/>
        </w:rPr>
        <w:t>.</w:t>
      </w:r>
    </w:p>
    <w:p>
      <w:pPr>
        <w:pStyle w:val="Heading6"/>
        <w:numPr>
          <w:ilvl w:val="5"/>
          <w:numId w:val="1"/>
        </w:numPr>
        <w:rPr/>
      </w:pPr>
      <w:bookmarkStart w:id="937" w:name="__RefHeading___Toc747367_222507752"/>
      <w:bookmarkStart w:id="938" w:name="_Toc374"/>
      <w:bookmarkEnd w:id="937"/>
      <w:r>
        <w:rPr>
          <w:rtl w:val="true"/>
        </w:rPr>
        <w:t>الثّالث</w:t>
      </w:r>
      <w:r>
        <w:rPr>
          <w:rtl w:val="true"/>
        </w:rPr>
        <w:t>:</w:t>
      </w:r>
      <w:r>
        <w:rPr>
          <w:rtl w:val="true"/>
        </w:rPr>
        <w:t>حدّ الاستنجاء بالماء النّقاء</w:t>
      </w:r>
      <w:bookmarkEnd w:id="938"/>
    </w:p>
    <w:p>
      <w:pPr>
        <w:pStyle w:val="BookText"/>
        <w:rPr/>
      </w:pPr>
      <w:r>
        <w:rPr>
          <w:rFonts w:ascii="Amiri" w:hAnsi="Amiri" w:eastAsia="Amiri" w:cs="Amiri"/>
          <w:color w:val="111111"/>
          <w:sz w:val="28"/>
          <w:sz w:val="28"/>
          <w:szCs w:val="28"/>
          <w:rtl w:val="true"/>
          <w:lang w:bidi="ar-SA"/>
        </w:rPr>
        <w:t>،بحيث يزول العين و الأثر،لما رواه الشّيخ في الحسن،عن يونس بن يعقوب،عن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يذهب 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الشّيخ في الحسن،عن ابن المغيرة،عن أبي الحسن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للاستنجاء حدّ؟قال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لا،ينقي ما ثمّة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ينقي ما ثمّة،و يبقي الرّيح؟قال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الرّيح لا ينظر إليها</w:t>
      </w:r>
      <w:r>
        <w:rPr>
          <w:rFonts w:eastAsia="Amiri" w:cs="Amiri" w:ascii="Amiri" w:hAnsi="Amiri"/>
          <w:color w:val="111111"/>
          <w:sz w:val="28"/>
          <w:szCs w:val="28"/>
          <w:rtl w:val="true"/>
          <w:lang w:bidi="ar-SA"/>
        </w:rPr>
        <w:t xml:space="preserve">) </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لأنّ المراد إزالة العين و الأثر،فلا يحصل المقصود دونه،أمّا الاستجمار فحدّه إزالة </w:t>
      </w:r>
      <w:r>
        <w:rPr>
          <w:rStyle w:val="FootnoteAnchor"/>
          <w:rtl w:val="true"/>
        </w:rPr>
        <w:footnoteReference w:id="1769"/>
      </w:r>
      <w:r>
        <w:rPr>
          <w:rFonts w:ascii="Amiri" w:hAnsi="Amiri" w:eastAsia="Amiri" w:cs="Amiri"/>
          <w:color w:val="111111"/>
          <w:sz w:val="28"/>
          <w:sz w:val="28"/>
          <w:szCs w:val="28"/>
          <w:rtl w:val="true"/>
          <w:lang w:bidi="ar-SA"/>
        </w:rPr>
        <w:t xml:space="preserve">العين،و الأثر معفوّ عنه،لأنّه لا يتعلّق بالجامد منه شيء و إنّما ينظّفه الماء،أمّا الرّائحة فإنّها معفوّ عنها في الاستنجاء بالماء و الأحجار </w:t>
      </w:r>
      <w:r>
        <w:rPr>
          <w:rFonts w:eastAsia="Amiri" w:cs="Amiri" w:ascii="Amiri" w:hAnsi="Amiri"/>
          <w:color w:val="111111"/>
          <w:sz w:val="28"/>
          <w:szCs w:val="28"/>
          <w:rtl w:val="true"/>
          <w:lang w:bidi="ar-SA"/>
        </w:rPr>
        <w:t>.</w:t>
      </w:r>
    </w:p>
    <w:p>
      <w:pPr>
        <w:pStyle w:val="Heading6"/>
        <w:numPr>
          <w:ilvl w:val="5"/>
          <w:numId w:val="1"/>
        </w:numPr>
        <w:rPr/>
      </w:pPr>
      <w:bookmarkStart w:id="939" w:name="__RefHeading___Toc747369_222507752"/>
      <w:bookmarkStart w:id="940" w:name="_Toc375"/>
      <w:bookmarkEnd w:id="939"/>
      <w:r>
        <w:rPr>
          <w:rtl w:val="true"/>
        </w:rPr>
        <w:t>الرّابع</w:t>
      </w:r>
      <w:r>
        <w:rPr>
          <w:rtl w:val="true"/>
        </w:rPr>
        <w:t>:</w:t>
      </w:r>
      <w:r>
        <w:rPr>
          <w:rtl w:val="true"/>
        </w:rPr>
        <w:t>الأحجار المستعملة في الاستنجاء يشترط فيها أمور</w:t>
      </w:r>
      <w:r>
        <w:rPr>
          <w:rtl w:val="true"/>
        </w:rPr>
        <w:t>:</w:t>
      </w:r>
      <w:bookmarkEnd w:id="940"/>
    </w:p>
    <w:p>
      <w:pPr>
        <w:pStyle w:val="Heading6"/>
        <w:numPr>
          <w:ilvl w:val="5"/>
          <w:numId w:val="1"/>
        </w:numPr>
        <w:rPr/>
      </w:pPr>
      <w:bookmarkStart w:id="941" w:name="__RefHeading___Toc747371_222507752"/>
      <w:bookmarkStart w:id="942" w:name="_Toc376"/>
      <w:bookmarkEnd w:id="941"/>
      <w:r>
        <w:rPr>
          <w:rtl w:val="true"/>
        </w:rPr>
        <w:t>الأوّل</w:t>
      </w:r>
      <w:r>
        <w:rPr>
          <w:rtl w:val="true"/>
        </w:rPr>
        <w:t>:</w:t>
      </w:r>
      <w:r>
        <w:rPr>
          <w:rtl w:val="true"/>
        </w:rPr>
        <w:t>العدد،فلا يجزي أقلّ من الثّلاث و إن حصل النّقاء بالأقل</w:t>
      </w:r>
      <w:bookmarkEnd w:id="942"/>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مذهب الشّيخ </w:t>
      </w:r>
      <w:r>
        <w:rPr>
          <w:rStyle w:val="FootnoteAnchor"/>
          <w:rtl w:val="true"/>
        </w:rPr>
        <w:footnoteReference w:id="1770"/>
      </w:r>
      <w:r>
        <w:rPr>
          <w:rFonts w:ascii="IRNazanin" w:hAnsi="IRNazanin" w:eastAsia="IRNazanin"/>
          <w:color w:val="111111"/>
          <w:sz w:val="28"/>
          <w:sz w:val="28"/>
          <w:szCs w:val="28"/>
          <w:rtl w:val="true"/>
          <w:lang w:bidi="fa-IR"/>
        </w:rPr>
        <w:t xml:space="preserve">و أتباعه </w:t>
      </w:r>
      <w:r>
        <w:rPr>
          <w:rStyle w:val="FootnoteAnchor"/>
          <w:rtl w:val="true"/>
        </w:rPr>
        <w:footnoteReference w:id="1771"/>
      </w:r>
      <w:r>
        <w:rPr>
          <w:rFonts w:ascii="IRNazanin" w:hAnsi="IRNazanin" w:eastAsia="IRNazanin"/>
          <w:color w:val="111111"/>
          <w:sz w:val="28"/>
          <w:sz w:val="28"/>
          <w:szCs w:val="28"/>
          <w:rtl w:val="true"/>
          <w:lang w:bidi="fa-IR"/>
        </w:rPr>
        <w:t xml:space="preserve">،و أحمد </w:t>
      </w:r>
      <w:r>
        <w:rPr>
          <w:rStyle w:val="FootnoteAnchor"/>
          <w:rtl w:val="true"/>
        </w:rPr>
        <w:footnoteReference w:id="1772"/>
      </w:r>
      <w:r>
        <w:rPr>
          <w:rFonts w:ascii="Amiri" w:hAnsi="Amiri" w:eastAsia="Amiri" w:cs="Amiri"/>
          <w:color w:val="111111"/>
          <w:sz w:val="28"/>
          <w:sz w:val="28"/>
          <w:szCs w:val="28"/>
          <w:rtl w:val="true"/>
          <w:lang w:bidi="ar-SA"/>
        </w:rPr>
        <w:t xml:space="preserve">،و الشّافعيّ </w:t>
      </w:r>
      <w:r>
        <w:rPr>
          <w:rStyle w:val="FootnoteAnchor"/>
          <w:rtl w:val="true"/>
        </w:rPr>
        <w:footnoteReference w:id="1773"/>
      </w:r>
      <w:r>
        <w:rPr>
          <w:rFonts w:ascii="Amiri" w:hAnsi="Amiri" w:eastAsia="Amiri" w:cs="Amiri"/>
          <w:color w:val="111111"/>
          <w:sz w:val="28"/>
          <w:sz w:val="28"/>
          <w:szCs w:val="28"/>
          <w:rtl w:val="true"/>
          <w:lang w:bidi="ar-SA"/>
        </w:rPr>
        <w:t xml:space="preserve">،و إسحاق،و أبي ثور </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 xml:space="preserve">. </w:t>
      </w:r>
      <w:bookmarkStart w:id="943" w:name="pg12672_160023"/>
    </w:p>
    <w:p>
      <w:pPr>
        <w:pStyle w:val="BookText"/>
        <w:rPr/>
      </w:pPr>
      <w:bookmarkEnd w:id="943"/>
      <w:r>
        <w:rPr>
          <w:rFonts w:ascii="Amiri" w:hAnsi="Amiri" w:eastAsia="Amiri" w:cs="Amiri"/>
          <w:color w:val="111111"/>
          <w:sz w:val="28"/>
          <w:sz w:val="28"/>
          <w:szCs w:val="28"/>
          <w:rtl w:val="true"/>
          <w:lang w:bidi="ar-SA"/>
        </w:rPr>
        <w:t>و قال مالك و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الواجب الإنقاء دون العدد </w:t>
      </w:r>
      <w:r>
        <w:rPr>
          <w:rStyle w:val="FootnoteAnchor"/>
          <w:rtl w:val="true"/>
        </w:rPr>
        <w:footnoteReference w:id="17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اختيار المفيد من أصحابنا </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المستحبّ الإنقاء و لا اعتبار بالعدد </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سلمان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نهانا رسول اللّه صلّى اللّه عليه و آله أن نستنجي بأقلّ من ثلاثة أحجار</w:t>
      </w:r>
      <w:r>
        <w:rPr>
          <w:rFonts w:eastAsia="Amiri" w:cs="Amiri" w:ascii="Amiri" w:hAnsi="Amiri"/>
          <w:color w:val="111111"/>
          <w:sz w:val="28"/>
          <w:szCs w:val="28"/>
          <w:rtl w:val="true"/>
          <w:lang w:bidi="ar-SA"/>
        </w:rPr>
        <w:t xml:space="preserve">) </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زرارة الصّحيحة،عن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يجزيك من الاستنجاء ثلاثة أحجار بذلك جرت السّنّة من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جرت السّنّة في أثر الغائط بثلاثة أحجار أن يمسح العجان و لا يغسله</w:t>
      </w:r>
      <w:r>
        <w:rPr>
          <w:rFonts w:eastAsia="Amiri" w:cs="Amiri" w:ascii="Amiri" w:hAnsi="Amiri"/>
          <w:color w:val="111111"/>
          <w:sz w:val="28"/>
          <w:szCs w:val="28"/>
          <w:rtl w:val="true"/>
          <w:lang w:bidi="ar-SA"/>
        </w:rPr>
        <w:t xml:space="preserve">) </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الحجر الواحد لا يحصل به الإزالة الكلّيّة فلا بدّ من تخلّف شيء من بقايا النّجاسة غالبا،و قليل النّجاسة ككثيرها،و في الثّلاثة يحصل القطع بالإزالة</w:t>
      </w:r>
      <w:r>
        <w:rPr>
          <w:rFonts w:eastAsia="Amiri" w:cs="Amiri" w:ascii="Amiri" w:hAnsi="Amiri"/>
          <w:color w:val="111111"/>
          <w:sz w:val="28"/>
          <w:szCs w:val="28"/>
          <w:rtl w:val="true"/>
          <w:lang w:bidi="ar-SA"/>
        </w:rPr>
        <w:t>.</w:t>
      </w:r>
    </w:p>
    <w:p>
      <w:pPr>
        <w:pStyle w:val="Heading6"/>
        <w:numPr>
          <w:ilvl w:val="5"/>
          <w:numId w:val="1"/>
        </w:numPr>
        <w:rPr/>
      </w:pPr>
      <w:bookmarkStart w:id="944" w:name="__RefHeading___Toc747373_222507752"/>
      <w:bookmarkStart w:id="945" w:name="_Toc377"/>
      <w:bookmarkEnd w:id="944"/>
      <w:r>
        <w:rPr>
          <w:rtl w:val="true"/>
        </w:rPr>
        <w:t>فرعان</w:t>
      </w:r>
      <w:r>
        <w:rPr>
          <w:rtl w:val="true"/>
        </w:rPr>
        <w:t>:</w:t>
      </w:r>
      <w:bookmarkEnd w:id="945"/>
    </w:p>
    <w:p>
      <w:pPr>
        <w:pStyle w:val="Heading6"/>
        <w:numPr>
          <w:ilvl w:val="5"/>
          <w:numId w:val="1"/>
        </w:numPr>
        <w:rPr/>
      </w:pPr>
      <w:bookmarkStart w:id="946" w:name="__RefHeading___Toc747375_222507752"/>
      <w:bookmarkStart w:id="947" w:name="_Toc378"/>
      <w:bookmarkEnd w:id="946"/>
      <w:r>
        <w:rPr>
          <w:rtl w:val="true"/>
        </w:rPr>
        <w:t>الأوّل</w:t>
      </w:r>
      <w:r>
        <w:rPr>
          <w:rtl w:val="true"/>
        </w:rPr>
        <w:t>:</w:t>
      </w:r>
      <w:r>
        <w:rPr>
          <w:rtl w:val="true"/>
        </w:rPr>
        <w:t>لو لم يحصل النّقاء بالثّلاثة وجبت الزّيادة إلى أن يحصل النّقاء</w:t>
      </w:r>
      <w:bookmarkEnd w:id="947"/>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إجماع، لكن يستحبّ أن لا يقطع إلاّ على وتر،لرواية عليّ عليه السّلام،و قد تقدّمت </w:t>
      </w:r>
      <w:r>
        <w:rPr>
          <w:rStyle w:val="FootnoteAnchor"/>
          <w:rtl w:val="true"/>
        </w:rPr>
        <w:footnoteReference w:id="17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نعني بالنّقاء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زوال عين النّجاسة و رطوبتها بحيث يخرج الحجر نقيّا ليس عليه أثر</w:t>
      </w:r>
      <w:r>
        <w:rPr>
          <w:rFonts w:eastAsia="Amiri" w:cs="Amiri" w:ascii="Amiri" w:hAnsi="Amiri"/>
          <w:color w:val="111111"/>
          <w:sz w:val="28"/>
          <w:szCs w:val="28"/>
          <w:rtl w:val="true"/>
          <w:lang w:bidi="ar-SA"/>
        </w:rPr>
        <w:t xml:space="preserve">. </w:t>
      </w:r>
      <w:bookmarkStart w:id="948" w:name="pg12672_160024"/>
    </w:p>
    <w:p>
      <w:pPr>
        <w:pStyle w:val="BookText"/>
        <w:rPr/>
      </w:pPr>
      <w:bookmarkEnd w:id="948"/>
      <w:r>
        <w:rPr>
          <w:rFonts w:ascii="Amiri" w:hAnsi="Amiri" w:eastAsia="Amiri" w:cs="Amiri"/>
          <w:color w:val="111111"/>
          <w:sz w:val="28"/>
          <w:sz w:val="28"/>
          <w:szCs w:val="28"/>
          <w:rtl w:val="true"/>
          <w:lang w:bidi="ar-SA"/>
        </w:rPr>
        <w:t xml:space="preserve">و لأنّ المراد إزالة عين النّجاسة،و لمّا كان ذلك إنّما يحصل غالبا باستعمال الثّلاثة،لا جرم،قدّره الشّارع بها لمقارنتها الإزالة غالبا لا لإجزائها و إن لم يحصل النّقاء </w:t>
      </w:r>
      <w:r>
        <w:rPr>
          <w:rFonts w:eastAsia="Amiri" w:cs="Amiri" w:ascii="Amiri" w:hAnsi="Amiri"/>
          <w:color w:val="111111"/>
          <w:sz w:val="28"/>
          <w:szCs w:val="28"/>
          <w:rtl w:val="true"/>
          <w:lang w:bidi="ar-SA"/>
        </w:rPr>
        <w:t>.</w:t>
      </w:r>
    </w:p>
    <w:p>
      <w:pPr>
        <w:pStyle w:val="Heading6"/>
        <w:numPr>
          <w:ilvl w:val="5"/>
          <w:numId w:val="1"/>
        </w:numPr>
        <w:rPr/>
      </w:pPr>
      <w:bookmarkStart w:id="949" w:name="__RefHeading___Toc747377_222507752"/>
      <w:bookmarkStart w:id="950" w:name="_Toc379"/>
      <w:bookmarkEnd w:id="949"/>
      <w:r>
        <w:rPr>
          <w:rtl w:val="true"/>
        </w:rPr>
        <w:t>الثّاني</w:t>
      </w:r>
      <w:r>
        <w:rPr>
          <w:rtl w:val="true"/>
        </w:rPr>
        <w:t>:</w:t>
      </w:r>
      <w:r>
        <w:rPr>
          <w:rtl w:val="true"/>
        </w:rPr>
        <w:t>في إجزاء الحجر ذي الشّعب الثّلاث خلاف</w:t>
      </w:r>
      <w:bookmarkEnd w:id="950"/>
    </w:p>
    <w:p>
      <w:pPr>
        <w:pStyle w:val="BookText"/>
        <w:rPr/>
      </w:pPr>
      <w:r>
        <w:rPr>
          <w:rFonts w:ascii="Amiri" w:hAnsi="Amiri" w:eastAsia="Amiri" w:cs="Amiri"/>
          <w:color w:val="111111"/>
          <w:sz w:val="28"/>
          <w:sz w:val="28"/>
          <w:szCs w:val="28"/>
          <w:rtl w:val="true"/>
          <w:lang w:bidi="ar-SA"/>
        </w:rPr>
        <w:t>،قال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 عند بعض أصحابنا،قال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الأحوط اعتبار العدد </w:t>
      </w:r>
      <w:r>
        <w:rPr>
          <w:rStyle w:val="FootnoteAnchor"/>
          <w:rtl w:val="true"/>
        </w:rPr>
        <w:footnoteReference w:id="17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منعه داود </w:t>
      </w:r>
      <w:r>
        <w:rPr>
          <w:rStyle w:val="FootnoteAnchor"/>
          <w:rtl w:val="true"/>
        </w:rPr>
        <w:footnoteReference w:id="1783"/>
      </w:r>
      <w:r>
        <w:rPr>
          <w:rFonts w:ascii="Amiri" w:hAnsi="Amiri" w:eastAsia="Amiri" w:cs="Amiri"/>
          <w:color w:val="111111"/>
          <w:sz w:val="28"/>
          <w:sz w:val="28"/>
          <w:szCs w:val="28"/>
          <w:rtl w:val="true"/>
          <w:lang w:bidi="ar-SA"/>
        </w:rPr>
        <w:t xml:space="preserve">،و الأقوى عندي الجواز، و هو أحد قوليّ الشّافعيّ </w:t>
      </w:r>
      <w:r>
        <w:rPr>
          <w:rStyle w:val="FootnoteAnchor"/>
          <w:rtl w:val="true"/>
        </w:rPr>
        <w:footnoteReference w:id="1784"/>
      </w:r>
      <w:r>
        <w:rPr>
          <w:rFonts w:ascii="Amiri" w:hAnsi="Amiri" w:eastAsia="Amiri" w:cs="Amiri"/>
          <w:color w:val="111111"/>
          <w:sz w:val="28"/>
          <w:sz w:val="28"/>
          <w:szCs w:val="28"/>
          <w:rtl w:val="true"/>
          <w:lang w:bidi="ar-SA"/>
        </w:rPr>
        <w:t xml:space="preserve">و إسحاق و أبي ثور </w:t>
      </w:r>
      <w:r>
        <w:rPr>
          <w:rStyle w:val="FootnoteAnchor"/>
          <w:rtl w:val="true"/>
        </w:rPr>
        <w:footnoteReference w:id="1785"/>
      </w:r>
      <w:r>
        <w:rPr>
          <w:rFonts w:ascii="Amiri" w:hAnsi="Amiri" w:eastAsia="Amiri" w:cs="Amiri"/>
          <w:color w:val="111111"/>
          <w:sz w:val="28"/>
          <w:sz w:val="28"/>
          <w:szCs w:val="28"/>
          <w:rtl w:val="true"/>
          <w:lang w:bidi="ar-SA"/>
        </w:rPr>
        <w:t xml:space="preserve">،و إحدى الرّوايتين عن أحمد </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الشّيخ بالأحاديث الدّالّة على استعمال ثلاثة أحجار </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استجمر ثلاثا منقية بما وجد فيه شرط الاستجمار فأجزأه كما لو تعدّد حسّا، و لأنّه لو فصله لجاز استعماله إجماعا،و لا فرق بينهما إلاّ الفصل،و لا أثر له في التّطهير،و لأنّه لو استجمر به ثلاثة لحصل </w:t>
      </w:r>
      <w:r>
        <w:rPr>
          <w:rStyle w:val="FootnoteAnchor"/>
          <w:rtl w:val="true"/>
        </w:rPr>
        <w:footnoteReference w:id="1788"/>
      </w:r>
      <w:r>
        <w:rPr>
          <w:rFonts w:ascii="Amiri" w:hAnsi="Amiri" w:eastAsia="Amiri" w:cs="Amiri"/>
          <w:color w:val="111111"/>
          <w:sz w:val="28"/>
          <w:sz w:val="28"/>
          <w:szCs w:val="28"/>
          <w:rtl w:val="true"/>
          <w:lang w:bidi="ar-SA"/>
        </w:rPr>
        <w:t xml:space="preserve">لكلّ واحد منهم مسحة و قام مقام ثلاثة أحجار،فكذلك في الواحد،و لأنّ الواجب التّطهير،و هو إنّما يحصل بعدد المسحات دون الأحجار،و لهذا لو مسح بحائط أو ثوب ثلاث مسحات أجزأه،و احتجاجهم بالأحاديث ضعيف،لأنّها دالّة على تكرّر </w:t>
      </w:r>
      <w:r>
        <w:rPr>
          <w:rStyle w:val="FootnoteAnchor"/>
          <w:rtl w:val="true"/>
        </w:rPr>
        <w:footnoteReference w:id="1789"/>
      </w:r>
      <w:r>
        <w:rPr>
          <w:rFonts w:ascii="Amiri" w:hAnsi="Amiri" w:eastAsia="Amiri" w:cs="Amiri"/>
          <w:color w:val="111111"/>
          <w:sz w:val="28"/>
          <w:sz w:val="28"/>
          <w:szCs w:val="28"/>
          <w:rtl w:val="true"/>
          <w:lang w:bidi="ar-SA"/>
        </w:rPr>
        <w:t>المسحات بالحجر دون غير الأحجار،كما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ضربته ثلاثة أسواط،أي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 ضربات بسوط،لأنّ معناه معقول و المراد معلوم،و لهذا لم نقتصر على لفظة الأحجار بل جوّزنا استعمال الخشب و الخرق </w:t>
      </w:r>
      <w:r>
        <w:rPr>
          <w:rStyle w:val="FootnoteAnchor"/>
          <w:rtl w:val="true"/>
        </w:rPr>
        <w:footnoteReference w:id="1790"/>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الطّهارة في الأحجار و هي غير حاصلة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المشترط إنّما هو الطّهارة في محلّ الاستعمال،و لهذا لو تنجّس جانبه بغير </w:t>
      </w:r>
      <w:bookmarkStart w:id="951" w:name="pg12672_160025"/>
    </w:p>
    <w:p>
      <w:pPr>
        <w:pStyle w:val="BookText"/>
        <w:rPr/>
      </w:pPr>
      <w:bookmarkEnd w:id="951"/>
      <w:r>
        <w:rPr>
          <w:rFonts w:ascii="Amiri" w:hAnsi="Amiri" w:eastAsia="Amiri" w:cs="Amiri"/>
          <w:color w:val="111111"/>
          <w:sz w:val="28"/>
          <w:sz w:val="28"/>
          <w:szCs w:val="28"/>
          <w:rtl w:val="true"/>
          <w:lang w:bidi="ar-SA"/>
        </w:rPr>
        <w:t xml:space="preserve">الاستعمال جاز استعمال الجانب الآخر،و لو استعمل ثلاثة أنفس ثلاثة أحجار كلّ واحد منهم من كلّ حجر بشعبة </w:t>
      </w:r>
      <w:r>
        <w:rPr>
          <w:rStyle w:val="FootnoteAnchor"/>
          <w:rtl w:val="true"/>
        </w:rPr>
        <w:footnoteReference w:id="1791"/>
      </w:r>
      <w:r>
        <w:rPr>
          <w:rFonts w:ascii="Amiri" w:hAnsi="Amiri" w:eastAsia="Amiri" w:cs="Amiri"/>
          <w:color w:val="111111"/>
          <w:sz w:val="28"/>
          <w:sz w:val="28"/>
          <w:szCs w:val="28"/>
          <w:rtl w:val="true"/>
          <w:lang w:bidi="ar-SA"/>
        </w:rPr>
        <w:t>،أجزأهم،و على قول الشّيخ لا يجزي</w:t>
      </w:r>
      <w:r>
        <w:rPr>
          <w:rFonts w:eastAsia="Amiri" w:cs="Amiri" w:ascii="Amiri" w:hAnsi="Amiri"/>
          <w:color w:val="111111"/>
          <w:sz w:val="28"/>
          <w:szCs w:val="28"/>
          <w:rtl w:val="true"/>
          <w:lang w:bidi="ar-SA"/>
        </w:rPr>
        <w:t>.</w:t>
      </w:r>
    </w:p>
    <w:p>
      <w:pPr>
        <w:pStyle w:val="Heading6"/>
        <w:numPr>
          <w:ilvl w:val="5"/>
          <w:numId w:val="1"/>
        </w:numPr>
        <w:rPr/>
      </w:pPr>
      <w:bookmarkStart w:id="952" w:name="__RefHeading___Toc747379_222507752"/>
      <w:bookmarkStart w:id="953" w:name="_Toc380"/>
      <w:bookmarkEnd w:id="952"/>
      <w:r>
        <w:rPr>
          <w:rtl w:val="true"/>
        </w:rPr>
        <w:t>الوصف الثّاني</w:t>
      </w:r>
      <w:r>
        <w:rPr>
          <w:rtl w:val="true"/>
        </w:rPr>
        <w:t>:</w:t>
      </w:r>
      <w:r>
        <w:rPr>
          <w:rtl w:val="true"/>
        </w:rPr>
        <w:t>أن يكون ممّا له تأثير في إزالة العين</w:t>
      </w:r>
      <w:bookmarkEnd w:id="953"/>
    </w:p>
    <w:p>
      <w:pPr>
        <w:pStyle w:val="BookText"/>
        <w:rPr/>
      </w:pPr>
      <w:r>
        <w:rPr>
          <w:rFonts w:ascii="Amiri" w:hAnsi="Amiri" w:eastAsia="Amiri" w:cs="Amiri"/>
          <w:color w:val="111111"/>
          <w:sz w:val="28"/>
          <w:sz w:val="28"/>
          <w:szCs w:val="28"/>
          <w:rtl w:val="true"/>
          <w:lang w:bidi="ar-SA"/>
        </w:rPr>
        <w:t>،لأنّه هو المقصود فيحصل به الاكتفاء،و ذلك يستدعي 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استعمال الخرق </w:t>
      </w:r>
      <w:r>
        <w:rPr>
          <w:rStyle w:val="FootnoteAnchor"/>
          <w:rtl w:val="true"/>
        </w:rPr>
        <w:footnoteReference w:id="1792"/>
      </w:r>
      <w:r>
        <w:rPr>
          <w:rFonts w:ascii="Amiri" w:hAnsi="Amiri" w:eastAsia="Amiri" w:cs="Amiri"/>
          <w:color w:val="111111"/>
          <w:sz w:val="28"/>
          <w:sz w:val="28"/>
          <w:szCs w:val="28"/>
          <w:rtl w:val="true"/>
          <w:lang w:bidi="ar-SA"/>
        </w:rPr>
        <w:t>و الخشب و المدر و الجلد و كلّ جامد طاهر مزيل،إلاّ ما نستثنيه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أكثر أهل العلم </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الواجب الاقتصار على الأحجار </w:t>
      </w:r>
      <w:r>
        <w:rPr>
          <w:rStyle w:val="FootnoteAnchor"/>
          <w:rtl w:val="true"/>
        </w:rPr>
        <w:footnoteReference w:id="1794"/>
      </w:r>
      <w:r>
        <w:rPr>
          <w:rFonts w:ascii="Amiri" w:hAnsi="Amiri" w:eastAsia="Amiri" w:cs="Amiri"/>
          <w:color w:val="111111"/>
          <w:sz w:val="28"/>
          <w:sz w:val="28"/>
          <w:szCs w:val="28"/>
          <w:rtl w:val="true"/>
          <w:lang w:bidi="ar-SA"/>
        </w:rPr>
        <w:t xml:space="preserve">،و حكي ذلك عن زفر،و هو إحدى الرّوايتين عن أحمد بن حنبل </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النّبيّ صلّى اللّه عليه و آله،انّه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استنظف بثلاثة أحجار أو ثلاثة أعواد أو ثلاث حثيات من تراب</w:t>
      </w:r>
      <w:r>
        <w:rPr>
          <w:rFonts w:eastAsia="Amiri" w:cs="Amiri" w:ascii="Amiri" w:hAnsi="Amiri"/>
          <w:color w:val="111111"/>
          <w:sz w:val="28"/>
          <w:szCs w:val="28"/>
          <w:rtl w:val="true"/>
          <w:lang w:bidi="ar-SA"/>
        </w:rPr>
        <w:t xml:space="preserve">) </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الحسن،عن ابن المغيرة،عن أبي الحسن عليه السّلام،قلت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للاستنجاء حدّ؟قال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لا،ينقي ما ثمّة</w:t>
      </w:r>
      <w:r>
        <w:rPr>
          <w:rFonts w:eastAsia="Amiri" w:cs="Amiri" w:ascii="Amiri" w:hAnsi="Amiri"/>
          <w:color w:val="111111"/>
          <w:sz w:val="28"/>
          <w:szCs w:val="28"/>
          <w:rtl w:val="true"/>
          <w:lang w:bidi="ar-SA"/>
        </w:rPr>
        <w:t xml:space="preserve">) </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الصّحيح عن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يستنجي من البول ثلاث مرّات و من الغائط بالمدر و الخرق </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في الصّحيح،عن زرارة،عن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الحسين عليه السّلام يتمسّح من الغائط بالكرسف،و لا يغتسل </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 xml:space="preserve">. </w:t>
      </w:r>
      <w:bookmarkStart w:id="954" w:name="pg12672_160026"/>
    </w:p>
    <w:p>
      <w:pPr>
        <w:pStyle w:val="BookText"/>
        <w:rPr/>
      </w:pPr>
      <w:bookmarkEnd w:id="954"/>
      <w:r>
        <w:rPr>
          <w:rFonts w:ascii="Amiri" w:hAnsi="Amiri" w:eastAsia="Amiri" w:cs="Amiri"/>
          <w:color w:val="111111"/>
          <w:sz w:val="28"/>
          <w:sz w:val="28"/>
          <w:szCs w:val="28"/>
          <w:rtl w:val="true"/>
          <w:lang w:bidi="ar-SA"/>
        </w:rPr>
        <w:t>و لأنّ المقصود إزالة عين النّجاسة،و هذا يحصل بغير الأحجار كحصوله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احتجّ داود بأنّ النّبيّ صلّى اللّه عليه و آله أمر بالأحجار </w:t>
      </w:r>
      <w:r>
        <w:rPr>
          <w:rStyle w:val="FootnoteAnchor"/>
          <w:rtl w:val="true"/>
        </w:rPr>
        <w:footnoteReference w:id="1801"/>
      </w:r>
      <w:r>
        <w:rPr>
          <w:rFonts w:ascii="Amiri" w:hAnsi="Amiri" w:eastAsia="Amiri" w:cs="Amiri"/>
          <w:color w:val="111111"/>
          <w:sz w:val="28"/>
          <w:sz w:val="28"/>
          <w:szCs w:val="28"/>
          <w:rtl w:val="true"/>
          <w:lang w:bidi="ar-SA"/>
        </w:rPr>
        <w:t>،و هو يقتضي الوجوب، و لأنّه موضع رخصة ورد الشّرع فيها بآلة مخصوصة،فوجب الاقتصار عليها كالتّراب في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الأمر إذا كان لمعنى،و وجد الشّرع </w:t>
      </w:r>
      <w:r>
        <w:rPr>
          <w:rStyle w:val="FootnoteAnchor"/>
          <w:rtl w:val="true"/>
        </w:rPr>
        <w:footnoteReference w:id="1802"/>
      </w:r>
      <w:r>
        <w:rPr>
          <w:rFonts w:ascii="Amiri" w:hAnsi="Amiri" w:eastAsia="Amiri" w:cs="Amiri"/>
          <w:color w:val="111111"/>
          <w:sz w:val="28"/>
          <w:sz w:val="28"/>
          <w:szCs w:val="28"/>
          <w:rtl w:val="true"/>
          <w:lang w:bidi="ar-SA"/>
        </w:rPr>
        <w:t>مشاركه،عدّي الحكم إليه عنده،و قد حصل في هذه الصّورة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الرّخصة في التّيمّم غير معقولة المعنى،فلهذا لم يعدّ الحكم بخلاف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استعمال ما يزلج من النّجاسة كالحديد الصّقيل،و الزّجاج،و اللّحم الرّخو،و أشباه ذلك،و لا يجزي لعدم المعنى المقصود منه،و هو الإزالة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التّراب،لأنّه يقع بعضه على المحلّ و قد صار نجسا،فيحصل في المحلّ نجاسة أجنبيّة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أحد قولي الشّافعيّ،و في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w:t>
      </w:r>
      <w:r>
        <w:rPr>
          <w:rStyle w:val="FootnoteAnchor"/>
          <w:rtl w:val="true"/>
        </w:rPr>
        <w:footnoteReference w:id="1803"/>
      </w:r>
      <w:r>
        <w:rPr>
          <w:rFonts w:ascii="Amiri" w:hAnsi="Amiri" w:eastAsia="Amiri" w:cs="Amiri"/>
          <w:color w:val="111111"/>
          <w:sz w:val="28"/>
          <w:sz w:val="28"/>
          <w:szCs w:val="28"/>
          <w:rtl w:val="true"/>
          <w:lang w:bidi="ar-SA"/>
        </w:rPr>
        <w:t>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ثلاث حثيات من تراب</w:t>
      </w:r>
      <w:r>
        <w:rPr>
          <w:rFonts w:eastAsia="Amiri" w:cs="Amiri" w:ascii="Amiri" w:hAnsi="Amiri"/>
          <w:color w:val="111111"/>
          <w:sz w:val="28"/>
          <w:szCs w:val="28"/>
          <w:rtl w:val="true"/>
          <w:lang w:bidi="ar-SA"/>
        </w:rPr>
        <w:t xml:space="preserve">) </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55" w:name="__RefHeading___Toc747381_222507752"/>
      <w:bookmarkStart w:id="956" w:name="_Toc381"/>
      <w:bookmarkEnd w:id="955"/>
      <w:r>
        <w:rPr>
          <w:rtl w:val="true"/>
        </w:rPr>
        <w:t>الوصف الثّالث</w:t>
      </w:r>
      <w:r>
        <w:rPr>
          <w:rtl w:val="true"/>
        </w:rPr>
        <w:t>:</w:t>
      </w:r>
      <w:r>
        <w:rPr>
          <w:rtl w:val="true"/>
        </w:rPr>
        <w:t>أن يكون طاهرا،فلا يجوز الاستجمار بالحجر النّجس</w:t>
      </w:r>
      <w:bookmarkEnd w:id="9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علمائنا أجمع،و اختيار الشّافعيّ </w:t>
      </w:r>
      <w:r>
        <w:rPr>
          <w:rStyle w:val="FootnoteAnchor"/>
          <w:rtl w:val="true"/>
        </w:rPr>
        <w:footnoteReference w:id="1805"/>
      </w:r>
      <w:r>
        <w:rPr>
          <w:rFonts w:ascii="IRNazanin" w:hAnsi="IRNazanin" w:eastAsia="IRNazanin"/>
          <w:color w:val="111111"/>
          <w:sz w:val="28"/>
          <w:sz w:val="28"/>
          <w:szCs w:val="28"/>
          <w:rtl w:val="true"/>
          <w:lang w:bidi="fa-IR"/>
        </w:rPr>
        <w:t xml:space="preserve">و أحمد </w:t>
      </w:r>
      <w:r>
        <w:rPr>
          <w:rStyle w:val="FootnoteAnchor"/>
          <w:rtl w:val="true"/>
        </w:rPr>
        <w:footnoteReference w:id="18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يجزيه </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النّبيّ صلّى اللّه عليه و آله،انّه أتاه ابن مسعود بحجرين و روثة يستجمر بها فأخذ الحجرين و ألقى الرّوثة،و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رجس</w:t>
      </w:r>
      <w:r>
        <w:rPr>
          <w:rFonts w:eastAsia="Amiri" w:cs="Amiri" w:ascii="Amiri" w:hAnsi="Amiri"/>
          <w:color w:val="111111"/>
          <w:sz w:val="28"/>
          <w:szCs w:val="28"/>
          <w:rtl w:val="true"/>
          <w:lang w:bidi="ar-SA"/>
        </w:rPr>
        <w:t xml:space="preserve">) </w:t>
      </w:r>
      <w:r>
        <w:rPr>
          <w:rStyle w:val="FootnoteAnchor"/>
          <w:rtl w:val="true"/>
        </w:rPr>
        <w:footnoteReference w:id="1808"/>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نجس،و في </w:t>
      </w:r>
      <w:bookmarkStart w:id="957" w:name="pg12672_160027"/>
    </w:p>
    <w:p>
      <w:pPr>
        <w:pStyle w:val="BookText"/>
        <w:rPr/>
      </w:pPr>
      <w:bookmarkEnd w:id="957"/>
      <w:r>
        <w:rPr>
          <w:rFonts w:ascii="Amiri" w:hAnsi="Amiri" w:eastAsia="Amiri" w:cs="Amiri"/>
          <w:color w:val="111111"/>
          <w:sz w:val="28"/>
          <w:sz w:val="28"/>
          <w:szCs w:val="28"/>
          <w:rtl w:val="true"/>
          <w:lang w:bidi="ar-SA"/>
        </w:rPr>
        <w:t>حديث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ركس</w:t>
      </w:r>
      <w:r>
        <w:rPr>
          <w:rFonts w:eastAsia="Amiri" w:cs="Amiri" w:ascii="Amiri" w:hAnsi="Amiri"/>
          <w:color w:val="111111"/>
          <w:sz w:val="28"/>
          <w:szCs w:val="28"/>
          <w:rtl w:val="true"/>
          <w:lang w:bidi="ar-SA"/>
        </w:rPr>
        <w:t xml:space="preserve">) </w:t>
      </w:r>
      <w:r>
        <w:rPr>
          <w:rStyle w:val="FootnoteAnchor"/>
          <w:rtl w:val="true"/>
        </w:rPr>
        <w:footnoteReference w:id="1809"/>
      </w:r>
      <w:r>
        <w:rPr>
          <w:rFonts w:ascii="Amiri" w:hAnsi="Amiri" w:eastAsia="Amiri" w:cs="Amiri"/>
          <w:color w:val="111111"/>
          <w:sz w:val="28"/>
          <w:sz w:val="28"/>
          <w:szCs w:val="28"/>
          <w:rtl w:val="true"/>
          <w:lang w:bidi="ar-SA"/>
        </w:rPr>
        <w:t>و هذا تعليل منه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جرت السّنّة في الاستنجاء بثلاثة أحجار أبكار</w:t>
      </w:r>
      <w:r>
        <w:rPr>
          <w:rFonts w:eastAsia="Amiri" w:cs="Amiri" w:ascii="Amiri" w:hAnsi="Amiri"/>
          <w:color w:val="111111"/>
          <w:sz w:val="28"/>
          <w:szCs w:val="28"/>
          <w:rtl w:val="true"/>
          <w:lang w:bidi="ar-SA"/>
        </w:rPr>
        <w:t xml:space="preserve">) </w:t>
      </w:r>
      <w:r>
        <w:rPr>
          <w:rStyle w:val="FootnoteAnchor"/>
          <w:rtl w:val="true"/>
        </w:rPr>
        <w:footnoteReference w:id="1810"/>
      </w:r>
      <w:r>
        <w:rPr>
          <w:rFonts w:ascii="Amiri" w:hAnsi="Amiri" w:eastAsia="Amiri" w:cs="Amiri"/>
          <w:color w:val="111111"/>
          <w:sz w:val="28"/>
          <w:sz w:val="28"/>
          <w:szCs w:val="28"/>
          <w:rtl w:val="true"/>
          <w:lang w:bidi="ar-SA"/>
        </w:rPr>
        <w:t>و هذه الرّواية و إن كانت مرسلة إلاّ انّها موافقة للمذهب،و لأنّه إزالة النّجاسة،فلا يحصل بالنّجاسة كالغسل</w:t>
      </w:r>
      <w:r>
        <w:rPr>
          <w:rFonts w:eastAsia="Amiri" w:cs="Amiri" w:ascii="Amiri" w:hAnsi="Amiri"/>
          <w:color w:val="111111"/>
          <w:sz w:val="28"/>
          <w:szCs w:val="28"/>
          <w:rtl w:val="true"/>
          <w:lang w:bidi="ar-SA"/>
        </w:rPr>
        <w:t>.</w:t>
      </w:r>
    </w:p>
    <w:p>
      <w:pPr>
        <w:pStyle w:val="Heading6"/>
        <w:numPr>
          <w:ilvl w:val="5"/>
          <w:numId w:val="1"/>
        </w:numPr>
        <w:rPr/>
      </w:pPr>
      <w:bookmarkStart w:id="958" w:name="__RefHeading___Toc747383_222507752"/>
      <w:bookmarkStart w:id="959" w:name="_Toc382"/>
      <w:bookmarkEnd w:id="958"/>
      <w:r>
        <w:rPr>
          <w:rtl w:val="true"/>
        </w:rPr>
        <w:t>فروع</w:t>
      </w:r>
      <w:r>
        <w:rPr>
          <w:rtl w:val="true"/>
        </w:rPr>
        <w:t>:</w:t>
      </w:r>
      <w:bookmarkEnd w:id="959"/>
    </w:p>
    <w:p>
      <w:pPr>
        <w:pStyle w:val="Heading6"/>
        <w:numPr>
          <w:ilvl w:val="5"/>
          <w:numId w:val="1"/>
        </w:numPr>
        <w:rPr/>
      </w:pPr>
      <w:bookmarkStart w:id="960" w:name="__RefHeading___Toc747385_222507752"/>
      <w:bookmarkStart w:id="961" w:name="_Toc383"/>
      <w:bookmarkEnd w:id="960"/>
      <w:r>
        <w:rPr>
          <w:rtl w:val="true"/>
        </w:rPr>
        <w:t>الأوّل</w:t>
      </w:r>
      <w:r>
        <w:rPr>
          <w:rtl w:val="true"/>
        </w:rPr>
        <w:t>:</w:t>
      </w:r>
      <w:r>
        <w:rPr>
          <w:rtl w:val="true"/>
        </w:rPr>
        <w:t>لو استجمر بالنّجس لم يجزه</w:t>
      </w:r>
      <w:bookmarkEnd w:id="961"/>
    </w:p>
    <w:p>
      <w:pPr>
        <w:pStyle w:val="BookText"/>
        <w:rPr/>
      </w:pPr>
      <w:r>
        <w:rPr>
          <w:rFonts w:ascii="Amiri" w:hAnsi="Amiri" w:eastAsia="Amiri" w:cs="Amiri"/>
          <w:color w:val="111111"/>
          <w:sz w:val="28"/>
          <w:sz w:val="28"/>
          <w:szCs w:val="28"/>
          <w:rtl w:val="true"/>
          <w:lang w:bidi="ar-SA"/>
        </w:rPr>
        <w:t>،لأنّ المحلّ ينجس بنجاسة من غير المخرج فلم يجز فيها غير الماء كما لو تنجّس ابتداء،هذا إذا كانت نجاسته بغير الغائط،و لو كانت نجاسته به احتمل ذلك أيضا لما تقدّم،و الاكتفاء بثلاثة غيره،لأنّ النّجاسة واحدة في الجنس،أمّا لو كسر النّجس و استعمل الطّاهر منه،أو أزيلت النّجاسة بغسل أو غيره،أو استعمل الطّرف الطّاهر أجزأ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الاحتمال لو سهل بطنه فترشّشت النّجاسة من الأرض إلى محلّ الاستجمار،لأنّ الاستجمار رخصة في تطهير المحلّ من نجاسة خارجة منه لكثرتها،لا من نجاسة واردة عليه لندورها </w:t>
      </w:r>
      <w:r>
        <w:rPr>
          <w:rFonts w:eastAsia="Amiri" w:cs="Amiri" w:ascii="Amiri" w:hAnsi="Amiri"/>
          <w:color w:val="111111"/>
          <w:sz w:val="28"/>
          <w:szCs w:val="28"/>
          <w:rtl w:val="true"/>
          <w:lang w:bidi="ar-SA"/>
        </w:rPr>
        <w:t>.</w:t>
      </w:r>
    </w:p>
    <w:p>
      <w:pPr>
        <w:pStyle w:val="Heading6"/>
        <w:numPr>
          <w:ilvl w:val="5"/>
          <w:numId w:val="1"/>
        </w:numPr>
        <w:rPr/>
      </w:pPr>
      <w:bookmarkStart w:id="962" w:name="__RefHeading___Toc747387_222507752"/>
      <w:bookmarkStart w:id="963" w:name="_Toc384"/>
      <w:bookmarkEnd w:id="962"/>
      <w:r>
        <w:rPr>
          <w:rtl w:val="true"/>
        </w:rPr>
        <w:t>الثّاني</w:t>
      </w:r>
      <w:r>
        <w:rPr>
          <w:rtl w:val="true"/>
        </w:rPr>
        <w:t>:</w:t>
      </w:r>
      <w:r>
        <w:rPr>
          <w:rtl w:val="true"/>
        </w:rPr>
        <w:t>الحجر النّجس إذا تقادم عهده و زالت عين النّجاسة عنه،لا يجوز استعماله</w:t>
      </w:r>
      <w:bookmarkEnd w:id="963"/>
    </w:p>
    <w:p>
      <w:pPr>
        <w:pStyle w:val="BookText"/>
        <w:rPr/>
      </w:pPr>
      <w:r>
        <w:rPr>
          <w:rFonts w:ascii="Amiri" w:hAnsi="Amiri" w:eastAsia="Amiri" w:cs="Amiri"/>
          <w:color w:val="111111"/>
          <w:sz w:val="28"/>
          <w:sz w:val="28"/>
          <w:szCs w:val="28"/>
          <w:rtl w:val="true"/>
          <w:lang w:bidi="ar-SA"/>
        </w:rPr>
        <w:t xml:space="preserve">لنجاسته،أمّا لو كانت النّجاسة مائعة كالبول فزالت عينها بالشّمس،جاز استعماله لطهارته،و لو زالت بغيرها،لم يجز لبقاء نجاسته </w:t>
      </w:r>
      <w:r>
        <w:rPr>
          <w:rFonts w:eastAsia="Amiri" w:cs="Amiri" w:ascii="Amiri" w:hAnsi="Amiri"/>
          <w:color w:val="111111"/>
          <w:sz w:val="28"/>
          <w:szCs w:val="28"/>
          <w:rtl w:val="true"/>
          <w:lang w:bidi="ar-SA"/>
        </w:rPr>
        <w:t>.</w:t>
      </w:r>
    </w:p>
    <w:p>
      <w:pPr>
        <w:pStyle w:val="Heading6"/>
        <w:numPr>
          <w:ilvl w:val="5"/>
          <w:numId w:val="1"/>
        </w:numPr>
        <w:rPr/>
      </w:pPr>
      <w:bookmarkStart w:id="964" w:name="__RefHeading___Toc747389_222507752"/>
      <w:bookmarkStart w:id="965" w:name="_Toc385"/>
      <w:bookmarkEnd w:id="964"/>
      <w:r>
        <w:rPr>
          <w:rtl w:val="true"/>
        </w:rPr>
        <w:t>الثّالث</w:t>
      </w:r>
      <w:r>
        <w:rPr>
          <w:rtl w:val="true"/>
        </w:rPr>
        <w:t>:</w:t>
      </w:r>
      <w:r>
        <w:rPr>
          <w:rtl w:val="true"/>
        </w:rPr>
        <w:t>لو استجمر بحجر ثمَّ غسله أو كسر ما تنجّس منه</w:t>
      </w:r>
      <w:bookmarkEnd w:id="965"/>
    </w:p>
    <w:p>
      <w:pPr>
        <w:pStyle w:val="BookText"/>
        <w:rPr/>
      </w:pPr>
      <w:r>
        <w:rPr>
          <w:rStyle w:val="FootnoteAnchor"/>
          <w:rtl w:val="true"/>
        </w:rPr>
        <w:footnoteReference w:id="18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الاستجمار به ثانيا،لأنّه حجر يجزي غيره الاستجمار به فأجزأه كغيره،و يحتمل على قول الشّيخ عدم الإجزاء </w:t>
      </w:r>
      <w:r>
        <w:rPr>
          <w:rStyle w:val="FootnoteAnchor"/>
          <w:rtl w:val="true"/>
        </w:rPr>
        <w:footnoteReference w:id="1812"/>
      </w:r>
      <w:r>
        <w:rPr>
          <w:rFonts w:ascii="Amiri" w:hAnsi="Amiri" w:eastAsia="Amiri" w:cs="Amiri"/>
          <w:color w:val="111111"/>
          <w:sz w:val="28"/>
          <w:sz w:val="28"/>
          <w:szCs w:val="28"/>
          <w:rtl w:val="true"/>
          <w:lang w:bidi="ar-SA"/>
        </w:rPr>
        <w:t xml:space="preserve">محافظة على صورة لفظ العدد،و فيه بعد </w:t>
      </w:r>
      <w:r>
        <w:rPr>
          <w:rFonts w:eastAsia="Amiri" w:cs="Amiri" w:ascii="Amiri" w:hAnsi="Amiri"/>
          <w:color w:val="111111"/>
          <w:sz w:val="28"/>
          <w:szCs w:val="28"/>
          <w:rtl w:val="true"/>
          <w:lang w:bidi="ar-SA"/>
        </w:rPr>
        <w:t>.</w:t>
      </w:r>
    </w:p>
    <w:p>
      <w:pPr>
        <w:pStyle w:val="Heading6"/>
        <w:numPr>
          <w:ilvl w:val="5"/>
          <w:numId w:val="1"/>
        </w:numPr>
        <w:rPr/>
      </w:pPr>
      <w:bookmarkStart w:id="966" w:name="__RefHeading___Toc747391_222507752"/>
      <w:bookmarkStart w:id="967" w:name="_Toc386"/>
      <w:bookmarkEnd w:id="966"/>
      <w:r>
        <w:rPr>
          <w:rtl w:val="true"/>
        </w:rPr>
        <w:t>الرّابع</w:t>
      </w:r>
      <w:r>
        <w:rPr>
          <w:rtl w:val="true"/>
        </w:rPr>
        <w:t>:</w:t>
      </w:r>
      <w:r>
        <w:rPr>
          <w:rtl w:val="true"/>
        </w:rPr>
        <w:t>لو استجمر بالآجر صحّ سواء كان الطّين نجسا أو لا</w:t>
      </w:r>
      <w:bookmarkEnd w:id="967"/>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بالطّبخ يطهر، </w:t>
      </w:r>
      <w:bookmarkStart w:id="968" w:name="pg12672_160028"/>
    </w:p>
    <w:p>
      <w:pPr>
        <w:pStyle w:val="BookText"/>
        <w:rPr/>
      </w:pPr>
      <w:bookmarkEnd w:id="968"/>
      <w:r>
        <w:rPr>
          <w:rFonts w:ascii="Amiri" w:hAnsi="Amiri" w:eastAsia="Amiri" w:cs="Amiri"/>
          <w:color w:val="111111"/>
          <w:sz w:val="28"/>
          <w:sz w:val="28"/>
          <w:szCs w:val="28"/>
          <w:rtl w:val="true"/>
          <w:lang w:bidi="ar-SA"/>
        </w:rPr>
        <w:t xml:space="preserve">و منعت الشّافعيّة من الاستجمار </w:t>
      </w:r>
      <w:r>
        <w:rPr>
          <w:rStyle w:val="FootnoteAnchor"/>
          <w:rtl w:val="true"/>
        </w:rPr>
        <w:footnoteReference w:id="1813"/>
      </w:r>
      <w:r>
        <w:rPr>
          <w:rFonts w:ascii="Amiri" w:hAnsi="Amiri" w:eastAsia="Amiri" w:cs="Amiri"/>
          <w:color w:val="111111"/>
          <w:sz w:val="28"/>
          <w:sz w:val="28"/>
          <w:szCs w:val="28"/>
          <w:rtl w:val="true"/>
          <w:lang w:bidi="ar-SA"/>
        </w:rPr>
        <w:t xml:space="preserve">بالآجر إذا عمل بالسّرجين،إلاّ بعد أن يغسل و يجفّ </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69" w:name="__RefHeading___Toc747393_222507752"/>
      <w:bookmarkStart w:id="970" w:name="_Toc387"/>
      <w:bookmarkEnd w:id="969"/>
      <w:r>
        <w:rPr>
          <w:rtl w:val="true"/>
        </w:rPr>
        <w:t>الوصف الرّابع</w:t>
      </w:r>
      <w:r>
        <w:rPr>
          <w:rtl w:val="true"/>
        </w:rPr>
        <w:t>:</w:t>
      </w:r>
      <w:r>
        <w:rPr>
          <w:rtl w:val="true"/>
        </w:rPr>
        <w:t>أن لا يكون عظما،و لا روثا،و لا مطعوما</w:t>
      </w:r>
      <w:bookmarkEnd w:id="9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علمائنا، و الشّافعيّ </w:t>
      </w:r>
      <w:r>
        <w:rPr>
          <w:rStyle w:val="FootnoteAnchor"/>
          <w:rtl w:val="true"/>
        </w:rPr>
        <w:footnoteReference w:id="1815"/>
      </w:r>
      <w:r>
        <w:rPr>
          <w:rFonts w:ascii="Amiri" w:hAnsi="Amiri" w:eastAsia="Amiri" w:cs="Amiri"/>
          <w:color w:val="111111"/>
          <w:sz w:val="28"/>
          <w:sz w:val="28"/>
          <w:szCs w:val="28"/>
          <w:rtl w:val="true"/>
          <w:lang w:bidi="ar-SA"/>
        </w:rPr>
        <w:t xml:space="preserve">،و إسحاق،و الثّوريّ </w:t>
      </w:r>
      <w:r>
        <w:rPr>
          <w:rStyle w:val="FootnoteAnchor"/>
          <w:rtl w:val="true"/>
        </w:rPr>
        <w:footnoteReference w:id="1816"/>
      </w:r>
      <w:r>
        <w:rPr>
          <w:rFonts w:ascii="Amiri" w:hAnsi="Amiri" w:eastAsia="Amiri" w:cs="Amiri"/>
          <w:color w:val="111111"/>
          <w:sz w:val="28"/>
          <w:sz w:val="28"/>
          <w:szCs w:val="28"/>
          <w:rtl w:val="true"/>
          <w:lang w:bidi="ar-SA"/>
        </w:rPr>
        <w:t xml:space="preserve">خلافا لأبي حنيفة،فإنّه أجاز الاستنجاء بالعظم و الرّوث </w:t>
      </w:r>
      <w:r>
        <w:rPr>
          <w:rStyle w:val="FootnoteAnchor"/>
          <w:rtl w:val="true"/>
        </w:rPr>
        <w:footnoteReference w:id="1817"/>
      </w:r>
      <w:r>
        <w:rPr>
          <w:rFonts w:ascii="Amiri" w:hAnsi="Amiri" w:eastAsia="Amiri" w:cs="Amiri"/>
          <w:color w:val="111111"/>
          <w:sz w:val="28"/>
          <w:sz w:val="28"/>
          <w:szCs w:val="28"/>
          <w:rtl w:val="true"/>
          <w:lang w:bidi="ar-SA"/>
        </w:rPr>
        <w:t xml:space="preserve">،و شرط مالك طهارتهما </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ابن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تستنجوا بالرّوث و لا بالعظام،فإنّه زاد إخوانكم من الجنّ</w:t>
      </w:r>
      <w:r>
        <w:rPr>
          <w:rFonts w:eastAsia="Amiri" w:cs="Amiri" w:ascii="Amiri" w:hAnsi="Amiri"/>
          <w:color w:val="111111"/>
          <w:sz w:val="28"/>
          <w:szCs w:val="28"/>
          <w:rtl w:val="true"/>
          <w:lang w:bidi="ar-SA"/>
        </w:rPr>
        <w:t xml:space="preserve">) </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الدّارقطنيّ </w:t>
      </w:r>
      <w:r>
        <w:rPr>
          <w:rStyle w:val="FootnoteAnchor"/>
          <w:rtl w:val="true"/>
        </w:rPr>
        <w:footnoteReference w:id="18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صلّى اللّه عليه و آله نهى أن يستنجى بروث أو عظم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لا يطهّران</w:t>
      </w:r>
      <w:r>
        <w:rPr>
          <w:rFonts w:eastAsia="Amiri" w:cs="Amiri" w:ascii="Amiri" w:hAnsi="Amiri"/>
          <w:color w:val="111111"/>
          <w:sz w:val="28"/>
          <w:szCs w:val="28"/>
          <w:rtl w:val="true"/>
          <w:lang w:bidi="ar-SA"/>
        </w:rPr>
        <w:t xml:space="preserve">) </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 xml:space="preserve">. </w:t>
      </w:r>
      <w:bookmarkStart w:id="971" w:name="pg12672_160029"/>
    </w:p>
    <w:p>
      <w:pPr>
        <w:pStyle w:val="BookText"/>
        <w:rPr/>
      </w:pPr>
      <w:bookmarkEnd w:id="971"/>
      <w:r>
        <w:rPr>
          <w:rFonts w:ascii="Amiri" w:hAnsi="Amiri" w:eastAsia="Amiri" w:cs="Amiri"/>
          <w:color w:val="111111"/>
          <w:sz w:val="28"/>
          <w:sz w:val="28"/>
          <w:szCs w:val="28"/>
          <w:rtl w:val="true"/>
          <w:lang w:bidi="ar-SA"/>
        </w:rPr>
        <w:t xml:space="preserve">و روى أبو داود عنه،انّه قال لرويفع بن ثابت </w:t>
      </w:r>
      <w:r>
        <w:rPr>
          <w:rStyle w:val="FootnoteAnchor"/>
          <w:rtl w:val="true"/>
        </w:rPr>
        <w:footnoteReference w:id="18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 النّاس انّه من استنجى برجيع أو عظم فهو برئ من محمّد</w:t>
      </w:r>
      <w:r>
        <w:rPr>
          <w:rFonts w:eastAsia="Amiri" w:cs="Amiri" w:ascii="Amiri" w:hAnsi="Amiri"/>
          <w:color w:val="111111"/>
          <w:sz w:val="28"/>
          <w:szCs w:val="28"/>
          <w:rtl w:val="true"/>
          <w:lang w:bidi="ar-SA"/>
        </w:rPr>
        <w:t xml:space="preserve">) </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ليث المراديّ </w:t>
      </w:r>
      <w:r>
        <w:rPr>
          <w:rStyle w:val="FootnoteAnchor"/>
          <w:rtl w:val="true"/>
        </w:rPr>
        <w:footnoteReference w:id="1824"/>
      </w:r>
      <w:r>
        <w:rPr>
          <w:rFonts w:ascii="Amiri" w:hAnsi="Amiri" w:eastAsia="Amiri" w:cs="Amiri"/>
          <w:color w:val="111111"/>
          <w:sz w:val="28"/>
          <w:sz w:val="28"/>
          <w:szCs w:val="28"/>
          <w:rtl w:val="true"/>
          <w:lang w:bidi="ar-SA"/>
        </w:rPr>
        <w:t>،عن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استنجاء الرّجل بالعظم أو البعر أو العود؟قال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العظام و الرّوث فطعام الجنّ،و ذلك ممّا شرطوا على رسول اللّه صلّى اللّه عليه و آله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بشيء من ذلك</w:t>
      </w:r>
      <w:r>
        <w:rPr>
          <w:rFonts w:eastAsia="Amiri" w:cs="Amiri" w:ascii="Amiri" w:hAnsi="Amiri"/>
          <w:color w:val="111111"/>
          <w:sz w:val="28"/>
          <w:szCs w:val="28"/>
          <w:rtl w:val="true"/>
          <w:lang w:bidi="ar-SA"/>
        </w:rPr>
        <w:t xml:space="preserve">) </w:t>
      </w:r>
      <w:r>
        <w:rPr>
          <w:rStyle w:val="FootnoteAnchor"/>
          <w:rtl w:val="true"/>
        </w:rPr>
        <w:footnoteReference w:id="1825"/>
      </w:r>
      <w:r>
        <w:rPr>
          <w:rFonts w:ascii="Amiri" w:hAnsi="Amiri" w:eastAsia="Amiri" w:cs="Amiri"/>
          <w:color w:val="111111"/>
          <w:sz w:val="28"/>
          <w:sz w:val="28"/>
          <w:szCs w:val="28"/>
          <w:rtl w:val="true"/>
          <w:lang w:bidi="ar-SA"/>
        </w:rPr>
        <w:t xml:space="preserve">و الرّواية و إن كانت ضعيفة السّند،إلاّ انّ الأصحاب تلقّوها بالقبول، و يؤيّدها الرّوايات الصّحيحة الدّالّة على الأحجار مقتضاها الاقتصار،إلاّ انّه صيّر إلى غيرها من المزيلات لدليل،فيبقى </w:t>
      </w:r>
      <w:r>
        <w:rPr>
          <w:rStyle w:val="FootnoteAnchor"/>
          <w:rtl w:val="true"/>
        </w:rPr>
        <w:footnoteReference w:id="1826"/>
      </w:r>
      <w:r>
        <w:rPr>
          <w:rFonts w:ascii="Amiri" w:hAnsi="Amiri" w:eastAsia="Amiri" w:cs="Amiri"/>
          <w:color w:val="111111"/>
          <w:sz w:val="28"/>
          <w:sz w:val="28"/>
          <w:szCs w:val="28"/>
          <w:rtl w:val="true"/>
          <w:lang w:bidi="ar-SA"/>
        </w:rPr>
        <w:t>الباقي على المنع،و أمّا الطّعام فالنّهي متناول له من طريق التّنبيه،لأنّ النّهي معلل في الرّوث بكونه زاد الجنّ،فزادنا أولى</w:t>
      </w:r>
      <w:r>
        <w:rPr>
          <w:rFonts w:eastAsia="Amiri" w:cs="Amiri" w:ascii="Amiri" w:hAnsi="Amiri"/>
          <w:color w:val="111111"/>
          <w:sz w:val="28"/>
          <w:szCs w:val="28"/>
          <w:rtl w:val="true"/>
          <w:lang w:bidi="ar-SA"/>
        </w:rPr>
        <w:t>.</w:t>
      </w:r>
    </w:p>
    <w:p>
      <w:pPr>
        <w:pStyle w:val="Heading6"/>
        <w:numPr>
          <w:ilvl w:val="5"/>
          <w:numId w:val="1"/>
        </w:numPr>
        <w:rPr/>
      </w:pPr>
      <w:bookmarkStart w:id="972" w:name="__RefHeading___Toc747395_222507752"/>
      <w:bookmarkStart w:id="973" w:name="_Toc388"/>
      <w:bookmarkEnd w:id="972"/>
      <w:r>
        <w:rPr>
          <w:rtl w:val="true"/>
        </w:rPr>
        <w:t>فرع</w:t>
      </w:r>
      <w:r>
        <w:rPr>
          <w:rtl w:val="true"/>
        </w:rPr>
        <w:t>:</w:t>
      </w:r>
      <w:r>
        <w:rPr>
          <w:rtl w:val="true"/>
        </w:rPr>
        <w:t>لو استنجى بالعظم،أو بالرّوث،أو بالطّعام</w:t>
      </w:r>
      <w:bookmarkEnd w:id="973"/>
    </w:p>
    <w:p>
      <w:pPr>
        <w:pStyle w:val="BookText"/>
        <w:rPr/>
      </w:pPr>
      <w:r>
        <w:rPr>
          <w:rStyle w:val="FootnoteAnchor"/>
          <w:rtl w:val="true"/>
        </w:rPr>
        <w:footnoteReference w:id="18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يجزيه </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1829"/>
      </w:r>
      <w:r>
        <w:rPr>
          <w:rFonts w:ascii="Amiri" w:hAnsi="Amiri" w:eastAsia="Amiri" w:cs="Amiri"/>
          <w:color w:val="111111"/>
          <w:sz w:val="28"/>
          <w:sz w:val="28"/>
          <w:szCs w:val="28"/>
          <w:rtl w:val="true"/>
          <w:lang w:bidi="ar-SA"/>
        </w:rPr>
        <w:t xml:space="preserve">خلافا لأبي حنيفة </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 xml:space="preserve">. </w:t>
      </w:r>
      <w:bookmarkStart w:id="974" w:name="pg12672_160030"/>
    </w:p>
    <w:p>
      <w:pPr>
        <w:pStyle w:val="BookText"/>
        <w:rPr/>
      </w:pPr>
      <w:bookmarkEnd w:id="974"/>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لا يطهّران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من الدّخول في الصّلاة حكم شرعيّ،فيستصحب حتّى يقوم دليل شرعيّ على زواله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الشّيخ رحمه اللّه بأنّه منهيّ عنه،و النّهي يدلّ على 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الكبرى كلام، و الأقرب الطّهارة،لأنّ التّقدير زوال عين النّجاسة فحصلت الطّهارة كالحجر،و النّهي و إن اقتضى التّحريم،فإنّه لا ينافي الطّهارة كالماء المغصوب و الحجر المغصوب،و كالنّهي عن الاستنجاء باليمين مع حصول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الاستجمار رخصة لموضع المشقّة فإذا كان ما تعلّقت به الرّخصة معصية،لم يجز كسفر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الفرق ظاهر،فإنّ شرط الرّخصة هناك منتف و منتقض بالحجر المغصوب </w:t>
      </w:r>
      <w:r>
        <w:rPr>
          <w:rFonts w:eastAsia="Amiri" w:cs="Amiri" w:ascii="Amiri" w:hAnsi="Amiri"/>
          <w:color w:val="111111"/>
          <w:sz w:val="28"/>
          <w:szCs w:val="28"/>
          <w:rtl w:val="true"/>
          <w:lang w:bidi="ar-SA"/>
        </w:rPr>
        <w:t>.</w:t>
      </w:r>
    </w:p>
    <w:p>
      <w:pPr>
        <w:pStyle w:val="Heading6"/>
        <w:numPr>
          <w:ilvl w:val="5"/>
          <w:numId w:val="1"/>
        </w:numPr>
        <w:rPr/>
      </w:pPr>
      <w:bookmarkStart w:id="975" w:name="__RefHeading___Toc747397_222507752"/>
      <w:bookmarkStart w:id="976" w:name="_Toc389"/>
      <w:bookmarkEnd w:id="975"/>
      <w:r>
        <w:rPr>
          <w:rtl w:val="true"/>
        </w:rPr>
        <w:t>الوصف الخامس</w:t>
      </w:r>
      <w:r>
        <w:rPr>
          <w:rtl w:val="true"/>
        </w:rPr>
        <w:t>:</w:t>
      </w:r>
      <w:r>
        <w:rPr>
          <w:rtl w:val="true"/>
        </w:rPr>
        <w:t>أن لا يكون ممّا له حرمة كتربة الحسين عليه السّلام،و حجر</w:t>
      </w:r>
      <w:bookmarkEnd w:id="976"/>
    </w:p>
    <w:p>
      <w:pPr>
        <w:pStyle w:val="BookText"/>
        <w:rPr/>
      </w:pPr>
      <w:r>
        <w:rPr>
          <w:rFonts w:ascii="IRNazanin" w:hAnsi="IRNazanin" w:eastAsia="IRNazanin"/>
          <w:color w:val="111111"/>
          <w:sz w:val="28"/>
          <w:sz w:val="28"/>
          <w:szCs w:val="28"/>
          <w:rtl w:val="true"/>
          <w:lang w:bidi="fa-IR"/>
        </w:rPr>
        <w:t>زمزم</w:t>
      </w:r>
    </w:p>
    <w:p>
      <w:pPr>
        <w:pStyle w:val="BookText"/>
        <w:rPr/>
      </w:pPr>
      <w:r>
        <w:rPr>
          <w:rFonts w:ascii="Amiri" w:hAnsi="Amiri" w:eastAsia="Amiri" w:cs="Amiri"/>
          <w:color w:val="111111"/>
          <w:sz w:val="28"/>
          <w:sz w:val="28"/>
          <w:szCs w:val="28"/>
          <w:rtl w:val="true"/>
          <w:lang w:bidi="ar-SA"/>
        </w:rPr>
        <w:t xml:space="preserve">،و كتب الأحاديث،و ورق المصحف العزيز،و كتب الفقه،لأنّ فيه هتكا للشّريعة،و استخفافا لحرمتها،فهو في الحرمة أعظم من الرّوث و الرّمّة،و لو استنجى به لم يجزئه عند الشّيخ </w:t>
      </w:r>
      <w:r>
        <w:rPr>
          <w:rStyle w:val="FootnoteAnchor"/>
          <w:rtl w:val="true"/>
        </w:rPr>
        <w:footnoteReference w:id="1831"/>
      </w:r>
      <w:r>
        <w:rPr>
          <w:rFonts w:ascii="IRNazanin" w:hAnsi="IRNazanin" w:eastAsia="IRNazanin"/>
          <w:color w:val="111111"/>
          <w:sz w:val="28"/>
          <w:sz w:val="28"/>
          <w:szCs w:val="28"/>
          <w:rtl w:val="true"/>
          <w:lang w:bidi="fa-IR"/>
        </w:rPr>
        <w:t xml:space="preserve">،لما قلناه </w:t>
      </w:r>
      <w:r>
        <w:rPr>
          <w:rStyle w:val="FootnoteAnchor"/>
          <w:rtl w:val="true"/>
        </w:rPr>
        <w:footnoteReference w:id="1832"/>
      </w:r>
      <w:r>
        <w:rPr>
          <w:rFonts w:ascii="IRNazanin" w:hAnsi="IRNazanin" w:eastAsia="IRNazanin"/>
          <w:color w:val="111111"/>
          <w:sz w:val="28"/>
          <w:sz w:val="28"/>
          <w:szCs w:val="28"/>
          <w:rtl w:val="true"/>
          <w:lang w:bidi="fa-IR"/>
        </w:rPr>
        <w:t>أوّلا،و الأجود الإجزاء،لما تقدّم</w:t>
      </w:r>
      <w:r>
        <w:rPr>
          <w:rFonts w:eastAsia="IRNazanin" w:cs="IRNazanin"/>
          <w:color w:val="111111"/>
          <w:sz w:val="28"/>
          <w:szCs w:val="28"/>
          <w:rtl w:val="true"/>
          <w:lang w:bidi="fa-IR"/>
        </w:rPr>
        <w:t>.</w:t>
      </w:r>
    </w:p>
    <w:p>
      <w:pPr>
        <w:pStyle w:val="Heading6"/>
        <w:numPr>
          <w:ilvl w:val="5"/>
          <w:numId w:val="1"/>
        </w:numPr>
        <w:rPr/>
      </w:pPr>
      <w:bookmarkStart w:id="977" w:name="__RefHeading___Toc747399_222507752"/>
      <w:bookmarkStart w:id="978" w:name="_Toc390"/>
      <w:bookmarkEnd w:id="977"/>
      <w:r>
        <w:rPr>
          <w:rtl w:val="true"/>
        </w:rPr>
        <w:t>الوصف السّادس</w:t>
      </w:r>
      <w:r>
        <w:rPr>
          <w:rtl w:val="true"/>
        </w:rPr>
        <w:t>:</w:t>
      </w:r>
      <w:r>
        <w:rPr>
          <w:rtl w:val="true"/>
        </w:rPr>
        <w:t>أن يكون جافّا</w:t>
      </w:r>
      <w:bookmarkEnd w:id="978"/>
    </w:p>
    <w:p>
      <w:pPr>
        <w:pStyle w:val="BookText"/>
        <w:rPr/>
      </w:pPr>
      <w:r>
        <w:rPr>
          <w:rFonts w:ascii="Amiri" w:hAnsi="Amiri" w:eastAsia="Amiri" w:cs="Amiri"/>
          <w:color w:val="111111"/>
          <w:sz w:val="28"/>
          <w:sz w:val="28"/>
          <w:szCs w:val="28"/>
          <w:rtl w:val="true"/>
          <w:lang w:bidi="ar-SA"/>
        </w:rPr>
        <w:t>،فإنّ الرّطوبة تنتشر إلى النّجاسة فتزداد النّجاسة</w:t>
      </w:r>
      <w:r>
        <w:rPr>
          <w:rFonts w:eastAsia="Amiri" w:cs="Amiri" w:ascii="Amiri" w:hAnsi="Amiri"/>
          <w:color w:val="111111"/>
          <w:sz w:val="28"/>
          <w:szCs w:val="28"/>
          <w:rtl w:val="true"/>
          <w:lang w:bidi="ar-SA"/>
        </w:rPr>
        <w:t>.</w:t>
      </w:r>
    </w:p>
    <w:p>
      <w:pPr>
        <w:pStyle w:val="Heading6"/>
        <w:numPr>
          <w:ilvl w:val="5"/>
          <w:numId w:val="1"/>
        </w:numPr>
        <w:rPr/>
      </w:pPr>
      <w:bookmarkStart w:id="979" w:name="__RefHeading___Toc747401_222507752"/>
      <w:bookmarkStart w:id="980" w:name="_Toc391"/>
      <w:bookmarkEnd w:id="979"/>
      <w:r>
        <w:rPr>
          <w:rtl w:val="true"/>
        </w:rPr>
        <w:t>الفرع الخامس</w:t>
      </w:r>
      <w:r>
        <w:rPr>
          <w:rtl w:val="true"/>
        </w:rPr>
        <w:t>:</w:t>
      </w:r>
      <w:r>
        <w:rPr>
          <w:rtl w:val="true"/>
        </w:rPr>
        <w:t>لو استنجى بالخرقة،لم يجز قلبها و الاستنجاء بالوجه الآخر</w:t>
      </w:r>
      <w:bookmarkEnd w:id="980"/>
    </w:p>
    <w:p>
      <w:pPr>
        <w:pStyle w:val="BookText"/>
        <w:rPr/>
      </w:pPr>
      <w:r>
        <w:rPr>
          <w:rFonts w:ascii="Amiri" w:hAnsi="Amiri" w:eastAsia="Amiri" w:cs="Amiri"/>
          <w:color w:val="111111"/>
          <w:sz w:val="28"/>
          <w:sz w:val="28"/>
          <w:szCs w:val="28"/>
          <w:rtl w:val="true"/>
          <w:lang w:bidi="ar-SA"/>
        </w:rPr>
        <w:t>إلاّ أن تكون صفيقة تمنع نفوذ أجزاء النّجاسة إلى الجانب الآخر،فحينئذ ينبغي القول بالجواز، و الأليق بمذهب القائلين بعدم الاكتفاء بالحجر ذي الشّعب الثّلاث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الاكتفاء هاهنا، و لو كانت طويلة فاستعمل طرفها جاز استعمال الطّرف الآخر على قولنا،و على المانعين من الحجر يجوز بعد القطع</w:t>
      </w:r>
      <w:r>
        <w:rPr>
          <w:rFonts w:eastAsia="Amiri" w:cs="Amiri" w:ascii="Amiri" w:hAnsi="Amiri"/>
          <w:color w:val="111111"/>
          <w:sz w:val="28"/>
          <w:szCs w:val="28"/>
          <w:rtl w:val="true"/>
          <w:lang w:bidi="ar-SA"/>
        </w:rPr>
        <w:t>.</w:t>
      </w:r>
    </w:p>
    <w:p>
      <w:pPr>
        <w:pStyle w:val="Heading6"/>
        <w:numPr>
          <w:ilvl w:val="5"/>
          <w:numId w:val="1"/>
        </w:numPr>
        <w:rPr/>
      </w:pPr>
      <w:bookmarkStart w:id="981" w:name="__RefHeading___Toc747403_222507752"/>
      <w:bookmarkStart w:id="982" w:name="_Toc392"/>
      <w:bookmarkEnd w:id="981"/>
      <w:r>
        <w:rPr>
          <w:rtl w:val="true"/>
        </w:rPr>
        <w:t>السّادس</w:t>
      </w:r>
      <w:r>
        <w:rPr>
          <w:rtl w:val="true"/>
        </w:rPr>
        <w:t>:</w:t>
      </w:r>
      <w:r>
        <w:rPr>
          <w:rtl w:val="true"/>
        </w:rPr>
        <w:t>يجوز الاستجمار بالصّوف و الشّعر</w:t>
      </w:r>
      <w:bookmarkEnd w:id="982"/>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منع الشّافعيّة </w:t>
      </w:r>
      <w:r>
        <w:rPr>
          <w:rStyle w:val="FootnoteAnchor"/>
          <w:rtl w:val="true"/>
        </w:rPr>
        <w:footnoteReference w:id="1833"/>
      </w:r>
      <w:r>
        <w:rPr>
          <w:rFonts w:ascii="Amiri" w:hAnsi="Amiri" w:eastAsia="Amiri" w:cs="Amiri"/>
          <w:color w:val="111111"/>
          <w:sz w:val="28"/>
          <w:sz w:val="28"/>
          <w:szCs w:val="28"/>
          <w:rtl w:val="true"/>
          <w:lang w:bidi="ar-SA"/>
        </w:rPr>
        <w:t xml:space="preserve">و الحنابلة من كلّ </w:t>
      </w:r>
      <w:bookmarkStart w:id="983" w:name="pg12672_160031"/>
    </w:p>
    <w:p>
      <w:pPr>
        <w:pStyle w:val="BookText"/>
        <w:rPr/>
      </w:pPr>
      <w:bookmarkEnd w:id="983"/>
      <w:r>
        <w:rPr>
          <w:rFonts w:ascii="Amiri" w:hAnsi="Amiri" w:eastAsia="Amiri" w:cs="Amiri"/>
          <w:color w:val="111111"/>
          <w:sz w:val="28"/>
          <w:sz w:val="28"/>
          <w:szCs w:val="28"/>
          <w:rtl w:val="true"/>
          <w:lang w:bidi="ar-SA"/>
        </w:rPr>
        <w:t xml:space="preserve">متّصل بالحيوان كذنبه و الصّوف على ظهره </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مزيل فأجزأ،كالحجر و الخشب،و لو انفصل الجزء،جاز الاستجمار به إن كان طاهرا،و إلاّ فلا،و يجوز بالجلد المذكّى و إن لم يكن مدبوغا،لأنّه طاهر،و هو أحد قولي الشّافعيّ </w:t>
      </w:r>
      <w:r>
        <w:rPr>
          <w:rStyle w:val="FootnoteAnchor"/>
          <w:rtl w:val="true"/>
        </w:rPr>
        <w:footnoteReference w:id="1835"/>
      </w:r>
      <w:r>
        <w:rPr>
          <w:rFonts w:ascii="Amiri" w:hAnsi="Amiri" w:eastAsia="Amiri" w:cs="Amiri"/>
          <w:color w:val="111111"/>
          <w:sz w:val="28"/>
          <w:sz w:val="28"/>
          <w:szCs w:val="28"/>
          <w:rtl w:val="true"/>
          <w:lang w:bidi="ar-SA"/>
        </w:rPr>
        <w:t xml:space="preserve">،و منع في الآخر </w:t>
      </w:r>
      <w:r>
        <w:rPr>
          <w:rStyle w:val="FootnoteAnchor"/>
          <w:rtl w:val="true"/>
        </w:rPr>
        <w:footnoteReference w:id="1836"/>
      </w:r>
      <w:r>
        <w:rPr>
          <w:rFonts w:ascii="Amiri" w:hAnsi="Amiri" w:eastAsia="Amiri" w:cs="Amiri"/>
          <w:color w:val="111111"/>
          <w:sz w:val="28"/>
          <w:sz w:val="28"/>
          <w:szCs w:val="28"/>
          <w:rtl w:val="true"/>
          <w:lang w:bidi="ar-SA"/>
        </w:rPr>
        <w:t>،لأنّه لا يحصل منه الإنقاء ليبوسته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 من عدم الإنقاء،فإنّ البحث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مأكول،لأنّا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لا يؤكل في العادة،و لا يقصد بالأكل،أمّا الجلد الميت فلا يجوز و إن دبغ،لبقاء نجاسته،خلافا للجمهور </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84" w:name="__RefHeading___Toc747405_222507752"/>
      <w:bookmarkStart w:id="985" w:name="_Toc393"/>
      <w:bookmarkEnd w:id="984"/>
      <w:r>
        <w:rPr>
          <w:rtl w:val="true"/>
        </w:rPr>
        <w:t>السّابع</w:t>
      </w:r>
      <w:r>
        <w:rPr>
          <w:rtl w:val="true"/>
        </w:rPr>
        <w:t>:</w:t>
      </w:r>
      <w:r>
        <w:rPr>
          <w:rtl w:val="true"/>
        </w:rPr>
        <w:t>محلّ الاستجمار بعد استعمال الأحجار المزيلة للعين طاهر</w:t>
      </w:r>
      <w:bookmarkEnd w:id="985"/>
    </w:p>
    <w:p>
      <w:pPr>
        <w:pStyle w:val="BookText"/>
        <w:rPr/>
      </w:pPr>
      <w:r>
        <w:rPr>
          <w:rFonts w:ascii="Amiri" w:hAnsi="Amiri" w:eastAsia="Amiri" w:cs="Amiri"/>
          <w:color w:val="111111"/>
          <w:sz w:val="28"/>
          <w:sz w:val="28"/>
          <w:szCs w:val="28"/>
          <w:rtl w:val="true"/>
          <w:lang w:bidi="ar-SA"/>
        </w:rPr>
        <w:t xml:space="preserve">خلافا للشّافعيّ </w:t>
      </w:r>
      <w:r>
        <w:rPr>
          <w:rStyle w:val="FootnoteAnchor"/>
          <w:rtl w:val="true"/>
        </w:rPr>
        <w:footnoteReference w:id="1838"/>
      </w:r>
      <w:r>
        <w:rPr>
          <w:rFonts w:ascii="Amiri" w:hAnsi="Amiri" w:eastAsia="Amiri" w:cs="Amiri"/>
          <w:color w:val="111111"/>
          <w:sz w:val="28"/>
          <w:sz w:val="28"/>
          <w:szCs w:val="28"/>
          <w:rtl w:val="true"/>
          <w:lang w:bidi="ar-SA"/>
        </w:rPr>
        <w:t xml:space="preserve">و أبي حنيفة </w:t>
      </w:r>
      <w:r>
        <w:rPr>
          <w:rStyle w:val="FootnoteAnchor"/>
          <w:rtl w:val="true"/>
        </w:rPr>
        <w:footnoteReference w:id="1839"/>
      </w:r>
      <w:r>
        <w:rPr>
          <w:rFonts w:ascii="Amiri" w:hAnsi="Amiri" w:eastAsia="Amiri" w:cs="Amiri"/>
          <w:color w:val="111111"/>
          <w:sz w:val="28"/>
          <w:sz w:val="28"/>
          <w:szCs w:val="28"/>
          <w:rtl w:val="true"/>
          <w:lang w:bidi="ar-SA"/>
        </w:rPr>
        <w:t>،و اتّفق الجميع على انّ أثر النّجاسة بعد الاستنجاء و زوال العين معفوّ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نهي عن العظم و الرّوث فإنّهما لا يطهّران </w:t>
      </w:r>
      <w:r>
        <w:rPr>
          <w:rStyle w:val="FootnoteAnchor"/>
          <w:rtl w:val="true"/>
        </w:rPr>
        <w:footnoteReference w:id="1840"/>
      </w:r>
      <w:r>
        <w:rPr>
          <w:rFonts w:ascii="Amiri" w:hAnsi="Amiri" w:eastAsia="Amiri" w:cs="Amiri"/>
          <w:color w:val="111111"/>
          <w:sz w:val="28"/>
          <w:sz w:val="28"/>
          <w:szCs w:val="28"/>
          <w:rtl w:val="true"/>
          <w:lang w:bidi="ar-SA"/>
        </w:rPr>
        <w:t>،دلّ من حيث المفهوم انّ غيرهما مطهّر،و لأنّ الصّحابة كانوا يستعملون الاستجمار كثيرا حتّى انّ بعضهم أنكر الماء،و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بدعة مع سخونة بلادهم،و عدم انفكاك أبدانهم من العرق، و لم ينقل عنهم الاحتراز منه </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زرارة،عن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صلاة إلاّ بطهور،و يجزيك من الاستنجاء ثلاثة </w:t>
      </w:r>
      <w:bookmarkStart w:id="986" w:name="pg12672_160032"/>
    </w:p>
    <w:p>
      <w:pPr>
        <w:pStyle w:val="BookText"/>
        <w:rPr/>
      </w:pPr>
      <w:bookmarkEnd w:id="986"/>
      <w:r>
        <w:rPr>
          <w:rFonts w:ascii="IRNazanin" w:hAnsi="IRNazanin" w:eastAsia="IRNazanin"/>
          <w:color w:val="111111"/>
          <w:sz w:val="28"/>
          <w:sz w:val="28"/>
          <w:szCs w:val="28"/>
          <w:rtl w:val="true"/>
          <w:lang w:bidi="fa-IR"/>
        </w:rPr>
        <w:t>أحجار</w:t>
      </w:r>
      <w:r>
        <w:rPr>
          <w:rFonts w:eastAsia="IRNazanin" w:cs="IRNazanin"/>
          <w:color w:val="111111"/>
          <w:sz w:val="28"/>
          <w:szCs w:val="28"/>
          <w:rtl w:val="true"/>
          <w:lang w:bidi="fa-IR"/>
        </w:rPr>
        <w:t xml:space="preserve">) </w:t>
      </w:r>
      <w:r>
        <w:rPr>
          <w:rStyle w:val="FootnoteAnchor"/>
          <w:rtl w:val="true"/>
        </w:rPr>
        <w:footnoteReference w:id="1842"/>
      </w:r>
      <w:r>
        <w:rPr>
          <w:rFonts w:ascii="Amiri" w:hAnsi="Amiri" w:eastAsia="Amiri" w:cs="Amiri"/>
          <w:color w:val="111111"/>
          <w:sz w:val="28"/>
          <w:sz w:val="28"/>
          <w:szCs w:val="28"/>
          <w:rtl w:val="true"/>
          <w:lang w:bidi="ar-SA"/>
        </w:rPr>
        <w:t>يدلّ بالمفهوم على انّها من الطّهور</w:t>
      </w:r>
      <w:r>
        <w:rPr>
          <w:rFonts w:eastAsia="Amiri" w:cs="Amiri" w:ascii="Amiri" w:hAnsi="Amiri"/>
          <w:color w:val="111111"/>
          <w:sz w:val="28"/>
          <w:szCs w:val="28"/>
          <w:rtl w:val="true"/>
          <w:lang w:bidi="ar-SA"/>
        </w:rPr>
        <w:t>.</w:t>
      </w:r>
    </w:p>
    <w:p>
      <w:pPr>
        <w:pStyle w:val="Heading6"/>
        <w:numPr>
          <w:ilvl w:val="5"/>
          <w:numId w:val="1"/>
        </w:numPr>
        <w:rPr/>
      </w:pPr>
      <w:bookmarkStart w:id="987" w:name="__RefHeading___Toc747407_222507752"/>
      <w:bookmarkStart w:id="988" w:name="_Toc394"/>
      <w:bookmarkEnd w:id="987"/>
      <w:r>
        <w:rPr>
          <w:rtl w:val="true"/>
        </w:rPr>
        <w:t>الثّامن</w:t>
      </w:r>
      <w:r>
        <w:rPr>
          <w:rtl w:val="true"/>
        </w:rPr>
        <w:t>:</w:t>
      </w:r>
      <w:r>
        <w:rPr>
          <w:rtl w:val="true"/>
        </w:rPr>
        <w:t>كيف حصل الإنقاء بالاستنجاء أجزأ</w:t>
      </w:r>
      <w:bookmarkEnd w:id="988"/>
    </w:p>
    <w:p>
      <w:pPr>
        <w:pStyle w:val="BookText"/>
        <w:rPr/>
      </w:pPr>
      <w:r>
        <w:rPr>
          <w:rStyle w:val="FootnoteAnchor"/>
          <w:rtl w:val="true"/>
        </w:rPr>
        <w:footnoteReference w:id="18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وزّع الثّلاثة على أجزاء المحل،أو جعل الثّلاثة متواردة على جميع المحل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الشّيخ في المبسوط </w:t>
      </w:r>
      <w:r>
        <w:rPr>
          <w:rStyle w:val="FootnoteAnchor"/>
          <w:rtl w:val="true"/>
        </w:rPr>
        <w:footnoteReference w:id="1844"/>
      </w:r>
      <w:r>
        <w:rPr>
          <w:rFonts w:ascii="Amiri" w:hAnsi="Amiri" w:eastAsia="Amiri" w:cs="Amiri"/>
          <w:color w:val="111111"/>
          <w:sz w:val="28"/>
          <w:sz w:val="28"/>
          <w:szCs w:val="28"/>
          <w:rtl w:val="true"/>
          <w:lang w:bidi="ar-SA"/>
        </w:rPr>
        <w:t>،لحصول امتثال الأمر بالاستنجاء على التّقديرين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منع بعض الفقهاء </w:t>
      </w:r>
      <w:r>
        <w:rPr>
          <w:rStyle w:val="FootnoteAnchor"/>
          <w:rtl w:val="true"/>
        </w:rPr>
        <w:footnoteReference w:id="1845"/>
      </w:r>
      <w:r>
        <w:rPr>
          <w:rFonts w:ascii="Amiri" w:hAnsi="Amiri" w:eastAsia="Amiri" w:cs="Amiri"/>
          <w:color w:val="111111"/>
          <w:sz w:val="28"/>
          <w:sz w:val="28"/>
          <w:szCs w:val="28"/>
          <w:rtl w:val="true"/>
          <w:lang w:bidi="ar-SA"/>
        </w:rPr>
        <w:t>من ذلك لأنّه يكون تلفيقا فيكون بمنزلة مسحة واحدة و لا يكون تكرارا و هو ضعيف،لأنّا لو خلّينا و الأصل لاجتزأنا بالواحدة المزيلة،لكن لمّا دلّ النّصّ على العدد،وجب اعتباره و قد حصل ها هنا،و الفرق بين الواحد و المتعدّد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الواحد المنتقل إلى الجزء الثّاني من المحلّ يكون نجسا بمروره على الجزء الأوّل،أمّا المتكثّر ففي الجزء الثّاني يكون بكرا،و مع هذا الفرق لا يتمّ القياس</w:t>
      </w:r>
      <w:r>
        <w:rPr>
          <w:rFonts w:eastAsia="Amiri" w:cs="Amiri" w:ascii="Amiri" w:hAnsi="Amiri"/>
          <w:color w:val="111111"/>
          <w:sz w:val="28"/>
          <w:szCs w:val="28"/>
          <w:rtl w:val="true"/>
          <w:lang w:bidi="ar-SA"/>
        </w:rPr>
        <w:t>.</w:t>
      </w:r>
    </w:p>
    <w:p>
      <w:pPr>
        <w:pStyle w:val="Heading6"/>
        <w:numPr>
          <w:ilvl w:val="5"/>
          <w:numId w:val="1"/>
        </w:numPr>
        <w:rPr/>
      </w:pPr>
      <w:bookmarkStart w:id="989" w:name="__RefHeading___Toc747409_222507752"/>
      <w:bookmarkStart w:id="990" w:name="_Toc395"/>
      <w:bookmarkEnd w:id="989"/>
      <w:r>
        <w:rPr>
          <w:rtl w:val="true"/>
        </w:rPr>
        <w:t>التّاسع</w:t>
      </w:r>
      <w:r>
        <w:rPr>
          <w:rtl w:val="true"/>
        </w:rPr>
        <w:t>:</w:t>
      </w:r>
      <w:r>
        <w:rPr>
          <w:rtl w:val="true"/>
        </w:rPr>
        <w:t>لا يجب الاستنجاء في مخرج الغائط إلاّ مع خروج نجاسة منه</w:t>
      </w:r>
      <w:bookmarkEnd w:id="990"/>
    </w:p>
    <w:p>
      <w:pPr>
        <w:pStyle w:val="BookText"/>
        <w:rPr/>
      </w:pPr>
      <w:r>
        <w:rPr>
          <w:rFonts w:ascii="Amiri" w:hAnsi="Amiri" w:eastAsia="Amiri" w:cs="Amiri"/>
          <w:color w:val="111111"/>
          <w:sz w:val="28"/>
          <w:sz w:val="28"/>
          <w:szCs w:val="28"/>
          <w:rtl w:val="true"/>
          <w:lang w:bidi="ar-SA"/>
        </w:rPr>
        <w:t xml:space="preserve">كالغائط و الدّم، أمّا الدّود و الحصى و الحقنة الطّاهرة و الشّعر رطبا أو يابسا </w:t>
      </w:r>
      <w:r>
        <w:rPr>
          <w:rStyle w:val="FootnoteAnchor"/>
          <w:rtl w:val="true"/>
        </w:rPr>
        <w:footnoteReference w:id="1846"/>
      </w:r>
      <w:r>
        <w:rPr>
          <w:rFonts w:ascii="Amiri" w:hAnsi="Amiri" w:eastAsia="Amiri" w:cs="Amiri"/>
          <w:color w:val="111111"/>
          <w:sz w:val="28"/>
          <w:sz w:val="28"/>
          <w:szCs w:val="28"/>
          <w:rtl w:val="true"/>
          <w:lang w:bidi="ar-SA"/>
        </w:rPr>
        <w:t xml:space="preserve">فلا يتعلّق به الحكم،خلافا للجمهور </w:t>
      </w:r>
      <w:r>
        <w:rPr>
          <w:rStyle w:val="FootnoteAnchor"/>
          <w:rtl w:val="true"/>
        </w:rPr>
        <w:footnoteReference w:id="1847"/>
      </w:r>
      <w:r>
        <w:rPr>
          <w:rFonts w:ascii="Amiri" w:hAnsi="Amiri" w:eastAsia="Amiri" w:cs="Amiri"/>
          <w:color w:val="111111"/>
          <w:sz w:val="28"/>
          <w:sz w:val="28"/>
          <w:szCs w:val="28"/>
          <w:rtl w:val="true"/>
          <w:lang w:bidi="ar-SA"/>
        </w:rPr>
        <w:t xml:space="preserve">،لأنّ الرّطوبات طاهرة ما عدا ما عدّدناه،و الطّاهر </w:t>
      </w:r>
      <w:r>
        <w:rPr>
          <w:rStyle w:val="FootnoteAnchor"/>
          <w:rtl w:val="true"/>
        </w:rPr>
        <w:footnoteReference w:id="1848"/>
      </w:r>
      <w:r>
        <w:rPr>
          <w:rFonts w:ascii="Amiri" w:hAnsi="Amiri" w:eastAsia="Amiri" w:cs="Amiri"/>
          <w:color w:val="111111"/>
          <w:sz w:val="28"/>
          <w:sz w:val="28"/>
          <w:szCs w:val="28"/>
          <w:rtl w:val="true"/>
          <w:lang w:bidi="ar-SA"/>
        </w:rPr>
        <w:t xml:space="preserve">لا يجب إزالته،أمّا لو خرج مع هذه الأشياء شيء من أجزاء النّجاسة تعلّق به الحكم،و كذا لو احتقن بنجاسة ثمَّ خرجت،لأنّها بالملاقاة نجّست المحلّ،و هل يكون حكمها حكم الغائط في الاجتزاء </w:t>
      </w:r>
      <w:r>
        <w:rPr>
          <w:rStyle w:val="FootnoteAnchor"/>
          <w:rtl w:val="true"/>
        </w:rPr>
        <w:footnoteReference w:id="1849"/>
      </w:r>
      <w:r>
        <w:rPr>
          <w:rFonts w:ascii="IRNazanin" w:hAnsi="IRNazanin" w:eastAsia="IRNazanin"/>
          <w:color w:val="111111"/>
          <w:sz w:val="28"/>
          <w:sz w:val="28"/>
          <w:szCs w:val="28"/>
          <w:rtl w:val="true"/>
          <w:lang w:bidi="fa-IR"/>
        </w:rPr>
        <w:t>بالأحجار؟الأقرب المنع</w:t>
      </w:r>
      <w:r>
        <w:rPr>
          <w:rFonts w:eastAsia="IRNazanin" w:cs="IRNazanin"/>
          <w:color w:val="111111"/>
          <w:sz w:val="28"/>
          <w:szCs w:val="28"/>
          <w:rtl w:val="true"/>
          <w:lang w:bidi="fa-IR"/>
        </w:rPr>
        <w:t>.</w:t>
      </w:r>
    </w:p>
    <w:p>
      <w:pPr>
        <w:pStyle w:val="Heading6"/>
        <w:numPr>
          <w:ilvl w:val="5"/>
          <w:numId w:val="1"/>
        </w:numPr>
        <w:rPr/>
      </w:pPr>
      <w:bookmarkStart w:id="991" w:name="__RefHeading___Toc747411_222507752"/>
      <w:bookmarkStart w:id="992" w:name="_Toc396"/>
      <w:bookmarkEnd w:id="991"/>
      <w:r>
        <w:rPr>
          <w:rtl w:val="true"/>
        </w:rPr>
        <w:t>العاشر</w:t>
      </w:r>
      <w:r>
        <w:rPr>
          <w:rtl w:val="true"/>
        </w:rPr>
        <w:t>:</w:t>
      </w:r>
      <w:r>
        <w:rPr>
          <w:rtl w:val="true"/>
        </w:rPr>
        <w:t>ليس على النّائم و لا على من خرج منه ريح استنجاء</w:t>
      </w:r>
      <w:bookmarkEnd w:id="992"/>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مذهب علماء الإسلام</w:t>
      </w:r>
      <w:r>
        <w:rPr>
          <w:rFonts w:eastAsia="IRNazanin" w:cs="IRNazanin"/>
          <w:color w:val="111111"/>
          <w:sz w:val="28"/>
          <w:szCs w:val="28"/>
          <w:rtl w:val="true"/>
          <w:lang w:bidi="fa-IR"/>
        </w:rPr>
        <w:t xml:space="preserve">. </w:t>
      </w:r>
      <w:bookmarkStart w:id="993" w:name="pg12672_160033"/>
    </w:p>
    <w:p>
      <w:pPr>
        <w:pStyle w:val="BookText"/>
        <w:rPr/>
      </w:pPr>
      <w:bookmarkEnd w:id="993"/>
      <w:r>
        <w:rPr>
          <w:rFonts w:ascii="Amiri" w:hAnsi="Amiri" w:eastAsia="Amiri" w:cs="Amiri"/>
          <w:color w:val="111111"/>
          <w:sz w:val="28"/>
          <w:sz w:val="28"/>
          <w:szCs w:val="28"/>
          <w:rtl w:val="true"/>
          <w:lang w:bidi="ar-SA"/>
        </w:rPr>
        <w:t>و روى الجمهور،عن النّبيّ صلّى اللّه عليه و آله،انّه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استنجى من ريح فليس منّا</w:t>
      </w:r>
      <w:r>
        <w:rPr>
          <w:rFonts w:eastAsia="Amiri" w:cs="Amiri" w:ascii="Amiri" w:hAnsi="Amiri"/>
          <w:color w:val="111111"/>
          <w:sz w:val="28"/>
          <w:szCs w:val="28"/>
          <w:rtl w:val="true"/>
          <w:lang w:bidi="ar-SA"/>
        </w:rPr>
        <w:t xml:space="preserve">) </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سليمان بن جعفر الجعفريّ،قال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أبا الحسن عليه السّلام يستيقظ من نومه يتوضّأ و لا يستنجي،و قال كالمتعجّب من رجل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انّه إذا خرجت منه ريح استنجى</w:t>
      </w:r>
      <w:r>
        <w:rPr>
          <w:rFonts w:eastAsia="Amiri" w:cs="Amiri" w:ascii="Amiri" w:hAnsi="Amiri"/>
          <w:color w:val="111111"/>
          <w:sz w:val="28"/>
          <w:szCs w:val="28"/>
          <w:rtl w:val="true"/>
          <w:lang w:bidi="ar-SA"/>
        </w:rPr>
        <w:t xml:space="preserve">) </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يكون منه الرّيح أ عليه أن يستنجي؟قال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94" w:name="__RefHeading___Toc747413_222507752"/>
      <w:bookmarkStart w:id="995" w:name="_Toc397"/>
      <w:bookmarkEnd w:id="994"/>
      <w:r>
        <w:rPr>
          <w:rtl w:val="true"/>
        </w:rPr>
        <w:t>الحادي عشر</w:t>
      </w:r>
      <w:r>
        <w:rPr>
          <w:rtl w:val="true"/>
        </w:rPr>
        <w:t>:</w:t>
      </w:r>
      <w:r>
        <w:rPr>
          <w:rtl w:val="true"/>
        </w:rPr>
        <w:t>الواجب في الاستنجاء إزالة النّجاسة عن الظّاهر</w:t>
      </w:r>
      <w:bookmarkEnd w:id="9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مذهب أكثر أهل العلم </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محمّد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لم يدخل إصبعه لا يكون نظيفا </w:t>
      </w:r>
      <w:r>
        <w:rPr>
          <w:rStyle w:val="FootnoteAnchor"/>
          <w:rtl w:val="true"/>
        </w:rPr>
        <w:footnoteReference w:id="18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الاكتفاء من النّبيّ صلّى اللّه عليه و آله بالاستجمار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إبراهيم بن أبي محمود،عن الرّضا عليه السّلام،قال،سمعته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الاستنجاء،يغسل ما ظهر على الشّرج و لا يدخل فيه الأنملة</w:t>
      </w:r>
      <w:r>
        <w:rPr>
          <w:rFonts w:eastAsia="Amiri" w:cs="Amiri" w:ascii="Amiri" w:hAnsi="Amiri"/>
          <w:color w:val="111111"/>
          <w:sz w:val="28"/>
          <w:szCs w:val="28"/>
          <w:rtl w:val="true"/>
          <w:lang w:bidi="ar-SA"/>
        </w:rPr>
        <w:t xml:space="preserve">) </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بإدخال الإصبع لا يحصل النّقاء فيجب عليه تكرير الاستنجاء،لأنّ كلّ خارج عندهم موجب للاستنجاء و إن خلا من النّجاسة،و لأنّه ضرر،فيكون منفيّا</w:t>
      </w:r>
      <w:r>
        <w:rPr>
          <w:rFonts w:eastAsia="Amiri" w:cs="Amiri" w:ascii="Amiri" w:hAnsi="Amiri"/>
          <w:color w:val="111111"/>
          <w:sz w:val="28"/>
          <w:szCs w:val="28"/>
          <w:rtl w:val="true"/>
          <w:lang w:bidi="ar-SA"/>
        </w:rPr>
        <w:t>.</w:t>
      </w:r>
    </w:p>
    <w:p>
      <w:pPr>
        <w:pStyle w:val="Heading6"/>
        <w:numPr>
          <w:ilvl w:val="5"/>
          <w:numId w:val="1"/>
        </w:numPr>
        <w:rPr/>
      </w:pPr>
      <w:bookmarkStart w:id="996" w:name="__RefHeading___Toc747415_222507752"/>
      <w:bookmarkStart w:id="997" w:name="_Toc398"/>
      <w:bookmarkEnd w:id="996"/>
      <w:r>
        <w:rPr>
          <w:rtl w:val="true"/>
        </w:rPr>
        <w:t>الثّاني عشر</w:t>
      </w:r>
      <w:r>
        <w:rPr>
          <w:rtl w:val="true"/>
        </w:rPr>
        <w:t>:</w:t>
      </w:r>
      <w:r>
        <w:rPr>
          <w:rtl w:val="true"/>
        </w:rPr>
        <w:t>لو انسدّ المخرج المعتاد و انفتح آخر،هل يجزي فيه الاستجمار أم لا؟</w:t>
      </w:r>
      <w:bookmarkEnd w:id="997"/>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w:t>
      </w:r>
      <w:bookmarkStart w:id="998" w:name="pg12672_160034"/>
    </w:p>
    <w:p>
      <w:pPr>
        <w:pStyle w:val="BookText"/>
        <w:rPr/>
      </w:pPr>
      <w:bookmarkEnd w:id="998"/>
      <w:r>
        <w:rPr>
          <w:rFonts w:ascii="Amiri" w:hAnsi="Amiri" w:eastAsia="Amiri" w:cs="Amiri"/>
          <w:color w:val="111111"/>
          <w:sz w:val="28"/>
          <w:sz w:val="28"/>
          <w:szCs w:val="28"/>
          <w:rtl w:val="true"/>
          <w:lang w:bidi="ar-SA"/>
        </w:rPr>
        <w:t>تردّد ينشأ من صرف الاستنجاء في الغالب إلى المكان المخصوص،و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نادر بالنّسبة إلى سائر النّاس فلا تثبت فيه أحكام الفرج فإنّه لا ينقض الوضوء و لا يجب بالإيلاج فيه مهر و لا حدّ و لا غسل،فأشبه سائر البدن،و لأنّ المأخوذ في إزالة النّجاسة استعمال الماء، و جوّزنا الأحجار رخصة،فيقتصر على موضعه الّذي ثبت عمل الرّسول صلّى اللّه عليه و آله و الصّحابة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أحد وجهي الشّافعيّ </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الثّاني الجواز،لأنّ الخارج من جنس المعتاد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هذا،لو بال الخنثى المشكل من أحد الفرجين كان حكمه حكم الفرج</w:t>
      </w:r>
      <w:r>
        <w:rPr>
          <w:rFonts w:eastAsia="Amiri" w:cs="Amiri" w:ascii="Amiri" w:hAnsi="Amiri"/>
          <w:color w:val="111111"/>
          <w:sz w:val="28"/>
          <w:szCs w:val="28"/>
          <w:rtl w:val="true"/>
          <w:lang w:bidi="ar-SA"/>
        </w:rPr>
        <w:t>.</w:t>
      </w:r>
    </w:p>
    <w:p>
      <w:pPr>
        <w:pStyle w:val="Heading6"/>
        <w:numPr>
          <w:ilvl w:val="5"/>
          <w:numId w:val="1"/>
        </w:numPr>
        <w:rPr/>
      </w:pPr>
      <w:bookmarkStart w:id="999" w:name="__RefHeading___Toc747417_222507752"/>
      <w:bookmarkStart w:id="1000" w:name="_Toc399"/>
      <w:bookmarkEnd w:id="999"/>
      <w:r>
        <w:rPr>
          <w:rtl w:val="true"/>
        </w:rPr>
        <w:t>الثّالث عشر</w:t>
      </w:r>
      <w:r>
        <w:rPr>
          <w:rtl w:val="true"/>
        </w:rPr>
        <w:t>:</w:t>
      </w:r>
      <w:r>
        <w:rPr>
          <w:rtl w:val="true"/>
        </w:rPr>
        <w:t>لا يفتقر مع استعمال الماء إلى تراب</w:t>
      </w:r>
      <w:bookmarkEnd w:id="10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 أهل العلم لما ثبت من اجتزاء النّبيّ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1001" w:name="__RefHeading___Toc747419_222507752"/>
      <w:bookmarkStart w:id="1002" w:name="_Toc400"/>
      <w:bookmarkEnd w:id="1001"/>
      <w:r>
        <w:rPr>
          <w:rtl w:val="true"/>
        </w:rPr>
        <w:t>الرّابع عشر البدء بالمقعدة ثمَّ بالإحليل في الاستنجاء</w:t>
      </w:r>
      <w:bookmarkEnd w:id="1002"/>
    </w:p>
    <w:p>
      <w:pPr>
        <w:pStyle w:val="BookText"/>
        <w:rPr/>
      </w:pPr>
      <w:r>
        <w:rPr>
          <w:rFonts w:ascii="Amiri" w:hAnsi="Amiri" w:eastAsia="Amiri" w:cs="Amiri"/>
          <w:color w:val="111111"/>
          <w:sz w:val="28"/>
          <w:sz w:val="28"/>
          <w:szCs w:val="28"/>
          <w:rtl w:val="true"/>
          <w:lang w:bidi="ar-SA"/>
        </w:rPr>
        <w:t>روى عمّار السّاباطيّ،عن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أن يستنجي بدأ بالمقعدة ثمَّ بالإحليل</w:t>
      </w:r>
      <w:r>
        <w:rPr>
          <w:rFonts w:eastAsia="Amiri" w:cs="Amiri" w:ascii="Amiri" w:hAnsi="Amiri"/>
          <w:color w:val="111111"/>
          <w:sz w:val="28"/>
          <w:szCs w:val="28"/>
          <w:rtl w:val="true"/>
          <w:lang w:bidi="ar-SA"/>
        </w:rPr>
        <w:t xml:space="preserve">) </w:t>
      </w:r>
      <w:r>
        <w:rPr>
          <w:rStyle w:val="FootnoteAnchor"/>
          <w:rtl w:val="true"/>
        </w:rPr>
        <w:footnoteReference w:id="1857"/>
      </w:r>
      <w:r>
        <w:rPr>
          <w:rFonts w:ascii="Amiri" w:hAnsi="Amiri" w:eastAsia="Amiri" w:cs="Amiri"/>
          <w:color w:val="111111"/>
          <w:sz w:val="28"/>
          <w:sz w:val="28"/>
          <w:szCs w:val="28"/>
          <w:rtl w:val="true"/>
          <w:lang w:bidi="ar-SA"/>
        </w:rPr>
        <w:t xml:space="preserve">و يمكن أن يكون الوجه في ذلك افتقار البول إلى المسح من المقعدة و قبل غسلها لا تنفك اليد عن النجاسة،و بعض الجمهور عكس الحكم لئلاّ تتلوّث يده إذا شرع في الدّبر،لأنّ قبله بارز يصيبه إذا مدّها إلى الدّبر </w:t>
      </w:r>
      <w:r>
        <w:rPr>
          <w:rStyle w:val="FootnoteAnchor"/>
          <w:rtl w:val="true"/>
        </w:rPr>
        <w:footnoteReference w:id="1858"/>
      </w:r>
      <w:r>
        <w:rPr>
          <w:rFonts w:ascii="Amiri" w:hAnsi="Amiri" w:eastAsia="Amiri" w:cs="Amiri"/>
          <w:color w:val="111111"/>
          <w:sz w:val="28"/>
          <w:sz w:val="28"/>
          <w:szCs w:val="28"/>
          <w:rtl w:val="true"/>
          <w:lang w:bidi="ar-SA"/>
        </w:rPr>
        <w:t>،و الوجهان عندي سائغان،فإنّ عمّارا لا يوثق بما ينفرد به</w:t>
      </w:r>
      <w:r>
        <w:rPr>
          <w:rFonts w:eastAsia="Amiri" w:cs="Amiri" w:ascii="Amiri" w:hAnsi="Amiri"/>
          <w:color w:val="111111"/>
          <w:sz w:val="28"/>
          <w:szCs w:val="28"/>
          <w:rtl w:val="true"/>
          <w:lang w:bidi="ar-SA"/>
        </w:rPr>
        <w:t>.</w:t>
      </w:r>
    </w:p>
    <w:p>
      <w:pPr>
        <w:pStyle w:val="Heading6"/>
        <w:numPr>
          <w:ilvl w:val="5"/>
          <w:numId w:val="1"/>
        </w:numPr>
        <w:rPr/>
      </w:pPr>
      <w:bookmarkStart w:id="1003" w:name="__RefHeading___Toc747421_222507752"/>
      <w:bookmarkStart w:id="1004" w:name="_Toc401"/>
      <w:bookmarkEnd w:id="1003"/>
      <w:r>
        <w:rPr>
          <w:rtl w:val="true"/>
        </w:rPr>
        <w:t>الخامس عشر</w:t>
      </w:r>
      <w:r>
        <w:rPr>
          <w:rtl w:val="true"/>
        </w:rPr>
        <w:t>:</w:t>
      </w:r>
      <w:r>
        <w:rPr>
          <w:rtl w:val="true"/>
        </w:rPr>
        <w:t>الاستجمار إنّما يكون في المعتاد كالغائط</w:t>
      </w:r>
      <w:bookmarkEnd w:id="1004"/>
    </w:p>
    <w:p>
      <w:pPr>
        <w:pStyle w:val="BookText"/>
        <w:rPr/>
      </w:pPr>
      <w:r>
        <w:rPr>
          <w:rFonts w:ascii="Amiri" w:hAnsi="Amiri" w:eastAsia="Amiri" w:cs="Amiri"/>
          <w:color w:val="111111"/>
          <w:sz w:val="28"/>
          <w:sz w:val="28"/>
          <w:szCs w:val="28"/>
          <w:rtl w:val="true"/>
          <w:lang w:bidi="ar-SA"/>
        </w:rPr>
        <w:t xml:space="preserve">،أمّا النّادر كالدّم فلا بدّ فيه من الماء،و غيرهما عندنا طاهر لا يجب فيه استنجاء بحجر و لا ماء،و للشّافعيّ قول في النّادر انّه يجزي فيه الاستجمار </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الرّخصة إنّما شرعت مع الكثرة لحصول المشقّة بالاقتصار على الماء،و هذا المعنى منتف في النّادر</w:t>
      </w:r>
      <w:r>
        <w:rPr>
          <w:rFonts w:eastAsia="Amiri" w:cs="Amiri" w:ascii="Amiri" w:hAnsi="Amiri"/>
          <w:color w:val="111111"/>
          <w:sz w:val="28"/>
          <w:szCs w:val="28"/>
          <w:rtl w:val="true"/>
          <w:lang w:bidi="ar-SA"/>
        </w:rPr>
        <w:t xml:space="preserve">. </w:t>
      </w:r>
      <w:bookmarkStart w:id="1005" w:name="pg12672_160035"/>
    </w:p>
    <w:p>
      <w:pPr>
        <w:pStyle w:val="Heading6"/>
        <w:numPr>
          <w:ilvl w:val="5"/>
          <w:numId w:val="1"/>
        </w:numPr>
        <w:rPr/>
      </w:pPr>
      <w:bookmarkStart w:id="1006" w:name="__RefHeading___Toc747423_222507752"/>
      <w:bookmarkStart w:id="1007" w:name="_Toc402"/>
      <w:bookmarkEnd w:id="1005"/>
      <w:bookmarkEnd w:id="1006"/>
      <w:r>
        <w:rPr>
          <w:rtl w:val="true"/>
        </w:rPr>
        <w:t>السّادس عشر اشتراط عدم قيام المتغوط عن المحل في الاستجمار</w:t>
      </w:r>
      <w:bookmarkEnd w:id="1007"/>
    </w:p>
    <w:p>
      <w:pPr>
        <w:pStyle w:val="BookText"/>
        <w:rPr/>
      </w:pPr>
      <w:r>
        <w:rPr>
          <w:rFonts w:ascii="Amiri" w:hAnsi="Amiri" w:eastAsia="Amiri" w:cs="Amiri"/>
          <w:color w:val="111111"/>
          <w:sz w:val="28"/>
          <w:sz w:val="28"/>
          <w:szCs w:val="28"/>
          <w:rtl w:val="true"/>
          <w:lang w:bidi="ar-SA"/>
        </w:rPr>
        <w:t xml:space="preserve">شرط الشّافعيّة في الاستجمار أن لا يقوم المتغوّط عن المحلّ،لأنّه بقيامه تنتقل النّجاسة من مكان إلى آخر </w:t>
      </w:r>
      <w:r>
        <w:rPr>
          <w:rStyle w:val="FootnoteAnchor"/>
          <w:rtl w:val="true"/>
        </w:rPr>
        <w:footnoteReference w:id="18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جيّد على أصلنا،و شرطوا أيضا بقاء الرّطوبة في النّجاسة،لأنّ الحجر لا يزيل النّجاسة الجامدة</w:t>
      </w:r>
      <w:r>
        <w:rPr>
          <w:rFonts w:eastAsia="Amiri" w:cs="Amiri" w:ascii="Amiri" w:hAnsi="Amiri"/>
          <w:color w:val="111111"/>
          <w:sz w:val="28"/>
          <w:szCs w:val="28"/>
          <w:rtl w:val="true"/>
          <w:lang w:bidi="ar-SA"/>
        </w:rPr>
        <w:t>.</w:t>
      </w:r>
    </w:p>
    <w:p>
      <w:pPr>
        <w:pStyle w:val="Heading6"/>
        <w:numPr>
          <w:ilvl w:val="5"/>
          <w:numId w:val="1"/>
        </w:numPr>
        <w:rPr/>
      </w:pPr>
      <w:bookmarkStart w:id="1008" w:name="__RefHeading___Toc747425_222507752"/>
      <w:bookmarkStart w:id="1009" w:name="_Toc403"/>
      <w:bookmarkEnd w:id="1008"/>
      <w:r>
        <w:rPr>
          <w:rtl w:val="true"/>
        </w:rPr>
        <w:t>البحث الثّالث</w:t>
      </w:r>
      <w:r>
        <w:rPr>
          <w:rtl w:val="true"/>
        </w:rPr>
        <w:t>:</w:t>
      </w:r>
      <w:r>
        <w:rPr>
          <w:rtl w:val="true"/>
        </w:rPr>
        <w:t>في السّواك و آداب الوضوء و الحمّام و ما يتبع ذلك</w:t>
      </w:r>
      <w:bookmarkEnd w:id="1009"/>
    </w:p>
    <w:p>
      <w:pPr>
        <w:pStyle w:val="Heading6"/>
        <w:numPr>
          <w:ilvl w:val="5"/>
          <w:numId w:val="1"/>
        </w:numPr>
        <w:rPr/>
      </w:pPr>
      <w:bookmarkStart w:id="1010" w:name="__RefHeading___Toc747427_222507752"/>
      <w:bookmarkStart w:id="1011" w:name="_Toc404"/>
      <w:bookmarkEnd w:id="1010"/>
      <w:r>
        <w:rPr>
          <w:rtl w:val="true"/>
        </w:rPr>
        <w:t>مسألة</w:t>
      </w:r>
      <w:r>
        <w:rPr>
          <w:rtl w:val="true"/>
        </w:rPr>
        <w:t>:</w:t>
      </w:r>
      <w:r>
        <w:rPr>
          <w:rtl w:val="true"/>
        </w:rPr>
        <w:t>مذهب علمائنا انّ السّواك مندوب إليه غير واجب</w:t>
      </w:r>
      <w:bookmarkEnd w:id="10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مذهب أكثر الجمهور </w:t>
      </w:r>
      <w:r>
        <w:rPr>
          <w:rStyle w:val="FootnoteAnchor"/>
          <w:rtl w:val="true"/>
        </w:rPr>
        <w:footnoteReference w:id="1861"/>
      </w:r>
      <w:r>
        <w:rPr>
          <w:rFonts w:ascii="Amiri" w:hAnsi="Amiri" w:eastAsia="Amiri" w:cs="Amiri"/>
          <w:color w:val="111111"/>
          <w:sz w:val="28"/>
          <w:sz w:val="28"/>
          <w:szCs w:val="28"/>
          <w:rtl w:val="true"/>
          <w:lang w:bidi="ar-SA"/>
        </w:rPr>
        <w:t xml:space="preserve">،خلافا لإسحاق و داود حيث أوجباه </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النّبيّ صلّى اللّه عليه و آله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أشقّ على أمّتي، لأمرتهم بالسّواك عند كلّ صلاة</w:t>
      </w:r>
      <w:r>
        <w:rPr>
          <w:rFonts w:eastAsia="Amiri" w:cs="Amiri" w:ascii="Amiri" w:hAnsi="Amiri"/>
          <w:color w:val="111111"/>
          <w:sz w:val="28"/>
          <w:szCs w:val="28"/>
          <w:rtl w:val="true"/>
          <w:lang w:bidi="ar-SA"/>
        </w:rPr>
        <w:t xml:space="preserve">) </w:t>
      </w:r>
      <w:r>
        <w:rPr>
          <w:rStyle w:val="FootnoteAnchor"/>
          <w:rtl w:val="true"/>
        </w:rPr>
        <w:footnoteReference w:id="1863"/>
      </w:r>
      <w:r>
        <w:rPr>
          <w:rFonts w:ascii="Amiri" w:hAnsi="Amiri" w:eastAsia="Amiri" w:cs="Amiri"/>
          <w:color w:val="111111"/>
          <w:sz w:val="28"/>
          <w:sz w:val="28"/>
          <w:szCs w:val="28"/>
          <w:rtl w:val="true"/>
          <w:lang w:bidi="ar-SA"/>
        </w:rPr>
        <w:t>متّفق عليه،و ذلك يدلّ على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يدلّ على غير مطلوبكم،لأنّه يدلّ على انّه غير مأمور به و هو عندكم مندوب فحصلت المنافاة بين المطلوب و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منافاة بينهما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الأمر للوجوب،فلا يكون المندوب مأمورا به،و إنّما تحصل المنافاة،لو قلنا النّدب 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تخصيص هذا الحديث بأمر الإيجاب دون الاستحباب،لاتّفاق النّاس على نقله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هذا الحديث كما يدلّ على عدم الوجوب،ففيه دلالة من حيث المفهوم على </w:t>
      </w:r>
    </w:p>
    <w:p>
      <w:pPr>
        <w:pStyle w:val="BookText"/>
        <w:rPr/>
      </w:pPr>
      <w:r>
        <w:rPr>
          <w:rFonts w:ascii="Amiri" w:hAnsi="Amiri" w:eastAsia="Amiri" w:cs="Amiri"/>
          <w:color w:val="111111"/>
          <w:sz w:val="28"/>
          <w:sz w:val="28"/>
          <w:szCs w:val="28"/>
          <w:rtl w:val="true"/>
          <w:lang w:bidi="ar-SA"/>
        </w:rPr>
        <w:t>النّدبيّة،و يدلّ عليها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الجمهور،عنه عليه السّلام انّه،قال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السّواك مطهرة للفم،مرضاة للرّبّ</w:t>
      </w:r>
      <w:r>
        <w:rPr>
          <w:rFonts w:eastAsia="Amiri" w:cs="Amiri" w:ascii="Amiri" w:hAnsi="Amiri"/>
          <w:color w:val="111111"/>
          <w:sz w:val="28"/>
          <w:szCs w:val="28"/>
          <w:rtl w:val="true"/>
          <w:lang w:bidi="ar-SA"/>
        </w:rPr>
        <w:t xml:space="preserve">) </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ابن بابويه،عن رسول اللّه صلّى اللّه عليه و آله،قال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 جبرئيل عليه السّلام يوصيني بالسّواك حتّى خفت أن أحفي أو أدرد</w:t>
      </w:r>
      <w:r>
        <w:rPr>
          <w:rFonts w:eastAsia="Amiri" w:cs="Amiri" w:ascii="Amiri" w:hAnsi="Amiri"/>
          <w:color w:val="111111"/>
          <w:sz w:val="28"/>
          <w:szCs w:val="28"/>
          <w:rtl w:val="true"/>
          <w:lang w:bidi="ar-SA"/>
        </w:rPr>
        <w:t xml:space="preserve">) </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 الصّادق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جبرئيل بالسّواك و الحجامة و الخلال</w:t>
      </w:r>
      <w:r>
        <w:rPr>
          <w:rFonts w:eastAsia="Amiri" w:cs="Amiri" w:ascii="Amiri" w:hAnsi="Amiri"/>
          <w:color w:val="111111"/>
          <w:sz w:val="28"/>
          <w:szCs w:val="28"/>
          <w:rtl w:val="true"/>
          <w:lang w:bidi="ar-SA"/>
        </w:rPr>
        <w:t xml:space="preserve">) </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من سنن المرسلين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التّعطّر،و السّواك،و النّساء، و الحنّاء</w:t>
      </w:r>
      <w:r>
        <w:rPr>
          <w:rFonts w:eastAsia="Amiri" w:cs="Amiri" w:ascii="Amiri" w:hAnsi="Amiri"/>
          <w:color w:val="111111"/>
          <w:sz w:val="28"/>
          <w:szCs w:val="28"/>
          <w:rtl w:val="true"/>
          <w:lang w:bidi="ar-SA"/>
        </w:rPr>
        <w:t xml:space="preserve">) </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أفواهكم طرق القرآن،فطهّروها بالسّواك</w:t>
      </w:r>
      <w:r>
        <w:rPr>
          <w:rFonts w:eastAsia="Amiri" w:cs="Amiri" w:ascii="Amiri" w:hAnsi="Amiri"/>
          <w:color w:val="111111"/>
          <w:sz w:val="28"/>
          <w:szCs w:val="28"/>
          <w:rtl w:val="true"/>
          <w:lang w:bidi="ar-SA"/>
        </w:rPr>
        <w:t xml:space="preserve">) </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وصيّة النّبيّ صلّى اللّه عليه و آله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عليّ،عليك بالسّواك عند وضوء كلّ صلاة</w:t>
      </w:r>
      <w:r>
        <w:rPr>
          <w:rFonts w:eastAsia="Amiri" w:cs="Amiri" w:ascii="Amiri" w:hAnsi="Amiri"/>
          <w:color w:val="111111"/>
          <w:sz w:val="28"/>
          <w:szCs w:val="28"/>
          <w:rtl w:val="true"/>
          <w:lang w:bidi="ar-SA"/>
        </w:rPr>
        <w:t xml:space="preserve">) </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السّواك شطر الوضوء</w:t>
      </w:r>
      <w:r>
        <w:rPr>
          <w:rFonts w:eastAsia="Amiri" w:cs="Amiri" w:ascii="Amiri" w:hAnsi="Amiri"/>
          <w:color w:val="111111"/>
          <w:sz w:val="28"/>
          <w:szCs w:val="28"/>
          <w:rtl w:val="true"/>
          <w:lang w:bidi="ar-SA"/>
        </w:rPr>
        <w:t xml:space="preserve">) </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أشقّ على أمّتي لأمرتهم بالسّواك عند وضوء كلّ صلاة</w:t>
      </w:r>
      <w:r>
        <w:rPr>
          <w:rFonts w:eastAsia="Amiri" w:cs="Amiri" w:ascii="Amiri" w:hAnsi="Amiri"/>
          <w:color w:val="111111"/>
          <w:sz w:val="28"/>
          <w:szCs w:val="28"/>
          <w:rtl w:val="true"/>
          <w:lang w:bidi="ar-SA"/>
        </w:rPr>
        <w:t xml:space="preserve">) </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ابن يعقوب،عن عبد اللّه بن ميمون القدّاح،عن أبي عبد اللّه عليه السّلام، </w:t>
      </w:r>
      <w:bookmarkStart w:id="1012" w:name="pg12672_160037"/>
    </w:p>
    <w:p>
      <w:pPr>
        <w:pStyle w:val="BookText"/>
        <w:rPr/>
      </w:pPr>
      <w:bookmarkEnd w:id="101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ركعتان بالسّواك أفضل من سبعين ركعة بغير سواك</w:t>
      </w:r>
      <w:r>
        <w:rPr>
          <w:rFonts w:eastAsia="Amiri" w:cs="Amiri" w:ascii="Amiri" w:hAnsi="Amiri"/>
          <w:color w:val="111111"/>
          <w:sz w:val="28"/>
          <w:szCs w:val="28"/>
          <w:rtl w:val="true"/>
          <w:lang w:bidi="ar-SA"/>
        </w:rPr>
        <w:t xml:space="preserve">) </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 الصّحيح،عن أبي أسامة،عن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سنن المرسلين السّواك</w:t>
      </w:r>
      <w:r>
        <w:rPr>
          <w:rFonts w:eastAsia="Amiri" w:cs="Amiri" w:ascii="Amiri" w:hAnsi="Amiri"/>
          <w:color w:val="111111"/>
          <w:sz w:val="28"/>
          <w:szCs w:val="28"/>
          <w:rtl w:val="true"/>
          <w:lang w:bidi="ar-SA"/>
        </w:rPr>
        <w:t xml:space="preserve">) </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 الصّحيح،عن محمّد بن مسلم،عن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 جبرئيل عليه السّلام يوصيني بالسّواك حتّى خفت أن أحفي أو أدرد</w:t>
      </w:r>
      <w:r>
        <w:rPr>
          <w:rFonts w:eastAsia="Amiri" w:cs="Amiri" w:ascii="Amiri" w:hAnsi="Amiri"/>
          <w:color w:val="111111"/>
          <w:sz w:val="28"/>
          <w:szCs w:val="28"/>
          <w:rtl w:val="true"/>
          <w:lang w:bidi="ar-SA"/>
        </w:rPr>
        <w:t xml:space="preserve">) </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13" w:name="__RefHeading___Toc747429_222507752"/>
      <w:bookmarkStart w:id="1014" w:name="_Toc405"/>
      <w:bookmarkEnd w:id="1013"/>
      <w:r>
        <w:rPr>
          <w:rtl w:val="true"/>
        </w:rPr>
        <w:t>فروع</w:t>
      </w:r>
      <w:r>
        <w:rPr>
          <w:rtl w:val="true"/>
        </w:rPr>
        <w:t>:</w:t>
      </w:r>
      <w:bookmarkEnd w:id="1014"/>
    </w:p>
    <w:p>
      <w:pPr>
        <w:pStyle w:val="Heading6"/>
        <w:numPr>
          <w:ilvl w:val="5"/>
          <w:numId w:val="1"/>
        </w:numPr>
        <w:rPr/>
      </w:pPr>
      <w:bookmarkStart w:id="1015" w:name="__RefHeading___Toc747431_222507752"/>
      <w:bookmarkStart w:id="1016" w:name="_Toc406"/>
      <w:bookmarkEnd w:id="1015"/>
      <w:r>
        <w:rPr>
          <w:rtl w:val="true"/>
        </w:rPr>
        <w:t>الأوّل</w:t>
      </w:r>
      <w:r>
        <w:rPr>
          <w:rtl w:val="true"/>
        </w:rPr>
        <w:t>:</w:t>
      </w:r>
      <w:r>
        <w:rPr>
          <w:rtl w:val="true"/>
        </w:rPr>
        <w:t>أشدّ أوقات الاستحباب،في ثلاثة مواضع</w:t>
      </w:r>
      <w:r>
        <w:rPr>
          <w:rtl w:val="true"/>
        </w:rPr>
        <w:t>:</w:t>
      </w:r>
      <w:bookmarkEnd w:id="1016"/>
    </w:p>
    <w:p>
      <w:pPr>
        <w:pStyle w:val="BookText"/>
        <w:rPr/>
      </w:pPr>
      <w:r>
        <w:rPr>
          <w:rFonts w:ascii="Amiri" w:hAnsi="Amiri" w:eastAsia="Amiri" w:cs="Amiri"/>
          <w:color w:val="111111"/>
          <w:sz w:val="28"/>
          <w:sz w:val="28"/>
          <w:szCs w:val="28"/>
          <w:rtl w:val="true"/>
          <w:lang w:bidi="ar-SA"/>
        </w:rPr>
        <w:t>عند الصّلاة،لقوله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أشقّ على أمّتي لأمرتهم بالسّواك مع كلّ صلاة</w:t>
      </w:r>
      <w:r>
        <w:rPr>
          <w:rFonts w:eastAsia="Amiri" w:cs="Amiri" w:ascii="Amiri" w:hAnsi="Amiri"/>
          <w:color w:val="111111"/>
          <w:sz w:val="28"/>
          <w:szCs w:val="28"/>
          <w:rtl w:val="true"/>
          <w:lang w:bidi="ar-SA"/>
        </w:rPr>
        <w:t xml:space="preserve">) </w:t>
      </w:r>
      <w:r>
        <w:rPr>
          <w:rStyle w:val="FootnoteAnchor"/>
          <w:rtl w:val="true"/>
        </w:rPr>
        <w:footnoteReference w:id="1875"/>
      </w:r>
      <w:r>
        <w:rPr>
          <w:rFonts w:ascii="Amiri" w:hAnsi="Amiri" w:eastAsia="Amiri" w:cs="Amiri"/>
          <w:color w:val="111111"/>
          <w:sz w:val="28"/>
          <w:sz w:val="28"/>
          <w:szCs w:val="28"/>
          <w:rtl w:val="true"/>
          <w:lang w:bidi="ar-SA"/>
        </w:rPr>
        <w:t>رواه ابن يعقوب في كتابه،عن عبد اللّه بن ميمون القدّاح،عن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الوضوء،لما رواه ابن بابويه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لأمرتهم عند وضوء كلّ 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رواه ابن يعقوب،عن المعلّى بن خنيس </w:t>
      </w:r>
      <w:r>
        <w:rPr>
          <w:rStyle w:val="FootnoteAnchor"/>
          <w:rtl w:val="true"/>
        </w:rPr>
        <w:footnoteReference w:id="18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السّواك بعد الوضوء؟قال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الاستياك قبل أن يتوضّأ</w:t>
      </w:r>
      <w:r>
        <w:rPr>
          <w:rFonts w:eastAsia="Amiri" w:cs="Amiri" w:ascii="Amiri" w:hAnsi="Amiri"/>
          <w:color w:val="111111"/>
          <w:sz w:val="28"/>
          <w:szCs w:val="28"/>
          <w:rtl w:val="true"/>
          <w:lang w:bidi="ar-SA"/>
        </w:rPr>
        <w:t xml:space="preserve">) </w:t>
      </w:r>
      <w:r>
        <w:rPr>
          <w:rStyle w:val="FootnoteAnchor"/>
          <w:rtl w:val="true"/>
        </w:rPr>
        <w:footnoteReference w:id="1877"/>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 السّحر،لما رواه ابن يعقوب،عن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قمت باللّيل فاستك،فإنّ الملك يأتيك فيضع فاه على فيك و ليس من حرف تتلوه و تنطق به إلاّ صعد </w:t>
      </w:r>
      <w:bookmarkStart w:id="1017" w:name="pg12672_160038"/>
    </w:p>
    <w:p>
      <w:pPr>
        <w:pStyle w:val="BookText"/>
        <w:rPr/>
      </w:pPr>
      <w:bookmarkEnd w:id="10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1878"/>
      </w:r>
      <w:r>
        <w:rPr>
          <w:rFonts w:ascii="Amiri" w:hAnsi="Amiri" w:eastAsia="Amiri" w:cs="Amiri"/>
          <w:color w:val="111111"/>
          <w:sz w:val="28"/>
          <w:sz w:val="28"/>
          <w:szCs w:val="28"/>
          <w:rtl w:val="true"/>
          <w:lang w:bidi="ar-SA"/>
        </w:rPr>
        <w:t>إلى السّماء،فليكن فوك طيّب الرّيح</w:t>
      </w:r>
      <w:r>
        <w:rPr>
          <w:rFonts w:eastAsia="Amiri" w:cs="Amiri" w:ascii="Amiri" w:hAnsi="Amiri"/>
          <w:color w:val="111111"/>
          <w:sz w:val="28"/>
          <w:szCs w:val="28"/>
          <w:rtl w:val="true"/>
          <w:lang w:bidi="ar-SA"/>
        </w:rPr>
        <w:t xml:space="preserve">) </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18" w:name="__RefHeading___Toc747433_222507752"/>
      <w:bookmarkStart w:id="1019" w:name="_Toc407"/>
      <w:bookmarkEnd w:id="1018"/>
      <w:r>
        <w:rPr>
          <w:rtl w:val="true"/>
        </w:rPr>
        <w:t>الثّاني</w:t>
      </w:r>
      <w:r>
        <w:rPr>
          <w:rtl w:val="true"/>
        </w:rPr>
        <w:t>:</w:t>
      </w:r>
      <w:r>
        <w:rPr>
          <w:rtl w:val="true"/>
        </w:rPr>
        <w:t>يكره السّواك في الخلاء</w:t>
      </w:r>
      <w:bookmarkEnd w:id="1019"/>
    </w:p>
    <w:p>
      <w:pPr>
        <w:pStyle w:val="BookText"/>
        <w:rPr/>
      </w:pPr>
      <w:r>
        <w:rPr>
          <w:rFonts w:ascii="Amiri" w:hAnsi="Amiri" w:eastAsia="Amiri" w:cs="Amiri"/>
          <w:color w:val="111111"/>
          <w:sz w:val="28"/>
          <w:sz w:val="28"/>
          <w:szCs w:val="28"/>
          <w:rtl w:val="true"/>
          <w:lang w:bidi="ar-SA"/>
        </w:rPr>
        <w:t>،لما رواه ابن بابويه في كتابه،عن موسى بن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السّواك في الخلاء يورث البخر </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يكره أيضا في الحمّام،قال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يورث و باء الأسنان</w:t>
      </w:r>
      <w:r>
        <w:rPr>
          <w:rFonts w:eastAsia="Amiri" w:cs="Amiri" w:ascii="Amiri" w:hAnsi="Amiri"/>
          <w:color w:val="111111"/>
          <w:sz w:val="28"/>
          <w:szCs w:val="28"/>
          <w:rtl w:val="true"/>
          <w:lang w:bidi="ar-SA"/>
        </w:rPr>
        <w:t xml:space="preserve">) </w:t>
      </w:r>
      <w:r>
        <w:rPr>
          <w:rStyle w:val="FootnoteAnchor"/>
          <w:rtl w:val="true"/>
        </w:rPr>
        <w:footnoteReference w:id="188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20" w:name="__RefHeading___Toc747435_222507752"/>
      <w:bookmarkStart w:id="1021" w:name="_Toc408"/>
      <w:bookmarkEnd w:id="1020"/>
      <w:r>
        <w:rPr>
          <w:rtl w:val="true"/>
        </w:rPr>
        <w:t>الثّالث</w:t>
      </w:r>
      <w:r>
        <w:rPr>
          <w:rtl w:val="true"/>
        </w:rPr>
        <w:t>:</w:t>
      </w:r>
      <w:r>
        <w:rPr>
          <w:rtl w:val="true"/>
        </w:rPr>
        <w:t>يجوز السّواك للصّائم نهارا بالرّطب و اليابس</w:t>
      </w:r>
      <w:bookmarkEnd w:id="1021"/>
    </w:p>
    <w:p>
      <w:pPr>
        <w:pStyle w:val="BookText"/>
        <w:rPr/>
      </w:pPr>
      <w:r>
        <w:rPr>
          <w:rFonts w:ascii="Amiri" w:hAnsi="Amiri" w:eastAsia="Amiri" w:cs="Amiri"/>
          <w:color w:val="111111"/>
          <w:sz w:val="28"/>
          <w:sz w:val="28"/>
          <w:szCs w:val="28"/>
          <w:rtl w:val="true"/>
          <w:lang w:bidi="ar-SA"/>
        </w:rPr>
        <w:t>سواء كان أوّل النّهار أو آخره لعموم الأمر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يكره للصّائم بعد الزّوال </w:t>
      </w:r>
      <w:r>
        <w:rPr>
          <w:rStyle w:val="FootnoteAnchor"/>
          <w:rtl w:val="true"/>
        </w:rPr>
        <w:footnoteReference w:id="18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ضعيف للعموم،و لما رواه الجمهور عنه عليه السّلام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خلال الصّائم السّواك</w:t>
      </w:r>
      <w:r>
        <w:rPr>
          <w:rFonts w:eastAsia="Amiri" w:cs="Amiri" w:ascii="Amiri" w:hAnsi="Amiri"/>
          <w:color w:val="111111"/>
          <w:sz w:val="28"/>
          <w:szCs w:val="28"/>
          <w:rtl w:val="true"/>
          <w:lang w:bidi="ar-SA"/>
        </w:rPr>
        <w:t xml:space="preserve">) </w:t>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الّذي اخترناه قول عليّ عليه السّلام،و به قال ابن عبّاس،و عائشة،و النّخعيّ، و ابن سيرين،و عروة،و أصحاب الرّأي </w:t>
      </w:r>
      <w:r>
        <w:rPr>
          <w:rStyle w:val="FootnoteAnchor"/>
          <w:rtl w:val="true"/>
        </w:rPr>
        <w:footnoteReference w:id="1885"/>
      </w:r>
      <w:r>
        <w:rPr>
          <w:rFonts w:ascii="Amiri" w:hAnsi="Amiri" w:eastAsia="Amiri" w:cs="Amiri"/>
          <w:color w:val="111111"/>
          <w:sz w:val="28"/>
          <w:sz w:val="28"/>
          <w:szCs w:val="28"/>
          <w:rtl w:val="true"/>
          <w:lang w:bidi="ar-SA"/>
        </w:rPr>
        <w:t xml:space="preserve">،و قال عطاء و أبو ثور و مجاهد و إسحاق بقول الشّافعيّ،و هو قول عمر </w:t>
      </w:r>
      <w:r>
        <w:rPr>
          <w:rStyle w:val="FootnoteAnchor"/>
          <w:rtl w:val="true"/>
        </w:rPr>
        <w:footnoteReference w:id="1886"/>
      </w:r>
      <w:r>
        <w:rPr>
          <w:rStyle w:val="FootnoteAnchor"/>
          <w:rtl w:val="true"/>
        </w:rPr>
        <w:footnoteReference w:id="1887"/>
      </w:r>
      <w:r>
        <w:rPr>
          <w:rFonts w:ascii="Amiri" w:hAnsi="Amiri" w:eastAsia="Amiri" w:cs="Amiri"/>
          <w:color w:val="111111"/>
          <w:sz w:val="28"/>
          <w:sz w:val="28"/>
          <w:szCs w:val="28"/>
          <w:rtl w:val="true"/>
          <w:lang w:bidi="ar-SA"/>
        </w:rPr>
        <w:t xml:space="preserve">،و عن أحمد روايتان </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الصّوم فرضا كره السّواك،و إن كان نفلا استحبّ لاستحباب إخفاء النّوافل،و بترك السّواك يظهر صومه،و لا بأس بالسّواك للمحرم،للعموم</w:t>
      </w:r>
      <w:r>
        <w:rPr>
          <w:rFonts w:eastAsia="Amiri" w:cs="Amiri" w:ascii="Amiri" w:hAnsi="Amiri"/>
          <w:color w:val="111111"/>
          <w:sz w:val="28"/>
          <w:szCs w:val="28"/>
          <w:rtl w:val="true"/>
          <w:lang w:bidi="ar-SA"/>
        </w:rPr>
        <w:t xml:space="preserve">. </w:t>
      </w:r>
      <w:bookmarkStart w:id="1022" w:name="pg12672_160039"/>
    </w:p>
    <w:p>
      <w:pPr>
        <w:pStyle w:val="Heading6"/>
        <w:numPr>
          <w:ilvl w:val="5"/>
          <w:numId w:val="1"/>
        </w:numPr>
        <w:rPr/>
      </w:pPr>
      <w:bookmarkStart w:id="1023" w:name="__RefHeading___Toc747437_222507752"/>
      <w:bookmarkStart w:id="1024" w:name="_Toc409"/>
      <w:bookmarkEnd w:id="1022"/>
      <w:bookmarkEnd w:id="1023"/>
      <w:r>
        <w:rPr>
          <w:rtl w:val="true"/>
        </w:rPr>
        <w:t>الرّابع</w:t>
      </w:r>
      <w:r>
        <w:rPr>
          <w:rtl w:val="true"/>
        </w:rPr>
        <w:t>:</w:t>
      </w:r>
      <w:r>
        <w:rPr>
          <w:rtl w:val="true"/>
        </w:rPr>
        <w:t>يستحبّ أن يكون آلة السّواك عودا ليّنا ينقي الفم و لا يجرحه</w:t>
      </w:r>
      <w:bookmarkEnd w:id="1024"/>
    </w:p>
    <w:p>
      <w:pPr>
        <w:pStyle w:val="BookText"/>
        <w:rPr/>
      </w:pPr>
      <w:r>
        <w:rPr>
          <w:rFonts w:ascii="Amiri" w:hAnsi="Amiri" w:eastAsia="Amiri" w:cs="Amiri"/>
          <w:color w:val="111111"/>
          <w:sz w:val="28"/>
          <w:sz w:val="28"/>
          <w:szCs w:val="28"/>
          <w:rtl w:val="true"/>
          <w:lang w:bidi="ar-SA"/>
        </w:rPr>
        <w:t>و لا يضرّه و لا يتفتّت فيه كالأراك،لما روى ابن بابويه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الكعبة شكت إلى اللّه تعالى ما تلقى من أنفاس المشركين فأوحى اللّه تبارك و تعالى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 كعبة فإنّي مبدّل لك بهم قوما يتنظّفون بقضبان الشّجر،فلمّا بعث اللّه عزّ و جلّ نبيّه محمّدا صلّى اللّه عليه و آله،نزل جبرئيل بالسّواك</w:t>
      </w:r>
      <w:r>
        <w:rPr>
          <w:rFonts w:eastAsia="Amiri" w:cs="Amiri" w:ascii="Amiri" w:hAnsi="Amiri"/>
          <w:color w:val="111111"/>
          <w:sz w:val="28"/>
          <w:szCs w:val="28"/>
          <w:rtl w:val="true"/>
          <w:lang w:bidi="ar-SA"/>
        </w:rPr>
        <w:t xml:space="preserve">) </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لم يوجد استاك بيده،قاله علماؤنا و أحمد </w:t>
      </w:r>
      <w:r>
        <w:rPr>
          <w:rStyle w:val="FootnoteAnchor"/>
          <w:rtl w:val="true"/>
        </w:rPr>
        <w:footnoteReference w:id="1890"/>
      </w:r>
      <w:r>
        <w:rPr>
          <w:rFonts w:ascii="Amiri" w:hAnsi="Amiri" w:eastAsia="Amiri" w:cs="Amiri"/>
          <w:color w:val="111111"/>
          <w:sz w:val="28"/>
          <w:sz w:val="28"/>
          <w:szCs w:val="28"/>
          <w:rtl w:val="true"/>
          <w:lang w:bidi="ar-SA"/>
        </w:rPr>
        <w:t xml:space="preserve">،خلافا للشّافعيّ </w:t>
      </w:r>
      <w:r>
        <w:rPr>
          <w:rStyle w:val="FootnoteAnchor"/>
          <w:rtl w:val="true"/>
        </w:rPr>
        <w:footnoteReference w:id="1891"/>
      </w:r>
      <w:r>
        <w:rPr>
          <w:rFonts w:ascii="Amiri" w:hAnsi="Amiri" w:eastAsia="Amiri" w:cs="Amiri"/>
          <w:color w:val="111111"/>
          <w:sz w:val="28"/>
          <w:sz w:val="28"/>
          <w:szCs w:val="28"/>
          <w:rtl w:val="true"/>
          <w:lang w:bidi="ar-SA"/>
        </w:rPr>
        <w:t>،لما رواه الشّيخ،عن السّكونيّ،عن جعفر،عن أبيه،عن آبائه عليهم السّلام،انّ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التّسويك بالإبهام و المسبّحة عند الوضوء سواك</w:t>
      </w:r>
      <w:r>
        <w:rPr>
          <w:rFonts w:eastAsia="Amiri" w:cs="Amiri" w:ascii="Amiri" w:hAnsi="Amiri"/>
          <w:color w:val="111111"/>
          <w:sz w:val="28"/>
          <w:szCs w:val="28"/>
          <w:rtl w:val="true"/>
          <w:lang w:bidi="ar-SA"/>
        </w:rPr>
        <w:t xml:space="preserve">) </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يعقوب،عن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 السّواك أن تدلكها بإصبعك</w:t>
      </w:r>
      <w:r>
        <w:rPr>
          <w:rFonts w:eastAsia="Amiri" w:cs="Amiri" w:ascii="Amiri" w:hAnsi="Amiri"/>
          <w:color w:val="111111"/>
          <w:sz w:val="28"/>
          <w:szCs w:val="28"/>
          <w:rtl w:val="true"/>
          <w:lang w:bidi="ar-SA"/>
        </w:rPr>
        <w:t xml:space="preserve">) </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25" w:name="__RefHeading___Toc747439_222507752"/>
      <w:bookmarkStart w:id="1026" w:name="_Toc410"/>
      <w:bookmarkEnd w:id="1025"/>
      <w:r>
        <w:rPr>
          <w:rtl w:val="true"/>
        </w:rPr>
        <w:t>الخامس</w:t>
      </w:r>
      <w:r>
        <w:rPr>
          <w:rtl w:val="true"/>
        </w:rPr>
        <w:t>:</w:t>
      </w:r>
      <w:r>
        <w:rPr>
          <w:rtl w:val="true"/>
        </w:rPr>
        <w:t>يستحب أن لا يترك السّواك أكثر من ثلاثة أيّام</w:t>
      </w:r>
      <w:bookmarkEnd w:id="1026"/>
    </w:p>
    <w:p>
      <w:pPr>
        <w:pStyle w:val="BookText"/>
        <w:rPr/>
      </w:pPr>
      <w:r>
        <w:rPr>
          <w:rFonts w:ascii="Amiri" w:hAnsi="Amiri" w:eastAsia="Amiri" w:cs="Amiri"/>
          <w:color w:val="111111"/>
          <w:sz w:val="28"/>
          <w:sz w:val="28"/>
          <w:szCs w:val="28"/>
          <w:rtl w:val="true"/>
          <w:lang w:bidi="ar-SA"/>
        </w:rPr>
        <w:t>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عليّ،عليك بالسّواك عند وضوء كلّ صلاة</w:t>
      </w:r>
      <w:r>
        <w:rPr>
          <w:rFonts w:eastAsia="Amiri" w:cs="Amiri" w:ascii="Amiri" w:hAnsi="Amiri"/>
          <w:color w:val="111111"/>
          <w:sz w:val="28"/>
          <w:szCs w:val="28"/>
          <w:rtl w:val="true"/>
          <w:lang w:bidi="ar-SA"/>
        </w:rPr>
        <w:t xml:space="preserve">) </w:t>
      </w:r>
      <w:r>
        <w:rPr>
          <w:rStyle w:val="FootnoteAnchor"/>
          <w:rtl w:val="true"/>
        </w:rPr>
        <w:footnoteReference w:id="1894"/>
      </w:r>
      <w:r>
        <w:rPr>
          <w:rFonts w:ascii="Amiri" w:hAnsi="Amiri" w:eastAsia="Amiri" w:cs="Amiri"/>
          <w:color w:val="111111"/>
          <w:sz w:val="28"/>
          <w:sz w:val="28"/>
          <w:szCs w:val="28"/>
          <w:rtl w:val="true"/>
          <w:lang w:bidi="ar-SA"/>
        </w:rPr>
        <w:t>و التّقدير مستفاد من رواية ابن بابويه و ابن يعقوب في كتابيهما،عن أبي جعفر عليه السّلام،قال في السّواك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تدعه في كلّ ثلاثة أيّام و لو أن تمرّه مرّة واحدة</w:t>
      </w:r>
      <w:r>
        <w:rPr>
          <w:rFonts w:eastAsia="Amiri" w:cs="Amiri" w:ascii="Amiri" w:hAnsi="Amiri"/>
          <w:color w:val="111111"/>
          <w:sz w:val="28"/>
          <w:szCs w:val="28"/>
          <w:rtl w:val="true"/>
          <w:lang w:bidi="ar-SA"/>
        </w:rPr>
        <w:t xml:space="preserve">) </w:t>
      </w:r>
      <w:r>
        <w:rPr>
          <w:rStyle w:val="FootnoteAnchor"/>
          <w:rtl w:val="true"/>
        </w:rPr>
        <w:footnoteReference w:id="189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27" w:name="__RefHeading___Toc747441_222507752"/>
      <w:bookmarkStart w:id="1028" w:name="_Toc411"/>
      <w:bookmarkEnd w:id="1027"/>
      <w:r>
        <w:rPr>
          <w:rtl w:val="true"/>
        </w:rPr>
        <w:t>السّادس</w:t>
      </w:r>
      <w:r>
        <w:rPr>
          <w:rtl w:val="true"/>
        </w:rPr>
        <w:t>:</w:t>
      </w:r>
      <w:r>
        <w:rPr>
          <w:rtl w:val="true"/>
        </w:rPr>
        <w:t>في السّواك اثنتا عشرة فائدة</w:t>
      </w:r>
      <w:bookmarkEnd w:id="1028"/>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رواها ابن بابويه،عن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من السّنّة،و مطهرة للفم،و مجلاة للبصر،و يرضي الرّحمن،و يبيّض الأسنان، </w:t>
      </w:r>
      <w:bookmarkStart w:id="1029" w:name="pg12672_160040"/>
    </w:p>
    <w:p>
      <w:pPr>
        <w:pStyle w:val="BookText"/>
        <w:rPr/>
      </w:pPr>
      <w:bookmarkEnd w:id="1029"/>
      <w:r>
        <w:rPr>
          <w:rFonts w:ascii="Amiri" w:hAnsi="Amiri" w:eastAsia="Amiri" w:cs="Amiri"/>
          <w:color w:val="111111"/>
          <w:sz w:val="28"/>
          <w:sz w:val="28"/>
          <w:szCs w:val="28"/>
          <w:rtl w:val="true"/>
          <w:lang w:bidi="ar-SA"/>
        </w:rPr>
        <w:t>و يذهب بالحفر،و يشدّ اللّثّة،و يشهّي الطّعام،و يذهب بالبلغم،و يزيد في الحفظ، و يضاعف الحسنات،و تفرح به الملائكة</w:t>
      </w:r>
      <w:r>
        <w:rPr>
          <w:rFonts w:eastAsia="Amiri" w:cs="Amiri" w:ascii="Amiri" w:hAnsi="Amiri"/>
          <w:color w:val="111111"/>
          <w:sz w:val="28"/>
          <w:szCs w:val="28"/>
          <w:rtl w:val="true"/>
          <w:lang w:bidi="ar-SA"/>
        </w:rPr>
        <w:t xml:space="preserve">) </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أيضا انّه أحد الحنيفيّة العشرة،و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في الرأس،هي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المضمضة، و الاستنشاق،و السّواك،و قصّ الشّارب،و الفرق لمن طوّل شعر رأسه،و من لم يفرق شعره فرقه اللّه يوم القيامة بمنشار من نار،و خمس في البدن،و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الاستنجاء،و الختان،و حلق العانة،و قصّ الأظافير،و نتف الإبطين</w:t>
      </w:r>
      <w:r>
        <w:rPr>
          <w:rFonts w:eastAsia="Amiri" w:cs="Amiri" w:ascii="Amiri" w:hAnsi="Amiri"/>
          <w:color w:val="111111"/>
          <w:sz w:val="28"/>
          <w:szCs w:val="28"/>
          <w:rtl w:val="true"/>
          <w:lang w:bidi="ar-SA"/>
        </w:rPr>
        <w:t xml:space="preserve">) </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30" w:name="__RefHeading___Toc747443_222507752"/>
      <w:bookmarkStart w:id="1031" w:name="_Toc412"/>
      <w:bookmarkEnd w:id="1030"/>
      <w:r>
        <w:rPr>
          <w:rtl w:val="true"/>
        </w:rPr>
        <w:t>السّابع</w:t>
      </w:r>
      <w:r>
        <w:rPr>
          <w:rtl w:val="true"/>
        </w:rPr>
        <w:t>:</w:t>
      </w:r>
      <w:r>
        <w:rPr>
          <w:rtl w:val="true"/>
        </w:rPr>
        <w:t>يستحبّ أن يستاك عرضا</w:t>
      </w:r>
      <w:bookmarkEnd w:id="1031"/>
    </w:p>
    <w:p>
      <w:pPr>
        <w:pStyle w:val="BookText"/>
        <w:rPr/>
      </w:pPr>
      <w:r>
        <w:rPr>
          <w:rFonts w:ascii="Amiri" w:hAnsi="Amiri" w:eastAsia="Amiri" w:cs="Amiri"/>
          <w:color w:val="111111"/>
          <w:sz w:val="28"/>
          <w:sz w:val="28"/>
          <w:szCs w:val="28"/>
          <w:rtl w:val="true"/>
          <w:lang w:bidi="ar-SA"/>
        </w:rPr>
        <w:t xml:space="preserve">،و أن يبدأ بجانبه الأيمن،لأنّ النّبيّ صلّى اللّه عليه و آله،كان يحبّ التّيامن في كلّ شيء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p>
    <w:p>
      <w:pPr>
        <w:pStyle w:val="Heading6"/>
        <w:numPr>
          <w:ilvl w:val="5"/>
          <w:numId w:val="1"/>
        </w:numPr>
        <w:rPr/>
      </w:pPr>
      <w:bookmarkStart w:id="1032" w:name="__RefHeading___Toc747445_222507752"/>
      <w:bookmarkStart w:id="1033" w:name="_Toc413"/>
      <w:bookmarkEnd w:id="1032"/>
      <w:r>
        <w:rPr>
          <w:rtl w:val="true"/>
        </w:rPr>
        <w:t>الثّامن</w:t>
      </w:r>
      <w:r>
        <w:rPr>
          <w:rtl w:val="true"/>
        </w:rPr>
        <w:t>:</w:t>
      </w:r>
      <w:r>
        <w:rPr>
          <w:rtl w:val="true"/>
        </w:rPr>
        <w:t>اختلف في السّواك هل هو من سنن الوضوء أم لا؟</w:t>
      </w:r>
      <w:bookmarkEnd w:id="1033"/>
    </w:p>
    <w:p>
      <w:pPr>
        <w:pStyle w:val="BookText"/>
        <w:rPr/>
      </w:pPr>
      <w:r>
        <w:rPr>
          <w:rStyle w:val="FootnoteAnchor"/>
          <w:rtl w:val="true"/>
        </w:rPr>
        <w:footnoteReference w:id="18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من سننه، لأنّه نوع من النّظافة يؤمر به المتوضّئ </w:t>
      </w:r>
      <w:r>
        <w:rPr>
          <w:rStyle w:val="FootnoteAnchor"/>
          <w:rtl w:val="true"/>
        </w:rPr>
        <w:footnoteReference w:id="1899"/>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سنّة مقصودة في نفسه </w:t>
      </w:r>
      <w:r>
        <w:rPr>
          <w:rStyle w:val="FootnoteAnchor"/>
          <w:rtl w:val="true"/>
        </w:rPr>
        <w:footnoteReference w:id="1900"/>
      </w:r>
      <w:r>
        <w:rPr>
          <w:rFonts w:ascii="Amiri" w:hAnsi="Amiri" w:eastAsia="Amiri" w:cs="Amiri"/>
          <w:color w:val="111111"/>
          <w:sz w:val="28"/>
          <w:sz w:val="28"/>
          <w:szCs w:val="28"/>
          <w:rtl w:val="true"/>
          <w:lang w:bidi="ar-SA"/>
        </w:rPr>
        <w:t>،لأنّه يؤمر به غير المتطهّر كالحائض و النّفساء كما يؤمر به المتطهّر،و تظهر الفائدة فيما لو نذر الإتيان بسنن الوضوء</w:t>
      </w:r>
      <w:r>
        <w:rPr>
          <w:rFonts w:eastAsia="Amiri" w:cs="Amiri" w:ascii="Amiri" w:hAnsi="Amiri"/>
          <w:color w:val="111111"/>
          <w:sz w:val="28"/>
          <w:szCs w:val="28"/>
          <w:rtl w:val="true"/>
          <w:lang w:bidi="ar-SA"/>
        </w:rPr>
        <w:t>.</w:t>
      </w:r>
    </w:p>
    <w:p>
      <w:pPr>
        <w:pStyle w:val="Heading6"/>
        <w:numPr>
          <w:ilvl w:val="5"/>
          <w:numId w:val="1"/>
        </w:numPr>
        <w:rPr/>
      </w:pPr>
      <w:bookmarkStart w:id="1034" w:name="__RefHeading___Toc747447_222507752"/>
      <w:bookmarkStart w:id="1035" w:name="_Toc414"/>
      <w:bookmarkEnd w:id="1034"/>
      <w:r>
        <w:rPr>
          <w:rtl w:val="true"/>
        </w:rPr>
        <w:t xml:space="preserve">مسألة </w:t>
      </w:r>
      <w:r>
        <w:rPr>
          <w:rtl w:val="true"/>
        </w:rPr>
        <w:t>:</w:t>
      </w:r>
      <w:r>
        <w:rPr>
          <w:rtl w:val="true"/>
        </w:rPr>
        <w:t>يستحبّ وضع الإناء على اليمين</w:t>
      </w:r>
      <w:bookmarkEnd w:id="1035"/>
    </w:p>
    <w:p>
      <w:pPr>
        <w:pStyle w:val="BookText"/>
        <w:rPr/>
      </w:pPr>
      <w:r>
        <w:rPr>
          <w:rStyle w:val="FootnoteAnchor"/>
          <w:rtl w:val="true"/>
        </w:rPr>
        <w:footnoteReference w:id="19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الاغتراف بها إن كانت الآنية الّتي يغترف منها باليد،لما رواه الجمهور،عن عائشة انّ النّبيّ صلّى اللّه عليه و آله كان يحبّ التّيمّن في تنعّله و ترجّله و طهوره و في شأنه كلّه </w:t>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 في الصّحيح،عن زرارة بن أعين،عن أبي جعفر عليه السّلام انّه حكى لنا وضوء رسول اللّه صلّى اللّه عليه و آله فدعا بقدح من ماء فأدخل </w:t>
      </w:r>
      <w:bookmarkStart w:id="1036" w:name="pg12672_160041"/>
    </w:p>
    <w:p>
      <w:pPr>
        <w:pStyle w:val="BookText"/>
        <w:rPr/>
      </w:pPr>
      <w:bookmarkEnd w:id="1036"/>
      <w:r>
        <w:rPr>
          <w:rFonts w:ascii="Amiri" w:hAnsi="Amiri" w:eastAsia="Amiri" w:cs="Amiri"/>
          <w:color w:val="111111"/>
          <w:sz w:val="28"/>
          <w:sz w:val="28"/>
          <w:szCs w:val="28"/>
          <w:rtl w:val="true"/>
          <w:lang w:bidi="ar-SA"/>
        </w:rPr>
        <w:t xml:space="preserve">يده اليمنى فأخذ كفّا من ماء فأسدلها على وجهه </w:t>
      </w:r>
      <w:r>
        <w:rPr>
          <w:rStyle w:val="FootnoteAnchor"/>
          <w:rtl w:val="true"/>
        </w:rPr>
        <w:footnoteReference w:id="19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 أمكن في الاستعمال </w:t>
      </w:r>
      <w:r>
        <w:rPr>
          <w:rFonts w:eastAsia="Amiri" w:cs="Amiri" w:ascii="Amiri" w:hAnsi="Amiri"/>
          <w:color w:val="111111"/>
          <w:sz w:val="28"/>
          <w:szCs w:val="28"/>
          <w:rtl w:val="true"/>
          <w:lang w:bidi="ar-SA"/>
        </w:rPr>
        <w:t>.</w:t>
      </w:r>
    </w:p>
    <w:p>
      <w:pPr>
        <w:pStyle w:val="Heading6"/>
        <w:numPr>
          <w:ilvl w:val="5"/>
          <w:numId w:val="1"/>
        </w:numPr>
        <w:rPr/>
      </w:pPr>
      <w:bookmarkStart w:id="1037" w:name="__RefHeading___Toc747449_222507752"/>
      <w:bookmarkStart w:id="1038" w:name="_Toc415"/>
      <w:bookmarkEnd w:id="1037"/>
      <w:r>
        <w:rPr>
          <w:rtl w:val="true"/>
        </w:rPr>
        <w:t xml:space="preserve">مسألة </w:t>
      </w:r>
      <w:r>
        <w:rPr>
          <w:rtl w:val="true"/>
        </w:rPr>
        <w:t>:</w:t>
      </w:r>
      <w:r>
        <w:rPr>
          <w:rtl w:val="true"/>
        </w:rPr>
        <w:t>و يستحبّ غسل اليدين قبل إدخالهما الإناء من النّوم</w:t>
      </w:r>
      <w:bookmarkEnd w:id="1038"/>
    </w:p>
    <w:p>
      <w:pPr>
        <w:pStyle w:val="BookText"/>
        <w:rPr/>
      </w:pPr>
      <w:r>
        <w:rPr>
          <w:rStyle w:val="FootnoteAnchor"/>
          <w:rtl w:val="true"/>
        </w:rPr>
        <w:footnoteReference w:id="1904"/>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مذهب علمائنا،و به قال عطاء </w:t>
      </w:r>
      <w:r>
        <w:rPr>
          <w:rStyle w:val="FootnoteAnchor"/>
          <w:rtl w:val="true"/>
        </w:rPr>
        <w:footnoteReference w:id="1905"/>
      </w:r>
      <w:r>
        <w:rPr>
          <w:rFonts w:ascii="Amiri" w:hAnsi="Amiri" w:eastAsia="Amiri" w:cs="Amiri"/>
          <w:color w:val="111111"/>
          <w:sz w:val="28"/>
          <w:sz w:val="28"/>
          <w:szCs w:val="28"/>
          <w:rtl w:val="true"/>
          <w:lang w:bidi="ar-SA"/>
        </w:rPr>
        <w:t xml:space="preserve">،و مالك </w:t>
      </w:r>
      <w:r>
        <w:rPr>
          <w:rStyle w:val="FootnoteAnchor"/>
          <w:rtl w:val="true"/>
        </w:rPr>
        <w:footnoteReference w:id="1906"/>
      </w:r>
      <w:r>
        <w:rPr>
          <w:rFonts w:ascii="Amiri" w:hAnsi="Amiri" w:eastAsia="Amiri" w:cs="Amiri"/>
          <w:color w:val="111111"/>
          <w:sz w:val="28"/>
          <w:sz w:val="28"/>
          <w:szCs w:val="28"/>
          <w:rtl w:val="true"/>
          <w:lang w:bidi="ar-SA"/>
        </w:rPr>
        <w:t xml:space="preserve">،و الأوزاعيّ </w:t>
      </w:r>
      <w:r>
        <w:rPr>
          <w:rStyle w:val="FootnoteAnchor"/>
          <w:rtl w:val="true"/>
        </w:rPr>
        <w:footnoteReference w:id="1907"/>
      </w:r>
      <w:r>
        <w:rPr>
          <w:rFonts w:ascii="Amiri" w:hAnsi="Amiri" w:eastAsia="Amiri" w:cs="Amiri"/>
          <w:color w:val="111111"/>
          <w:sz w:val="28"/>
          <w:sz w:val="28"/>
          <w:szCs w:val="28"/>
          <w:rtl w:val="true"/>
          <w:lang w:bidi="ar-SA"/>
        </w:rPr>
        <w:t xml:space="preserve">،و الشّافعيّ </w:t>
      </w:r>
      <w:r>
        <w:rPr>
          <w:rStyle w:val="FootnoteAnchor"/>
          <w:rtl w:val="true"/>
        </w:rPr>
        <w:footnoteReference w:id="1908"/>
      </w:r>
      <w:r>
        <w:rPr>
          <w:rFonts w:ascii="Amiri" w:hAnsi="Amiri" w:eastAsia="Amiri" w:cs="Amiri"/>
          <w:color w:val="111111"/>
          <w:sz w:val="28"/>
          <w:sz w:val="28"/>
          <w:szCs w:val="28"/>
          <w:rtl w:val="true"/>
          <w:lang w:bidi="ar-SA"/>
        </w:rPr>
        <w:t xml:space="preserve">،و إسحاق، و أصحاب الرّأي </w:t>
      </w:r>
      <w:r>
        <w:rPr>
          <w:rStyle w:val="FootnoteAnchor"/>
          <w:rtl w:val="true"/>
        </w:rPr>
        <w:footnoteReference w:id="1909"/>
      </w:r>
      <w:r>
        <w:rPr>
          <w:rFonts w:ascii="Amiri" w:hAnsi="Amiri" w:eastAsia="Amiri" w:cs="Amiri"/>
          <w:color w:val="111111"/>
          <w:sz w:val="28"/>
          <w:sz w:val="28"/>
          <w:szCs w:val="28"/>
          <w:rtl w:val="true"/>
          <w:lang w:bidi="ar-SA"/>
        </w:rPr>
        <w:t>،و قال أحمد به في نوم النّهار،و أصحّ الرّوايتين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وجوب غسلهما من نوم اللّيل </w:t>
      </w:r>
      <w:r>
        <w:rPr>
          <w:rStyle w:val="FootnoteAnchor"/>
          <w:rtl w:val="true"/>
        </w:rPr>
        <w:footnoteReference w:id="1910"/>
      </w:r>
      <w:r>
        <w:rPr>
          <w:rFonts w:ascii="Amiri" w:hAnsi="Amiri" w:eastAsia="Amiri" w:cs="Amiri"/>
          <w:color w:val="111111"/>
          <w:sz w:val="28"/>
          <w:sz w:val="28"/>
          <w:szCs w:val="28"/>
          <w:rtl w:val="true"/>
          <w:lang w:bidi="ar-SA"/>
        </w:rPr>
        <w:t xml:space="preserve">،و هو مذهب ابن عمر،و أبي هريرة،و الحسن البصري،إلا انّ الحسن البصري أوجب غسلهما من نوم النهار </w:t>
      </w:r>
      <w:r>
        <w:rPr>
          <w:rStyle w:val="FootnoteAnchor"/>
          <w:rtl w:val="true"/>
        </w:rPr>
        <w:footnoteReference w:id="1911"/>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إِذا قُمْتُمْ إِلَى الصَّلاةِ فَاغْسِلُوا وُجُوهَكُمْ </w:t>
      </w:r>
      <w:r>
        <w:rPr>
          <w:rStyle w:val="FootnoteAnchor"/>
          <w:rtl w:val="true"/>
        </w:rPr>
        <w:footnoteReference w:id="1912"/>
      </w:r>
      <w:r>
        <w:rPr>
          <w:rFonts w:ascii="Amiri" w:hAnsi="Amiri" w:eastAsia="Amiri" w:cs="Amiri"/>
          <w:color w:val="111111"/>
          <w:sz w:val="28"/>
          <w:sz w:val="28"/>
          <w:szCs w:val="28"/>
          <w:rtl w:val="true"/>
          <w:lang w:bidi="ar-SA"/>
        </w:rPr>
        <w:t>عقّب القيام إلى الصّلاة بغسل الوجه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المفسّرون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قمتم من النّوم </w:t>
      </w:r>
      <w:r>
        <w:rPr>
          <w:rStyle w:val="FootnoteAnchor"/>
          <w:rtl w:val="true"/>
        </w:rPr>
        <w:footnoteReference w:id="1913"/>
      </w:r>
      <w:r>
        <w:rPr>
          <w:rFonts w:ascii="Amiri" w:hAnsi="Amiri" w:eastAsia="Amiri" w:cs="Amiri"/>
          <w:color w:val="111111"/>
          <w:sz w:val="28"/>
          <w:sz w:val="28"/>
          <w:szCs w:val="28"/>
          <w:rtl w:val="true"/>
          <w:lang w:bidi="ar-SA"/>
        </w:rPr>
        <w:t xml:space="preserve">،و ليس في الآية دلالة على غسل اليدين، </w:t>
      </w:r>
    </w:p>
    <w:p>
      <w:pPr>
        <w:pStyle w:val="BookText"/>
        <w:rPr/>
      </w:pPr>
      <w:r>
        <w:rPr>
          <w:rFonts w:ascii="Amiri" w:hAnsi="Amiri" w:eastAsia="Amiri" w:cs="Amiri"/>
          <w:color w:val="111111"/>
          <w:sz w:val="28"/>
          <w:sz w:val="28"/>
          <w:szCs w:val="28"/>
          <w:rtl w:val="true"/>
          <w:lang w:bidi="ar-SA"/>
        </w:rPr>
        <w:t>فيحصل الاكتفاء بالمأمور به،و إلاّ لم يبق الأمر دالاّ على الإجزاء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فالأصل عدم الوجوب</w:t>
      </w:r>
      <w:r>
        <w:rPr>
          <w:rFonts w:eastAsia="Amiri" w:cs="Amiri" w:ascii="Amiri" w:hAnsi="Amiri"/>
          <w:color w:val="111111"/>
          <w:sz w:val="28"/>
          <w:szCs w:val="28"/>
          <w:rtl w:val="true"/>
          <w:lang w:bidi="ar-SA"/>
        </w:rPr>
        <w:t xml:space="preserve">) </w:t>
      </w:r>
      <w:r>
        <w:rPr>
          <w:rStyle w:val="FootnoteAnchor"/>
          <w:rtl w:val="true"/>
        </w:rPr>
        <w:footnoteReference w:id="1914"/>
      </w: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سماعة،قال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يمسّ الطّست أو الرّكوة ثمَّ يدخل يده في الإناء قبل أن يفرغ على كفّيه؟قال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يهريق من الماء ثلاث حفنات،و إن لم يفعل فلا بأس</w:t>
      </w:r>
      <w:r>
        <w:rPr>
          <w:rFonts w:eastAsia="Amiri" w:cs="Amiri" w:ascii="Amiri" w:hAnsi="Amiri"/>
          <w:color w:val="111111"/>
          <w:sz w:val="28"/>
          <w:szCs w:val="28"/>
          <w:rtl w:val="true"/>
          <w:lang w:bidi="ar-SA"/>
        </w:rPr>
        <w:t xml:space="preserve">) </w:t>
      </w:r>
      <w:r>
        <w:rPr>
          <w:rStyle w:val="FootnoteAnchor"/>
          <w:rtl w:val="true"/>
        </w:rPr>
        <w:footnoteReference w:id="1915"/>
      </w:r>
      <w:r>
        <w:rPr>
          <w:rFonts w:ascii="Amiri" w:hAnsi="Amiri" w:eastAsia="Amiri" w:cs="Amiri"/>
          <w:color w:val="111111"/>
          <w:sz w:val="28"/>
          <w:sz w:val="28"/>
          <w:szCs w:val="28"/>
          <w:rtl w:val="true"/>
          <w:lang w:bidi="ar-SA"/>
        </w:rPr>
        <w:t>و الطّريق و إن كان ضعيفا إلاّ انّها مؤيّدة بالأصل و عمل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أبي بصير،عن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الجنب يجعل الرّكوة أو التّور فيدخل إصبعه فيه؟قال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كانت إصبعه قذرة فليهرقه،و إن كانت لم يصبها قذر فليغتسل منه،هذا ممّا قال اللّه تعالى ما جَعَلَ عَلَيْكُمْ فِي الدِّينِ مِنْ حَرَجٍ </w:t>
      </w:r>
      <w:r>
        <w:rPr>
          <w:rStyle w:val="FootnoteAnchor"/>
          <w:rtl w:val="true"/>
        </w:rPr>
        <w:footnoteReference w:id="191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7"/>
      </w:r>
      <w:r>
        <w:rPr>
          <w:rFonts w:ascii="Amiri" w:hAnsi="Amiri" w:eastAsia="Amiri" w:cs="Amiri"/>
          <w:color w:val="111111"/>
          <w:sz w:val="28"/>
          <w:sz w:val="28"/>
          <w:szCs w:val="28"/>
          <w:rtl w:val="true"/>
          <w:lang w:bidi="ar-SA"/>
        </w:rPr>
        <w:t xml:space="preserve">و في طريقها محمّد بن سنان،و فيه قول </w:t>
      </w:r>
      <w:r>
        <w:rPr>
          <w:rStyle w:val="FootnoteAnchor"/>
          <w:rtl w:val="true"/>
        </w:rPr>
        <w:footnoteReference w:id="1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الشّيخ في الصّحيح،عن محمّد بن مسلم،عن أحدهما عليهما السّلام،قال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يبول و لم يمسّ يده اليمنى شيئا أ يغمسها في الماء؟قال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إن كان جنبا</w:t>
      </w:r>
      <w:r>
        <w:rPr>
          <w:rFonts w:eastAsia="Amiri" w:cs="Amiri" w:ascii="Amiri" w:hAnsi="Amiri"/>
          <w:color w:val="111111"/>
          <w:sz w:val="28"/>
          <w:szCs w:val="28"/>
          <w:rtl w:val="true"/>
          <w:lang w:bidi="ar-SA"/>
        </w:rPr>
        <w:t xml:space="preserve">) </w:t>
      </w:r>
      <w:r>
        <w:rPr>
          <w:rStyle w:val="FootnoteAnchor"/>
          <w:rtl w:val="true"/>
        </w:rPr>
        <w:footnoteReference w:id="19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قائم من النّوم،فأشبه قيامه من نوم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أحمد </w:t>
      </w:r>
      <w:r>
        <w:rPr>
          <w:rStyle w:val="FootnoteAnchor"/>
          <w:rtl w:val="true"/>
        </w:rPr>
        <w:footnoteReference w:id="1920"/>
      </w:r>
      <w:r>
        <w:rPr>
          <w:rFonts w:ascii="Amiri" w:hAnsi="Amiri" w:eastAsia="Amiri" w:cs="Amiri"/>
          <w:color w:val="111111"/>
          <w:sz w:val="28"/>
          <w:sz w:val="28"/>
          <w:szCs w:val="28"/>
          <w:rtl w:val="true"/>
          <w:lang w:bidi="ar-SA"/>
        </w:rPr>
        <w:t>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استيقظ أحدكم من نومه فليغسل يديه قبل أن يدخلهما الإناء ثلاثا،فإنّ أحدكم لا يدري أين باتت يده</w:t>
      </w:r>
      <w:r>
        <w:rPr>
          <w:rFonts w:eastAsia="Amiri" w:cs="Amiri" w:ascii="Amiri" w:hAnsi="Amiri"/>
          <w:color w:val="111111"/>
          <w:sz w:val="28"/>
          <w:szCs w:val="28"/>
          <w:rtl w:val="true"/>
          <w:lang w:bidi="ar-SA"/>
        </w:rPr>
        <w:t xml:space="preserve">) </w:t>
      </w:r>
      <w:r>
        <w:rPr>
          <w:rStyle w:val="FootnoteAnchor"/>
          <w:rtl w:val="true"/>
        </w:rPr>
        <w:footnoteReference w:id="1921"/>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2:241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نيل الأوطار </w:t>
      </w: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الموطّأ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الجميع بتفاوت يسير</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التّعليل يشعر بأنّ الأمر للاستحباب فإنّ طريان الشّكّ على يقين الطّهارة لا يؤثّر فيها كما في الشّكّ في الحدث مع يقين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على الاستحباب أنّها تدخل الإناء و تنقل الماء إلى الأعضاء ففي غسلها احتراز لجميع أعضاء الوضوء،و ما رواه الجمهور من انّ النّبيّ صلّى اللّه عليه و آله كان يفعله </w:t>
      </w:r>
      <w:r>
        <w:rPr>
          <w:rStyle w:val="FootnoteAnchor"/>
          <w:rtl w:val="true"/>
        </w:rPr>
        <w:footnoteReference w:id="1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الحسن،عن عبيد اللّه الحلبيّ،قال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الوضوء كم يفرغ الرّجل على يده اليمنى قبل أن يدخلها في الإناء؟قال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 من حدث البول،و اثنتان من الغائط و ثلاث من الجنابة</w:t>
      </w:r>
      <w:r>
        <w:rPr>
          <w:rFonts w:eastAsia="Amiri" w:cs="Amiri" w:ascii="Amiri" w:hAnsi="Amiri"/>
          <w:color w:val="111111"/>
          <w:sz w:val="28"/>
          <w:szCs w:val="28"/>
          <w:rtl w:val="true"/>
          <w:lang w:bidi="ar-SA"/>
        </w:rPr>
        <w:t xml:space="preserve">) </w:t>
      </w:r>
      <w:r>
        <w:rPr>
          <w:rStyle w:val="FootnoteAnchor"/>
          <w:rtl w:val="true"/>
        </w:rPr>
        <w:footnoteReference w:id="1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رواه،عن حريز،عن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 الرّجل يده من النّوم مرّة و من الغائط و البول مرّتين و من الجنابة ثلاثا</w:t>
      </w:r>
      <w:r>
        <w:rPr>
          <w:rFonts w:eastAsia="Amiri" w:cs="Amiri" w:ascii="Amiri" w:hAnsi="Amiri"/>
          <w:color w:val="111111"/>
          <w:sz w:val="28"/>
          <w:szCs w:val="28"/>
          <w:rtl w:val="true"/>
          <w:lang w:bidi="ar-SA"/>
        </w:rPr>
        <w:t xml:space="preserve">) </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اختلاف الأحاديث دالّ على الاستحباب و غير قادح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أمر و هو يدلّ على الوجوب،و به احتجّ الموجبون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روى الشّيخ،عن عبد الكريم بن عتبة الكوفيّ الهاشميّ،قال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يبول و لم يمسّ يده اليمنى شيء أ يدخلها في وضوئه قبل أن يغسلها؟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حتّى يغسلها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استيقظ من نومه و لم يبل،أ يدخل يده في وضوئه قبل أن يغسلها؟قال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لا،لأنّه لا يدري حيث كانت يده فليغسلها</w:t>
      </w:r>
      <w:r>
        <w:rPr>
          <w:rFonts w:eastAsia="Amiri" w:cs="Amiri" w:ascii="Amiri" w:hAnsi="Amiri"/>
          <w:color w:val="111111"/>
          <w:sz w:val="28"/>
          <w:szCs w:val="28"/>
          <w:rtl w:val="true"/>
          <w:lang w:bidi="ar-SA"/>
        </w:rPr>
        <w:t xml:space="preserve">) </w:t>
      </w:r>
      <w:r>
        <w:rPr>
          <w:rStyle w:val="FootnoteAnchor"/>
          <w:rtl w:val="true"/>
        </w:rPr>
        <w:footnoteReference w:id="1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لأنّا نجيب عن الأوّل بأنّ الأمر و إن كان في الأصل للوجوب إلاّ انّه قد يستعمل كثيرا في النّدب،و قد دلّلنا على الاستحباب فيحمل عليه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الثّاني بذلك أيضا،و النّهي لا يدلّ على التّحريم في كلّ صورة خصوصا مع قيام الدّليل الدّالّ على المصير إلى خلافه</w:t>
      </w:r>
      <w:r>
        <w:rPr>
          <w:rFonts w:eastAsia="Amiri" w:cs="Amiri" w:ascii="Amiri" w:hAnsi="Amiri"/>
          <w:color w:val="111111"/>
          <w:sz w:val="28"/>
          <w:szCs w:val="28"/>
          <w:rtl w:val="true"/>
          <w:lang w:bidi="ar-SA"/>
        </w:rPr>
        <w:t xml:space="preserve">. </w:t>
      </w:r>
      <w:bookmarkStart w:id="1039" w:name="pg12672_160044"/>
    </w:p>
    <w:p>
      <w:pPr>
        <w:pStyle w:val="Heading6"/>
        <w:numPr>
          <w:ilvl w:val="5"/>
          <w:numId w:val="1"/>
        </w:numPr>
        <w:rPr/>
      </w:pPr>
      <w:bookmarkStart w:id="1040" w:name="__RefHeading___Toc747451_222507752"/>
      <w:bookmarkStart w:id="1041" w:name="_Toc416"/>
      <w:bookmarkEnd w:id="1039"/>
      <w:bookmarkEnd w:id="1040"/>
      <w:r>
        <w:rPr>
          <w:rtl w:val="true"/>
        </w:rPr>
        <w:t>فروع</w:t>
      </w:r>
      <w:r>
        <w:rPr>
          <w:rtl w:val="true"/>
        </w:rPr>
        <w:t>:</w:t>
      </w:r>
      <w:bookmarkEnd w:id="1041"/>
    </w:p>
    <w:p>
      <w:pPr>
        <w:pStyle w:val="Heading6"/>
        <w:numPr>
          <w:ilvl w:val="5"/>
          <w:numId w:val="1"/>
        </w:numPr>
        <w:rPr/>
      </w:pPr>
      <w:bookmarkStart w:id="1042" w:name="__RefHeading___Toc747453_222507752"/>
      <w:bookmarkStart w:id="1043" w:name="_Toc417"/>
      <w:bookmarkEnd w:id="1042"/>
      <w:r>
        <w:rPr>
          <w:rtl w:val="true"/>
        </w:rPr>
        <w:t>الأوّل</w:t>
      </w:r>
      <w:r>
        <w:rPr>
          <w:rtl w:val="true"/>
        </w:rPr>
        <w:t>:</w:t>
      </w:r>
      <w:r>
        <w:rPr>
          <w:rtl w:val="true"/>
        </w:rPr>
        <w:t>لو لم يغسل يده و غمسها في الماء،</w:t>
      </w:r>
      <w:bookmarkEnd w:id="1043"/>
    </w:p>
    <w:p>
      <w:pPr>
        <w:pStyle w:val="BookText"/>
        <w:rPr/>
      </w:pPr>
      <w:r>
        <w:rPr>
          <w:rFonts w:ascii="Amiri" w:hAnsi="Amiri" w:eastAsia="Amiri" w:cs="Amiri"/>
          <w:color w:val="111111"/>
          <w:sz w:val="28"/>
          <w:sz w:val="28"/>
          <w:szCs w:val="28"/>
          <w:rtl w:val="true"/>
          <w:lang w:bidi="ar-SA"/>
        </w:rPr>
        <w:t xml:space="preserve">لم يؤثّر في تنجيسه،قليلا كان أو كثيرا،و عند القائلين بالوجوب كذلك أيضا،لأنّ طهوريّة الماء كانت بيقين،و الغمس المحرم لا يقتضي زوالها،لأنّه لو زال لكان مستندا إلى و هم النّجاسة،و الوهم لا يزيل اليقين،و لأنّ </w:t>
      </w:r>
      <w:r>
        <w:rPr>
          <w:rStyle w:val="FootnoteAnchor"/>
          <w:rtl w:val="true"/>
        </w:rPr>
        <w:footnoteReference w:id="1926"/>
      </w:r>
      <w:r>
        <w:rPr>
          <w:rFonts w:ascii="Amiri" w:hAnsi="Amiri" w:eastAsia="Amiri" w:cs="Amiri"/>
          <w:color w:val="111111"/>
          <w:sz w:val="28"/>
          <w:sz w:val="28"/>
          <w:szCs w:val="28"/>
          <w:rtl w:val="true"/>
          <w:lang w:bidi="ar-SA"/>
        </w:rPr>
        <w:t>اليقين لا يزول بالشّك،فبالوهم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إهراق الماء </w:t>
      </w:r>
      <w:r>
        <w:rPr>
          <w:rStyle w:val="FootnoteAnchor"/>
          <w:rtl w:val="true"/>
        </w:rPr>
        <w:footnoteReference w:id="1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 إليّ أن يهريق الماء </w:t>
      </w:r>
      <w:r>
        <w:rPr>
          <w:rStyle w:val="FootnoteAnchor"/>
          <w:rtl w:val="true"/>
        </w:rPr>
        <w:footnoteReference w:id="19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بشيء </w:t>
      </w:r>
      <w:r>
        <w:rPr>
          <w:rFonts w:eastAsia="Amiri" w:cs="Amiri" w:ascii="Amiri" w:hAnsi="Amiri"/>
          <w:color w:val="111111"/>
          <w:sz w:val="28"/>
          <w:szCs w:val="28"/>
          <w:rtl w:val="true"/>
          <w:lang w:bidi="ar-SA"/>
        </w:rPr>
        <w:t>.</w:t>
      </w:r>
    </w:p>
    <w:p>
      <w:pPr>
        <w:pStyle w:val="Heading6"/>
        <w:numPr>
          <w:ilvl w:val="5"/>
          <w:numId w:val="1"/>
        </w:numPr>
        <w:rPr/>
      </w:pPr>
      <w:bookmarkStart w:id="1044" w:name="__RefHeading___Toc747455_222507752"/>
      <w:bookmarkStart w:id="1045" w:name="_Toc418"/>
      <w:bookmarkEnd w:id="1044"/>
      <w:r>
        <w:rPr>
          <w:rtl w:val="true"/>
        </w:rPr>
        <w:t>الثّاني</w:t>
      </w:r>
      <w:r>
        <w:rPr>
          <w:rtl w:val="true"/>
        </w:rPr>
        <w:t>:</w:t>
      </w:r>
      <w:r>
        <w:rPr>
          <w:rtl w:val="true"/>
        </w:rPr>
        <w:t>لم يحدّ الأصحاب اليد هاهنا،</w:t>
      </w:r>
      <w:bookmarkEnd w:id="1045"/>
    </w:p>
    <w:p>
      <w:pPr>
        <w:pStyle w:val="BookText"/>
        <w:rPr/>
      </w:pPr>
      <w:r>
        <w:rPr>
          <w:rFonts w:ascii="Amiri" w:hAnsi="Amiri" w:eastAsia="Amiri" w:cs="Amiri"/>
          <w:color w:val="111111"/>
          <w:sz w:val="28"/>
          <w:sz w:val="28"/>
          <w:szCs w:val="28"/>
          <w:rtl w:val="true"/>
          <w:lang w:bidi="ar-SA"/>
        </w:rPr>
        <w:t>و الأولى انّ المراد منها العضو من الكوع،لأنّه هو الواجب في مسح التّيمّم،و لأنّ الغمس لها،فلا يحصل الاكتفاء ببعض المغموس لقوله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يدخل يده قبل أن يغسلها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يستحبّ الزّيادة،لأنّ اليد من المرفق هو الواجب للوضوء،و لأنّه غير مغموس </w:t>
      </w:r>
      <w:r>
        <w:rPr>
          <w:rFonts w:eastAsia="Amiri" w:cs="Amiri" w:ascii="Amiri" w:hAnsi="Amiri"/>
          <w:color w:val="111111"/>
          <w:sz w:val="28"/>
          <w:szCs w:val="28"/>
          <w:rtl w:val="true"/>
          <w:lang w:bidi="ar-SA"/>
        </w:rPr>
        <w:t>.</w:t>
      </w:r>
    </w:p>
    <w:p>
      <w:pPr>
        <w:pStyle w:val="Heading6"/>
        <w:numPr>
          <w:ilvl w:val="5"/>
          <w:numId w:val="1"/>
        </w:numPr>
        <w:rPr/>
      </w:pPr>
      <w:bookmarkStart w:id="1046" w:name="__RefHeading___Toc747457_222507752"/>
      <w:bookmarkStart w:id="1047" w:name="_Toc419"/>
      <w:bookmarkEnd w:id="1046"/>
      <w:r>
        <w:rPr>
          <w:rtl w:val="true"/>
        </w:rPr>
        <w:t>الثّالث</w:t>
      </w:r>
      <w:r>
        <w:rPr>
          <w:rtl w:val="true"/>
        </w:rPr>
        <w:t>:</w:t>
      </w:r>
      <w:r>
        <w:rPr>
          <w:rtl w:val="true"/>
        </w:rPr>
        <w:t>غمس بعضها في المنع الاستحبابي كغمس جميعها،</w:t>
      </w:r>
      <w:bookmarkEnd w:id="1047"/>
    </w:p>
    <w:p>
      <w:pPr>
        <w:pStyle w:val="BookText"/>
        <w:rPr/>
      </w:pPr>
      <w:r>
        <w:rPr>
          <w:rFonts w:ascii="IRNazanin" w:hAnsi="IRNazanin" w:eastAsia="IRNazanin"/>
          <w:color w:val="111111"/>
          <w:sz w:val="28"/>
          <w:sz w:val="28"/>
          <w:szCs w:val="28"/>
          <w:rtl w:val="true"/>
          <w:lang w:bidi="fa-IR"/>
        </w:rPr>
        <w:t>لأنّه مفهوم من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لا يدري حيث كانت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يمنع </w:t>
      </w:r>
      <w:r>
        <w:rPr>
          <w:rStyle w:val="FootnoteAnchor"/>
          <w:rtl w:val="true"/>
        </w:rPr>
        <w:footnoteReference w:id="1929"/>
      </w:r>
      <w:r>
        <w:rPr>
          <w:rFonts w:ascii="Amiri" w:hAnsi="Amiri" w:eastAsia="Amiri" w:cs="Amiri"/>
          <w:color w:val="111111"/>
          <w:sz w:val="28"/>
          <w:sz w:val="28"/>
          <w:szCs w:val="28"/>
          <w:rtl w:val="true"/>
          <w:lang w:bidi="ar-SA"/>
        </w:rPr>
        <w:t xml:space="preserve">،لأنّ النّهي يتناول غمس الجميع و لا يلزم من كون الشّيء محكوما عليه بشيء،كون بعضه كذلك،و هو ضعيف لما قلناه من المفهوم،و نحن لم نقل بالملازمة بين الحكم على الجميع و البعض </w:t>
      </w:r>
      <w:r>
        <w:rPr>
          <w:rFonts w:eastAsia="Amiri" w:cs="Amiri" w:ascii="Amiri" w:hAnsi="Amiri"/>
          <w:color w:val="111111"/>
          <w:sz w:val="28"/>
          <w:szCs w:val="28"/>
          <w:rtl w:val="true"/>
          <w:lang w:bidi="ar-SA"/>
        </w:rPr>
        <w:t>.</w:t>
      </w:r>
    </w:p>
    <w:p>
      <w:pPr>
        <w:pStyle w:val="Heading6"/>
        <w:numPr>
          <w:ilvl w:val="5"/>
          <w:numId w:val="1"/>
        </w:numPr>
        <w:rPr/>
      </w:pPr>
      <w:bookmarkStart w:id="1048" w:name="__RefHeading___Toc747459_222507752"/>
      <w:bookmarkStart w:id="1049" w:name="_Toc420"/>
      <w:bookmarkEnd w:id="1048"/>
      <w:r>
        <w:rPr>
          <w:rtl w:val="true"/>
        </w:rPr>
        <w:t>الرّابع</w:t>
      </w:r>
      <w:r>
        <w:rPr>
          <w:rtl w:val="true"/>
        </w:rPr>
        <w:t>:</w:t>
      </w:r>
      <w:r>
        <w:rPr>
          <w:rtl w:val="true"/>
        </w:rPr>
        <w:t>غمسها بعد غسلها دون الثّلاث في الجنابة و المرّتين في الغائط كغمسها قبل</w:t>
      </w:r>
      <w:bookmarkEnd w:id="1049"/>
    </w:p>
    <w:p>
      <w:pPr>
        <w:pStyle w:val="BookText"/>
        <w:rPr/>
      </w:pPr>
      <w:r>
        <w:rPr>
          <w:rFonts w:ascii="IRNazanin" w:hAnsi="IRNazanin" w:eastAsia="IRNazanin"/>
          <w:color w:val="111111"/>
          <w:sz w:val="28"/>
          <w:sz w:val="28"/>
          <w:szCs w:val="28"/>
          <w:rtl w:val="true"/>
          <w:lang w:bidi="fa-IR"/>
        </w:rPr>
        <w:t>الغسل،</w:t>
      </w:r>
    </w:p>
    <w:p>
      <w:pPr>
        <w:pStyle w:val="BookText"/>
        <w:rPr/>
      </w:pPr>
      <w:r>
        <w:rPr>
          <w:rFonts w:ascii="Amiri" w:hAnsi="Amiri" w:eastAsia="Amiri" w:cs="Amiri"/>
          <w:color w:val="111111"/>
          <w:sz w:val="28"/>
          <w:sz w:val="28"/>
          <w:szCs w:val="28"/>
          <w:rtl w:val="true"/>
          <w:lang w:bidi="ar-SA"/>
        </w:rPr>
        <w:t xml:space="preserve">لأنّ النّهي باق لا يزول حتّى يغسلها كمال العدد </w:t>
      </w:r>
      <w:r>
        <w:rPr>
          <w:rFonts w:eastAsia="Amiri" w:cs="Amiri" w:ascii="Amiri" w:hAnsi="Amiri"/>
          <w:color w:val="111111"/>
          <w:sz w:val="28"/>
          <w:szCs w:val="28"/>
          <w:rtl w:val="true"/>
          <w:lang w:bidi="ar-SA"/>
        </w:rPr>
        <w:t>.</w:t>
      </w:r>
    </w:p>
    <w:p>
      <w:pPr>
        <w:pStyle w:val="Heading6"/>
        <w:numPr>
          <w:ilvl w:val="5"/>
          <w:numId w:val="1"/>
        </w:numPr>
        <w:rPr/>
      </w:pPr>
      <w:bookmarkStart w:id="1050" w:name="__RefHeading___Toc747461_222507752"/>
      <w:bookmarkStart w:id="1051" w:name="_Toc421"/>
      <w:bookmarkEnd w:id="1050"/>
      <w:r>
        <w:rPr>
          <w:rtl w:val="true"/>
        </w:rPr>
        <w:t>الخامس</w:t>
      </w:r>
      <w:r>
        <w:rPr>
          <w:rtl w:val="true"/>
        </w:rPr>
        <w:t>:</w:t>
      </w:r>
      <w:r>
        <w:rPr>
          <w:rtl w:val="true"/>
        </w:rPr>
        <w:t>لا فرق بين كون يد النّائم مشدودة أو مطلقة</w:t>
      </w:r>
      <w:bookmarkEnd w:id="1051"/>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جراب أو كون النّائم </w:t>
      </w:r>
      <w:bookmarkStart w:id="1052" w:name="pg12672_160045"/>
    </w:p>
    <w:p>
      <w:pPr>
        <w:pStyle w:val="BookText"/>
        <w:rPr/>
      </w:pPr>
      <w:bookmarkEnd w:id="1052"/>
      <w:r>
        <w:rPr>
          <w:rFonts w:ascii="Amiri" w:hAnsi="Amiri" w:eastAsia="Amiri" w:cs="Amiri"/>
          <w:color w:val="111111"/>
          <w:sz w:val="28"/>
          <w:sz w:val="28"/>
          <w:szCs w:val="28"/>
          <w:rtl w:val="true"/>
          <w:lang w:bidi="ar-SA"/>
        </w:rPr>
        <w:t>عليه سراويله أو لم يكن عملا بالعموم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المعلّق على المظنّة لا يعتبر فيه حقيقة الحكمة كالمشقّة في السّفر و كالاستبراء للرّحم في العدّة،فإنّه واجب في حقّ الصّغيرة و اليائسة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 تعبّد لا باعتبار النّجاسة،و لهذا فإنّ القائلين بالوجوب معترفون بطهارة اليد قبل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احتمال النّجاسة لا ينحصر في مسّ الفرج،فقد يكون في البدن بثرة أو دمل، أو تلاقي يده نجاسة خارجة،أو تكون نجسة قبل نومه فينساها لطول نومه </w:t>
      </w:r>
      <w:r>
        <w:rPr>
          <w:rFonts w:eastAsia="Amiri" w:cs="Amiri" w:ascii="Amiri" w:hAnsi="Amiri"/>
          <w:color w:val="111111"/>
          <w:sz w:val="28"/>
          <w:szCs w:val="28"/>
          <w:rtl w:val="true"/>
          <w:lang w:bidi="ar-SA"/>
        </w:rPr>
        <w:t>.</w:t>
      </w:r>
    </w:p>
    <w:p>
      <w:pPr>
        <w:pStyle w:val="Heading6"/>
        <w:numPr>
          <w:ilvl w:val="5"/>
          <w:numId w:val="1"/>
        </w:numPr>
        <w:rPr/>
      </w:pPr>
      <w:bookmarkStart w:id="1053" w:name="__RefHeading___Toc747463_222507752"/>
      <w:bookmarkStart w:id="1054" w:name="_Toc422"/>
      <w:bookmarkEnd w:id="1053"/>
      <w:r>
        <w:rPr>
          <w:rtl w:val="true"/>
        </w:rPr>
        <w:t>السّادس</w:t>
      </w:r>
      <w:r>
        <w:rPr>
          <w:rtl w:val="true"/>
        </w:rPr>
        <w:t>:</w:t>
      </w:r>
      <w:r>
        <w:rPr>
          <w:rtl w:val="true"/>
        </w:rPr>
        <w:t>هذا الحكم يتعلّق بالمسلم البالغ العاقل</w:t>
      </w:r>
      <w:bookmarkEnd w:id="1054"/>
    </w:p>
    <w:p>
      <w:pPr>
        <w:pStyle w:val="BookText"/>
        <w:rPr/>
      </w:pPr>
      <w:r>
        <w:rPr>
          <w:rFonts w:ascii="Amiri" w:hAnsi="Amiri" w:eastAsia="Amiri" w:cs="Amiri"/>
          <w:color w:val="111111"/>
          <w:sz w:val="28"/>
          <w:sz w:val="28"/>
          <w:szCs w:val="28"/>
          <w:rtl w:val="true"/>
          <w:lang w:bidi="ar-SA"/>
        </w:rPr>
        <w:t xml:space="preserve">لأنّ المراد تطهيرها حكما و لا يحصل إلاّ فيمن </w:t>
      </w:r>
      <w:r>
        <w:rPr>
          <w:rStyle w:val="FootnoteAnchor"/>
          <w:rtl w:val="true"/>
        </w:rPr>
        <w:footnoteReference w:id="1931"/>
      </w:r>
      <w:r>
        <w:rPr>
          <w:rFonts w:ascii="Amiri" w:hAnsi="Amiri" w:eastAsia="Amiri" w:cs="Amiri"/>
          <w:color w:val="111111"/>
          <w:sz w:val="28"/>
          <w:sz w:val="28"/>
          <w:szCs w:val="28"/>
          <w:rtl w:val="true"/>
          <w:lang w:bidi="ar-SA"/>
        </w:rPr>
        <w:t xml:space="preserve">ذكرنا </w:t>
      </w:r>
      <w:r>
        <w:rPr>
          <w:rFonts w:eastAsia="Amiri" w:cs="Amiri" w:ascii="Amiri" w:hAnsi="Amiri"/>
          <w:color w:val="111111"/>
          <w:sz w:val="28"/>
          <w:szCs w:val="28"/>
          <w:rtl w:val="true"/>
          <w:lang w:bidi="ar-SA"/>
        </w:rPr>
        <w:t>.</w:t>
      </w:r>
    </w:p>
    <w:p>
      <w:pPr>
        <w:pStyle w:val="Heading6"/>
        <w:numPr>
          <w:ilvl w:val="5"/>
          <w:numId w:val="1"/>
        </w:numPr>
        <w:rPr/>
      </w:pPr>
      <w:bookmarkStart w:id="1055" w:name="__RefHeading___Toc747465_222507752"/>
      <w:bookmarkStart w:id="1056" w:name="_Toc423"/>
      <w:bookmarkEnd w:id="1055"/>
      <w:r>
        <w:rPr>
          <w:rtl w:val="true"/>
        </w:rPr>
        <w:t>السّابع</w:t>
      </w:r>
      <w:r>
        <w:rPr>
          <w:rtl w:val="true"/>
        </w:rPr>
        <w:t>:</w:t>
      </w:r>
      <w:r>
        <w:rPr>
          <w:rtl w:val="true"/>
        </w:rPr>
        <w:t>لم يقدّر أصحابنا النّوم هنا بقدر،</w:t>
      </w:r>
      <w:bookmarkEnd w:id="1056"/>
    </w:p>
    <w:p>
      <w:pPr>
        <w:pStyle w:val="BookText"/>
        <w:rPr/>
      </w:pPr>
      <w:r>
        <w:rPr>
          <w:rFonts w:ascii="Amiri" w:hAnsi="Amiri" w:eastAsia="Amiri" w:cs="Amiri"/>
          <w:color w:val="111111"/>
          <w:sz w:val="28"/>
          <w:sz w:val="28"/>
          <w:szCs w:val="28"/>
          <w:rtl w:val="true"/>
          <w:lang w:bidi="ar-SA"/>
        </w:rPr>
        <w:t>و الظّاهر انّ المراد منه التّناقض لأنّه مفهوم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لا يدري أين باتت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الفقهاء من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زاد على نصف اللّيل،قال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لا يكون بائتا بالنّصف فإنّ من خرج من جمع </w:t>
      </w:r>
      <w:r>
        <w:rPr>
          <w:rStyle w:val="FootnoteAnchor"/>
          <w:rtl w:val="true"/>
        </w:rPr>
        <w:footnoteReference w:id="1932"/>
      </w:r>
      <w:r>
        <w:rPr>
          <w:rFonts w:ascii="Amiri" w:hAnsi="Amiri" w:eastAsia="Amiri" w:cs="Amiri"/>
          <w:color w:val="111111"/>
          <w:sz w:val="28"/>
          <w:sz w:val="28"/>
          <w:szCs w:val="28"/>
          <w:rtl w:val="true"/>
          <w:lang w:bidi="ar-SA"/>
        </w:rPr>
        <w:t xml:space="preserve">قبل نصف اللّيل لا يكون بائتا و يجب الدّم،و هو ضعيف،لأنّه لو جاء بعد الانتصاف المزدلفة فإنّه يكون بائتا بها إجماعا و لا دم،و قد بات دون النّصف </w:t>
      </w:r>
      <w:r>
        <w:rPr>
          <w:rStyle w:val="FootnoteAnchor"/>
          <w:rtl w:val="true"/>
        </w:rPr>
        <w:footnoteReference w:id="19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57" w:name="__RefHeading___Toc747467_222507752"/>
      <w:bookmarkStart w:id="1058" w:name="_Toc424"/>
      <w:bookmarkEnd w:id="1057"/>
      <w:r>
        <w:rPr>
          <w:rtl w:val="true"/>
        </w:rPr>
        <w:t>الثّامن</w:t>
      </w:r>
      <w:r>
        <w:rPr>
          <w:rtl w:val="true"/>
        </w:rPr>
        <w:t>:</w:t>
      </w:r>
      <w:r>
        <w:rPr>
          <w:rtl w:val="true"/>
        </w:rPr>
        <w:t>لا يفتقر إلى نيّة في غسل اليدين لأنّه معلّل بوهم النّجاسة</w:t>
      </w:r>
      <w:bookmarkEnd w:id="1058"/>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 تحقّقها لا تجب النّيّة فمع توهّمها أولى،و لأنّه قد فعل المأمور به و هو الغسل فيحصل الإجزاء،و القائلون بالوجوب أوجبوا النّيّة في أحد الوجهين </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 xml:space="preserve">. </w:t>
      </w:r>
      <w:bookmarkStart w:id="1059" w:name="pg12672_160046"/>
    </w:p>
    <w:p>
      <w:pPr>
        <w:pStyle w:val="Heading6"/>
        <w:numPr>
          <w:ilvl w:val="5"/>
          <w:numId w:val="1"/>
        </w:numPr>
        <w:rPr/>
      </w:pPr>
      <w:bookmarkStart w:id="1060" w:name="__RefHeading___Toc747469_222507752"/>
      <w:bookmarkStart w:id="1061" w:name="_Toc425"/>
      <w:bookmarkEnd w:id="1059"/>
      <w:bookmarkEnd w:id="1060"/>
      <w:r>
        <w:rPr>
          <w:rtl w:val="true"/>
        </w:rPr>
        <w:t>التّاسع</w:t>
      </w:r>
      <w:r>
        <w:rPr>
          <w:rtl w:val="true"/>
        </w:rPr>
        <w:t>:</w:t>
      </w:r>
      <w:r>
        <w:rPr>
          <w:rtl w:val="true"/>
        </w:rPr>
        <w:t>لا يفتقر إلى تسمية،</w:t>
      </w:r>
      <w:bookmarkEnd w:id="1061"/>
    </w:p>
    <w:p>
      <w:pPr>
        <w:pStyle w:val="BookText"/>
        <w:rPr/>
      </w:pPr>
      <w:r>
        <w:rPr>
          <w:rFonts w:ascii="Amiri" w:hAnsi="Amiri" w:eastAsia="Amiri" w:cs="Amiri"/>
          <w:color w:val="111111"/>
          <w:sz w:val="28"/>
          <w:sz w:val="28"/>
          <w:szCs w:val="28"/>
          <w:rtl w:val="true"/>
          <w:lang w:bidi="ar-SA"/>
        </w:rPr>
        <w:t>و قال بعض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يفتقر،قياسا على الوضوء </w:t>
      </w:r>
      <w:r>
        <w:rPr>
          <w:rStyle w:val="FootnoteAnchor"/>
          <w:rtl w:val="true"/>
        </w:rPr>
        <w:footnoteReference w:id="1935"/>
      </w:r>
      <w:r>
        <w:rPr>
          <w:rFonts w:ascii="Amiri" w:hAnsi="Amiri" w:eastAsia="Amiri" w:cs="Amiri"/>
          <w:color w:val="111111"/>
          <w:sz w:val="28"/>
          <w:sz w:val="28"/>
          <w:szCs w:val="28"/>
          <w:rtl w:val="true"/>
          <w:lang w:bidi="ar-SA"/>
        </w:rPr>
        <w:t>، و نحن نمنع الحكم في الأصل لما يأتي،و يظهر الفرق بأنّ الوضوء آكد و هو في أربعة أعضاء، 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شرط القياس حصول العلّة المتوقّف على معقوليّة المعنى و هو غير معقول هنا </w:t>
      </w:r>
      <w:r>
        <w:rPr>
          <w:rFonts w:eastAsia="Amiri" w:cs="Amiri" w:ascii="Amiri" w:hAnsi="Amiri"/>
          <w:color w:val="111111"/>
          <w:sz w:val="28"/>
          <w:szCs w:val="28"/>
          <w:rtl w:val="true"/>
          <w:lang w:bidi="ar-SA"/>
        </w:rPr>
        <w:t>.</w:t>
      </w:r>
    </w:p>
    <w:p>
      <w:pPr>
        <w:pStyle w:val="Heading6"/>
        <w:numPr>
          <w:ilvl w:val="5"/>
          <w:numId w:val="1"/>
        </w:numPr>
        <w:rPr/>
      </w:pPr>
      <w:bookmarkStart w:id="1062" w:name="__RefHeading___Toc747471_222507752"/>
      <w:bookmarkStart w:id="1063" w:name="_Toc426"/>
      <w:bookmarkEnd w:id="1062"/>
      <w:r>
        <w:rPr>
          <w:rtl w:val="true"/>
        </w:rPr>
        <w:t>العاشر</w:t>
      </w:r>
      <w:r>
        <w:rPr>
          <w:rtl w:val="true"/>
        </w:rPr>
        <w:t>:</w:t>
      </w:r>
      <w:r>
        <w:rPr>
          <w:rtl w:val="true"/>
        </w:rPr>
        <w:t>المستحبّ عندنا غسل اليدين من حدث البول و النّوم مرّة واحدة</w:t>
      </w:r>
      <w:bookmarkEnd w:id="1063"/>
    </w:p>
    <w:p>
      <w:pPr>
        <w:pStyle w:val="BookText"/>
        <w:rPr/>
      </w:pPr>
      <w:r>
        <w:rPr>
          <w:rFonts w:ascii="Amiri" w:hAnsi="Amiri" w:eastAsia="Amiri" w:cs="Amiri"/>
          <w:color w:val="111111"/>
          <w:sz w:val="28"/>
          <w:sz w:val="28"/>
          <w:szCs w:val="28"/>
          <w:rtl w:val="true"/>
          <w:lang w:bidi="ar-SA"/>
        </w:rPr>
        <w:t xml:space="preserve">و من الغائط مرّتين و من الجنابة ثلاثا،لأنّ تفاوت الأحداث يناسب تفاوت الغسل،و الجمهور استحبّوا غسلهما من حدث النّوم ثلاثا خاصّة </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تقدّم في حديث الحلبيّ و حديث حريز،عن الباقر عليه السّلام،و قد تقدّما </w:t>
      </w:r>
      <w:r>
        <w:rPr>
          <w:rStyle w:val="FootnoteAnchor"/>
          <w:rtl w:val="true"/>
        </w:rPr>
        <w:footnoteReference w:id="1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احتجّوا بما رواه أبو هريرة انّ النّبيّ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استيقظ أحدكم من منامه فلا يغمس يده في الإناء حتّى يغسلها ثلاثا،فإنّه لا يدري أين باتت يده</w:t>
      </w:r>
      <w:r>
        <w:rPr>
          <w:rFonts w:eastAsia="Amiri" w:cs="Amiri" w:ascii="Amiri" w:hAnsi="Amiri"/>
          <w:color w:val="111111"/>
          <w:sz w:val="28"/>
          <w:szCs w:val="28"/>
          <w:rtl w:val="true"/>
          <w:lang w:bidi="ar-SA"/>
        </w:rPr>
        <w:t xml:space="preserve">) </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أصحاب ابن مسعود أنكروا على أبي هريرة هذا،و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نصنع بالمهراس </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64" w:name="__RefHeading___Toc747473_222507752"/>
      <w:bookmarkStart w:id="1065" w:name="_Toc427"/>
      <w:bookmarkEnd w:id="1064"/>
      <w:r>
        <w:rPr>
          <w:rtl w:val="true"/>
        </w:rPr>
        <w:t>الحادي عشر</w:t>
      </w:r>
      <w:r>
        <w:rPr>
          <w:rtl w:val="true"/>
        </w:rPr>
        <w:t>:</w:t>
      </w:r>
      <w:r>
        <w:rPr>
          <w:rtl w:val="true"/>
        </w:rPr>
        <w:t>لو تعدّدت الأحداث فالأولى التّداخل</w:t>
      </w:r>
      <w:bookmarkEnd w:id="1065"/>
    </w:p>
    <w:p>
      <w:pPr>
        <w:pStyle w:val="BookText"/>
        <w:rPr/>
      </w:pPr>
      <w:r>
        <w:rPr>
          <w:rFonts w:ascii="IRNazanin" w:hAnsi="IRNazanin" w:eastAsia="IRNazanin"/>
          <w:color w:val="111111"/>
          <w:sz w:val="28"/>
          <w:sz w:val="28"/>
          <w:szCs w:val="28"/>
          <w:rtl w:val="true"/>
          <w:lang w:bidi="fa-IR"/>
        </w:rPr>
        <w:t xml:space="preserve">سواء اتّحد الجنس أو اختلف </w:t>
      </w:r>
      <w:r>
        <w:rPr>
          <w:rFonts w:eastAsia="IRNazanin" w:cs="IRNazanin"/>
          <w:color w:val="111111"/>
          <w:sz w:val="28"/>
          <w:szCs w:val="28"/>
          <w:rtl w:val="true"/>
          <w:lang w:bidi="fa-IR"/>
        </w:rPr>
        <w:t>.</w:t>
      </w:r>
    </w:p>
    <w:p>
      <w:pPr>
        <w:pStyle w:val="Heading6"/>
        <w:numPr>
          <w:ilvl w:val="5"/>
          <w:numId w:val="1"/>
        </w:numPr>
        <w:rPr/>
      </w:pPr>
      <w:bookmarkStart w:id="1066" w:name="__RefHeading___Toc747475_222507752"/>
      <w:bookmarkStart w:id="1067" w:name="_Toc428"/>
      <w:bookmarkEnd w:id="1066"/>
      <w:r>
        <w:rPr>
          <w:rtl w:val="true"/>
        </w:rPr>
        <w:t>الثّاني عشر</w:t>
      </w:r>
      <w:r>
        <w:rPr>
          <w:rtl w:val="true"/>
        </w:rPr>
        <w:t>:</w:t>
      </w:r>
      <w:r>
        <w:rPr>
          <w:rtl w:val="true"/>
        </w:rPr>
        <w:t>الوجه اختصاص التّعبّد بذلك بالماء القليل،</w:t>
      </w:r>
      <w:bookmarkEnd w:id="1067"/>
    </w:p>
    <w:p>
      <w:pPr>
        <w:pStyle w:val="BookText"/>
        <w:rPr/>
      </w:pPr>
      <w:r>
        <w:rPr>
          <w:rFonts w:ascii="Amiri" w:hAnsi="Amiri" w:eastAsia="Amiri" w:cs="Amiri"/>
          <w:color w:val="111111"/>
          <w:sz w:val="28"/>
          <w:sz w:val="28"/>
          <w:szCs w:val="28"/>
          <w:rtl w:val="true"/>
          <w:lang w:bidi="ar-SA"/>
        </w:rPr>
        <w:t>فلو كانت الآنية تسع الكرّ لم يستحب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غمس يده في نهر 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الأقرب انّ غسل اليدين تعبّد محض فلو تيقّن طهارة يده استحبّ له غسلها قبل الإدخال،و لو لم يرد الطّهارة ففي استحباب غسلها إشكال،أقربه ذلك،لعموم الأمر بالغسل لمريد الغمس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يستحبّ غسلها لمن قام من النّوم و من لم يقم،و سواء توهّم على يده نجاسة أولا</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غسلها من سنن الوضوء؟فيه احتمال من حيث الأمر به عند الوضوء و من حيث </w:t>
      </w:r>
      <w:bookmarkStart w:id="1068" w:name="pg12672_160047"/>
    </w:p>
    <w:p>
      <w:pPr>
        <w:pStyle w:val="BookText"/>
        <w:rPr/>
      </w:pPr>
      <w:bookmarkEnd w:id="1068"/>
      <w:r>
        <w:rPr>
          <w:rFonts w:ascii="Amiri" w:hAnsi="Amiri" w:eastAsia="Amiri" w:cs="Amiri"/>
          <w:color w:val="111111"/>
          <w:sz w:val="28"/>
          <w:sz w:val="28"/>
          <w:szCs w:val="28"/>
          <w:rtl w:val="true"/>
          <w:lang w:bidi="ar-SA"/>
        </w:rPr>
        <w:t>انّ الأمر به لتوهّم النّجاسة،لقوله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يدري أين باتت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فيكون من جملة السّنن </w:t>
      </w:r>
      <w:r>
        <w:rPr>
          <w:rFonts w:eastAsia="Amiri" w:cs="Amiri" w:ascii="Amiri" w:hAnsi="Amiri"/>
          <w:color w:val="111111"/>
          <w:sz w:val="28"/>
          <w:szCs w:val="28"/>
          <w:rtl w:val="true"/>
          <w:lang w:bidi="ar-SA"/>
        </w:rPr>
        <w:t>.</w:t>
      </w:r>
    </w:p>
    <w:p>
      <w:pPr>
        <w:pStyle w:val="Heading6"/>
        <w:numPr>
          <w:ilvl w:val="5"/>
          <w:numId w:val="1"/>
        </w:numPr>
        <w:rPr/>
      </w:pPr>
      <w:bookmarkStart w:id="1069" w:name="__RefHeading___Toc747477_222507752"/>
      <w:bookmarkStart w:id="1070" w:name="_Toc429"/>
      <w:bookmarkEnd w:id="1069"/>
      <w:r>
        <w:rPr>
          <w:rtl w:val="true"/>
        </w:rPr>
        <w:t>مسألة</w:t>
      </w:r>
      <w:r>
        <w:rPr>
          <w:rtl w:val="true"/>
        </w:rPr>
        <w:t>:</w:t>
      </w:r>
      <w:r>
        <w:rPr>
          <w:rtl w:val="true"/>
        </w:rPr>
        <w:t>و يستحبّ التّسمية في ابتداء الطّهارة</w:t>
      </w:r>
      <w:bookmarkEnd w:id="10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مذهب عامّة العلماء،و هو إحدى الرّوايتين عن أحمد،و في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انّها واجبة </w:t>
      </w:r>
      <w:r>
        <w:rPr>
          <w:rStyle w:val="FootnoteAnchor"/>
          <w:rtl w:val="true"/>
        </w:rPr>
        <w:footnoteReference w:id="1940"/>
      </w:r>
      <w:r>
        <w:rPr>
          <w:rFonts w:ascii="Amiri" w:hAnsi="Amiri" w:eastAsia="Amiri" w:cs="Amiri"/>
          <w:color w:val="111111"/>
          <w:sz w:val="28"/>
          <w:sz w:val="28"/>
          <w:szCs w:val="28"/>
          <w:rtl w:val="true"/>
          <w:lang w:bidi="ar-SA"/>
        </w:rPr>
        <w:t xml:space="preserve">،و به قال إسحاق بن راهويه </w:t>
      </w:r>
      <w:r>
        <w:rPr>
          <w:rStyle w:val="FootnoteAnchor"/>
          <w:rtl w:val="true"/>
        </w:rPr>
        <w:footnoteReference w:id="1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فَاغْسِلُوا </w:t>
      </w:r>
      <w:r>
        <w:rPr>
          <w:rStyle w:val="FootnoteAnchor"/>
          <w:rtl w:val="true"/>
        </w:rPr>
        <w:footnoteReference w:id="1942"/>
      </w:r>
      <w:r>
        <w:rPr>
          <w:rFonts w:ascii="Amiri" w:hAnsi="Amiri" w:eastAsia="Amiri" w:cs="Amiri"/>
          <w:color w:val="111111"/>
          <w:sz w:val="28"/>
          <w:sz w:val="28"/>
          <w:szCs w:val="28"/>
          <w:rtl w:val="true"/>
          <w:lang w:bidi="ar-SA"/>
        </w:rPr>
        <w:t>عقّب القيام بالغسل فانتفت الواسطة بين إرادة الصّلاة و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الجمهور انّ النّبيّ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توضّأ فذكر اسم اللّه عليه كان طهورا لجميع بدنه،و من توضّأ و لم يذكر اسم اللّه عليه كان طهورا لأعضاء وضوئه</w:t>
      </w:r>
      <w:r>
        <w:rPr>
          <w:rFonts w:eastAsia="Amiri" w:cs="Amiri" w:ascii="Amiri" w:hAnsi="Amiri"/>
          <w:color w:val="111111"/>
          <w:sz w:val="28"/>
          <w:szCs w:val="28"/>
          <w:rtl w:val="true"/>
          <w:lang w:bidi="ar-SA"/>
        </w:rPr>
        <w:t xml:space="preserve">) </w:t>
      </w:r>
      <w:r>
        <w:rPr>
          <w:rStyle w:val="FootnoteAnchor"/>
          <w:rtl w:val="true"/>
        </w:rPr>
        <w:footnoteReference w:id="1943"/>
      </w:r>
      <w:r>
        <w:rPr>
          <w:rFonts w:ascii="Amiri" w:hAnsi="Amiri" w:eastAsia="Amiri" w:cs="Amiri"/>
          <w:color w:val="111111"/>
          <w:sz w:val="28"/>
          <w:sz w:val="28"/>
          <w:szCs w:val="28"/>
          <w:rtl w:val="true"/>
          <w:lang w:bidi="ar-SA"/>
        </w:rPr>
        <w:t>و معنى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 من الذّنوب،لأنّ رفع الحدث لا يتبعّض،و ذلك يدلّ على انّ التّسمية موضع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 في الصّحيح،عن زرارة،عن أبي جعفر عليه السّلام حكاية وضوء رسول اللّه صلّى اللّه عليه و آله و لم يذكر فيه التّسمية،و لو كانت واجبة لوجوب ذكرها </w:t>
      </w:r>
      <w:r>
        <w:rPr>
          <w:rStyle w:val="FootnoteAnchor"/>
          <w:rtl w:val="true"/>
        </w:rPr>
        <w:footnoteReference w:id="1944"/>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في الصّحيح،عن ابن أبي عمير،عن بعض أصحابنا،عن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سمّيت في الوضوء،طهر جسدك كلّه و إذا لم تسمّ لم يطهر من جسدك إلاّ ما مرّ عليه الماء</w:t>
      </w:r>
      <w:r>
        <w:rPr>
          <w:rFonts w:eastAsia="Amiri" w:cs="Amiri" w:ascii="Amiri" w:hAnsi="Amiri"/>
          <w:color w:val="111111"/>
          <w:sz w:val="28"/>
          <w:szCs w:val="28"/>
          <w:rtl w:val="true"/>
          <w:lang w:bidi="ar-SA"/>
        </w:rPr>
        <w:t xml:space="preserve">) </w:t>
      </w:r>
      <w:r>
        <w:rPr>
          <w:rStyle w:val="FootnoteAnchor"/>
          <w:rtl w:val="true"/>
        </w:rPr>
        <w:footnoteReference w:id="1945"/>
      </w:r>
      <w:r>
        <w:rPr>
          <w:rFonts w:ascii="Amiri" w:hAnsi="Amiri" w:eastAsia="Amiri" w:cs="Amiri"/>
          <w:color w:val="111111"/>
          <w:sz w:val="28"/>
          <w:sz w:val="28"/>
          <w:szCs w:val="28"/>
          <w:rtl w:val="true"/>
          <w:lang w:bidi="ar-SA"/>
        </w:rPr>
        <w:t>و لو كانت شرطا لكان الإخلال بها مبطلا،فلا تحصّل طهارة شيء من الأعضاء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في الصّحيح،عن عيص بن القاسم،عن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ذكر اسم اللّه تعالى على وضوئه فكأنّما اغتسل</w:t>
      </w:r>
      <w:r>
        <w:rPr>
          <w:rFonts w:eastAsia="Amiri" w:cs="Amiri" w:ascii="Amiri" w:hAnsi="Amiri"/>
          <w:color w:val="111111"/>
          <w:sz w:val="28"/>
          <w:szCs w:val="28"/>
          <w:rtl w:val="true"/>
          <w:lang w:bidi="ar-SA"/>
        </w:rPr>
        <w:t xml:space="preserve">) </w:t>
      </w:r>
      <w:r>
        <w:rPr>
          <w:rStyle w:val="FootnoteAnchor"/>
          <w:rtl w:val="true"/>
        </w:rPr>
        <w:footnoteReference w:id="1946"/>
      </w:r>
      <w:r>
        <w:rPr>
          <w:rFonts w:ascii="Amiri" w:hAnsi="Amiri" w:eastAsia="Amiri" w:cs="Amiri"/>
          <w:color w:val="111111"/>
          <w:sz w:val="28"/>
          <w:sz w:val="28"/>
          <w:szCs w:val="28"/>
          <w:rtl w:val="true"/>
          <w:lang w:bidi="ar-SA"/>
        </w:rPr>
        <w:t>و ذلك يدلّ على تأكّد الاستحباب فإنّ المشبّه به غير واجب،فلا يكون الطّريق إليه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يعارض هذا ما رواه الشّيخ في الصّحيح،عن بعض أصحابنا،عن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توضّأ و صلّى فقال له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 صلاتك و وضوءك،ففعل فتوضّأ و صلّى،فقال له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 وضوءك و صلاتك،ففعل فتوضّأ و صلّى،فقال له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 وضوءك و صلاتك فأتى أمير المؤمنين عليه السّلام فشكا ذلك إليه،فقال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سمّيت حيث توضّأت؟قال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لا،قال فسمّ على وضوئك فسمّى فأتى النّبيّ صلّى اللّه عليه و آله فلم يأمره أن يعيد الوضوء</w:t>
      </w:r>
      <w:r>
        <w:rPr>
          <w:rFonts w:eastAsia="Amiri" w:cs="Amiri" w:ascii="Amiri" w:hAnsi="Amiri"/>
          <w:color w:val="111111"/>
          <w:sz w:val="28"/>
          <w:szCs w:val="28"/>
          <w:rtl w:val="true"/>
          <w:lang w:bidi="ar-SA"/>
        </w:rPr>
        <w:t xml:space="preserve">) </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بما </w:t>
      </w:r>
      <w:r>
        <w:rPr>
          <w:rStyle w:val="FootnoteAnchor"/>
          <w:rtl w:val="true"/>
        </w:rPr>
        <w:footnoteReference w:id="1948"/>
      </w:r>
      <w:r>
        <w:rPr>
          <w:rFonts w:ascii="Amiri" w:hAnsi="Amiri" w:eastAsia="Amiri" w:cs="Amiri"/>
          <w:color w:val="111111"/>
          <w:sz w:val="28"/>
          <w:sz w:val="28"/>
          <w:szCs w:val="28"/>
          <w:rtl w:val="true"/>
          <w:lang w:bidi="ar-SA"/>
        </w:rPr>
        <w:t xml:space="preserve">استدلّ به أهل الظّاهر </w:t>
      </w:r>
      <w:r>
        <w:rPr>
          <w:rStyle w:val="FootnoteAnchor"/>
          <w:rtl w:val="true"/>
        </w:rPr>
        <w:footnoteReference w:id="1949"/>
      </w:r>
      <w:r>
        <w:rPr>
          <w:rFonts w:ascii="Amiri" w:hAnsi="Amiri" w:eastAsia="Amiri" w:cs="Amiri"/>
          <w:color w:val="111111"/>
          <w:sz w:val="28"/>
          <w:sz w:val="28"/>
          <w:szCs w:val="28"/>
          <w:rtl w:val="true"/>
          <w:lang w:bidi="ar-SA"/>
        </w:rPr>
        <w:t>من 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وضوء لمن لم يذكر اسم اللّه عليه</w:t>
      </w:r>
      <w:r>
        <w:rPr>
          <w:rFonts w:eastAsia="Amiri" w:cs="Amiri" w:ascii="Amiri" w:hAnsi="Amiri"/>
          <w:color w:val="111111"/>
          <w:sz w:val="28"/>
          <w:szCs w:val="28"/>
          <w:rtl w:val="true"/>
          <w:lang w:bidi="ar-SA"/>
        </w:rPr>
        <w:t xml:space="preserve">) </w:t>
      </w:r>
      <w:r>
        <w:rPr>
          <w:rStyle w:val="FootnoteAnchor"/>
          <w:rtl w:val="true"/>
        </w:rPr>
        <w:footnoteReference w:id="1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لأنّا نجيب عن الأوّل بأنّه يحتمل أن يكون المراد بالتّسمية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النّيّة،إطلاقا لاسم الجزء على الكلّ،و ذلك باب مستعمل في المجاز يجب المصير إليه عند وجود الإجماع على امتناع الحمل على الحقيقة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الثّاني بذلك أيضا،على انّ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يثبت في هذا حديث،و لا أعلم فيه </w:t>
      </w:r>
      <w:bookmarkStart w:id="1071" w:name="pg12672_160049"/>
    </w:p>
    <w:p>
      <w:pPr>
        <w:pStyle w:val="BookText"/>
        <w:rPr/>
      </w:pPr>
      <w:bookmarkEnd w:id="1071"/>
      <w:r>
        <w:rPr>
          <w:rFonts w:ascii="Amiri" w:hAnsi="Amiri" w:eastAsia="Amiri" w:cs="Amiri"/>
          <w:color w:val="111111"/>
          <w:sz w:val="28"/>
          <w:sz w:val="28"/>
          <w:szCs w:val="28"/>
          <w:rtl w:val="true"/>
          <w:lang w:bidi="ar-SA"/>
        </w:rPr>
        <w:t xml:space="preserve">حديثا له إسناد جيّد </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الحسن بن محمّد </w:t>
      </w:r>
      <w:r>
        <w:rPr>
          <w:rStyle w:val="FootnoteAnchor"/>
          <w:rtl w:val="true"/>
        </w:rPr>
        <w:footnoteReference w:id="19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ضعّف أبو عبد اللّه الحديث في التّسمية فإنّ رجاله مجهولون، و لو سلّم فالمراد نفي الكمال </w:t>
      </w:r>
      <w:r>
        <w:rPr>
          <w:rStyle w:val="FootnoteAnchor"/>
          <w:rtl w:val="true"/>
        </w:rPr>
        <w:footnoteReference w:id="1953"/>
      </w:r>
      <w:r>
        <w:rPr>
          <w:rFonts w:ascii="Amiri" w:hAnsi="Amiri" w:eastAsia="Amiri" w:cs="Amiri"/>
          <w:color w:val="111111"/>
          <w:sz w:val="28"/>
          <w:sz w:val="28"/>
          <w:szCs w:val="28"/>
          <w:rtl w:val="true"/>
          <w:lang w:bidi="ar-SA"/>
        </w:rPr>
        <w:t>كقوله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لجار المسجد إلاّ في المسجد</w:t>
      </w:r>
      <w:r>
        <w:rPr>
          <w:rFonts w:eastAsia="Amiri" w:cs="Amiri" w:ascii="Amiri" w:hAnsi="Amiri"/>
          <w:color w:val="111111"/>
          <w:sz w:val="28"/>
          <w:szCs w:val="28"/>
          <w:rtl w:val="true"/>
          <w:lang w:bidi="ar-SA"/>
        </w:rPr>
        <w:t xml:space="preserve">) </w:t>
      </w:r>
      <w:r>
        <w:rPr>
          <w:rStyle w:val="FootnoteAnchor"/>
          <w:rtl w:val="true"/>
        </w:rPr>
        <w:footnoteReference w:id="1954"/>
      </w:r>
      <w:r>
        <w:rPr>
          <w:rFonts w:ascii="Amiri" w:hAnsi="Amiri" w:eastAsia="Amiri" w:cs="Amiri"/>
          <w:color w:val="111111"/>
          <w:sz w:val="28"/>
          <w:sz w:val="28"/>
          <w:szCs w:val="28"/>
          <w:rtl w:val="true"/>
          <w:lang w:bidi="ar-SA"/>
        </w:rPr>
        <w:t>جمعا بين الأدلّة</w:t>
      </w:r>
      <w:r>
        <w:rPr>
          <w:rFonts w:eastAsia="Amiri" w:cs="Amiri" w:ascii="Amiri" w:hAnsi="Amiri"/>
          <w:color w:val="111111"/>
          <w:sz w:val="28"/>
          <w:szCs w:val="28"/>
          <w:rtl w:val="true"/>
          <w:lang w:bidi="ar-SA"/>
        </w:rPr>
        <w:t>.</w:t>
      </w:r>
    </w:p>
    <w:p>
      <w:pPr>
        <w:pStyle w:val="Heading6"/>
        <w:numPr>
          <w:ilvl w:val="5"/>
          <w:numId w:val="1"/>
        </w:numPr>
        <w:rPr/>
      </w:pPr>
      <w:bookmarkStart w:id="1072" w:name="__RefHeading___Toc747479_222507752"/>
      <w:bookmarkStart w:id="1073" w:name="_Toc430"/>
      <w:bookmarkEnd w:id="1072"/>
      <w:r>
        <w:rPr>
          <w:rtl w:val="true"/>
        </w:rPr>
        <w:t>فروع</w:t>
      </w:r>
      <w:r>
        <w:rPr>
          <w:rtl w:val="true"/>
        </w:rPr>
        <w:t>:</w:t>
      </w:r>
      <w:bookmarkEnd w:id="1073"/>
    </w:p>
    <w:p>
      <w:pPr>
        <w:pStyle w:val="Heading6"/>
        <w:numPr>
          <w:ilvl w:val="5"/>
          <w:numId w:val="1"/>
        </w:numPr>
        <w:rPr/>
      </w:pPr>
      <w:bookmarkStart w:id="1074" w:name="__RefHeading___Toc747481_222507752"/>
      <w:bookmarkStart w:id="1075" w:name="_Toc431"/>
      <w:bookmarkEnd w:id="1074"/>
      <w:r>
        <w:rPr>
          <w:rtl w:val="true"/>
        </w:rPr>
        <w:t>الأوّل</w:t>
      </w:r>
      <w:r>
        <w:rPr>
          <w:rtl w:val="true"/>
        </w:rPr>
        <w:t>:</w:t>
      </w:r>
      <w:r>
        <w:rPr>
          <w:rtl w:val="true"/>
        </w:rPr>
        <w:t>لو تركها عمدا أو سهوا لم تبطل طهارته</w:t>
      </w:r>
      <w:bookmarkEnd w:id="1075"/>
    </w:p>
    <w:p>
      <w:pPr>
        <w:pStyle w:val="BookText"/>
        <w:rPr/>
      </w:pPr>
      <w:r>
        <w:rPr>
          <w:rFonts w:ascii="Amiri" w:hAnsi="Amiri" w:eastAsia="Amiri" w:cs="Amiri"/>
          <w:color w:val="111111"/>
          <w:sz w:val="28"/>
          <w:sz w:val="28"/>
          <w:szCs w:val="28"/>
          <w:rtl w:val="true"/>
          <w:lang w:bidi="ar-SA"/>
        </w:rPr>
        <w:t>و هو ظاهر على قولنا،أمّا القائلون بالوجوب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تركها عمدا بطلت طهارته،لأنّه ترك واجبا في الطّهارة فأشبه ما لو ترك النّيّة </w:t>
      </w:r>
      <w:r>
        <w:rPr>
          <w:rStyle w:val="FootnoteAnchor"/>
          <w:rtl w:val="true"/>
        </w:rPr>
        <w:footnoteReference w:id="1955"/>
      </w:r>
      <w:r>
        <w:rPr>
          <w:rFonts w:ascii="Amiri" w:hAnsi="Amiri" w:eastAsia="Amiri" w:cs="Amiri"/>
          <w:color w:val="111111"/>
          <w:sz w:val="28"/>
          <w:sz w:val="28"/>
          <w:szCs w:val="28"/>
          <w:rtl w:val="true"/>
          <w:lang w:bidi="ar-SA"/>
        </w:rPr>
        <w:t>،و هو ضعيف فإنّ الأصل الصّحّة،و قياسهم مقلوب،فإنّا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يشترط فيه العمد كالنّيّة و هم قد اشترطوه،فإنّ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تركها ناسيا أرجو أن لا يكون عليه شيء </w:t>
      </w:r>
      <w:r>
        <w:rPr>
          <w:rStyle w:val="FootnoteAnchor"/>
          <w:rtl w:val="true"/>
        </w:rPr>
        <w:footnoteReference w:id="1956"/>
      </w:r>
      <w:r>
        <w:rPr>
          <w:rFonts w:ascii="Amiri" w:hAnsi="Amiri" w:eastAsia="Amiri" w:cs="Amiri"/>
          <w:color w:val="111111"/>
          <w:sz w:val="28"/>
          <w:sz w:val="28"/>
          <w:szCs w:val="28"/>
          <w:rtl w:val="true"/>
          <w:lang w:bidi="ar-SA"/>
        </w:rPr>
        <w:t xml:space="preserve">،و هذا النّوع من القلب يسمّى قلبا لإبطال مذهب المستدلّ بالإلزام </w:t>
      </w:r>
      <w:r>
        <w:rPr>
          <w:rFonts w:eastAsia="Amiri" w:cs="Amiri" w:ascii="Amiri" w:hAnsi="Amiri"/>
          <w:color w:val="111111"/>
          <w:sz w:val="28"/>
          <w:szCs w:val="28"/>
          <w:rtl w:val="true"/>
          <w:lang w:bidi="ar-SA"/>
        </w:rPr>
        <w:t>.</w:t>
      </w:r>
    </w:p>
    <w:p>
      <w:pPr>
        <w:pStyle w:val="Heading6"/>
        <w:numPr>
          <w:ilvl w:val="5"/>
          <w:numId w:val="1"/>
        </w:numPr>
        <w:rPr/>
      </w:pPr>
      <w:bookmarkStart w:id="1076" w:name="__RefHeading___Toc747483_222507752"/>
      <w:bookmarkStart w:id="1077" w:name="_Toc432"/>
      <w:bookmarkEnd w:id="1076"/>
      <w:r>
        <w:rPr>
          <w:rtl w:val="true"/>
        </w:rPr>
        <w:t>الثّاني</w:t>
      </w:r>
      <w:r>
        <w:rPr>
          <w:rtl w:val="true"/>
        </w:rPr>
        <w:t>:</w:t>
      </w:r>
      <w:r>
        <w:rPr>
          <w:rtl w:val="true"/>
        </w:rPr>
        <w:t>لو فعلها خلال الطّهارة لم يكن قد أتى بالمستحبّ</w:t>
      </w:r>
      <w:bookmarkEnd w:id="1077"/>
    </w:p>
    <w:p>
      <w:pPr>
        <w:pStyle w:val="BookText"/>
        <w:rPr/>
      </w:pPr>
      <w:r>
        <w:rPr>
          <w:rFonts w:ascii="Amiri" w:hAnsi="Amiri" w:eastAsia="Amiri" w:cs="Amiri"/>
          <w:color w:val="111111"/>
          <w:sz w:val="28"/>
          <w:sz w:val="28"/>
          <w:szCs w:val="28"/>
          <w:rtl w:val="true"/>
          <w:lang w:bidi="ar-SA"/>
        </w:rPr>
        <w:t>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وضعت يدك في الماء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قد أتى بمستحب</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القائلون بالوجوب في الاعتداد بذلك فقال بعضهم </w:t>
      </w:r>
      <w:r>
        <w:rPr>
          <w:rStyle w:val="FootnoteAnchor"/>
          <w:rtl w:val="true"/>
        </w:rPr>
        <w:footnoteReference w:id="1957"/>
      </w:r>
      <w:r>
        <w:rPr>
          <w:rFonts w:ascii="Amiri" w:hAnsi="Amiri" w:eastAsia="Amiri" w:cs="Amiri"/>
          <w:color w:val="111111"/>
          <w:sz w:val="28"/>
          <w:sz w:val="28"/>
          <w:szCs w:val="28"/>
          <w:rtl w:val="true"/>
          <w:lang w:bidi="ar-SA"/>
        </w:rPr>
        <w:t>به،لأنّه قد ذكر اسم اللّه على وضوئه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تركها سهوا لا يسقط التّكليف بها </w:t>
      </w:r>
      <w:r>
        <w:rPr>
          <w:rStyle w:val="FootnoteAnchor"/>
          <w:rtl w:val="true"/>
        </w:rPr>
        <w:footnoteReference w:id="1958"/>
      </w:r>
      <w:r>
        <w:rPr>
          <w:rFonts w:ascii="Amiri" w:hAnsi="Amiri" w:eastAsia="Amiri" w:cs="Amiri"/>
          <w:color w:val="111111"/>
          <w:sz w:val="28"/>
          <w:sz w:val="28"/>
          <w:szCs w:val="28"/>
          <w:rtl w:val="true"/>
          <w:lang w:bidi="ar-SA"/>
        </w:rPr>
        <w:t xml:space="preserve">،و هو ضعيف </w:t>
      </w:r>
      <w:bookmarkStart w:id="1078" w:name="pg12672_160050"/>
    </w:p>
    <w:p>
      <w:pPr>
        <w:pStyle w:val="BookText"/>
        <w:rPr/>
      </w:pPr>
      <w:bookmarkEnd w:id="1078"/>
      <w:r>
        <w:rPr>
          <w:rFonts w:ascii="Amiri" w:hAnsi="Amiri" w:eastAsia="Amiri" w:cs="Amiri"/>
          <w:color w:val="111111"/>
          <w:sz w:val="28"/>
          <w:sz w:val="28"/>
          <w:szCs w:val="28"/>
          <w:rtl w:val="true"/>
          <w:lang w:bidi="ar-SA"/>
        </w:rPr>
        <w:t>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عن أمّتي الخطأ و النّسيان</w:t>
      </w:r>
      <w:r>
        <w:rPr>
          <w:rFonts w:eastAsia="Amiri" w:cs="Amiri" w:ascii="Amiri" w:hAnsi="Amiri"/>
          <w:color w:val="111111"/>
          <w:sz w:val="28"/>
          <w:szCs w:val="28"/>
          <w:rtl w:val="true"/>
          <w:lang w:bidi="ar-SA"/>
        </w:rPr>
        <w:t xml:space="preserve">) </w:t>
      </w:r>
      <w:r>
        <w:rPr>
          <w:rStyle w:val="FootnoteAnchor"/>
          <w:rtl w:val="true"/>
        </w:rPr>
        <w:footnoteReference w:id="195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79" w:name="__RefHeading___Toc747485_222507752"/>
      <w:bookmarkStart w:id="1080" w:name="_Toc433"/>
      <w:bookmarkEnd w:id="1079"/>
      <w:r>
        <w:rPr>
          <w:rtl w:val="true"/>
        </w:rPr>
        <w:t>الثّالث</w:t>
      </w:r>
      <w:r>
        <w:rPr>
          <w:rtl w:val="true"/>
        </w:rPr>
        <w:t>:</w:t>
      </w:r>
      <w:r>
        <w:rPr>
          <w:rtl w:val="true"/>
        </w:rPr>
        <w:t>كيفيّتها</w:t>
      </w:r>
      <w:r>
        <w:rPr>
          <w:rtl w:val="true"/>
        </w:rPr>
        <w:t>:</w:t>
      </w:r>
      <w:bookmarkEnd w:id="1080"/>
    </w:p>
    <w:p>
      <w:pPr>
        <w:pStyle w:val="BookText"/>
        <w:rPr/>
      </w:pPr>
      <w:r>
        <w:rPr>
          <w:rFonts w:ascii="Amiri" w:hAnsi="Amiri" w:eastAsia="Amiri" w:cs="Amiri"/>
          <w:color w:val="111111"/>
          <w:sz w:val="28"/>
          <w:sz w:val="28"/>
          <w:szCs w:val="28"/>
          <w:rtl w:val="true"/>
          <w:lang w:bidi="ar-SA"/>
        </w:rPr>
        <w:t>ما رواه الشّيخ في الصّحيح،عن زرارة،عن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وضعت يدك في الماء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باللّه،اللّهم اجعلني من التّوّابين و اجعلني من المتطهّرين،فإذا فرغت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العالمين </w:t>
      </w:r>
      <w:r>
        <w:rPr>
          <w:rStyle w:val="FootnoteAnchor"/>
          <w:rtl w:val="true"/>
        </w:rPr>
        <w:footnoteReference w:id="1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في الضّعيف،عن عبد الرّحمن بن كثير </w:t>
      </w:r>
      <w:r>
        <w:rPr>
          <w:rStyle w:val="FootnoteAnchor"/>
          <w:rtl w:val="true"/>
        </w:rPr>
        <w:footnoteReference w:id="1961"/>
      </w:r>
      <w:r>
        <w:rPr>
          <w:rFonts w:ascii="Amiri" w:hAnsi="Amiri" w:eastAsia="Amiri" w:cs="Amiri"/>
          <w:color w:val="111111"/>
          <w:sz w:val="28"/>
          <w:sz w:val="28"/>
          <w:szCs w:val="28"/>
          <w:rtl w:val="true"/>
          <w:lang w:bidi="ar-SA"/>
        </w:rPr>
        <w:t>،عن أبي عبد اللّه عليه السّلام،عن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الحمد للّه الّذي جعل الماء طهورا و لم يجعله نجسا</w:t>
      </w:r>
      <w:r>
        <w:rPr>
          <w:rFonts w:eastAsia="Amiri" w:cs="Amiri" w:ascii="Amiri" w:hAnsi="Amiri"/>
          <w:color w:val="111111"/>
          <w:sz w:val="28"/>
          <w:szCs w:val="28"/>
          <w:rtl w:val="true"/>
          <w:lang w:bidi="ar-SA"/>
        </w:rPr>
        <w:t xml:space="preserve">) </w:t>
      </w:r>
      <w:r>
        <w:rPr>
          <w:rStyle w:val="FootnoteAnchor"/>
          <w:rtl w:val="true"/>
        </w:rPr>
        <w:footnoteReference w:id="1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محمّد بن يعقوب في كتابه في الحسن،عن معاوية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توضّأت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لا إله إلاّ اللّه،اللهمّ اجعلني من التّوّابين و اجعلني من المتطهّرين و الحمد للّه ربّ العالمين </w:t>
      </w:r>
      <w:r>
        <w:rPr>
          <w:rStyle w:val="FootnoteAnchor"/>
          <w:rtl w:val="true"/>
        </w:rPr>
        <w:footnoteReference w:id="196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81" w:name="__RefHeading___Toc747487_222507752"/>
      <w:bookmarkStart w:id="1082" w:name="_Toc434"/>
      <w:bookmarkEnd w:id="1081"/>
      <w:r>
        <w:rPr>
          <w:rtl w:val="true"/>
        </w:rPr>
        <w:t>مسألة</w:t>
      </w:r>
      <w:r>
        <w:rPr>
          <w:rtl w:val="true"/>
        </w:rPr>
        <w:t>:</w:t>
      </w:r>
      <w:r>
        <w:rPr>
          <w:rtl w:val="true"/>
        </w:rPr>
        <w:t>قال علماؤنا</w:t>
      </w:r>
      <w:r>
        <w:rPr>
          <w:rtl w:val="true"/>
        </w:rPr>
        <w:t>:</w:t>
      </w:r>
      <w:r>
        <w:rPr>
          <w:rtl w:val="true"/>
        </w:rPr>
        <w:t>المضمضة و الاستنشاق مستحبّان غير واجبين في الطّهارتين</w:t>
      </w:r>
      <w:bookmarkEnd w:id="108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قال مالك </w:t>
      </w:r>
      <w:r>
        <w:rPr>
          <w:rStyle w:val="FootnoteAnchor"/>
          <w:rtl w:val="true"/>
        </w:rPr>
        <w:footnoteReference w:id="1964"/>
      </w:r>
      <w:r>
        <w:rPr>
          <w:rFonts w:ascii="Amiri" w:hAnsi="Amiri" w:eastAsia="Amiri" w:cs="Amiri"/>
          <w:color w:val="111111"/>
          <w:sz w:val="28"/>
          <w:sz w:val="28"/>
          <w:szCs w:val="28"/>
          <w:rtl w:val="true"/>
          <w:lang w:bidi="ar-SA"/>
        </w:rPr>
        <w:t xml:space="preserve">،و الشّافعيّ </w:t>
      </w:r>
      <w:r>
        <w:rPr>
          <w:rStyle w:val="FootnoteAnchor"/>
          <w:rtl w:val="true"/>
        </w:rPr>
        <w:footnoteReference w:id="1965"/>
      </w:r>
      <w:r>
        <w:rPr>
          <w:rFonts w:ascii="Amiri" w:hAnsi="Amiri" w:eastAsia="Amiri" w:cs="Amiri"/>
          <w:color w:val="111111"/>
          <w:sz w:val="28"/>
          <w:sz w:val="28"/>
          <w:szCs w:val="28"/>
          <w:rtl w:val="true"/>
          <w:lang w:bidi="ar-SA"/>
        </w:rPr>
        <w:t xml:space="preserve">،و الزّهريّ،و الحسن،و قتادة،و ربيعة،و يحيى </w:t>
      </w:r>
    </w:p>
    <w:p>
      <w:pPr>
        <w:pStyle w:val="BookText"/>
        <w:rPr/>
      </w:pPr>
      <w:r>
        <w:rPr>
          <w:rFonts w:ascii="Amiri" w:hAnsi="Amiri" w:eastAsia="Amiri" w:cs="Amiri"/>
          <w:color w:val="111111"/>
          <w:sz w:val="28"/>
          <w:sz w:val="28"/>
          <w:szCs w:val="28"/>
          <w:rtl w:val="true"/>
          <w:lang w:bidi="ar-SA"/>
        </w:rPr>
        <w:t xml:space="preserve">الأنصاريّ،و اللّيث،و الأوزاعيّ </w:t>
      </w:r>
      <w:r>
        <w:rPr>
          <w:rStyle w:val="FootnoteAnchor"/>
          <w:rtl w:val="true"/>
        </w:rPr>
        <w:footnoteReference w:id="1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إنّهما واجبان في الطّهارتين </w:t>
      </w:r>
      <w:r>
        <w:rPr>
          <w:rStyle w:val="FootnoteAnchor"/>
          <w:rtl w:val="true"/>
        </w:rPr>
        <w:footnoteReference w:id="19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إسحاق و ابن أبي ليلى </w:t>
      </w:r>
      <w:r>
        <w:rPr>
          <w:rStyle w:val="FootnoteAnchor"/>
          <w:rtl w:val="true"/>
        </w:rPr>
        <w:footnoteReference w:id="1968"/>
      </w:r>
      <w:r>
        <w:rPr>
          <w:rFonts w:ascii="Amiri" w:hAnsi="Amiri" w:eastAsia="Amiri" w:cs="Amiri"/>
          <w:color w:val="111111"/>
          <w:sz w:val="28"/>
          <w:sz w:val="28"/>
          <w:szCs w:val="28"/>
          <w:rtl w:val="true"/>
          <w:lang w:bidi="ar-SA"/>
        </w:rPr>
        <w:t>، و روي عنه رواية اخرى انّ الواجب هو الاستنشاق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أبي ثور و داود </w:t>
      </w:r>
      <w:r>
        <w:rPr>
          <w:rStyle w:val="FootnoteAnchor"/>
          <w:rtl w:val="true"/>
        </w:rPr>
        <w:footnoteReference w:id="1969"/>
      </w:r>
      <w:r>
        <w:rPr>
          <w:rFonts w:ascii="Amiri" w:hAnsi="Amiri" w:eastAsia="Amiri" w:cs="Amiri"/>
          <w:color w:val="111111"/>
          <w:sz w:val="28"/>
          <w:sz w:val="28"/>
          <w:szCs w:val="28"/>
          <w:rtl w:val="true"/>
          <w:lang w:bidi="ar-SA"/>
        </w:rPr>
        <w:t>، و روي عنه أيضا انّ المضمضة و الاستنشاق واجبان في الكبرى،مستحبّان في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قول أبي حنيفة </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فَاغْسِلُوا وُجُوهَكُمْ </w:t>
      </w:r>
      <w:r>
        <w:rPr>
          <w:rStyle w:val="FootnoteAnchor"/>
          <w:rtl w:val="true"/>
        </w:rPr>
        <w:footnoteReference w:id="1971"/>
      </w:r>
      <w:r>
        <w:rPr>
          <w:rFonts w:ascii="Amiri" w:hAnsi="Amiri" w:eastAsia="Amiri" w:cs="Amiri"/>
          <w:color w:val="111111"/>
          <w:sz w:val="28"/>
          <w:sz w:val="28"/>
          <w:szCs w:val="28"/>
          <w:rtl w:val="true"/>
          <w:lang w:bidi="ar-SA"/>
        </w:rPr>
        <w:t>و لم يجعل فاصلا بين إرادة القيام و غسل الوجه و ذلك يقتضي الإجزاء بالمأمور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الجمهور،عن النّبيّ صلّى اللّه عليه و آله،انّه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من الفطرة</w:t>
      </w:r>
      <w:r>
        <w:rPr>
          <w:rFonts w:eastAsia="Amiri" w:cs="Amiri" w:ascii="Amiri" w:hAnsi="Amiri"/>
          <w:color w:val="111111"/>
          <w:sz w:val="28"/>
          <w:szCs w:val="28"/>
          <w:rtl w:val="true"/>
          <w:lang w:bidi="ar-SA"/>
        </w:rPr>
        <w:t xml:space="preserve">) </w:t>
      </w:r>
      <w:r>
        <w:rPr>
          <w:rStyle w:val="FootnoteAnchor"/>
          <w:rtl w:val="true"/>
        </w:rPr>
        <w:footnoteReference w:id="1972"/>
      </w:r>
      <w:r>
        <w:rPr>
          <w:rFonts w:ascii="Amiri" w:hAnsi="Amiri" w:eastAsia="Amiri" w:cs="Amiri"/>
          <w:color w:val="111111"/>
          <w:sz w:val="28"/>
          <w:sz w:val="28"/>
          <w:szCs w:val="28"/>
          <w:rtl w:val="true"/>
          <w:lang w:bidi="ar-SA"/>
        </w:rPr>
        <w:t>و ذكر فيها المضمضة و الاستنشاق،و الفطرة سنّة،و ذكره لهما من الفطرة يدلّ على مخالفتهما لسائر الوضوء</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زرارة،عن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المضمضة و الاستنشاق ليسا من الوضوء</w:t>
      </w:r>
      <w:r>
        <w:rPr>
          <w:rFonts w:eastAsia="Amiri" w:cs="Amiri" w:ascii="Amiri" w:hAnsi="Amiri"/>
          <w:color w:val="111111"/>
          <w:sz w:val="28"/>
          <w:szCs w:val="28"/>
          <w:rtl w:val="true"/>
          <w:lang w:bidi="ar-SA"/>
        </w:rPr>
        <w:t xml:space="preserve">) </w:t>
      </w:r>
      <w:r>
        <w:rPr>
          <w:rStyle w:val="FootnoteAnchor"/>
          <w:rtl w:val="true"/>
        </w:rPr>
        <w:footnoteReference w:id="1973"/>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ليسا من فرائضه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رواه في الحسن،عن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عنهما؟فقال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من الوضوء فإن نسيتهما فلا تعد</w:t>
      </w:r>
      <w:r>
        <w:rPr>
          <w:rFonts w:eastAsia="Amiri" w:cs="Amiri" w:ascii="Amiri" w:hAnsi="Amiri"/>
          <w:color w:val="111111"/>
          <w:sz w:val="28"/>
          <w:szCs w:val="28"/>
          <w:rtl w:val="true"/>
          <w:lang w:bidi="ar-SA"/>
        </w:rPr>
        <w:t xml:space="preserve">) </w:t>
      </w:r>
      <w:r>
        <w:rPr>
          <w:rStyle w:val="FootnoteAnchor"/>
          <w:rtl w:val="true"/>
        </w:rPr>
        <w:footnoteReference w:id="1974"/>
      </w:r>
      <w:r>
        <w:rPr>
          <w:rFonts w:ascii="Amiri" w:hAnsi="Amiri" w:eastAsia="Amiri" w:cs="Amiri"/>
          <w:color w:val="111111"/>
          <w:sz w:val="28"/>
          <w:sz w:val="28"/>
          <w:szCs w:val="28"/>
          <w:rtl w:val="true"/>
          <w:lang w:bidi="ar-SA"/>
        </w:rPr>
        <w:t>و هذا الخبر يدلّ على صحّة ما ذكرناه من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رواه،عن أبي بكر الحضرميّ </w:t>
      </w:r>
      <w:r>
        <w:rPr>
          <w:rStyle w:val="FootnoteAnchor"/>
          <w:rtl w:val="true"/>
        </w:rPr>
        <w:footnoteReference w:id="1975"/>
      </w:r>
      <w:r>
        <w:rPr>
          <w:rFonts w:ascii="Amiri" w:hAnsi="Amiri" w:eastAsia="Amiri" w:cs="Amiri"/>
          <w:color w:val="111111"/>
          <w:sz w:val="28"/>
          <w:sz w:val="28"/>
          <w:szCs w:val="28"/>
          <w:rtl w:val="true"/>
          <w:lang w:bidi="ar-SA"/>
        </w:rPr>
        <w:t>،عن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 استنشاق و لا مضمضة لأنّهما من الجوف</w:t>
      </w:r>
      <w:r>
        <w:rPr>
          <w:rFonts w:eastAsia="Amiri" w:cs="Amiri" w:ascii="Amiri" w:hAnsi="Amiri"/>
          <w:color w:val="111111"/>
          <w:sz w:val="28"/>
          <w:szCs w:val="28"/>
          <w:rtl w:val="true"/>
          <w:lang w:bidi="ar-SA"/>
        </w:rPr>
        <w:t xml:space="preserve">) </w:t>
      </w:r>
      <w:r>
        <w:rPr>
          <w:rStyle w:val="FootnoteAnchor"/>
          <w:rtl w:val="true"/>
        </w:rPr>
        <w:footnoteReference w:id="1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عبد اللّه بن سنان،عن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المضمضة و الاستنشاق ممّا سنّ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زرارة،عن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المضمضة و الاستنشاق فريضة و لا سنّة إنّما عليك أن تغسل ما ظهر</w:t>
      </w:r>
      <w:r>
        <w:rPr>
          <w:rFonts w:eastAsia="Amiri" w:cs="Amiri" w:ascii="Amiri" w:hAnsi="Amiri"/>
          <w:color w:val="111111"/>
          <w:sz w:val="28"/>
          <w:szCs w:val="28"/>
          <w:rtl w:val="true"/>
          <w:lang w:bidi="ar-SA"/>
        </w:rPr>
        <w:t xml:space="preserve">) </w:t>
      </w:r>
      <w:r>
        <w:rPr>
          <w:rStyle w:val="FootnoteAnchor"/>
          <w:rtl w:val="true"/>
        </w:rPr>
        <w:footnoteReference w:id="1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يريد بالسّنّة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الّتي لا يجوز تركها،و يدلّ عليه،مفهوم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عليك أن تغسل ما 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دالّة على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رواه الشّيخ في الصّحيح،عن زرارة،عن أبي جعفر عليه السّلام في صفة وضوء رسول اللّه صلّى اللّه عليه و آله و سلّم </w:t>
      </w:r>
      <w:r>
        <w:rPr>
          <w:rStyle w:val="FootnoteAnchor"/>
          <w:rtl w:val="true"/>
        </w:rPr>
        <w:footnoteReference w:id="1979"/>
      </w:r>
      <w:r>
        <w:rPr>
          <w:rFonts w:ascii="Amiri" w:hAnsi="Amiri" w:eastAsia="Amiri" w:cs="Amiri"/>
          <w:color w:val="111111"/>
          <w:sz w:val="28"/>
          <w:sz w:val="28"/>
          <w:szCs w:val="28"/>
          <w:rtl w:val="true"/>
          <w:lang w:bidi="ar-SA"/>
        </w:rPr>
        <w:t>و لم يذكر المضمضة و الاستنشاق لما كان فعله بيانا، فلو كانا واجبين لاستحال منه الإخلال بهما</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الشّيخ في الحسن،عن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يجزيك </w:t>
      </w:r>
    </w:p>
    <w:p>
      <w:pPr>
        <w:pStyle w:val="BookText"/>
        <w:rPr/>
      </w:pPr>
      <w:r>
        <w:rPr>
          <w:rFonts w:ascii="Amiri" w:hAnsi="Amiri" w:eastAsia="Amiri" w:cs="Amiri"/>
          <w:color w:val="111111"/>
          <w:sz w:val="28"/>
          <w:sz w:val="28"/>
          <w:szCs w:val="28"/>
          <w:rtl w:val="true"/>
          <w:lang w:bidi="ar-SA"/>
        </w:rPr>
        <w:t>من الوضوء ثلاث غرفات،واحدة للوجه،و اثنتان للذّراعين</w:t>
      </w:r>
      <w:r>
        <w:rPr>
          <w:rFonts w:eastAsia="Amiri" w:cs="Amiri" w:ascii="Amiri" w:hAnsi="Amiri"/>
          <w:color w:val="111111"/>
          <w:sz w:val="28"/>
          <w:szCs w:val="28"/>
          <w:rtl w:val="true"/>
          <w:lang w:bidi="ar-SA"/>
        </w:rPr>
        <w:t xml:space="preserve">) </w:t>
      </w:r>
      <w:r>
        <w:rPr>
          <w:rStyle w:val="FootnoteAnchor"/>
          <w:rtl w:val="true"/>
        </w:rPr>
        <w:footnoteReference w:id="1980"/>
      </w:r>
      <w:r>
        <w:rPr>
          <w:rFonts w:ascii="Amiri" w:hAnsi="Amiri" w:eastAsia="Amiri" w:cs="Amiri"/>
          <w:color w:val="111111"/>
          <w:sz w:val="28"/>
          <w:sz w:val="28"/>
          <w:szCs w:val="28"/>
          <w:rtl w:val="true"/>
          <w:lang w:bidi="ar-SA"/>
        </w:rPr>
        <w:t>فلو كانا واجبين لما حصل الإجزاء بدونهما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محمّد بن يعقوب في كتابه،عن أبي بصير،عن أبي عبد اللّه عليه السّلام،قال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المضمضة و الاستنشاق؟فقال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هما من الوضوء،هما من الجوف</w:t>
      </w:r>
      <w:r>
        <w:rPr>
          <w:rFonts w:eastAsia="Amiri" w:cs="Amiri" w:ascii="Amiri" w:hAnsi="Amiri"/>
          <w:color w:val="111111"/>
          <w:sz w:val="28"/>
          <w:szCs w:val="28"/>
          <w:rtl w:val="true"/>
          <w:lang w:bidi="ar-SA"/>
        </w:rPr>
        <w:t xml:space="preserve">) </w:t>
      </w:r>
      <w:r>
        <w:rPr>
          <w:rStyle w:val="FootnoteAnchor"/>
          <w:rtl w:val="true"/>
        </w:rPr>
        <w:footnoteReference w:id="1981"/>
      </w:r>
      <w:r>
        <w:rPr>
          <w:rFonts w:ascii="Amiri" w:hAnsi="Amiri" w:eastAsia="Amiri" w:cs="Amiri"/>
          <w:color w:val="111111"/>
          <w:sz w:val="28"/>
          <w:sz w:val="28"/>
          <w:szCs w:val="28"/>
          <w:rtl w:val="true"/>
          <w:lang w:bidi="ar-SA"/>
        </w:rPr>
        <w:t>و هذا التّعليل يشعر بأنّهما ليسا واجبين في غسل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من حيث المنطوق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عبد اللّه بن سنان،قال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يجنب الأنف و الفم لأنّهما سائلان</w:t>
      </w:r>
      <w:r>
        <w:rPr>
          <w:rFonts w:eastAsia="Amiri" w:cs="Amiri" w:ascii="Amiri" w:hAnsi="Amiri"/>
          <w:color w:val="111111"/>
          <w:sz w:val="28"/>
          <w:szCs w:val="28"/>
          <w:rtl w:val="true"/>
          <w:lang w:bidi="ar-SA"/>
        </w:rPr>
        <w:t xml:space="preserve">) </w:t>
      </w:r>
      <w:r>
        <w:rPr>
          <w:rStyle w:val="FootnoteAnchor"/>
          <w:rtl w:val="true"/>
        </w:rPr>
        <w:footnoteReference w:id="1982"/>
      </w:r>
      <w:r>
        <w:rPr>
          <w:rFonts w:ascii="Amiri" w:hAnsi="Amiri" w:eastAsia="Amiri" w:cs="Amiri"/>
          <w:color w:val="111111"/>
          <w:sz w:val="28"/>
          <w:sz w:val="28"/>
          <w:szCs w:val="28"/>
          <w:rtl w:val="true"/>
          <w:lang w:bidi="ar-SA"/>
        </w:rPr>
        <w:t xml:space="preserve">و في طريقها موسى بن سعدان </w:t>
      </w:r>
      <w:r>
        <w:rPr>
          <w:rStyle w:val="FootnoteAnchor"/>
          <w:rtl w:val="true"/>
        </w:rPr>
        <w:footnoteReference w:id="1983"/>
      </w:r>
      <w:r>
        <w:rPr>
          <w:rFonts w:ascii="Amiri" w:hAnsi="Amiri" w:eastAsia="Amiri" w:cs="Amiri"/>
          <w:color w:val="111111"/>
          <w:sz w:val="28"/>
          <w:sz w:val="28"/>
          <w:szCs w:val="28"/>
          <w:rtl w:val="true"/>
          <w:lang w:bidi="ar-SA"/>
        </w:rPr>
        <w:t>،و هو ضعيف في الحديث إلاّ انّ الأصحاب تلقّته بالقبول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الشّيخ،عن الحسن بن راشد،قال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الفقيه العسكريّ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الغسل و لا في الوضوء مضمضة و لا استنشاق</w:t>
      </w:r>
      <w:r>
        <w:rPr>
          <w:rFonts w:eastAsia="Amiri" w:cs="Amiri" w:ascii="Amiri" w:hAnsi="Amiri"/>
          <w:color w:val="111111"/>
          <w:sz w:val="28"/>
          <w:szCs w:val="28"/>
          <w:rtl w:val="true"/>
          <w:lang w:bidi="ar-SA"/>
        </w:rPr>
        <w:t xml:space="preserve">) </w:t>
      </w:r>
      <w:r>
        <w:rPr>
          <w:rStyle w:val="FootnoteAnchor"/>
          <w:rtl w:val="true"/>
        </w:rPr>
        <w:footnoteReference w:id="1984"/>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ليسا بواجبين فيهما،لما رواه الشّيخ 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غسل الجنابة؟قال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تصبّ على يديك الماء فتغسل كفّيك ثمَّ تدخل يدك فتغسل فرجك ثمَّ تمضمض و تستنشق</w:t>
      </w:r>
      <w:r>
        <w:rPr>
          <w:rFonts w:eastAsia="Amiri" w:cs="Amiri" w:ascii="Amiri" w:hAnsi="Amiri"/>
          <w:color w:val="111111"/>
          <w:sz w:val="28"/>
          <w:szCs w:val="28"/>
          <w:rtl w:val="true"/>
          <w:lang w:bidi="ar-SA"/>
        </w:rPr>
        <w:t xml:space="preserve">) </w:t>
      </w:r>
      <w:r>
        <w:rPr>
          <w:rStyle w:val="FootnoteAnchor"/>
          <w:rtl w:val="true"/>
        </w:rPr>
        <w:footnoteReference w:id="1985"/>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يقتضي الوجوب،لأنّا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بيّنا انتفاء الوجوب،و يدلّ على انتفائه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أحمد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غسل الجنابة؟فقال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تغسل يدك اليمنى من المرفقين إلى أصابعك،و تبول إن </w:t>
      </w:r>
    </w:p>
    <w:p>
      <w:pPr>
        <w:pStyle w:val="BookText"/>
        <w:rPr/>
      </w:pPr>
      <w:r>
        <w:rPr>
          <w:rFonts w:ascii="Amiri" w:hAnsi="Amiri" w:eastAsia="Amiri" w:cs="Amiri"/>
          <w:color w:val="111111"/>
          <w:sz w:val="28"/>
          <w:sz w:val="28"/>
          <w:szCs w:val="28"/>
          <w:rtl w:val="true"/>
          <w:lang w:bidi="ar-SA"/>
        </w:rPr>
        <w:t>قدرت على البول،ثمَّ تدخل يدك في الإناء،ثمَّ اغسل ما أصابك منه،ثمَّ أفض على رأسك و جسدك و لا وضوء فيه</w:t>
      </w:r>
      <w:r>
        <w:rPr>
          <w:rFonts w:eastAsia="Amiri" w:cs="Amiri" w:ascii="Amiri" w:hAnsi="Amiri"/>
          <w:color w:val="111111"/>
          <w:sz w:val="28"/>
          <w:szCs w:val="28"/>
          <w:rtl w:val="true"/>
          <w:lang w:bidi="ar-SA"/>
        </w:rPr>
        <w:t xml:space="preserve">) </w:t>
      </w:r>
      <w:r>
        <w:rPr>
          <w:rStyle w:val="FootnoteAnchor"/>
          <w:rtl w:val="true"/>
        </w:rPr>
        <w:footnoteReference w:id="1986"/>
      </w:r>
      <w:r>
        <w:rPr>
          <w:rFonts w:ascii="Amiri" w:hAnsi="Amiri" w:eastAsia="Amiri" w:cs="Amiri"/>
          <w:color w:val="111111"/>
          <w:sz w:val="28"/>
          <w:sz w:val="28"/>
          <w:szCs w:val="28"/>
          <w:rtl w:val="true"/>
          <w:lang w:bidi="ar-SA"/>
        </w:rPr>
        <w:t>فلو كانا واجبين لوجب ذكرهما عقيب السّؤال و إلاّ لزم تأخير البيان عن وقت الحاجة،و ذلك باطل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الفم و الأنف باطنان فلا يجب غسلهما كباطن اللّحية و باطن العينين،و لأنّ الوجه ما يحصل به المواجهة و لا تحصل المواجهة بها،و لأنّ غسل الجنابة واجب فلا يجب فيه المضمضة و الاستنشاق قياسا على غسل الميّت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احتجّ المخالف </w:t>
      </w:r>
      <w:r>
        <w:rPr>
          <w:rStyle w:val="FootnoteAnchor"/>
          <w:rtl w:val="true"/>
        </w:rPr>
        <w:footnoteReference w:id="1987"/>
      </w:r>
      <w:r>
        <w:rPr>
          <w:rFonts w:ascii="Amiri" w:hAnsi="Amiri" w:eastAsia="Amiri" w:cs="Amiri"/>
          <w:color w:val="111111"/>
          <w:sz w:val="28"/>
          <w:sz w:val="28"/>
          <w:szCs w:val="28"/>
          <w:rtl w:val="true"/>
          <w:lang w:bidi="ar-SA"/>
        </w:rPr>
        <w:t xml:space="preserve">بما رواه أبو هريرة،عن النّبيّ صلّى اللّه عليه و آله انّه جعل المضمضة و الاستنشاق للجنب ثلاثا فريضة </w:t>
      </w:r>
      <w:r>
        <w:rPr>
          <w:rStyle w:val="FootnoteAnchor"/>
          <w:rtl w:val="true"/>
        </w:rPr>
        <w:footnoteReference w:id="1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أبو هريرة أيضا انّه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كلّ شعرة جنابة فبلّوا الشّعر و انقوا البشرة</w:t>
      </w:r>
      <w:r>
        <w:rPr>
          <w:rFonts w:eastAsia="Amiri" w:cs="Amiri" w:ascii="Amiri" w:hAnsi="Amiri"/>
          <w:color w:val="111111"/>
          <w:sz w:val="28"/>
          <w:szCs w:val="28"/>
          <w:rtl w:val="true"/>
          <w:lang w:bidi="ar-SA"/>
        </w:rPr>
        <w:t xml:space="preserve">) </w:t>
      </w:r>
      <w:r>
        <w:rPr>
          <w:rStyle w:val="FootnoteAnchor"/>
          <w:rtl w:val="true"/>
        </w:rPr>
        <w:footnoteReference w:id="1989"/>
      </w:r>
      <w:r>
        <w:rPr>
          <w:rFonts w:ascii="Amiri" w:hAnsi="Amiri" w:eastAsia="Amiri" w:cs="Amiri"/>
          <w:color w:val="111111"/>
          <w:sz w:val="28"/>
          <w:sz w:val="28"/>
          <w:szCs w:val="28"/>
          <w:rtl w:val="true"/>
          <w:lang w:bidi="ar-SA"/>
        </w:rPr>
        <w:t>و باطن الفم بشرة،و داخل الأنف شعر،فيجب 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لأنّهما عضوان باطنان من وجه ظاهران من وجه،فأعطيناهما حكم الباطن في الوضوء و حكم الظّاهر في الجنابة </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انّهما ظاهران،لأنّ الصّائم لا يفطر بوضع الطّعام فيهما،و لا ينشر حرمة الرّضاع بوصول اللّبن إليهما،و لا يجب الحدّ بترك الخمر فيهما،فيجب غسلهما </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 الحديث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قد ضعّفه العلماء،قالوا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رواية بركة الحلبيّ،و هو </w:t>
      </w:r>
      <w:bookmarkStart w:id="1083" w:name="pg12672_160055"/>
    </w:p>
    <w:p>
      <w:pPr>
        <w:pStyle w:val="BookText"/>
        <w:rPr/>
      </w:pPr>
      <w:bookmarkEnd w:id="1083"/>
      <w:r>
        <w:rPr>
          <w:rFonts w:ascii="Amiri" w:hAnsi="Amiri" w:eastAsia="Amiri" w:cs="Amiri"/>
          <w:color w:val="111111"/>
          <w:sz w:val="28"/>
          <w:sz w:val="28"/>
          <w:szCs w:val="28"/>
          <w:rtl w:val="true"/>
          <w:lang w:bidi="ar-SA"/>
        </w:rPr>
        <w:t xml:space="preserve">غير معروف </w:t>
      </w:r>
      <w:r>
        <w:rPr>
          <w:rStyle w:val="FootnoteAnchor"/>
          <w:rtl w:val="true"/>
        </w:rPr>
        <w:footnoteReference w:id="1992"/>
      </w: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على خلاف مطلوبهم،فإنّه أوجب الثّلاث و هم لا يقولون به، 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حكاية قول أبي هريرة فلعلّه توهّم ما ليس بفرض فرضا،فلا يبقى حجّة مع وجود المنافي،و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فالفرض في اللّغة التّقدير،فيحمل عليه و يدخل فيه الواجب و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الحديث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راويه الحارث بن وجيه </w:t>
      </w:r>
      <w:r>
        <w:rPr>
          <w:rStyle w:val="FootnoteAnchor"/>
          <w:rtl w:val="true"/>
        </w:rPr>
        <w:footnoteReference w:id="1993"/>
      </w:r>
      <w:r>
        <w:rPr>
          <w:rFonts w:ascii="Amiri" w:hAnsi="Amiri" w:eastAsia="Amiri" w:cs="Amiri"/>
          <w:color w:val="111111"/>
          <w:sz w:val="28"/>
          <w:sz w:val="28"/>
          <w:szCs w:val="28"/>
          <w:rtl w:val="true"/>
          <w:lang w:bidi="ar-SA"/>
        </w:rPr>
        <w:t xml:space="preserve">،و قد ضعّفه البخاريّ </w:t>
      </w:r>
      <w:r>
        <w:rPr>
          <w:rStyle w:val="FootnoteAnchor"/>
          <w:rtl w:val="true"/>
        </w:rPr>
        <w:footnoteReference w:id="1994"/>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الحارث بن وجيه ليس بشيء </w:t>
      </w:r>
      <w:r>
        <w:rPr>
          <w:rStyle w:val="FootnoteAnchor"/>
          <w:rtl w:val="true"/>
        </w:rPr>
        <w:footnoteReference w:id="1995"/>
      </w: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انّه أراد بالشّعر ما ظهر،و كذا في البشرة،على انّه قد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البشرة اسم لظاهر الجلد دون باطنه </w:t>
      </w:r>
      <w:r>
        <w:rPr>
          <w:rStyle w:val="FootnoteAnchor"/>
          <w:rtl w:val="true"/>
        </w:rPr>
        <w:footnoteReference w:id="1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كلام أبي حنيفة بالمنع من كونهما ظاهرين،ثمَّ بالمطالبة له بوجه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ينتقض ما ذكره أحمد جميعه بالعين،و بالمنع من التّعليل في الأحكام الّتي ذكرها، بكونهما </w:t>
      </w:r>
      <w:r>
        <w:rPr>
          <w:rStyle w:val="FootnoteAnchor"/>
          <w:rtl w:val="true"/>
        </w:rPr>
        <w:footnoteReference w:id="1997"/>
      </w:r>
      <w:r>
        <w:rPr>
          <w:rFonts w:ascii="Amiri" w:hAnsi="Amiri" w:eastAsia="Amiri" w:cs="Amiri"/>
          <w:color w:val="111111"/>
          <w:sz w:val="28"/>
          <w:sz w:val="28"/>
          <w:szCs w:val="28"/>
          <w:rtl w:val="true"/>
          <w:lang w:bidi="ar-SA"/>
        </w:rPr>
        <w:t>باطنين</w:t>
      </w:r>
      <w:r>
        <w:rPr>
          <w:rFonts w:eastAsia="Amiri" w:cs="Amiri" w:ascii="Amiri" w:hAnsi="Amiri"/>
          <w:color w:val="111111"/>
          <w:sz w:val="28"/>
          <w:szCs w:val="28"/>
          <w:rtl w:val="true"/>
          <w:lang w:bidi="ar-SA"/>
        </w:rPr>
        <w:t>.</w:t>
      </w:r>
    </w:p>
    <w:p>
      <w:pPr>
        <w:pStyle w:val="Heading6"/>
        <w:numPr>
          <w:ilvl w:val="5"/>
          <w:numId w:val="1"/>
        </w:numPr>
        <w:rPr/>
      </w:pPr>
      <w:bookmarkStart w:id="1084" w:name="__RefHeading___Toc747489_222507752"/>
      <w:bookmarkStart w:id="1085" w:name="_Toc435"/>
      <w:bookmarkEnd w:id="1084"/>
      <w:r>
        <w:rPr>
          <w:rtl w:val="true"/>
        </w:rPr>
        <w:t>فروع</w:t>
      </w:r>
      <w:r>
        <w:rPr>
          <w:rtl w:val="true"/>
        </w:rPr>
        <w:t>:</w:t>
      </w:r>
      <w:bookmarkEnd w:id="1085"/>
    </w:p>
    <w:p>
      <w:pPr>
        <w:pStyle w:val="Heading6"/>
        <w:numPr>
          <w:ilvl w:val="5"/>
          <w:numId w:val="1"/>
        </w:numPr>
        <w:rPr/>
      </w:pPr>
      <w:bookmarkStart w:id="1086" w:name="__RefHeading___Toc747491_222507752"/>
      <w:bookmarkStart w:id="1087" w:name="_Toc436"/>
      <w:bookmarkEnd w:id="1086"/>
      <w:r>
        <w:rPr>
          <w:rtl w:val="true"/>
        </w:rPr>
        <w:t>الأوّل</w:t>
      </w:r>
      <w:r>
        <w:rPr>
          <w:rtl w:val="true"/>
        </w:rPr>
        <w:t>:</w:t>
      </w:r>
      <w:r>
        <w:rPr>
          <w:rtl w:val="true"/>
        </w:rPr>
        <w:t>المضمضة</w:t>
      </w:r>
      <w:r>
        <w:rPr>
          <w:rtl w:val="true"/>
        </w:rPr>
        <w:t>:</w:t>
      </w:r>
      <w:r>
        <w:rPr>
          <w:rtl w:val="true"/>
        </w:rPr>
        <w:t>إدارة الماء في الفم،و الاستنشاق</w:t>
      </w:r>
      <w:r>
        <w:rPr>
          <w:rtl w:val="true"/>
        </w:rPr>
        <w:t>:</w:t>
      </w:r>
      <w:r>
        <w:rPr>
          <w:rtl w:val="true"/>
        </w:rPr>
        <w:t>اجتذابه بالأنف</w:t>
      </w:r>
      <w:bookmarkEnd w:id="1087"/>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يستحبّ إدارة الماء في جميع الفم للمبالغة،و كذا في الأنف</w:t>
      </w:r>
      <w:r>
        <w:rPr>
          <w:rFonts w:eastAsia="Amiri" w:cs="Amiri" w:ascii="Amiri" w:hAnsi="Amiri"/>
          <w:color w:val="111111"/>
          <w:sz w:val="28"/>
          <w:szCs w:val="28"/>
          <w:rtl w:val="true"/>
          <w:lang w:bidi="ar-SA"/>
        </w:rPr>
        <w:t xml:space="preserve">. </w:t>
      </w:r>
      <w:bookmarkStart w:id="1088" w:name="pg12672_160056"/>
    </w:p>
    <w:p>
      <w:pPr>
        <w:pStyle w:val="Heading6"/>
        <w:numPr>
          <w:ilvl w:val="5"/>
          <w:numId w:val="1"/>
        </w:numPr>
        <w:rPr/>
      </w:pPr>
      <w:bookmarkStart w:id="1089" w:name="__RefHeading___Toc747493_222507752"/>
      <w:bookmarkStart w:id="1090" w:name="_Toc437"/>
      <w:bookmarkEnd w:id="1088"/>
      <w:bookmarkEnd w:id="1089"/>
      <w:r>
        <w:rPr>
          <w:rtl w:val="true"/>
        </w:rPr>
        <w:t>الثّاني</w:t>
      </w:r>
      <w:r>
        <w:rPr>
          <w:rtl w:val="true"/>
        </w:rPr>
        <w:t>:</w:t>
      </w:r>
      <w:r>
        <w:rPr>
          <w:rtl w:val="true"/>
        </w:rPr>
        <w:t>لو أدار الماء في فمه ثمَّ ابتلعه فقد امتثل</w:t>
      </w:r>
      <w:bookmarkEnd w:id="1090"/>
    </w:p>
    <w:p>
      <w:pPr>
        <w:pStyle w:val="BookText"/>
        <w:rPr/>
      </w:pPr>
      <w:r>
        <w:rPr>
          <w:rFonts w:ascii="Amiri" w:hAnsi="Amiri" w:eastAsia="Amiri" w:cs="Amiri"/>
          <w:color w:val="111111"/>
          <w:sz w:val="28"/>
          <w:sz w:val="28"/>
          <w:szCs w:val="28"/>
          <w:rtl w:val="true"/>
          <w:lang w:bidi="ar-SA"/>
        </w:rPr>
        <w:t xml:space="preserve">،لأنّ المقصود به قد حصل،و هو قول الحنابلة القائلين بالوجوب </w:t>
      </w:r>
      <w:r>
        <w:rPr>
          <w:rStyle w:val="FootnoteAnchor"/>
          <w:rtl w:val="true"/>
        </w:rPr>
        <w:footnoteReference w:id="1999"/>
      </w:r>
      <w:r>
        <w:rPr>
          <w:rFonts w:ascii="Amiri" w:hAnsi="Amiri" w:eastAsia="Amiri" w:cs="Amiri"/>
          <w:color w:val="111111"/>
          <w:sz w:val="28"/>
          <w:sz w:val="28"/>
          <w:szCs w:val="28"/>
          <w:rtl w:val="true"/>
          <w:lang w:bidi="ar-SA"/>
        </w:rPr>
        <w:t>،و قول بعض الحنفيّة،و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يجزيه،نقله شارح الطّحاويّ </w:t>
      </w:r>
      <w:r>
        <w:rPr>
          <w:rStyle w:val="FootnoteAnchor"/>
          <w:rtl w:val="true"/>
        </w:rPr>
        <w:footnoteReference w:id="2000"/>
      </w:r>
      <w:r>
        <w:rPr>
          <w:rFonts w:ascii="Amiri" w:hAnsi="Amiri" w:eastAsia="Amiri" w:cs="Amiri"/>
          <w:color w:val="111111"/>
          <w:sz w:val="28"/>
          <w:sz w:val="28"/>
          <w:szCs w:val="28"/>
          <w:rtl w:val="true"/>
          <w:lang w:bidi="ar-SA"/>
        </w:rPr>
        <w:t xml:space="preserve">،و ليس شيء </w:t>
      </w:r>
      <w:r>
        <w:rPr>
          <w:rFonts w:eastAsia="Amiri" w:cs="Amiri" w:ascii="Amiri" w:hAnsi="Amiri"/>
          <w:color w:val="111111"/>
          <w:sz w:val="28"/>
          <w:szCs w:val="28"/>
          <w:rtl w:val="true"/>
          <w:lang w:bidi="ar-SA"/>
        </w:rPr>
        <w:t>.</w:t>
      </w:r>
    </w:p>
    <w:p>
      <w:pPr>
        <w:pStyle w:val="Heading6"/>
        <w:numPr>
          <w:ilvl w:val="5"/>
          <w:numId w:val="1"/>
        </w:numPr>
        <w:rPr/>
      </w:pPr>
      <w:bookmarkStart w:id="1091" w:name="__RefHeading___Toc747495_222507752"/>
      <w:bookmarkStart w:id="1092" w:name="_Toc438"/>
      <w:bookmarkEnd w:id="1091"/>
      <w:r>
        <w:rPr>
          <w:rtl w:val="true"/>
        </w:rPr>
        <w:t>الثّالث</w:t>
      </w:r>
      <w:r>
        <w:rPr>
          <w:rtl w:val="true"/>
        </w:rPr>
        <w:t>:</w:t>
      </w:r>
      <w:r>
        <w:rPr>
          <w:rtl w:val="true"/>
        </w:rPr>
        <w:t>يستحبّ فيهما الدّعاء</w:t>
      </w:r>
      <w:bookmarkEnd w:id="1092"/>
    </w:p>
    <w:p>
      <w:pPr>
        <w:pStyle w:val="BookText"/>
        <w:rPr/>
      </w:pPr>
      <w:r>
        <w:rPr>
          <w:rFonts w:ascii="Amiri" w:hAnsi="Amiri" w:eastAsia="Amiri" w:cs="Amiri"/>
          <w:color w:val="111111"/>
          <w:sz w:val="28"/>
          <w:sz w:val="28"/>
          <w:szCs w:val="28"/>
          <w:rtl w:val="true"/>
          <w:lang w:bidi="ar-SA"/>
        </w:rPr>
        <w:t>،لما رواه الشّيخ،عن عبد الرّحمن بن كثير،عن أبي عبد اللّه عليه السّلام في صفة وضوء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تمضمض،فقال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لقّني حجّتي يوم ألقاك و أطلق لساني بذكرك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استنشق،فقال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تحرّم عليّ ريح الجنّة و اجعلني ممّن يشمّ ريحها و روحها و طيبها</w:t>
      </w:r>
      <w:r>
        <w:rPr>
          <w:rFonts w:eastAsia="Amiri" w:cs="Amiri" w:ascii="Amiri" w:hAnsi="Amiri"/>
          <w:color w:val="111111"/>
          <w:sz w:val="28"/>
          <w:szCs w:val="28"/>
          <w:rtl w:val="true"/>
          <w:lang w:bidi="ar-SA"/>
        </w:rPr>
        <w:t xml:space="preserve">) </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أيضا ابن بابويه عنه عليه السّلام </w:t>
      </w:r>
      <w:r>
        <w:rPr>
          <w:rStyle w:val="FootnoteAnchor"/>
          <w:rtl w:val="true"/>
        </w:rPr>
        <w:footnoteReference w:id="200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93" w:name="__RefHeading___Toc747497_222507752"/>
      <w:bookmarkStart w:id="1094" w:name="_Toc439"/>
      <w:bookmarkEnd w:id="1093"/>
      <w:r>
        <w:rPr>
          <w:rtl w:val="true"/>
        </w:rPr>
        <w:t>الرّابع</w:t>
      </w:r>
      <w:r>
        <w:rPr>
          <w:rtl w:val="true"/>
        </w:rPr>
        <w:t>:</w:t>
      </w:r>
      <w:r>
        <w:rPr>
          <w:rtl w:val="true"/>
        </w:rPr>
        <w:t>يستحبّ أن يتمضمض و يستنشق بيمناه</w:t>
      </w:r>
      <w:bookmarkEnd w:id="1094"/>
    </w:p>
    <w:p>
      <w:pPr>
        <w:pStyle w:val="BookText"/>
        <w:rPr/>
      </w:pPr>
      <w:r>
        <w:rPr>
          <w:rFonts w:ascii="Amiri" w:hAnsi="Amiri" w:eastAsia="Amiri" w:cs="Amiri"/>
          <w:color w:val="111111"/>
          <w:sz w:val="28"/>
          <w:sz w:val="28"/>
          <w:szCs w:val="28"/>
          <w:rtl w:val="true"/>
          <w:lang w:bidi="ar-SA"/>
        </w:rPr>
        <w:t>،و قال بعض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التّمضمض باليمنى،و الاستنشاق باليسرى </w:t>
      </w:r>
      <w:r>
        <w:rPr>
          <w:rStyle w:val="FootnoteAnchor"/>
          <w:rtl w:val="true"/>
        </w:rPr>
        <w:footnoteReference w:id="2003"/>
      </w:r>
      <w:r>
        <w:rPr>
          <w:rStyle w:val="FootnoteAnchor"/>
          <w:rtl w:val="true"/>
        </w:rPr>
        <w:footnoteReference w:id="2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الجمهور،عن عائشة انّ النّبيّ صلّى اللّه عليه و آله كان يحبّ التّيمّن في طهوره و شأنه كلّه </w:t>
      </w:r>
      <w:r>
        <w:rPr>
          <w:rStyle w:val="FootnoteAnchor"/>
          <w:rtl w:val="true"/>
        </w:rPr>
        <w:footnoteReference w:id="200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95" w:name="__RefHeading___Toc747499_222507752"/>
      <w:bookmarkStart w:id="1096" w:name="_Toc440"/>
      <w:bookmarkEnd w:id="1095"/>
      <w:r>
        <w:rPr>
          <w:rtl w:val="true"/>
        </w:rPr>
        <w:t>الخامس</w:t>
      </w:r>
      <w:r>
        <w:rPr>
          <w:rtl w:val="true"/>
        </w:rPr>
        <w:t>:</w:t>
      </w:r>
      <w:r>
        <w:rPr>
          <w:rtl w:val="true"/>
        </w:rPr>
        <w:t>يستحبّ التّرتيب فيهما و تقديمهما على الوضوء</w:t>
      </w:r>
      <w:bookmarkEnd w:id="1096"/>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متابعة لفعل أمير المؤمنين عليه السّلام،و المبالغة فيهما،أمّا في المضمضة فبأن يدخل الماء في الفم و يديره على جميع جوانبه </w:t>
      </w:r>
      <w:r>
        <w:rPr>
          <w:rStyle w:val="FootnoteAnchor"/>
          <w:rtl w:val="true"/>
        </w:rPr>
        <w:footnoteReference w:id="2006"/>
      </w:r>
      <w:r>
        <w:rPr>
          <w:rFonts w:ascii="Amiri" w:hAnsi="Amiri" w:eastAsia="Amiri" w:cs="Amiri"/>
          <w:color w:val="111111"/>
          <w:sz w:val="28"/>
          <w:sz w:val="28"/>
          <w:szCs w:val="28"/>
          <w:rtl w:val="true"/>
          <w:lang w:bidi="ar-SA"/>
        </w:rPr>
        <w:t xml:space="preserve">و يوصله إلى طرف حلقه و يمرّه على أسنانه و لسانه ثمَّ يمجّه،و في الاستنشاق يدخل الماء في الأنف و يأخذه بالنّفس حتّى يصل إلى خياشيمه ثمَّ يدخل إصبعه فيه فيزيل ما في </w:t>
      </w:r>
      <w:bookmarkStart w:id="1097" w:name="pg12672_160057"/>
    </w:p>
    <w:p>
      <w:pPr>
        <w:pStyle w:val="BookText"/>
        <w:rPr/>
      </w:pPr>
      <w:bookmarkEnd w:id="1097"/>
      <w:r>
        <w:rPr>
          <w:rFonts w:ascii="IRNazanin" w:hAnsi="IRNazanin" w:eastAsia="IRNazanin"/>
          <w:color w:val="111111"/>
          <w:sz w:val="28"/>
          <w:sz w:val="28"/>
          <w:szCs w:val="28"/>
          <w:rtl w:val="true"/>
          <w:lang w:bidi="fa-IR"/>
        </w:rPr>
        <w:t xml:space="preserve">الأنف من أذى </w:t>
      </w:r>
      <w:r>
        <w:rPr>
          <w:rStyle w:val="FootnoteAnchor"/>
          <w:rtl w:val="true"/>
        </w:rPr>
        <w:footnoteReference w:id="2007"/>
      </w:r>
      <w:r>
        <w:rPr>
          <w:rFonts w:ascii="Amiri" w:hAnsi="Amiri" w:eastAsia="Amiri" w:cs="Amiri"/>
          <w:color w:val="111111"/>
          <w:sz w:val="28"/>
          <w:sz w:val="28"/>
          <w:szCs w:val="28"/>
          <w:rtl w:val="true"/>
          <w:lang w:bidi="ar-SA"/>
        </w:rPr>
        <w:t>ثمَّ يستنثر مثل ما يفعله المتمخّط،إلاّ الصّائم،فإنّه لا ينبغي له المبالغة، 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 في الاستنشاق إلاّ أن تكون صائما</w:t>
      </w:r>
      <w:r>
        <w:rPr>
          <w:rFonts w:eastAsia="Amiri" w:cs="Amiri" w:ascii="Amiri" w:hAnsi="Amiri"/>
          <w:color w:val="111111"/>
          <w:sz w:val="28"/>
          <w:szCs w:val="28"/>
          <w:rtl w:val="true"/>
          <w:lang w:bidi="ar-SA"/>
        </w:rPr>
        <w:t xml:space="preserve">) </w:t>
      </w:r>
      <w:r>
        <w:rPr>
          <w:rStyle w:val="FootnoteAnchor"/>
          <w:rtl w:val="true"/>
        </w:rPr>
        <w:footnoteReference w:id="2008"/>
      </w:r>
      <w:r>
        <w:rPr>
          <w:rFonts w:ascii="IRNazanin" w:hAnsi="IRNazanin" w:eastAsia="IRNazanin"/>
          <w:color w:val="111111"/>
          <w:sz w:val="28"/>
          <w:sz w:val="28"/>
          <w:szCs w:val="28"/>
          <w:rtl w:val="true"/>
          <w:lang w:bidi="fa-IR"/>
        </w:rPr>
        <w:t xml:space="preserve">و لأنّه ربّما وصل إلى الجوف أو الدّماغ </w:t>
      </w:r>
      <w:r>
        <w:rPr>
          <w:rStyle w:val="FootnoteAnchor"/>
          <w:rtl w:val="true"/>
        </w:rPr>
        <w:footnoteReference w:id="200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98" w:name="__RefHeading___Toc747501_222507752"/>
      <w:bookmarkStart w:id="1099" w:name="_Toc441"/>
      <w:bookmarkEnd w:id="1098"/>
      <w:r>
        <w:rPr>
          <w:rtl w:val="true"/>
        </w:rPr>
        <w:t>السّادس</w:t>
      </w:r>
      <w:r>
        <w:rPr>
          <w:rtl w:val="true"/>
        </w:rPr>
        <w:t>:</w:t>
      </w:r>
      <w:r>
        <w:rPr>
          <w:rtl w:val="true"/>
        </w:rPr>
        <w:t>المستحب فيهما أن يتمضمض ثلاثا كملا،ثمَّ يستنشق ثلاثا</w:t>
      </w:r>
      <w:bookmarkEnd w:id="1099"/>
    </w:p>
    <w:p>
      <w:pPr>
        <w:pStyle w:val="BookText"/>
        <w:rPr/>
      </w:pPr>
      <w:r>
        <w:rPr>
          <w:rFonts w:ascii="Amiri" w:hAnsi="Amiri" w:eastAsia="Amiri" w:cs="Amiri"/>
          <w:color w:val="111111"/>
          <w:sz w:val="28"/>
          <w:sz w:val="28"/>
          <w:szCs w:val="28"/>
          <w:rtl w:val="true"/>
          <w:lang w:bidi="ar-SA"/>
        </w:rPr>
        <w:t>إمّا بكفّ واحدة أو بأكثر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أبو حنيفة </w:t>
      </w:r>
      <w:r>
        <w:rPr>
          <w:rStyle w:val="FootnoteAnchor"/>
          <w:rtl w:val="true"/>
        </w:rPr>
        <w:footnoteReference w:id="2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المستحبّ أن يأخذ كفّا من الماء فيتمضمض ببعضها و يستنشق بالبعض،ثمَّ يفعل ثانيا و ثالثا كذلك </w:t>
      </w:r>
      <w:r>
        <w:rPr>
          <w:rStyle w:val="FootnoteAnchor"/>
          <w:rtl w:val="true"/>
        </w:rPr>
        <w:footnoteReference w:id="2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الجمهور،عن طلحة بن مصرف </w:t>
      </w:r>
      <w:r>
        <w:rPr>
          <w:rStyle w:val="FootnoteAnchor"/>
          <w:rtl w:val="true"/>
        </w:rPr>
        <w:footnoteReference w:id="2012"/>
      </w:r>
      <w:r>
        <w:rPr>
          <w:rFonts w:ascii="Amiri" w:hAnsi="Amiri" w:eastAsia="Amiri" w:cs="Amiri"/>
          <w:color w:val="111111"/>
          <w:sz w:val="28"/>
          <w:sz w:val="28"/>
          <w:szCs w:val="28"/>
          <w:rtl w:val="true"/>
          <w:lang w:bidi="ar-SA"/>
        </w:rPr>
        <w:t xml:space="preserve">،عن أبيه،عن جدّه،عن النّبيّ صلّى اللّه عليه و آله انّه فصل بين المضمضة و الاستنشاق </w:t>
      </w:r>
      <w:r>
        <w:rPr>
          <w:rStyle w:val="FootnoteAnchor"/>
          <w:rtl w:val="true"/>
        </w:rPr>
        <w:footnoteReference w:id="2013"/>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الشّيخ،من صفة وضوء أمير المؤمنين عليه السّلام انّه تمضمض ثمَّ استنشق </w:t>
      </w:r>
      <w:r>
        <w:rPr>
          <w:rStyle w:val="FootnoteAnchor"/>
          <w:rtl w:val="true"/>
        </w:rPr>
        <w:footnoteReference w:id="201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للتّرتيب،و لأنّه أمكن </w:t>
      </w:r>
      <w:r>
        <w:rPr>
          <w:rStyle w:val="FootnoteAnchor"/>
          <w:rtl w:val="true"/>
        </w:rPr>
        <w:footnoteReference w:id="2015"/>
      </w:r>
      <w:r>
        <w:rPr>
          <w:rFonts w:ascii="Amiri" w:hAnsi="Amiri" w:eastAsia="Amiri" w:cs="Amiri"/>
          <w:color w:val="111111"/>
          <w:sz w:val="28"/>
          <w:sz w:val="28"/>
          <w:szCs w:val="28"/>
          <w:rtl w:val="true"/>
          <w:lang w:bidi="ar-SA"/>
        </w:rPr>
        <w:t>في التّطهير،و أشبه بأعضاء الطّهارة حيث ينتقل إلى الثّاني بعد إكمال الأوّل</w:t>
      </w:r>
      <w:r>
        <w:rPr>
          <w:rFonts w:eastAsia="Amiri" w:cs="Amiri" w:ascii="Amiri" w:hAnsi="Amiri"/>
          <w:color w:val="111111"/>
          <w:sz w:val="28"/>
          <w:szCs w:val="28"/>
          <w:rtl w:val="true"/>
          <w:lang w:bidi="ar-SA"/>
        </w:rPr>
        <w:t xml:space="preserve">. </w:t>
      </w:r>
      <w:bookmarkStart w:id="1100" w:name="pg12672_160058"/>
    </w:p>
    <w:p>
      <w:pPr>
        <w:pStyle w:val="BookText"/>
        <w:rPr/>
      </w:pPr>
      <w:bookmarkEnd w:id="1100"/>
      <w:r>
        <w:rPr>
          <w:rFonts w:ascii="Amiri" w:hAnsi="Amiri" w:eastAsia="Amiri" w:cs="Amiri"/>
          <w:color w:val="111111"/>
          <w:sz w:val="28"/>
          <w:sz w:val="28"/>
          <w:szCs w:val="28"/>
          <w:rtl w:val="true"/>
          <w:lang w:bidi="ar-SA"/>
        </w:rPr>
        <w:t xml:space="preserve">احتجّ الشّافعيّ </w:t>
      </w:r>
      <w:r>
        <w:rPr>
          <w:rStyle w:val="FootnoteAnchor"/>
          <w:rtl w:val="true"/>
        </w:rPr>
        <w:footnoteReference w:id="2016"/>
      </w:r>
      <w:r>
        <w:rPr>
          <w:rFonts w:ascii="Amiri" w:hAnsi="Amiri" w:eastAsia="Amiri" w:cs="Amiri"/>
          <w:color w:val="111111"/>
          <w:sz w:val="28"/>
          <w:sz w:val="28"/>
          <w:szCs w:val="28"/>
          <w:rtl w:val="true"/>
          <w:lang w:bidi="ar-SA"/>
        </w:rPr>
        <w:t xml:space="preserve">بما رواه عبد اللّه بن زيد </w:t>
      </w:r>
      <w:r>
        <w:rPr>
          <w:rStyle w:val="FootnoteAnchor"/>
          <w:rtl w:val="true"/>
        </w:rPr>
        <w:footnoteReference w:id="2017"/>
      </w:r>
      <w:r>
        <w:rPr>
          <w:rFonts w:ascii="Amiri" w:hAnsi="Amiri" w:eastAsia="Amiri" w:cs="Amiri"/>
          <w:color w:val="111111"/>
          <w:sz w:val="28"/>
          <w:sz w:val="28"/>
          <w:szCs w:val="28"/>
          <w:rtl w:val="true"/>
          <w:lang w:bidi="ar-SA"/>
        </w:rPr>
        <w:t xml:space="preserve">انّ النّبيّ صلّى اللّه عليه و آله تمضمض و استنشق بكفّ واحدة </w:t>
      </w:r>
      <w:r>
        <w:rPr>
          <w:rStyle w:val="FootnoteAnchor"/>
          <w:rtl w:val="true"/>
        </w:rPr>
        <w:footnoteReference w:id="2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محمول على انّه استعمل فيهما كفّا واحدا </w:t>
      </w:r>
      <w:r>
        <w:rPr>
          <w:rFonts w:eastAsia="Amiri" w:cs="Amiri" w:ascii="Amiri" w:hAnsi="Amiri"/>
          <w:color w:val="111111"/>
          <w:sz w:val="28"/>
          <w:szCs w:val="28"/>
          <w:rtl w:val="true"/>
          <w:lang w:bidi="ar-SA"/>
        </w:rPr>
        <w:t>.</w:t>
      </w:r>
    </w:p>
    <w:p>
      <w:pPr>
        <w:pStyle w:val="Heading6"/>
        <w:numPr>
          <w:ilvl w:val="5"/>
          <w:numId w:val="1"/>
        </w:numPr>
        <w:rPr/>
      </w:pPr>
      <w:bookmarkStart w:id="1101" w:name="__RefHeading___Toc747503_222507752"/>
      <w:bookmarkStart w:id="1102" w:name="_Toc442"/>
      <w:bookmarkEnd w:id="1101"/>
      <w:r>
        <w:rPr>
          <w:rtl w:val="true"/>
        </w:rPr>
        <w:t>مسألة</w:t>
      </w:r>
      <w:r>
        <w:rPr>
          <w:rtl w:val="true"/>
        </w:rPr>
        <w:t>:</w:t>
      </w:r>
      <w:r>
        <w:rPr>
          <w:rtl w:val="true"/>
        </w:rPr>
        <w:t>يستحبّ الدّعاء عند غسل الأعضاء</w:t>
      </w:r>
      <w:bookmarkEnd w:id="1102"/>
    </w:p>
    <w:p>
      <w:pPr>
        <w:pStyle w:val="BookText"/>
        <w:rPr/>
      </w:pPr>
      <w:r>
        <w:rPr>
          <w:rFonts w:ascii="Amiri" w:hAnsi="Amiri" w:eastAsia="Amiri" w:cs="Amiri"/>
          <w:color w:val="111111"/>
          <w:sz w:val="28"/>
          <w:sz w:val="28"/>
          <w:szCs w:val="28"/>
          <w:rtl w:val="true"/>
          <w:lang w:bidi="ar-SA"/>
        </w:rPr>
        <w:t>،لما رواه الشّيخ،عن عبد الرّحمن بن كثير،عن أبي عبد اللّه عليه السّلام في صفة وضوء أمير المؤمنين عليه السّلام،ثمَّ غسل وجهه،فقال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بيّض وجهي يوم تسودّ فيه الوجوه،و لا تسوّد وجهي يوم تبيضّ فيه الوجوه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غسل يده اليمنى،فقال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أعطني كتابي بيميني،و الخلد في الجنان بيساري،و حاسبني حسابا يسيرا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غسل يده اليسرى،فقال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تعطني كتابي بشمالي،و لا تجعلها مغلولة إلى عنقي،و أعوذ بك من مقطّعات النّيران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مسح رأسه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غشّني برحمتك و بركاتك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مسح رجليه،فقال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ثبّتني على الصّراط يوم تزلّ فيه الأقدام و اجعل سعيي فيما يرضيك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ابن بابويه أيضا </w:t>
      </w:r>
      <w:r>
        <w:rPr>
          <w:rStyle w:val="FootnoteAnchor"/>
          <w:rtl w:val="true"/>
        </w:rPr>
        <w:footnoteReference w:id="2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انّه يستحب أن يقول المتوضّئ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تمام الوضوء،و تمام الصّلاة،و تمام رضوانك،و الجنّة</w:t>
      </w:r>
      <w:r>
        <w:rPr>
          <w:rFonts w:eastAsia="Amiri" w:cs="Amiri" w:ascii="Amiri" w:hAnsi="Amiri"/>
          <w:color w:val="111111"/>
          <w:sz w:val="28"/>
          <w:szCs w:val="28"/>
          <w:rtl w:val="true"/>
          <w:lang w:bidi="ar-SA"/>
        </w:rPr>
        <w:t xml:space="preserve">) </w:t>
      </w:r>
      <w:r>
        <w:rPr>
          <w:rStyle w:val="FootnoteAnchor"/>
          <w:rtl w:val="true"/>
        </w:rPr>
        <w:footnoteReference w:id="202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03" w:name="__RefHeading___Toc747505_222507752"/>
      <w:bookmarkStart w:id="1104" w:name="_Toc443"/>
      <w:bookmarkEnd w:id="1103"/>
      <w:r>
        <w:rPr>
          <w:rtl w:val="true"/>
        </w:rPr>
        <w:t>مسألة</w:t>
      </w:r>
      <w:r>
        <w:rPr>
          <w:rtl w:val="true"/>
        </w:rPr>
        <w:t>:</w:t>
      </w:r>
      <w:r>
        <w:rPr>
          <w:rtl w:val="true"/>
        </w:rPr>
        <w:t>يستحبّ أن يبدأ الرّجل في غسل ذراعيه بظاهرهما،و المرأة بباطنهما</w:t>
      </w:r>
      <w:bookmarkEnd w:id="1104"/>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اتّفاق علمائنا،لما رواه الشّيخ،عن محمّد بن إسماعيل بن بزيع،عن أبي الحسن الرّضا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اللّه على النّساء في الوضوء أن يبدأن بباطن أذرعهنّ و في الرّجال</w:t>
      </w:r>
      <w:r>
        <w:rPr>
          <w:rFonts w:eastAsia="Amiri" w:cs="Amiri" w:ascii="Amiri" w:hAnsi="Amiri"/>
          <w:color w:val="111111"/>
          <w:sz w:val="28"/>
          <w:szCs w:val="28"/>
          <w:rtl w:val="true"/>
          <w:lang w:bidi="ar-SA"/>
        </w:rPr>
        <w:t xml:space="preserve">: </w:t>
      </w:r>
      <w:bookmarkStart w:id="1105" w:name="pg12672_160059"/>
    </w:p>
    <w:p>
      <w:pPr>
        <w:pStyle w:val="BookText"/>
        <w:rPr/>
      </w:pPr>
      <w:bookmarkEnd w:id="1105"/>
      <w:r>
        <w:rPr>
          <w:rFonts w:ascii="IRNazanin" w:hAnsi="IRNazanin" w:eastAsia="IRNazanin"/>
          <w:color w:val="111111"/>
          <w:sz w:val="28"/>
          <w:sz w:val="28"/>
          <w:szCs w:val="28"/>
          <w:rtl w:val="true"/>
          <w:lang w:bidi="fa-IR"/>
        </w:rPr>
        <w:t>بظاهر الذّراع</w:t>
      </w:r>
      <w:r>
        <w:rPr>
          <w:rFonts w:eastAsia="IRNazanin" w:cs="IRNazanin"/>
          <w:color w:val="111111"/>
          <w:sz w:val="28"/>
          <w:szCs w:val="28"/>
          <w:rtl w:val="true"/>
          <w:lang w:bidi="fa-IR"/>
        </w:rPr>
        <w:t xml:space="preserve">) </w:t>
      </w:r>
      <w:r>
        <w:rPr>
          <w:rStyle w:val="FootnoteAnchor"/>
          <w:rtl w:val="true"/>
        </w:rPr>
        <w:footnoteReference w:id="2021"/>
      </w:r>
      <w:r>
        <w:rPr>
          <w:rFonts w:ascii="Amiri" w:hAnsi="Amiri" w:eastAsia="Amiri" w:cs="Amiri"/>
          <w:color w:val="111111"/>
          <w:sz w:val="28"/>
          <w:sz w:val="28"/>
          <w:szCs w:val="28"/>
          <w:rtl w:val="true"/>
          <w:lang w:bidi="ar-SA"/>
        </w:rPr>
        <w:t xml:space="preserve">و المراد بالفرض هاهنا التّقدير لا الوجوب </w:t>
      </w:r>
      <w:r>
        <w:rPr>
          <w:rFonts w:eastAsia="Amiri" w:cs="Amiri" w:ascii="Amiri" w:hAnsi="Amiri"/>
          <w:color w:val="111111"/>
          <w:sz w:val="28"/>
          <w:szCs w:val="28"/>
          <w:rtl w:val="true"/>
          <w:lang w:bidi="ar-SA"/>
        </w:rPr>
        <w:t>.</w:t>
      </w:r>
    </w:p>
    <w:p>
      <w:pPr>
        <w:pStyle w:val="Heading6"/>
        <w:numPr>
          <w:ilvl w:val="5"/>
          <w:numId w:val="1"/>
        </w:numPr>
        <w:rPr/>
      </w:pPr>
      <w:bookmarkStart w:id="1106" w:name="__RefHeading___Toc747507_222507752"/>
      <w:bookmarkStart w:id="1107" w:name="_Toc444"/>
      <w:bookmarkEnd w:id="1106"/>
      <w:r>
        <w:rPr>
          <w:rtl w:val="true"/>
        </w:rPr>
        <w:t>مسألة</w:t>
      </w:r>
      <w:r>
        <w:rPr>
          <w:rtl w:val="true"/>
        </w:rPr>
        <w:t>:</w:t>
      </w:r>
      <w:r>
        <w:rPr>
          <w:rtl w:val="true"/>
        </w:rPr>
        <w:t>قال علماؤنا</w:t>
      </w:r>
      <w:r>
        <w:rPr>
          <w:rtl w:val="true"/>
        </w:rPr>
        <w:t>:</w:t>
      </w:r>
      <w:r>
        <w:rPr>
          <w:rtl w:val="true"/>
        </w:rPr>
        <w:t>يستحبّ الوضوء بمدّ</w:t>
      </w:r>
      <w:bookmarkEnd w:id="11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يجزي في الوضوء أقلّ منه </w:t>
      </w:r>
      <w:r>
        <w:rPr>
          <w:rStyle w:val="FootnoteAnchor"/>
          <w:rtl w:val="true"/>
        </w:rPr>
        <w:footnoteReference w:id="2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فَاغْسِلُوا </w:t>
      </w:r>
      <w:r>
        <w:rPr>
          <w:rStyle w:val="FootnoteAnchor"/>
          <w:rtl w:val="true"/>
        </w:rPr>
        <w:footnoteReference w:id="2023"/>
      </w:r>
      <w:r>
        <w:rPr>
          <w:rFonts w:ascii="IRNazanin" w:hAnsi="IRNazanin" w:eastAsia="IRNazanin"/>
          <w:color w:val="111111"/>
          <w:sz w:val="28"/>
          <w:sz w:val="28"/>
          <w:szCs w:val="28"/>
          <w:rtl w:val="true"/>
          <w:lang w:bidi="fa-IR"/>
        </w:rPr>
        <w:t xml:space="preserve">و مع تحقّق الامتثال بما </w:t>
      </w:r>
      <w:r>
        <w:rPr>
          <w:rStyle w:val="FootnoteAnchor"/>
          <w:rtl w:val="true"/>
        </w:rPr>
        <w:footnoteReference w:id="2024"/>
      </w:r>
      <w:r>
        <w:rPr>
          <w:rFonts w:ascii="Amiri" w:hAnsi="Amiri" w:eastAsia="Amiri" w:cs="Amiri"/>
          <w:color w:val="111111"/>
          <w:sz w:val="28"/>
          <w:sz w:val="28"/>
          <w:szCs w:val="28"/>
          <w:rtl w:val="true"/>
          <w:lang w:bidi="ar-SA"/>
        </w:rPr>
        <w:t>يسمّى غسلا يحصل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الشّيخ في الصّحيح،عن زرارة،و محمّد بن مسلم،عن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الوضوء حدّ من حدود اللّه ليعلم اللّه تعالى من يطيعه و من يعصيه،و انّ المؤمن لا ينجّسه شيء إنّما يكفيه اليسير</w:t>
      </w:r>
      <w:r>
        <w:rPr>
          <w:rFonts w:eastAsia="Amiri" w:cs="Amiri" w:ascii="Amiri" w:hAnsi="Amiri"/>
          <w:color w:val="111111"/>
          <w:sz w:val="28"/>
          <w:szCs w:val="28"/>
          <w:rtl w:val="true"/>
          <w:lang w:bidi="ar-SA"/>
        </w:rPr>
        <w:t xml:space="preserve">) </w:t>
      </w:r>
      <w:r>
        <w:rPr>
          <w:rStyle w:val="FootnoteAnchor"/>
          <w:rtl w:val="true"/>
        </w:rPr>
        <w:footnoteReference w:id="2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على الاستحباب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محمّد بن مسلم،عن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يغتسل بصاع من ماء و يتوضّأ بمدّ من ماء</w:t>
      </w:r>
      <w:r>
        <w:rPr>
          <w:rFonts w:eastAsia="Amiri" w:cs="Amiri" w:ascii="Amiri" w:hAnsi="Amiri"/>
          <w:color w:val="111111"/>
          <w:sz w:val="28"/>
          <w:szCs w:val="28"/>
          <w:rtl w:val="true"/>
          <w:lang w:bidi="ar-SA"/>
        </w:rPr>
        <w:t xml:space="preserve">) </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عن سليمان بن حفص المروزيّ </w:t>
      </w:r>
      <w:r>
        <w:rPr>
          <w:rStyle w:val="FootnoteAnchor"/>
          <w:rtl w:val="true"/>
        </w:rPr>
        <w:footnoteReference w:id="20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 بصاع من ماء،و الوضوء بمدّ من ماء،و صاع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أمداد،و المدّ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وزن مائتين و ثمانين درهما،و الدّرهم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وزن ستّة دوانيق،و الدّانق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وزن ستّ حبّات،و الحبّة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وزن حبّتين من شعير من أوسط الحبّ لا من صغاره و لا من كباره</w:t>
      </w:r>
      <w:r>
        <w:rPr>
          <w:rFonts w:eastAsia="Amiri" w:cs="Amiri" w:ascii="Amiri" w:hAnsi="Amiri"/>
          <w:color w:val="111111"/>
          <w:sz w:val="28"/>
          <w:szCs w:val="28"/>
          <w:rtl w:val="true"/>
          <w:lang w:bidi="ar-SA"/>
        </w:rPr>
        <w:t xml:space="preserve">) </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 xml:space="preserve">. </w:t>
      </w:r>
      <w:bookmarkStart w:id="1108" w:name="pg12672_160060"/>
    </w:p>
    <w:p>
      <w:pPr>
        <w:pStyle w:val="BookText"/>
        <w:rPr/>
      </w:pPr>
      <w:bookmarkEnd w:id="1108"/>
      <w:r>
        <w:rPr>
          <w:rFonts w:ascii="Amiri" w:hAnsi="Amiri" w:eastAsia="Amiri" w:cs="Amiri"/>
          <w:color w:val="111111"/>
          <w:sz w:val="28"/>
          <w:sz w:val="28"/>
          <w:szCs w:val="28"/>
          <w:rtl w:val="true"/>
          <w:lang w:bidi="ar-SA"/>
        </w:rPr>
        <w:t>و روى في الصّحيح عن زرارة،عن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يتوضّأ بمدّ و يغتسل بصاع</w:t>
      </w:r>
      <w:r>
        <w:rPr>
          <w:rFonts w:eastAsia="Amiri" w:cs="Amiri" w:ascii="Amiri" w:hAnsi="Amiri"/>
          <w:color w:val="111111"/>
          <w:sz w:val="28"/>
          <w:szCs w:val="28"/>
          <w:rtl w:val="true"/>
          <w:lang w:bidi="ar-SA"/>
        </w:rPr>
        <w:t xml:space="preserve">) </w:t>
      </w:r>
      <w:r>
        <w:rPr>
          <w:rStyle w:val="FootnoteAnchor"/>
          <w:rtl w:val="true"/>
        </w:rPr>
        <w:footnoteReference w:id="2029"/>
      </w:r>
      <w:r>
        <w:rPr>
          <w:rFonts w:ascii="Amiri" w:hAnsi="Amiri" w:eastAsia="Amiri" w:cs="Amiri"/>
          <w:color w:val="111111"/>
          <w:sz w:val="28"/>
          <w:sz w:val="28"/>
          <w:szCs w:val="28"/>
          <w:rtl w:val="true"/>
          <w:lang w:bidi="ar-SA"/>
        </w:rPr>
        <w:t>و المدّ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رطل و نصف،و الصّاع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أرطال،قال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أرطال المدينة فيكون تسعة أرطال بالعراقيّ </w:t>
      </w:r>
      <w:r>
        <w:rPr>
          <w:rStyle w:val="FootnoteAnchor"/>
          <w:rtl w:val="true"/>
        </w:rPr>
        <w:footnoteReference w:id="2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بابويه عن رسول اللّه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مدّ و الغسل صاع و سيأتي أقوام بعدي يستقلّون ذلك فأولئك على خلاف سنّتي،و الثّابت على سنّتي معي في حظيرة القدس</w:t>
      </w:r>
      <w:r>
        <w:rPr>
          <w:rFonts w:eastAsia="Amiri" w:cs="Amiri" w:ascii="Amiri" w:hAnsi="Amiri"/>
          <w:color w:val="111111"/>
          <w:sz w:val="28"/>
          <w:szCs w:val="28"/>
          <w:rtl w:val="true"/>
          <w:lang w:bidi="ar-SA"/>
        </w:rPr>
        <w:t xml:space="preserve">) </w:t>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09" w:name="__RefHeading___Toc747509_222507752"/>
      <w:bookmarkStart w:id="1110" w:name="_Toc445"/>
      <w:bookmarkEnd w:id="1109"/>
      <w:r>
        <w:rPr>
          <w:rtl w:val="true"/>
        </w:rPr>
        <w:t>مسألة</w:t>
      </w:r>
      <w:r>
        <w:rPr>
          <w:rtl w:val="true"/>
        </w:rPr>
        <w:t>:</w:t>
      </w:r>
      <w:r>
        <w:rPr>
          <w:rtl w:val="true"/>
        </w:rPr>
        <w:t>يكره التّمندل من الوضوء</w:t>
      </w:r>
      <w:bookmarkEnd w:id="1110"/>
    </w:p>
    <w:p>
      <w:pPr>
        <w:pStyle w:val="BookText"/>
        <w:rPr/>
      </w:pPr>
      <w:r>
        <w:rPr>
          <w:rFonts w:ascii="Amiri" w:hAnsi="Amiri" w:eastAsia="Amiri" w:cs="Amiri"/>
          <w:color w:val="111111"/>
          <w:sz w:val="28"/>
          <w:sz w:val="28"/>
          <w:szCs w:val="28"/>
          <w:rtl w:val="true"/>
          <w:lang w:bidi="ar-SA"/>
        </w:rPr>
        <w:t xml:space="preserve">،ذكره الشّيخ في بعض كتبه </w:t>
      </w:r>
      <w:r>
        <w:rPr>
          <w:rStyle w:val="FootnoteAnchor"/>
          <w:rtl w:val="true"/>
        </w:rPr>
        <w:footnoteReference w:id="2032"/>
      </w:r>
      <w:r>
        <w:rPr>
          <w:rFonts w:ascii="IRNazanin" w:hAnsi="IRNazanin" w:eastAsia="IRNazanin"/>
          <w:color w:val="111111"/>
          <w:sz w:val="28"/>
          <w:sz w:val="28"/>
          <w:szCs w:val="28"/>
          <w:rtl w:val="true"/>
          <w:lang w:bidi="fa-IR"/>
        </w:rPr>
        <w:t xml:space="preserve">،و به قال عبد اللّه بن عبّاس </w:t>
      </w:r>
      <w:r>
        <w:rPr>
          <w:rStyle w:val="FootnoteAnchor"/>
          <w:rtl w:val="true"/>
        </w:rPr>
        <w:footnoteReference w:id="2033"/>
      </w:r>
      <w:r>
        <w:rPr>
          <w:rFonts w:ascii="Amiri" w:hAnsi="Amiri" w:eastAsia="Amiri" w:cs="Amiri"/>
          <w:color w:val="111111"/>
          <w:sz w:val="28"/>
          <w:sz w:val="28"/>
          <w:szCs w:val="28"/>
          <w:rtl w:val="true"/>
          <w:lang w:bidi="ar-SA"/>
        </w:rPr>
        <w:t>،و قال 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به </w:t>
      </w:r>
      <w:r>
        <w:rPr>
          <w:rStyle w:val="FootnoteAnchor"/>
          <w:rtl w:val="true"/>
        </w:rPr>
        <w:footnoteReference w:id="20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أكثر الفقهاء </w:t>
      </w:r>
      <w:r>
        <w:rPr>
          <w:rStyle w:val="FootnoteAnchor"/>
          <w:rtl w:val="true"/>
        </w:rPr>
        <w:footnoteReference w:id="2035"/>
      </w:r>
      <w:r>
        <w:rPr>
          <w:rFonts w:ascii="Amiri" w:hAnsi="Amiri" w:eastAsia="Amiri" w:cs="Amiri"/>
          <w:color w:val="111111"/>
          <w:sz w:val="28"/>
          <w:sz w:val="28"/>
          <w:szCs w:val="28"/>
          <w:rtl w:val="true"/>
          <w:lang w:bidi="ar-SA"/>
        </w:rPr>
        <w:t xml:space="preserve">،و للشّافعيّ قولان </w:t>
      </w:r>
      <w:r>
        <w:rPr>
          <w:rStyle w:val="FootnoteAnchor"/>
          <w:rtl w:val="true"/>
        </w:rPr>
        <w:footnoteReference w:id="2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ابن بابويه،عن الصّادق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توضّأ و تمندل كتبت له حسنة،و من توضّأ و لم يتمندل حتّى يجفّ وضوؤه كتبت له ثلاثون</w:t>
      </w:r>
      <w:r>
        <w:rPr>
          <w:rFonts w:eastAsia="Amiri" w:cs="Amiri" w:ascii="Amiri" w:hAnsi="Amiri"/>
          <w:color w:val="111111"/>
          <w:sz w:val="28"/>
          <w:szCs w:val="28"/>
          <w:rtl w:val="true"/>
          <w:lang w:bidi="ar-SA"/>
        </w:rPr>
        <w:t xml:space="preserve">) </w:t>
      </w:r>
      <w:r>
        <w:rPr>
          <w:rStyle w:val="FootnoteAnchor"/>
          <w:rtl w:val="true"/>
        </w:rPr>
        <w:footnoteReference w:id="2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الشّيخ بما رواه في الصّحيح 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المسح بالمنديل قبل أن يجفّ؟قال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2038"/>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نقول به،فإنّ </w:t>
      </w:r>
      <w:r>
        <w:rPr>
          <w:rStyle w:val="FootnoteAnchor"/>
          <w:rtl w:val="true"/>
        </w:rPr>
        <w:footnoteReference w:id="2039"/>
      </w:r>
      <w:r>
        <w:rPr>
          <w:rFonts w:ascii="Amiri" w:hAnsi="Amiri" w:eastAsia="Amiri" w:cs="Amiri"/>
          <w:color w:val="111111"/>
          <w:sz w:val="28"/>
          <w:sz w:val="28"/>
          <w:szCs w:val="28"/>
          <w:rtl w:val="true"/>
          <w:lang w:bidi="ar-SA"/>
        </w:rPr>
        <w:t>نفي البأس يفهم منه نفي التّحريم،و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يدلّ على ما </w:t>
      </w:r>
      <w:bookmarkStart w:id="1111" w:name="pg12672_160061"/>
    </w:p>
    <w:p>
      <w:pPr>
        <w:pStyle w:val="BookText"/>
        <w:rPr/>
      </w:pPr>
      <w:bookmarkEnd w:id="1111"/>
      <w:r>
        <w:rPr>
          <w:rFonts w:ascii="Amiri" w:hAnsi="Amiri" w:eastAsia="Amiri" w:cs="Amiri"/>
          <w:color w:val="111111"/>
          <w:sz w:val="28"/>
          <w:sz w:val="28"/>
          <w:szCs w:val="28"/>
          <w:rtl w:val="true"/>
          <w:lang w:bidi="ar-SA"/>
        </w:rPr>
        <w:t>قلناه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أمير المؤمنين عليه السّلام لولده محمّد لمّا وصف له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محمّد،من توضّأ مثل ما توضّأت و قال مثل ما قلت،خلق اللّه له من كلّ قطرة ملكا يقدّسه و يسبّحه و يهلله و يكبّره و يكتب له ثواب ذلك</w:t>
      </w:r>
      <w:r>
        <w:rPr>
          <w:rFonts w:eastAsia="Amiri" w:cs="Amiri" w:ascii="Amiri" w:hAnsi="Amiri"/>
          <w:color w:val="111111"/>
          <w:sz w:val="28"/>
          <w:szCs w:val="28"/>
          <w:rtl w:val="true"/>
          <w:lang w:bidi="ar-SA"/>
        </w:rPr>
        <w:t xml:space="preserve">) </w:t>
      </w:r>
      <w:r>
        <w:rPr>
          <w:rStyle w:val="FootnoteAnchor"/>
          <w:rtl w:val="true"/>
        </w:rPr>
        <w:footnoteReference w:id="2040"/>
      </w:r>
      <w:r>
        <w:rPr>
          <w:rFonts w:ascii="Amiri" w:hAnsi="Amiri" w:eastAsia="Amiri" w:cs="Amiri"/>
          <w:color w:val="111111"/>
          <w:sz w:val="28"/>
          <w:sz w:val="28"/>
          <w:szCs w:val="28"/>
          <w:rtl w:val="true"/>
          <w:lang w:bidi="ar-SA"/>
        </w:rPr>
        <w:t xml:space="preserve">و مع التّمندل يزول التّقاطر </w:t>
      </w:r>
      <w:r>
        <w:rPr>
          <w:rFonts w:eastAsia="Amiri" w:cs="Amiri" w:ascii="Amiri" w:hAnsi="Amiri"/>
          <w:color w:val="111111"/>
          <w:sz w:val="28"/>
          <w:szCs w:val="28"/>
          <w:rtl w:val="true"/>
          <w:lang w:bidi="ar-SA"/>
        </w:rPr>
        <w:t>.</w:t>
      </w:r>
    </w:p>
    <w:p>
      <w:pPr>
        <w:pStyle w:val="Heading6"/>
        <w:numPr>
          <w:ilvl w:val="5"/>
          <w:numId w:val="1"/>
        </w:numPr>
        <w:rPr/>
      </w:pPr>
      <w:bookmarkStart w:id="1112" w:name="__RefHeading___Toc747511_222507752"/>
      <w:bookmarkStart w:id="1113" w:name="_Toc446"/>
      <w:bookmarkEnd w:id="1112"/>
      <w:r>
        <w:rPr>
          <w:rtl w:val="true"/>
        </w:rPr>
        <w:t>مسألة</w:t>
      </w:r>
      <w:r>
        <w:rPr>
          <w:rtl w:val="true"/>
        </w:rPr>
        <w:t>:</w:t>
      </w:r>
      <w:r>
        <w:rPr>
          <w:rtl w:val="true"/>
        </w:rPr>
        <w:t>تكره الاستعانة في الوضوء بصبّ الماء</w:t>
      </w:r>
      <w:bookmarkEnd w:id="1113"/>
    </w:p>
    <w:p>
      <w:pPr>
        <w:pStyle w:val="BookText"/>
        <w:rPr/>
      </w:pPr>
      <w:r>
        <w:rPr>
          <w:rFonts w:ascii="Amiri" w:hAnsi="Amiri" w:eastAsia="Amiri" w:cs="Amiri"/>
          <w:color w:val="111111"/>
          <w:sz w:val="28"/>
          <w:sz w:val="28"/>
          <w:szCs w:val="28"/>
          <w:rtl w:val="true"/>
          <w:lang w:bidi="ar-SA"/>
        </w:rPr>
        <w:t>،لما روى الحسن بن عليّ الوشّاء،قال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الرّضا عليه السّلام و بين يديه إبريق يريد أن يتهيّأ منه للصّلاة فدنوت منه لأصبّ عليه فأبى ذلك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 يا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تنهاني أن أصبّ على يدك،تكره أن أوجر؟قال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تؤجر أنت و أوزر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سمعت اللّه يقول فَمَنْ كانَ يَرْجُوا لِقاءَ رَبِّهِ فَلْيَعْمَلْ عَمَلاً صالِحاً وَ لا يُشْرِكْ بِعِبادَةِ رَبِّهِ أَحَداً </w:t>
      </w:r>
      <w:r>
        <w:rPr>
          <w:rStyle w:val="FootnoteAnchor"/>
          <w:rtl w:val="true"/>
        </w:rPr>
        <w:footnoteReference w:id="2041"/>
      </w:r>
      <w:r>
        <w:rPr>
          <w:rFonts w:ascii="Amiri" w:hAnsi="Amiri" w:eastAsia="Amiri" w:cs="Amiri"/>
          <w:color w:val="111111"/>
          <w:sz w:val="28"/>
          <w:sz w:val="28"/>
          <w:szCs w:val="28"/>
          <w:rtl w:val="true"/>
          <w:lang w:bidi="ar-SA"/>
        </w:rPr>
        <w:t>و ها أنا ذا أتوضّأ للصّلاة و هي العبادة فأكره أن يشركني فيها أحد</w:t>
      </w:r>
      <w:r>
        <w:rPr>
          <w:rFonts w:eastAsia="Amiri" w:cs="Amiri" w:ascii="Amiri" w:hAnsi="Amiri"/>
          <w:color w:val="111111"/>
          <w:sz w:val="28"/>
          <w:szCs w:val="28"/>
          <w:rtl w:val="true"/>
          <w:lang w:bidi="ar-SA"/>
        </w:rPr>
        <w:t xml:space="preserve">» </w:t>
      </w:r>
      <w:r>
        <w:rPr>
          <w:rStyle w:val="FootnoteAnchor"/>
          <w:rtl w:val="true"/>
        </w:rPr>
        <w:footnoteReference w:id="2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طريق هذه الرّواية إبراهيم بن إسحاق الأحمر </w:t>
      </w:r>
      <w:r>
        <w:rPr>
          <w:rStyle w:val="FootnoteAnchor"/>
          <w:rtl w:val="true"/>
        </w:rPr>
        <w:footnoteReference w:id="2043"/>
      </w:r>
      <w:r>
        <w:rPr>
          <w:rFonts w:ascii="Amiri" w:hAnsi="Amiri" w:eastAsia="Amiri" w:cs="Amiri"/>
          <w:color w:val="111111"/>
          <w:sz w:val="28"/>
          <w:sz w:val="28"/>
          <w:szCs w:val="28"/>
          <w:rtl w:val="true"/>
          <w:lang w:bidi="ar-SA"/>
        </w:rPr>
        <w:t xml:space="preserve">و فيه ضعف </w:t>
      </w:r>
      <w:r>
        <w:rPr>
          <w:rStyle w:val="FootnoteAnchor"/>
          <w:rtl w:val="true"/>
        </w:rPr>
        <w:footnoteReference w:id="2044"/>
      </w:r>
      <w:r>
        <w:rPr>
          <w:rFonts w:ascii="IRNazanin" w:hAnsi="IRNazanin" w:eastAsia="IRNazanin"/>
          <w:color w:val="111111"/>
          <w:sz w:val="28"/>
          <w:sz w:val="28"/>
          <w:szCs w:val="28"/>
          <w:rtl w:val="true"/>
          <w:lang w:bidi="fa-IR"/>
        </w:rPr>
        <w:t>إلاّ انّ الأصحاب عملوا بمضمونها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لأنّ صفة وضوء رسول اللّه صلّى اللّه عليه و آله و أمير المؤمنين عليه السّلام اشتملا على ترك الاستعانة </w:t>
      </w:r>
      <w:r>
        <w:rPr>
          <w:rStyle w:val="FootnoteAnchor"/>
          <w:rtl w:val="true"/>
        </w:rPr>
        <w:footnoteReference w:id="2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فيه زيادة مشقّة في تحصيل أمر مطلوب شرعا،فيكون فيه زيادة ثواب و مع الاستعانة يفقد ذلك القدر</w:t>
      </w:r>
      <w:r>
        <w:rPr>
          <w:rFonts w:eastAsia="Amiri" w:cs="Amiri" w:ascii="Amiri" w:hAnsi="Amiri"/>
          <w:color w:val="111111"/>
          <w:sz w:val="28"/>
          <w:szCs w:val="28"/>
          <w:rtl w:val="true"/>
          <w:lang w:bidi="ar-SA"/>
        </w:rPr>
        <w:t>.</w:t>
      </w:r>
    </w:p>
    <w:p>
      <w:pPr>
        <w:pStyle w:val="Heading6"/>
        <w:numPr>
          <w:ilvl w:val="5"/>
          <w:numId w:val="1"/>
        </w:numPr>
        <w:rPr/>
      </w:pPr>
      <w:bookmarkStart w:id="1114" w:name="__RefHeading___Toc747513_222507752"/>
      <w:bookmarkStart w:id="1115" w:name="_Toc447"/>
      <w:bookmarkEnd w:id="1114"/>
      <w:r>
        <w:rPr>
          <w:rtl w:val="true"/>
        </w:rPr>
        <w:t>مسألة</w:t>
      </w:r>
      <w:r>
        <w:rPr>
          <w:rtl w:val="true"/>
        </w:rPr>
        <w:t>:</w:t>
      </w:r>
      <w:r>
        <w:rPr>
          <w:rtl w:val="true"/>
        </w:rPr>
        <w:t>يحرم كشف العورة في الحمّام و غيره بحيث يراه غيره</w:t>
      </w:r>
      <w:bookmarkEnd w:id="1115"/>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دخوله بمئزر </w:t>
      </w:r>
    </w:p>
    <w:p>
      <w:pPr>
        <w:pStyle w:val="BookText"/>
        <w:rPr/>
      </w:pPr>
      <w:r>
        <w:rPr>
          <w:rFonts w:ascii="Amiri" w:hAnsi="Amiri" w:eastAsia="Amiri" w:cs="Amiri"/>
          <w:color w:val="111111"/>
          <w:sz w:val="28"/>
          <w:sz w:val="28"/>
          <w:szCs w:val="28"/>
          <w:rtl w:val="true"/>
          <w:lang w:bidi="ar-SA"/>
        </w:rPr>
        <w:t>و إن لم يره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عن أبي بصير،عن أبي عبد اللّه عليه السّلام،عن آبائه،عن أمير المؤمنين عليهم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تعرّى أحدكم نظر إليه الشّيطان فطمع فيه فاستتروا</w:t>
      </w:r>
      <w:r>
        <w:rPr>
          <w:rFonts w:eastAsia="Amiri" w:cs="Amiri" w:ascii="Amiri" w:hAnsi="Amiri"/>
          <w:color w:val="111111"/>
          <w:sz w:val="28"/>
          <w:szCs w:val="28"/>
          <w:rtl w:val="true"/>
          <w:lang w:bidi="ar-SA"/>
        </w:rPr>
        <w:t xml:space="preserve">) </w:t>
      </w:r>
      <w:r>
        <w:rPr>
          <w:rStyle w:val="FootnoteAnchor"/>
          <w:rtl w:val="true"/>
        </w:rPr>
        <w:footnoteReference w:id="2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حمزة بن أحمد،عن أبي الحسن الأوّل،قال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أو سأله غيري عن الحمّام؟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أدخله بمئزر و غضّ بصرك و لا تغتسل من البئر الّتي يجتمع فيها ماء الحمّام فإنّه يسيل فيها ما يغتسل به الجنب و ولد الزّنا و النّاصب لنا أهل البيت و هو شرّهم</w:t>
      </w:r>
      <w:r>
        <w:rPr>
          <w:rFonts w:eastAsia="Amiri" w:cs="Amiri" w:ascii="Amiri" w:hAnsi="Amiri"/>
          <w:color w:val="111111"/>
          <w:sz w:val="28"/>
          <w:szCs w:val="28"/>
          <w:rtl w:val="true"/>
          <w:lang w:bidi="ar-SA"/>
        </w:rPr>
        <w:t xml:space="preserve">) </w:t>
      </w:r>
      <w:r>
        <w:rPr>
          <w:rStyle w:val="FootnoteAnchor"/>
          <w:rtl w:val="true"/>
        </w:rPr>
        <w:footnoteReference w:id="2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مسمع،عن أبي عبد اللّه عليه السّلام،عن أمير المؤمنين عليه السّلام انّه نهى أن يدخل الرّجل إلاّ بمئزر </w:t>
      </w:r>
      <w:r>
        <w:rPr>
          <w:rStyle w:val="FootnoteAnchor"/>
          <w:rtl w:val="true"/>
        </w:rPr>
        <w:footnoteReference w:id="2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يغتسل الرّجل بارزا؟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يره أحد فلا بأس</w:t>
      </w:r>
      <w:r>
        <w:rPr>
          <w:rFonts w:eastAsia="Amiri" w:cs="Amiri" w:ascii="Amiri" w:hAnsi="Amiri"/>
          <w:color w:val="111111"/>
          <w:sz w:val="28"/>
          <w:szCs w:val="28"/>
          <w:rtl w:val="true"/>
          <w:lang w:bidi="ar-SA"/>
        </w:rPr>
        <w:t xml:space="preserve">) </w:t>
      </w:r>
      <w:r>
        <w:rPr>
          <w:rStyle w:val="FootnoteAnchor"/>
          <w:rtl w:val="true"/>
        </w:rPr>
        <w:footnoteReference w:id="20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في الصّحيح عن حريز،عن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ينظر الرّجل إلى عورة أخيه</w:t>
      </w:r>
      <w:r>
        <w:rPr>
          <w:rFonts w:eastAsia="Amiri" w:cs="Amiri" w:ascii="Amiri" w:hAnsi="Amiri"/>
          <w:color w:val="111111"/>
          <w:sz w:val="28"/>
          <w:szCs w:val="28"/>
          <w:rtl w:val="true"/>
          <w:lang w:bidi="ar-SA"/>
        </w:rPr>
        <w:t xml:space="preserve">) </w:t>
      </w:r>
      <w:r>
        <w:rPr>
          <w:rStyle w:val="FootnoteAnchor"/>
          <w:rtl w:val="true"/>
        </w:rPr>
        <w:footnoteReference w:id="2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بابويه،عن رسول اللّه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يؤمن باللّه و اليوم الآخر فلا يدخل الحمّام إلاّ بمئزر</w:t>
      </w:r>
      <w:r>
        <w:rPr>
          <w:rFonts w:eastAsia="Amiri" w:cs="Amiri" w:ascii="Amiri" w:hAnsi="Amiri"/>
          <w:color w:val="111111"/>
          <w:sz w:val="28"/>
          <w:szCs w:val="28"/>
          <w:rtl w:val="true"/>
          <w:lang w:bidi="ar-SA"/>
        </w:rPr>
        <w:t xml:space="preserve">) </w:t>
      </w:r>
      <w:r>
        <w:rPr>
          <w:rStyle w:val="FootnoteAnchor"/>
          <w:rtl w:val="true"/>
        </w:rPr>
        <w:footnoteReference w:id="2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نهى عليه السّلام عن الغسل تحت السّماء إلاّ بمئزر،و نهى عن دخول الأنهار إلاّ بمئزر،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للماء أهلا و سكّانا</w:t>
      </w:r>
      <w:r>
        <w:rPr>
          <w:rFonts w:eastAsia="Amiri" w:cs="Amiri" w:ascii="Amiri" w:hAnsi="Amiri"/>
          <w:color w:val="111111"/>
          <w:sz w:val="28"/>
          <w:szCs w:val="28"/>
          <w:rtl w:val="true"/>
          <w:lang w:bidi="ar-SA"/>
        </w:rPr>
        <w:t xml:space="preserve">) </w:t>
      </w:r>
      <w:r>
        <w:rPr>
          <w:rStyle w:val="FootnoteAnchor"/>
          <w:rtl w:val="true"/>
        </w:rPr>
        <w:footnoteReference w:id="2052"/>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عن حنّان بن سدير </w:t>
      </w:r>
      <w:r>
        <w:rPr>
          <w:rStyle w:val="FootnoteAnchor"/>
          <w:rtl w:val="true"/>
        </w:rPr>
        <w:footnoteReference w:id="2053"/>
      </w:r>
      <w:r>
        <w:rPr>
          <w:rFonts w:ascii="Amiri" w:hAnsi="Amiri" w:eastAsia="Amiri" w:cs="Amiri"/>
          <w:color w:val="111111"/>
          <w:sz w:val="28"/>
          <w:sz w:val="28"/>
          <w:szCs w:val="28"/>
          <w:rtl w:val="true"/>
          <w:lang w:bidi="ar-SA"/>
        </w:rPr>
        <w:t>،عن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أنا و أبي و جدّي و عمّي </w:t>
      </w:r>
    </w:p>
    <w:p>
      <w:pPr>
        <w:pStyle w:val="BookText"/>
        <w:rPr/>
      </w:pPr>
      <w:r>
        <w:rPr>
          <w:rFonts w:ascii="Amiri" w:hAnsi="Amiri" w:eastAsia="Amiri" w:cs="Amiri"/>
          <w:color w:val="111111"/>
          <w:sz w:val="28"/>
          <w:sz w:val="28"/>
          <w:szCs w:val="28"/>
          <w:rtl w:val="true"/>
          <w:lang w:bidi="ar-SA"/>
        </w:rPr>
        <w:t>حمّاما في المدينة فإذا رجل في بيت المسلخ،فقال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العراق،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كوفيّون،فقال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بكم يا أهل الكوفة و أهلا،أنتم الشّعار دون الدّثار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يمنعكم من الإزار؟فإنّ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عورة المؤمن على المؤمن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فبعث عمّي إلى كرباسة </w:t>
      </w:r>
      <w:r>
        <w:rPr>
          <w:rStyle w:val="FootnoteAnchor"/>
          <w:rtl w:val="true"/>
        </w:rPr>
        <w:footnoteReference w:id="2054"/>
      </w:r>
      <w:r>
        <w:rPr>
          <w:rFonts w:ascii="Amiri" w:hAnsi="Amiri" w:eastAsia="Amiri" w:cs="Amiri"/>
          <w:color w:val="111111"/>
          <w:sz w:val="28"/>
          <w:sz w:val="28"/>
          <w:szCs w:val="28"/>
          <w:rtl w:val="true"/>
          <w:lang w:bidi="ar-SA"/>
        </w:rPr>
        <w:t>فشقّها بأربعة ثمَّ أخذ كل واحد منّا واحدا ثمَّ دخلنا فيها فلمّا كنّا في البيت الحار صمد لجدّي،فقال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كهل ما يمنعك من الخضاب؟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أدركت من هو خير منّي و منك لا يختضب،فقال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 الّذي هو خير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أدركت عليّ بن أبي طالب عليه السّلام،و لا يختضب فنكس رأسه و تصابّ عرقا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و بررت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كهل إن تخضب فإنّ رسول اللّه صلّى اللّه عليه و آله و سلم قد خضب و هو خير من عليّ عليه السّلام،و إن تترك فلك بعليّ عليه السّلام أسوة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خرجنا من الحمّام سألنا عن الرّجل في المسلخ فإذا هو عليّ بن الحسين و معه ابنه محمّد الباقر عليهما السّلام </w:t>
      </w:r>
      <w:r>
        <w:rPr>
          <w:rStyle w:val="FootnoteAnchor"/>
          <w:rtl w:val="true"/>
        </w:rPr>
        <w:footnoteReference w:id="2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اشتمل هذا الحديث على فوائد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بالمعروف برفق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 النّظر إلى عورة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بالخضاب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دخول الرّجل و ابنه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الدّلالة على متابعة النّبيّ صلّى اللّه عليه و آله في أفعاله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الدّعاء،روى ابن بابويه عن محمّد بن حمران </w:t>
      </w:r>
      <w:r>
        <w:rPr>
          <w:rStyle w:val="FootnoteAnchor"/>
          <w:rtl w:val="true"/>
        </w:rPr>
        <w:footnoteReference w:id="20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 الحمّام فقل في الوقت الّذي تنزع ثيابك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انزع عنّي ربقة النّفاق و ثبّتني على الإيمان،فإذا دخلت البيت الأوّل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من شرّ نفسي </w:t>
      </w:r>
    </w:p>
    <w:p>
      <w:pPr>
        <w:pStyle w:val="BookText"/>
        <w:rPr/>
      </w:pPr>
      <w:r>
        <w:rPr>
          <w:rFonts w:ascii="Amiri" w:hAnsi="Amiri" w:eastAsia="Amiri" w:cs="Amiri"/>
          <w:color w:val="111111"/>
          <w:sz w:val="28"/>
          <w:sz w:val="28"/>
          <w:szCs w:val="28"/>
          <w:rtl w:val="true"/>
          <w:lang w:bidi="ar-SA"/>
        </w:rPr>
        <w:t>و أستعيذ بك من أذاه،و إذا دخلت البيت الثّاني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أذهب عنّي الرّجس النّجس و طهّر جسدي و قلبي،و خذ من الماء الحارّ وضعه على هامتك و صبّ منه على رجليك،و إن أمكن أن تبلع منه جرعة فافعل فإنّه ينقي المثانة،و البث في البيت الثّاني ساعة،فإذا دخلت البيت الثّالث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نعوذ باللّه من النّار و نسأله الجنّة،تردّدها إلى وقت خروجك من البيت الحارّ،و إيّاك و شرب الماء البارد و الفقاع في الحمّام فإنّه يفسد المعدة،و لا تصبّنّ عليك الماء البارد فإنّه يضعف البدن،و صبّ الماء البارد على قدميك إذا خرجت فإنّه يسلّ الدّاء من جسدك،فإذا لبست ثيابك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ألبسني التّقوى و جنّبني الرّدى،فإذا فعلت ذلك أمنت من كلّ داء</w:t>
      </w:r>
      <w:r>
        <w:rPr>
          <w:rFonts w:eastAsia="Amiri" w:cs="Amiri" w:ascii="Amiri" w:hAnsi="Amiri"/>
          <w:color w:val="111111"/>
          <w:sz w:val="28"/>
          <w:szCs w:val="28"/>
          <w:rtl w:val="true"/>
          <w:lang w:bidi="ar-SA"/>
        </w:rPr>
        <w:t xml:space="preserve">) </w:t>
      </w:r>
      <w:r>
        <w:rPr>
          <w:rStyle w:val="FootnoteAnchor"/>
          <w:rtl w:val="true"/>
        </w:rPr>
        <w:footnoteReference w:id="2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روى،عن محمّد بن مسلم انّه سأل أبا جعفر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كان أمير المؤمنين عليه السّلام ينهى عن قراءة القرآن في الحمّام؟فقال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لا،إنّما نهى أن يقرأ الرّجل و هو عريان،فإذا كان عليه إزار فلا بأس</w:t>
      </w:r>
      <w:r>
        <w:rPr>
          <w:rFonts w:eastAsia="Amiri" w:cs="Amiri" w:ascii="Amiri" w:hAnsi="Amiri"/>
          <w:color w:val="111111"/>
          <w:sz w:val="28"/>
          <w:szCs w:val="28"/>
          <w:rtl w:val="true"/>
          <w:lang w:bidi="ar-SA"/>
        </w:rPr>
        <w:t xml:space="preserve">) </w:t>
      </w:r>
      <w:r>
        <w:rPr>
          <w:rStyle w:val="FootnoteAnchor"/>
          <w:rtl w:val="true"/>
        </w:rPr>
        <w:footnoteReference w:id="2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 بن يقطين لموسى بن جعفر عليه السّلام،أقرأ في الحمّام و أنكح فيه؟قال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2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ورد ذمّ و مدح في الحمّام،قال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البيت الحمّام تذكّر فيه النّار و يذهب بالدّرن</w:t>
      </w:r>
      <w:r>
        <w:rPr>
          <w:rFonts w:eastAsia="Amiri" w:cs="Amiri" w:ascii="Amiri" w:hAnsi="Amiri"/>
          <w:color w:val="111111"/>
          <w:sz w:val="28"/>
          <w:szCs w:val="28"/>
          <w:rtl w:val="true"/>
          <w:lang w:bidi="ar-SA"/>
        </w:rPr>
        <w:t xml:space="preserve">) </w:t>
      </w:r>
      <w:r>
        <w:rPr>
          <w:rStyle w:val="FootnoteAnchor"/>
          <w:rtl w:val="true"/>
        </w:rPr>
        <w:footnoteReference w:id="2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البيت الحمّام يهتك السّتر و يذهب بالحياء</w:t>
      </w:r>
      <w:r>
        <w:rPr>
          <w:rFonts w:eastAsia="Amiri" w:cs="Amiri" w:ascii="Amiri" w:hAnsi="Amiri"/>
          <w:color w:val="111111"/>
          <w:sz w:val="28"/>
          <w:szCs w:val="28"/>
          <w:rtl w:val="true"/>
          <w:lang w:bidi="ar-SA"/>
        </w:rPr>
        <w:t xml:space="preserve">) </w:t>
      </w:r>
      <w:r>
        <w:rPr>
          <w:rStyle w:val="FootnoteAnchor"/>
          <w:rtl w:val="true"/>
        </w:rPr>
        <w:footnoteReference w:id="2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البيت الحمّام يهتك السّتر و يبدي العورة،و نعم البيت بيت الحمّام يذكّر حرّ جهنم</w:t>
      </w:r>
      <w:r>
        <w:rPr>
          <w:rFonts w:eastAsia="Amiri" w:cs="Amiri" w:ascii="Amiri" w:hAnsi="Amiri"/>
          <w:color w:val="111111"/>
          <w:sz w:val="28"/>
          <w:szCs w:val="28"/>
          <w:rtl w:val="true"/>
          <w:lang w:bidi="ar-SA"/>
        </w:rPr>
        <w:t xml:space="preserve">) </w:t>
      </w:r>
      <w:r>
        <w:rPr>
          <w:rStyle w:val="FootnoteAnchor"/>
          <w:rtl w:val="true"/>
        </w:rPr>
        <w:footnoteReference w:id="2062"/>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الأدب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يدخل الرّجل ولده معه الحمّام فينظر إلى عورته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تتّك في الحمّام فإنّه يذيب شحم الكليتين،و لا تسرح في الحمّام فإنّه يرفق الشّعر،و لا تغسل رأسك بالطّين فإنّه يسمج الوجه،و لا تدلك بالخزف فإنّه يورث البرص،و لا تمسح وجهك بالإزار فإنّه يذهب بماء الوجه</w:t>
      </w:r>
      <w:r>
        <w:rPr>
          <w:rFonts w:eastAsia="Amiri" w:cs="Amiri" w:ascii="Amiri" w:hAnsi="Amiri"/>
          <w:color w:val="111111"/>
          <w:sz w:val="28"/>
          <w:szCs w:val="28"/>
          <w:rtl w:val="true"/>
          <w:lang w:bidi="ar-SA"/>
        </w:rPr>
        <w:t xml:space="preserve">) </w:t>
      </w:r>
      <w:r>
        <w:rPr>
          <w:rStyle w:val="FootnoteAnchor"/>
          <w:rtl w:val="true"/>
        </w:rPr>
        <w:footnoteReference w:id="2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انّ المرأة بذلك طين مصر و خزف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الحسن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تدخلوا الحمّام على الرّيق،و لا تدخلوه حتّى تطعموا شيئا</w:t>
      </w:r>
      <w:r>
        <w:rPr>
          <w:rFonts w:eastAsia="Amiri" w:cs="Amiri" w:ascii="Amiri" w:hAnsi="Amiri"/>
          <w:color w:val="111111"/>
          <w:sz w:val="28"/>
          <w:szCs w:val="28"/>
          <w:rtl w:val="true"/>
          <w:lang w:bidi="ar-SA"/>
        </w:rPr>
        <w:t xml:space="preserve">) </w:t>
      </w:r>
      <w:r>
        <w:rPr>
          <w:rStyle w:val="FootnoteAnchor"/>
          <w:rtl w:val="true"/>
        </w:rPr>
        <w:footnoteReference w:id="2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الحمّام يوم و يوم لا،يكثر اللّحم،و إدمانه كلّ يوم يذيب شحم الكليتين</w:t>
      </w:r>
      <w:r>
        <w:rPr>
          <w:rFonts w:eastAsia="Amiri" w:cs="Amiri" w:ascii="Amiri" w:hAnsi="Amiri"/>
          <w:color w:val="111111"/>
          <w:sz w:val="28"/>
          <w:szCs w:val="28"/>
          <w:rtl w:val="true"/>
          <w:lang w:bidi="ar-SA"/>
        </w:rPr>
        <w:t xml:space="preserve">) </w:t>
      </w:r>
      <w:r>
        <w:rPr>
          <w:rStyle w:val="FootnoteAnchor"/>
          <w:rtl w:val="true"/>
        </w:rPr>
        <w:footnoteReference w:id="2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دخل الصّادق عليه السّلام الحمّام،فقال له صاحب الحمّام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نخلّيه لك؟فقال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لا،انّ المؤمن خفيف المؤنة</w:t>
      </w:r>
      <w:r>
        <w:rPr>
          <w:rFonts w:eastAsia="Amiri" w:cs="Amiri" w:ascii="Amiri" w:hAnsi="Amiri"/>
          <w:color w:val="111111"/>
          <w:sz w:val="28"/>
          <w:szCs w:val="28"/>
          <w:rtl w:val="true"/>
          <w:lang w:bidi="ar-SA"/>
        </w:rPr>
        <w:t xml:space="preserve">) </w:t>
      </w:r>
      <w:r>
        <w:rPr>
          <w:rStyle w:val="FootnoteAnchor"/>
          <w:rtl w:val="true"/>
        </w:rPr>
        <w:footnoteReference w:id="2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الرّأس بالخطميّ في كلّ جمعة أمان من البرص و الجنون</w:t>
      </w:r>
      <w:r>
        <w:rPr>
          <w:rFonts w:eastAsia="Amiri" w:cs="Amiri" w:ascii="Amiri" w:hAnsi="Amiri"/>
          <w:color w:val="111111"/>
          <w:sz w:val="28"/>
          <w:szCs w:val="28"/>
          <w:rtl w:val="true"/>
          <w:lang w:bidi="ar-SA"/>
        </w:rPr>
        <w:t xml:space="preserve">) </w:t>
      </w:r>
      <w:r>
        <w:rPr>
          <w:rStyle w:val="FootnoteAnchor"/>
          <w:rtl w:val="true"/>
        </w:rPr>
        <w:footnoteReference w:id="2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الرّأس بالخطميّ ينفي الفقر و يزيد في الرّزق</w:t>
      </w:r>
      <w:r>
        <w:rPr>
          <w:rFonts w:eastAsia="Amiri" w:cs="Amiri" w:ascii="Amiri" w:hAnsi="Amiri"/>
          <w:color w:val="111111"/>
          <w:sz w:val="28"/>
          <w:szCs w:val="28"/>
          <w:rtl w:val="true"/>
          <w:lang w:bidi="ar-SA"/>
        </w:rPr>
        <w:t xml:space="preserve">) </w:t>
      </w:r>
      <w:r>
        <w:rPr>
          <w:rStyle w:val="FootnoteAnchor"/>
          <w:rtl w:val="true"/>
        </w:rPr>
        <w:footnoteReference w:id="2068"/>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غسل الرّأس بالخطميّ يذهب بالدّرن و ينفي الأقذاء </w:t>
      </w:r>
      <w:r>
        <w:rPr>
          <w:rStyle w:val="FootnoteAnchor"/>
          <w:rtl w:val="true"/>
        </w:rPr>
        <w:footnoteReference w:id="206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رسول اللّه صلّى اللّه عليه و آله اغتمّ فأمره جبرئيل عليه السّلام أن </w:t>
      </w:r>
      <w:bookmarkStart w:id="1116" w:name="pg12672_160066"/>
    </w:p>
    <w:p>
      <w:pPr>
        <w:pStyle w:val="BookText"/>
        <w:rPr/>
      </w:pPr>
      <w:bookmarkEnd w:id="1116"/>
      <w:r>
        <w:rPr>
          <w:rFonts w:ascii="Amiri" w:hAnsi="Amiri" w:eastAsia="Amiri" w:cs="Amiri"/>
          <w:color w:val="111111"/>
          <w:sz w:val="28"/>
          <w:sz w:val="28"/>
          <w:szCs w:val="28"/>
          <w:rtl w:val="true"/>
          <w:lang w:bidi="ar-SA"/>
        </w:rPr>
        <w:t>يغسل رأسه بالسّدر،و كان ذلك سدرا من سدرة المنتهى</w:t>
      </w:r>
      <w:r>
        <w:rPr>
          <w:rFonts w:eastAsia="Amiri" w:cs="Amiri" w:ascii="Amiri" w:hAnsi="Amiri"/>
          <w:color w:val="111111"/>
          <w:sz w:val="28"/>
          <w:szCs w:val="28"/>
          <w:rtl w:val="true"/>
          <w:lang w:bidi="ar-SA"/>
        </w:rPr>
        <w:t xml:space="preserve">) </w:t>
      </w:r>
      <w:r>
        <w:rPr>
          <w:rStyle w:val="FootnoteAnchor"/>
          <w:rtl w:val="true"/>
        </w:rPr>
        <w:footnoteReference w:id="2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الحسن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الرّأس بالسّدر يجلب الرّزق جلبا</w:t>
      </w:r>
      <w:r>
        <w:rPr>
          <w:rFonts w:eastAsia="Amiri" w:cs="Amiri" w:ascii="Amiri" w:hAnsi="Amiri"/>
          <w:color w:val="111111"/>
          <w:sz w:val="28"/>
          <w:szCs w:val="28"/>
          <w:rtl w:val="true"/>
          <w:lang w:bidi="ar-SA"/>
        </w:rPr>
        <w:t xml:space="preserve">) </w:t>
      </w:r>
      <w:r>
        <w:rPr>
          <w:rStyle w:val="FootnoteAnchor"/>
          <w:rtl w:val="true"/>
        </w:rPr>
        <w:footnoteReference w:id="2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اغسلوا رءوسكم بورق السّدر،فإنّه قدّسه كلّ ملك مقرّب و كلّ نبيّ مرسل</w:t>
      </w:r>
      <w:r>
        <w:rPr>
          <w:rFonts w:eastAsia="Amiri" w:cs="Amiri" w:ascii="Amiri" w:hAnsi="Amiri"/>
          <w:color w:val="111111"/>
          <w:sz w:val="28"/>
          <w:szCs w:val="28"/>
          <w:rtl w:val="true"/>
          <w:lang w:bidi="ar-SA"/>
        </w:rPr>
        <w:t xml:space="preserve">) </w:t>
      </w:r>
      <w:r>
        <w:rPr>
          <w:rStyle w:val="FootnoteAnchor"/>
          <w:rtl w:val="true"/>
        </w:rPr>
        <w:footnoteReference w:id="2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خرج الحسن بن عليّ عليه السّلام،فقال 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استحمامك،فقال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لكع و ما تصنع بالاست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فطاب حمّامك،فقال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طاب الحمّام فما راحة البدن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فطاب حميمك،فقال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ويحك،أما عرفت انّ الحميم 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أقول؟قال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منك ما طهر،و طهر منك ما طاب</w:t>
      </w:r>
      <w:r>
        <w:rPr>
          <w:rFonts w:eastAsia="Amiri" w:cs="Amiri" w:ascii="Amiri" w:hAnsi="Amiri"/>
          <w:color w:val="111111"/>
          <w:sz w:val="28"/>
          <w:szCs w:val="28"/>
          <w:rtl w:val="true"/>
          <w:lang w:bidi="ar-SA"/>
        </w:rPr>
        <w:t xml:space="preserve">) </w:t>
      </w:r>
      <w:r>
        <w:rPr>
          <w:rStyle w:val="FootnoteAnchor"/>
          <w:rtl w:val="true"/>
        </w:rPr>
        <w:footnoteReference w:id="207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17" w:name="__RefHeading___Toc747515_222507752"/>
      <w:bookmarkStart w:id="1118" w:name="_Toc448"/>
      <w:bookmarkEnd w:id="1117"/>
      <w:r>
        <w:rPr>
          <w:rtl w:val="true"/>
        </w:rPr>
        <w:t>فصول في الفطرة</w:t>
      </w:r>
      <w:r>
        <w:rPr>
          <w:rtl w:val="true"/>
        </w:rPr>
        <w:t>:</w:t>
      </w:r>
      <w:bookmarkEnd w:id="1118"/>
    </w:p>
    <w:p>
      <w:pPr>
        <w:pStyle w:val="BookText"/>
        <w:rPr/>
      </w:pPr>
      <w:r>
        <w:rPr>
          <w:rFonts w:ascii="Amiri" w:hAnsi="Amiri" w:eastAsia="Amiri" w:cs="Amiri"/>
          <w:color w:val="111111"/>
          <w:sz w:val="28"/>
          <w:sz w:val="28"/>
          <w:szCs w:val="28"/>
          <w:rtl w:val="true"/>
          <w:lang w:bidi="ar-SA"/>
        </w:rPr>
        <w:t>حلق العانة مستحبّ،روى ابن بابويه عن أبي الحسن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ألقوا الشّعر عنكم فإنّه نجس</w:t>
      </w:r>
      <w:r>
        <w:rPr>
          <w:rFonts w:eastAsia="Amiri" w:cs="Amiri" w:ascii="Amiri" w:hAnsi="Amiri"/>
          <w:color w:val="111111"/>
          <w:sz w:val="28"/>
          <w:szCs w:val="28"/>
          <w:rtl w:val="true"/>
          <w:lang w:bidi="ar-SA"/>
        </w:rPr>
        <w:t xml:space="preserve">) </w:t>
      </w:r>
      <w:r>
        <w:rPr>
          <w:rStyle w:val="FootnoteAnchor"/>
          <w:rtl w:val="true"/>
        </w:rPr>
        <w:footnoteReference w:id="2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الصّادق عليه السّلام يطلي في الحمّام،فإذا بلغ موضع العورة قال للّذي يطلي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يطلي هو ذلك الموضع </w:t>
      </w:r>
      <w:r>
        <w:rPr>
          <w:rStyle w:val="FootnoteAnchor"/>
          <w:rtl w:val="true"/>
        </w:rPr>
        <w:footnoteReference w:id="2076"/>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أطلى فلا بأس أن يلقي المئزر عنه،لأنّ النّورة ستر </w:t>
      </w:r>
      <w:r>
        <w:rPr>
          <w:rStyle w:val="FootnoteAnchor"/>
          <w:rtl w:val="true"/>
        </w:rPr>
        <w:footnoteReference w:id="2077"/>
      </w:r>
      <w:r>
        <w:rPr>
          <w:rFonts w:eastAsia="Times New Roman" w:cs="Times New Roman" w:ascii="Times New Roman" w:hAnsi="Times New Roman"/>
          <w:color w:val="111111"/>
          <w:sz w:val="28"/>
          <w:szCs w:val="28"/>
          <w:rtl w:val="true"/>
          <w:lang w:val="en-US" w:bidi="en-US"/>
        </w:rPr>
        <w:t xml:space="preserve">. </w:t>
      </w:r>
      <w:bookmarkStart w:id="1119" w:name="pg12672_160067"/>
    </w:p>
    <w:p>
      <w:pPr>
        <w:pStyle w:val="BookText"/>
        <w:rPr/>
      </w:pPr>
      <w:bookmarkEnd w:id="1119"/>
      <w:r>
        <w:rPr>
          <w:rFonts w:ascii="Amiri" w:hAnsi="Amiri" w:eastAsia="Amiri" w:cs="Amiri"/>
          <w:color w:val="111111"/>
          <w:sz w:val="28"/>
          <w:sz w:val="28"/>
          <w:szCs w:val="28"/>
          <w:rtl w:val="true"/>
          <w:lang w:bidi="ar-SA"/>
        </w:rPr>
        <w:t>و السّنّة إزالتها بالنّورة،قال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النّورة طهور</w:t>
      </w:r>
      <w:r>
        <w:rPr>
          <w:rFonts w:eastAsia="Amiri" w:cs="Amiri" w:ascii="Amiri" w:hAnsi="Amiri"/>
          <w:color w:val="111111"/>
          <w:sz w:val="28"/>
          <w:szCs w:val="28"/>
          <w:rtl w:val="true"/>
          <w:lang w:bidi="ar-SA"/>
        </w:rPr>
        <w:t xml:space="preserve">) </w:t>
      </w:r>
      <w:r>
        <w:rPr>
          <w:rStyle w:val="FootnoteAnchor"/>
          <w:rtl w:val="true"/>
        </w:rPr>
        <w:footnoteReference w:id="2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للمؤمن أن يطلي في كلّ خمسة عشر يوما</w:t>
      </w:r>
      <w:r>
        <w:rPr>
          <w:rFonts w:eastAsia="Amiri" w:cs="Amiri" w:ascii="Amiri" w:hAnsi="Amiri"/>
          <w:color w:val="111111"/>
          <w:sz w:val="28"/>
          <w:szCs w:val="28"/>
          <w:rtl w:val="true"/>
          <w:lang w:bidi="ar-SA"/>
        </w:rPr>
        <w:t xml:space="preserve">) </w:t>
      </w:r>
      <w:r>
        <w:rPr>
          <w:rStyle w:val="FootnoteAnchor"/>
          <w:rtl w:val="true"/>
        </w:rPr>
        <w:footnoteReference w:id="2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في النّورة في كلّ خمسة عشر يوما فإن أتت عليك عشرون يوما و ليس عندك فاستقرض على اللّه عز و جلّ</w:t>
      </w:r>
      <w:r>
        <w:rPr>
          <w:rFonts w:eastAsia="Amiri" w:cs="Amiri" w:ascii="Amiri" w:hAnsi="Amiri"/>
          <w:color w:val="111111"/>
          <w:sz w:val="28"/>
          <w:szCs w:val="28"/>
          <w:rtl w:val="true"/>
          <w:lang w:bidi="ar-SA"/>
        </w:rPr>
        <w:t xml:space="preserve">) </w:t>
      </w:r>
      <w:r>
        <w:rPr>
          <w:rStyle w:val="FootnoteAnchor"/>
          <w:rtl w:val="true"/>
        </w:rPr>
        <w:footnoteReference w:id="2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يؤمن باللّه و اليوم الآخر،فلا يترك عانته فوق أربعين يوما،و لا يحلّ لامرأة تؤمن باللّه و اليوم الآخر أن تدع ذلك منها فوق عشرين يوما</w:t>
      </w:r>
      <w:r>
        <w:rPr>
          <w:rFonts w:eastAsia="Amiri" w:cs="Amiri" w:ascii="Amiri" w:hAnsi="Amiri"/>
          <w:color w:val="111111"/>
          <w:sz w:val="28"/>
          <w:szCs w:val="28"/>
          <w:rtl w:val="true"/>
          <w:lang w:bidi="ar-SA"/>
        </w:rPr>
        <w:t xml:space="preserve">) </w:t>
      </w:r>
      <w:r>
        <w:rPr>
          <w:rStyle w:val="FootnoteAnchor"/>
          <w:rtl w:val="true"/>
        </w:rPr>
        <w:footnoteReference w:id="2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احلقوا شعر البطن للذّكر و الأنثى</w:t>
      </w:r>
      <w:r>
        <w:rPr>
          <w:rFonts w:eastAsia="Amiri" w:cs="Amiri" w:ascii="Amiri" w:hAnsi="Amiri"/>
          <w:color w:val="111111"/>
          <w:sz w:val="28"/>
          <w:szCs w:val="28"/>
          <w:rtl w:val="true"/>
          <w:lang w:bidi="ar-SA"/>
        </w:rPr>
        <w:t xml:space="preserve">) </w:t>
      </w:r>
      <w:r>
        <w:rPr>
          <w:rStyle w:val="FootnoteAnchor"/>
          <w:rtl w:val="true"/>
        </w:rPr>
        <w:footnoteReference w:id="208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20" w:name="__RefHeading___Toc747517_222507752"/>
      <w:bookmarkStart w:id="1121" w:name="_Toc449"/>
      <w:bookmarkEnd w:id="1120"/>
      <w:r>
        <w:rPr>
          <w:rtl w:val="true"/>
        </w:rPr>
        <w:t>فصل</w:t>
      </w:r>
      <w:r>
        <w:rPr>
          <w:rtl w:val="true"/>
        </w:rPr>
        <w:t>:</w:t>
      </w:r>
      <w:r>
        <w:rPr>
          <w:rtl w:val="true"/>
        </w:rPr>
        <w:t>و نتف الإبط من الفطرة و يفحش تركه،</w:t>
      </w:r>
      <w:bookmarkEnd w:id="1121"/>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نتف الإبط ينفي الرّائحة المكروهة،و هو طهور و سنّة ممّا أمر به الطّيّب عليه و على أهل بيته السّلام</w:t>
      </w:r>
      <w:r>
        <w:rPr>
          <w:rFonts w:eastAsia="Amiri" w:cs="Amiri" w:ascii="Amiri" w:hAnsi="Amiri"/>
          <w:color w:val="111111"/>
          <w:sz w:val="28"/>
          <w:szCs w:val="28"/>
          <w:rtl w:val="true"/>
          <w:lang w:bidi="ar-SA"/>
        </w:rPr>
        <w:t xml:space="preserve">) </w:t>
      </w:r>
      <w:r>
        <w:rPr>
          <w:rStyle w:val="FootnoteAnchor"/>
          <w:rtl w:val="true"/>
        </w:rPr>
        <w:footnoteReference w:id="2083"/>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يطولنّ أحدكم شعر إبطيه فإنّ الشّيطان يتّخذه مخبأ </w:t>
      </w:r>
      <w:r>
        <w:rPr>
          <w:rStyle w:val="FootnoteAnchor"/>
          <w:rtl w:val="true"/>
        </w:rPr>
        <w:footnoteReference w:id="2084"/>
      </w:r>
      <w:r>
        <w:rPr>
          <w:rFonts w:ascii="Amiri" w:hAnsi="Amiri" w:eastAsia="Amiri" w:cs="Amiri"/>
          <w:color w:val="111111"/>
          <w:sz w:val="28"/>
          <w:sz w:val="28"/>
          <w:szCs w:val="28"/>
          <w:rtl w:val="true"/>
          <w:lang w:bidi="ar-SA"/>
        </w:rPr>
        <w:t>يستتر به</w:t>
      </w:r>
      <w:r>
        <w:rPr>
          <w:rFonts w:eastAsia="Amiri" w:cs="Amiri" w:ascii="Amiri" w:hAnsi="Amiri"/>
          <w:color w:val="111111"/>
          <w:sz w:val="28"/>
          <w:szCs w:val="28"/>
          <w:rtl w:val="true"/>
          <w:lang w:bidi="ar-SA"/>
        </w:rPr>
        <w:t xml:space="preserve">) </w:t>
      </w:r>
      <w:r>
        <w:rPr>
          <w:rStyle w:val="FootnoteAnchor"/>
          <w:rtl w:val="true"/>
        </w:rPr>
        <w:footnoteReference w:id="2085"/>
      </w:r>
      <w:r>
        <w:rPr>
          <w:rFonts w:eastAsia="Times New Roman" w:cs="Times New Roman" w:ascii="Times New Roman" w:hAnsi="Times New Roman"/>
          <w:color w:val="111111"/>
          <w:sz w:val="28"/>
          <w:szCs w:val="28"/>
          <w:rtl w:val="true"/>
          <w:lang w:val="en-US" w:bidi="en-US"/>
        </w:rPr>
        <w:t xml:space="preserve">. </w:t>
      </w:r>
      <w:bookmarkStart w:id="1122" w:name="pg12672_160068"/>
    </w:p>
    <w:p>
      <w:pPr>
        <w:pStyle w:val="BookText"/>
        <w:rPr/>
      </w:pPr>
      <w:bookmarkEnd w:id="1122"/>
      <w:r>
        <w:rPr>
          <w:rFonts w:ascii="Amiri" w:hAnsi="Amiri" w:eastAsia="Amiri" w:cs="Amiri"/>
          <w:color w:val="111111"/>
          <w:sz w:val="28"/>
          <w:sz w:val="28"/>
          <w:szCs w:val="28"/>
          <w:rtl w:val="true"/>
          <w:lang w:bidi="ar-SA"/>
        </w:rPr>
        <w:t>و كان الصّادق عليه السّلام يطلي إبطيه في الحمّام،و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نتف الإبط يضعف المنكبين،و يوهي و يضعف البصر</w:t>
      </w:r>
      <w:r>
        <w:rPr>
          <w:rFonts w:eastAsia="Amiri" w:cs="Amiri" w:ascii="Amiri" w:hAnsi="Amiri"/>
          <w:color w:val="111111"/>
          <w:sz w:val="28"/>
          <w:szCs w:val="28"/>
          <w:rtl w:val="true"/>
          <w:lang w:bidi="ar-SA"/>
        </w:rPr>
        <w:t xml:space="preserve">) </w:t>
      </w:r>
      <w:r>
        <w:rPr>
          <w:rStyle w:val="FootnoteAnchor"/>
          <w:rtl w:val="true"/>
        </w:rPr>
        <w:footnoteReference w:id="2086"/>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حلقه أفضل من نتفه، و طليه أفضل من حلقه</w:t>
      </w:r>
      <w:r>
        <w:rPr>
          <w:rFonts w:eastAsia="Amiri" w:cs="Amiri" w:ascii="Amiri" w:hAnsi="Amiri"/>
          <w:color w:val="111111"/>
          <w:sz w:val="28"/>
          <w:szCs w:val="28"/>
          <w:rtl w:val="true"/>
          <w:lang w:bidi="ar-SA"/>
        </w:rPr>
        <w:t xml:space="preserve">) </w:t>
      </w:r>
      <w:r>
        <w:rPr>
          <w:rStyle w:val="FootnoteAnchor"/>
          <w:rtl w:val="true"/>
        </w:rPr>
        <w:footnoteReference w:id="2087"/>
      </w:r>
      <w:r>
        <w:rPr>
          <w:rFonts w:ascii="Amiri" w:hAnsi="Amiri" w:eastAsia="Amiri" w:cs="Amiri"/>
          <w:color w:val="111111"/>
          <w:sz w:val="28"/>
          <w:sz w:val="28"/>
          <w:szCs w:val="28"/>
          <w:rtl w:val="true"/>
          <w:lang w:bidi="ar-SA"/>
        </w:rPr>
        <w:t xml:space="preserve">و المقصود إنّما هو الإزالة فمهما حصلت،حصلت الأفضليّة،و مع ذلك فينبغي الإزالة بالنّورة لما ورد فيها من الفضل </w:t>
      </w:r>
      <w:r>
        <w:rPr>
          <w:rStyle w:val="FootnoteAnchor"/>
          <w:rtl w:val="true"/>
        </w:rPr>
        <w:footnoteReference w:id="208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23" w:name="__RefHeading___Toc747519_222507752"/>
      <w:bookmarkStart w:id="1124" w:name="_Toc450"/>
      <w:bookmarkEnd w:id="1123"/>
      <w:r>
        <w:rPr>
          <w:rtl w:val="true"/>
        </w:rPr>
        <w:t>فصل</w:t>
      </w:r>
      <w:r>
        <w:rPr>
          <w:rtl w:val="true"/>
        </w:rPr>
        <w:t>:</w:t>
      </w:r>
      <w:r>
        <w:rPr>
          <w:rtl w:val="true"/>
        </w:rPr>
        <w:t>إزالة الشّعر من الأنف مستحب،</w:t>
      </w:r>
      <w:bookmarkEnd w:id="1124"/>
    </w:p>
    <w:p>
      <w:pPr>
        <w:pStyle w:val="BookText"/>
        <w:rPr/>
      </w:pPr>
      <w:r>
        <w:rPr>
          <w:rFonts w:ascii="Amiri" w:hAnsi="Amiri" w:eastAsia="Amiri" w:cs="Amiri"/>
          <w:color w:val="111111"/>
          <w:sz w:val="28"/>
          <w:sz w:val="28"/>
          <w:szCs w:val="28"/>
          <w:rtl w:val="true"/>
          <w:lang w:bidi="ar-SA"/>
        </w:rPr>
        <w:t>لما فيه من التّحسين و التّزيين،و لما رواه ابن بابويه،عن الصّادق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الشّعر من الأنف يحسّن الوجه</w:t>
      </w:r>
      <w:r>
        <w:rPr>
          <w:rFonts w:eastAsia="Amiri" w:cs="Amiri" w:ascii="Amiri" w:hAnsi="Amiri"/>
          <w:color w:val="111111"/>
          <w:sz w:val="28"/>
          <w:szCs w:val="28"/>
          <w:rtl w:val="true"/>
          <w:lang w:bidi="ar-SA"/>
        </w:rPr>
        <w:t xml:space="preserve">) </w:t>
      </w:r>
      <w:r>
        <w:rPr>
          <w:rStyle w:val="FootnoteAnchor"/>
          <w:rtl w:val="true"/>
        </w:rPr>
        <w:footnoteReference w:id="208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25" w:name="__RefHeading___Toc747521_222507752"/>
      <w:bookmarkStart w:id="1126" w:name="_Toc451"/>
      <w:bookmarkEnd w:id="1125"/>
      <w:r>
        <w:rPr>
          <w:rtl w:val="true"/>
        </w:rPr>
        <w:t>فصل</w:t>
      </w:r>
      <w:r>
        <w:rPr>
          <w:rtl w:val="true"/>
        </w:rPr>
        <w:t>:</w:t>
      </w:r>
      <w:r>
        <w:rPr>
          <w:rtl w:val="true"/>
        </w:rPr>
        <w:t>و اتّخاذ الشّعر أفضل من إزالته،</w:t>
      </w:r>
      <w:bookmarkEnd w:id="1126"/>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الحسن من كسوة اللّه تعالى فأكرموه</w:t>
      </w:r>
      <w:r>
        <w:rPr>
          <w:rFonts w:eastAsia="Amiri" w:cs="Amiri" w:ascii="Amiri" w:hAnsi="Amiri"/>
          <w:color w:val="111111"/>
          <w:sz w:val="28"/>
          <w:szCs w:val="28"/>
          <w:rtl w:val="true"/>
          <w:lang w:bidi="ar-SA"/>
        </w:rPr>
        <w:t xml:space="preserve">) </w:t>
      </w:r>
      <w:r>
        <w:rPr>
          <w:rStyle w:val="FootnoteAnchor"/>
          <w:rtl w:val="true"/>
        </w:rPr>
        <w:footnoteReference w:id="2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اتّخذ شعرا فليحسن ولايته أو ليجزّه</w:t>
      </w:r>
      <w:r>
        <w:rPr>
          <w:rFonts w:eastAsia="Amiri" w:cs="Amiri" w:ascii="Amiri" w:hAnsi="Amiri"/>
          <w:color w:val="111111"/>
          <w:sz w:val="28"/>
          <w:szCs w:val="28"/>
          <w:rtl w:val="true"/>
          <w:lang w:bidi="ar-SA"/>
        </w:rPr>
        <w:t xml:space="preserve">) </w:t>
      </w:r>
      <w:r>
        <w:rPr>
          <w:rStyle w:val="FootnoteAnchor"/>
          <w:rtl w:val="true"/>
        </w:rPr>
        <w:footnoteReference w:id="2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روي خلاف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احلق،فإنّه يزيد في جمالك</w:t>
      </w:r>
      <w:r>
        <w:rPr>
          <w:rFonts w:eastAsia="Amiri" w:cs="Amiri" w:ascii="Amiri" w:hAnsi="Amiri"/>
          <w:color w:val="111111"/>
          <w:sz w:val="28"/>
          <w:szCs w:val="28"/>
          <w:rtl w:val="true"/>
          <w:lang w:bidi="ar-SA"/>
        </w:rPr>
        <w:t xml:space="preserve">) </w:t>
      </w:r>
      <w:r>
        <w:rPr>
          <w:rStyle w:val="FootnoteAnchor"/>
          <w:rtl w:val="true"/>
        </w:rPr>
        <w:footnoteReference w:id="2092"/>
      </w:r>
      <w:r>
        <w:rPr>
          <w:rFonts w:ascii="Amiri" w:hAnsi="Amiri" w:eastAsia="Amiri" w:cs="Amiri"/>
          <w:color w:val="111111"/>
          <w:sz w:val="28"/>
          <w:sz w:val="28"/>
          <w:szCs w:val="28"/>
          <w:rtl w:val="true"/>
          <w:lang w:bidi="ar-SA"/>
        </w:rPr>
        <w:t>و يحتمل انّ المراد هاهنا ما دلّ عليه اللّفظ صريحا و هو التّخصيص لمعرفته بحال المأمور من زيادة جماله بحلق شعره</w:t>
      </w:r>
      <w:r>
        <w:rPr>
          <w:rFonts w:eastAsia="Amiri" w:cs="Amiri" w:ascii="Amiri" w:hAnsi="Amiri"/>
          <w:color w:val="111111"/>
          <w:sz w:val="28"/>
          <w:szCs w:val="28"/>
          <w:rtl w:val="true"/>
          <w:lang w:bidi="ar-SA"/>
        </w:rPr>
        <w:t>.</w:t>
      </w:r>
    </w:p>
    <w:p>
      <w:pPr>
        <w:pStyle w:val="Heading6"/>
        <w:numPr>
          <w:ilvl w:val="5"/>
          <w:numId w:val="1"/>
        </w:numPr>
        <w:rPr/>
      </w:pPr>
      <w:bookmarkStart w:id="1127" w:name="__RefHeading___Toc747523_222507752"/>
      <w:bookmarkStart w:id="1128" w:name="_Toc452"/>
      <w:bookmarkEnd w:id="1127"/>
      <w:r>
        <w:rPr>
          <w:rtl w:val="true"/>
        </w:rPr>
        <w:t>فصل</w:t>
      </w:r>
      <w:r>
        <w:rPr>
          <w:rtl w:val="true"/>
        </w:rPr>
        <w:t>:</w:t>
      </w:r>
      <w:r>
        <w:rPr>
          <w:rtl w:val="true"/>
        </w:rPr>
        <w:t>و قصّ الأظفار من الفطرة و يتفاحش تركها</w:t>
      </w:r>
      <w:bookmarkEnd w:id="1128"/>
    </w:p>
    <w:p>
      <w:pPr>
        <w:pStyle w:val="BookText"/>
        <w:rPr/>
      </w:pPr>
      <w:r>
        <w:rPr>
          <w:rFonts w:ascii="Amiri" w:hAnsi="Amiri" w:eastAsia="Amiri" w:cs="Amiri"/>
          <w:color w:val="111111"/>
          <w:sz w:val="28"/>
          <w:sz w:val="28"/>
          <w:szCs w:val="28"/>
          <w:rtl w:val="true"/>
          <w:lang w:bidi="ar-SA"/>
        </w:rPr>
        <w:t xml:space="preserve">فربّما تغرب </w:t>
      </w:r>
      <w:r>
        <w:rPr>
          <w:rStyle w:val="FootnoteAnchor"/>
          <w:rtl w:val="true"/>
        </w:rPr>
        <w:footnoteReference w:id="2093"/>
      </w:r>
      <w:r>
        <w:rPr>
          <w:rFonts w:ascii="Amiri" w:hAnsi="Amiri" w:eastAsia="Amiri" w:cs="Amiri"/>
          <w:color w:val="111111"/>
          <w:sz w:val="28"/>
          <w:sz w:val="28"/>
          <w:szCs w:val="28"/>
          <w:rtl w:val="true"/>
          <w:lang w:bidi="ar-SA"/>
        </w:rPr>
        <w:t>لاجتماع الوسخ إذا حكّ جلده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للرّجال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قصّوا أظافيركم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اتركن من أظافيركنّ،فإنّه أزين لكنّ</w:t>
      </w:r>
      <w:r>
        <w:rPr>
          <w:rFonts w:eastAsia="Amiri" w:cs="Amiri" w:ascii="Amiri" w:hAnsi="Amiri"/>
          <w:color w:val="111111"/>
          <w:sz w:val="28"/>
          <w:szCs w:val="28"/>
          <w:rtl w:val="true"/>
          <w:lang w:bidi="ar-SA"/>
        </w:rPr>
        <w:t xml:space="preserve">) </w:t>
      </w:r>
      <w:r>
        <w:rPr>
          <w:rStyle w:val="FootnoteAnchor"/>
          <w:rtl w:val="true"/>
        </w:rPr>
        <w:footnoteReference w:id="2094"/>
      </w:r>
      <w:r>
        <w:rPr>
          <w:rFonts w:eastAsia="Times New Roman" w:cs="Times New Roman" w:ascii="Times New Roman" w:hAnsi="Times New Roman"/>
          <w:color w:val="111111"/>
          <w:sz w:val="28"/>
          <w:szCs w:val="28"/>
          <w:rtl w:val="true"/>
          <w:lang w:val="en-US" w:bidi="en-US"/>
        </w:rPr>
        <w:t xml:space="preserve">. </w:t>
      </w:r>
      <w:bookmarkStart w:id="1129" w:name="pg12672_160069"/>
    </w:p>
    <w:p>
      <w:pPr>
        <w:pStyle w:val="BookText"/>
        <w:rPr/>
      </w:pPr>
      <w:bookmarkEnd w:id="1129"/>
      <w:r>
        <w:rPr>
          <w:rFonts w:ascii="Amiri" w:hAnsi="Amiri" w:eastAsia="Amiri" w:cs="Amiri"/>
          <w:color w:val="111111"/>
          <w:sz w:val="28"/>
          <w:sz w:val="28"/>
          <w:szCs w:val="28"/>
          <w:rtl w:val="true"/>
          <w:lang w:bidi="ar-SA"/>
        </w:rPr>
        <w:t>و 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قلّموا أظفاركم يوم الثّلاثاء،و استحمّوا يوم الأربعاء، و أصيبوا من الحجامة حاجتكم يوم الخميس،و تطيّبوا بأطيب طيبكم يوم الجمعة</w:t>
      </w:r>
      <w:r>
        <w:rPr>
          <w:rFonts w:eastAsia="Amiri" w:cs="Amiri" w:ascii="Amiri" w:hAnsi="Amiri"/>
          <w:color w:val="111111"/>
          <w:sz w:val="28"/>
          <w:szCs w:val="28"/>
          <w:rtl w:val="true"/>
          <w:lang w:bidi="ar-SA"/>
        </w:rPr>
        <w:t xml:space="preserve">) </w:t>
      </w:r>
      <w:r>
        <w:rPr>
          <w:rStyle w:val="FootnoteAnchor"/>
          <w:rtl w:val="true"/>
        </w:rPr>
        <w:footnoteReference w:id="2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الحسين بن أبي العلاء للصّادق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ثواب من أخذ من شاربه و قلّم أظفاره في كلّ جمعة؟قال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مطهّرا إلى الجمعة الأخرى</w:t>
      </w:r>
      <w:r>
        <w:rPr>
          <w:rFonts w:eastAsia="Amiri" w:cs="Amiri" w:ascii="Amiri" w:hAnsi="Amiri"/>
          <w:color w:val="111111"/>
          <w:sz w:val="28"/>
          <w:szCs w:val="28"/>
          <w:rtl w:val="true"/>
          <w:lang w:bidi="ar-SA"/>
        </w:rPr>
        <w:t xml:space="preserve">) </w:t>
      </w:r>
      <w:r>
        <w:rPr>
          <w:rStyle w:val="FootnoteAnchor"/>
          <w:rtl w:val="true"/>
        </w:rPr>
        <w:footnoteReference w:id="2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 أظافيره يوم الخميس و ترك واحدا ليوم الجمعة، نفى اللّه عنه الفقر</w:t>
      </w:r>
      <w:r>
        <w:rPr>
          <w:rFonts w:eastAsia="Amiri" w:cs="Amiri" w:ascii="Amiri" w:hAnsi="Amiri"/>
          <w:color w:val="111111"/>
          <w:sz w:val="28"/>
          <w:szCs w:val="28"/>
          <w:rtl w:val="true"/>
          <w:lang w:bidi="ar-SA"/>
        </w:rPr>
        <w:t xml:space="preserve">) </w:t>
      </w:r>
      <w:r>
        <w:rPr>
          <w:rStyle w:val="FootnoteAnchor"/>
          <w:rtl w:val="true"/>
        </w:rPr>
        <w:footnoteReference w:id="2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عبد اللّه بن أبي يعفور للصّادق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استنزل الرّزق بشيء مثل التّعقيب ما بين طلوع الفجر إلى طلوع الشّمس؟فقال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أجل،و لكن أخبرك بخير من ذلك،أخذ الشّارب و تقليم الأظفار يوم الجمعة</w:t>
      </w:r>
      <w:r>
        <w:rPr>
          <w:rFonts w:eastAsia="Amiri" w:cs="Amiri" w:ascii="Amiri" w:hAnsi="Amiri"/>
          <w:color w:val="111111"/>
          <w:sz w:val="28"/>
          <w:szCs w:val="28"/>
          <w:rtl w:val="true"/>
          <w:lang w:bidi="ar-SA"/>
        </w:rPr>
        <w:t xml:space="preserve">) </w:t>
      </w:r>
      <w:r>
        <w:rPr>
          <w:rStyle w:val="FootnoteAnchor"/>
          <w:rtl w:val="true"/>
        </w:rPr>
        <w:footnoteReference w:id="2098"/>
      </w:r>
      <w:r>
        <w:rPr>
          <w:rFonts w:ascii="Amiri" w:hAnsi="Amiri" w:eastAsia="Amiri" w:cs="Amiri"/>
          <w:color w:val="111111"/>
          <w:sz w:val="28"/>
          <w:sz w:val="28"/>
          <w:szCs w:val="28"/>
          <w:rtl w:val="true"/>
          <w:lang w:bidi="ar-SA"/>
        </w:rPr>
        <w:t>و تقليم الأظفار يوم الخميس يدفع الرّمد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أخذ من أظفاره كلّ خميس لم يرمد ولده</w:t>
      </w:r>
      <w:r>
        <w:rPr>
          <w:rFonts w:eastAsia="Amiri" w:cs="Amiri" w:ascii="Amiri" w:hAnsi="Amiri"/>
          <w:color w:val="111111"/>
          <w:sz w:val="28"/>
          <w:szCs w:val="28"/>
          <w:rtl w:val="true"/>
          <w:lang w:bidi="ar-SA"/>
        </w:rPr>
        <w:t xml:space="preserve">) </w:t>
      </w:r>
      <w:r>
        <w:rPr>
          <w:rStyle w:val="FootnoteAnchor"/>
          <w:rtl w:val="true"/>
        </w:rPr>
        <w:footnoteReference w:id="2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قلّم أظفاره يوم السّبت و يوم الخميس و أخذ من شاربه،عوفي من وجع الضّرس و وجع العين</w:t>
      </w:r>
      <w:r>
        <w:rPr>
          <w:rFonts w:eastAsia="Amiri" w:cs="Amiri" w:ascii="Amiri" w:hAnsi="Amiri"/>
          <w:color w:val="111111"/>
          <w:sz w:val="28"/>
          <w:szCs w:val="28"/>
          <w:rtl w:val="true"/>
          <w:lang w:bidi="ar-SA"/>
        </w:rPr>
        <w:t xml:space="preserve">) </w:t>
      </w:r>
      <w:r>
        <w:rPr>
          <w:rStyle w:val="FootnoteAnchor"/>
          <w:rtl w:val="true"/>
        </w:rPr>
        <w:footnoteReference w:id="210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30" w:name="__RefHeading___Toc747525_222507752"/>
      <w:bookmarkStart w:id="1131" w:name="_Toc453"/>
      <w:bookmarkEnd w:id="1130"/>
      <w:r>
        <w:rPr>
          <w:rtl w:val="true"/>
        </w:rPr>
        <w:t>فصل</w:t>
      </w:r>
      <w:r>
        <w:rPr>
          <w:rtl w:val="true"/>
        </w:rPr>
        <w:t>:</w:t>
      </w:r>
      <w:r>
        <w:rPr>
          <w:rtl w:val="true"/>
        </w:rPr>
        <w:t>أخذ الشّارب من الفطرة،</w:t>
      </w:r>
      <w:bookmarkEnd w:id="1131"/>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يطولنّ أحدكم شاربه فإنّ الشّيطان يتّخذه مجنا يستتر به</w:t>
      </w:r>
      <w:r>
        <w:rPr>
          <w:rFonts w:eastAsia="Amiri" w:cs="Amiri" w:ascii="Amiri" w:hAnsi="Amiri"/>
          <w:color w:val="111111"/>
          <w:sz w:val="28"/>
          <w:szCs w:val="28"/>
          <w:rtl w:val="true"/>
          <w:lang w:bidi="ar-SA"/>
        </w:rPr>
        <w:t xml:space="preserve">) </w:t>
      </w:r>
      <w:r>
        <w:rPr>
          <w:rStyle w:val="FootnoteAnchor"/>
          <w:rtl w:val="true"/>
        </w:rPr>
        <w:footnoteReference w:id="2101"/>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حفّوا الشّوارب و أعفو اللّحى،و لا تشبّهوا باليهود</w:t>
      </w:r>
      <w:r>
        <w:rPr>
          <w:rFonts w:eastAsia="Amiri" w:cs="Amiri" w:ascii="Amiri" w:hAnsi="Amiri"/>
          <w:color w:val="111111"/>
          <w:sz w:val="28"/>
          <w:szCs w:val="28"/>
          <w:rtl w:val="true"/>
          <w:lang w:bidi="ar-SA"/>
        </w:rPr>
        <w:t xml:space="preserve">) </w:t>
      </w:r>
      <w:r>
        <w:rPr>
          <w:rStyle w:val="FootnoteAnchor"/>
          <w:rtl w:val="true"/>
        </w:rPr>
        <w:footnoteReference w:id="21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المجوس جزّوا لحاهم و وفروا شواربهم،و إنّا نجزّ الشّوارب و نعفي اللّحى و هي الفطرة</w:t>
      </w:r>
      <w:r>
        <w:rPr>
          <w:rFonts w:eastAsia="Amiri" w:cs="Amiri" w:ascii="Amiri" w:hAnsi="Amiri"/>
          <w:color w:val="111111"/>
          <w:sz w:val="28"/>
          <w:szCs w:val="28"/>
          <w:rtl w:val="true"/>
          <w:lang w:bidi="ar-SA"/>
        </w:rPr>
        <w:t xml:space="preserve">) </w:t>
      </w:r>
      <w:r>
        <w:rPr>
          <w:rStyle w:val="FootnoteAnchor"/>
          <w:rtl w:val="true"/>
        </w:rPr>
        <w:footnoteReference w:id="2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الشّارب من الجمعة إلى الجمعة أمان من الجذام</w:t>
      </w:r>
      <w:r>
        <w:rPr>
          <w:rFonts w:eastAsia="Amiri" w:cs="Amiri" w:ascii="Amiri" w:hAnsi="Amiri"/>
          <w:color w:val="111111"/>
          <w:sz w:val="28"/>
          <w:szCs w:val="28"/>
          <w:rtl w:val="true"/>
          <w:lang w:bidi="ar-SA"/>
        </w:rPr>
        <w:t xml:space="preserve">) </w:t>
      </w:r>
      <w:r>
        <w:rPr>
          <w:rStyle w:val="FootnoteAnchor"/>
          <w:rtl w:val="true"/>
        </w:rPr>
        <w:footnoteReference w:id="2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قصّها إذا طالت</w:t>
      </w:r>
      <w:r>
        <w:rPr>
          <w:rFonts w:eastAsia="Amiri" w:cs="Amiri" w:ascii="Amiri" w:hAnsi="Amiri"/>
          <w:color w:val="111111"/>
          <w:sz w:val="28"/>
          <w:szCs w:val="28"/>
          <w:rtl w:val="true"/>
          <w:lang w:bidi="ar-SA"/>
        </w:rPr>
        <w:t xml:space="preserve">) </w:t>
      </w:r>
      <w:r>
        <w:rPr>
          <w:rStyle w:val="FootnoteAnchor"/>
          <w:rtl w:val="true"/>
        </w:rPr>
        <w:footnoteReference w:id="2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موسى بن بكر </w:t>
      </w:r>
      <w:r>
        <w:rPr>
          <w:rStyle w:val="FootnoteAnchor"/>
          <w:rtl w:val="true"/>
        </w:rPr>
        <w:footnoteReference w:id="2106"/>
      </w:r>
      <w:r>
        <w:rPr>
          <w:rFonts w:ascii="Amiri" w:hAnsi="Amiri" w:eastAsia="Amiri" w:cs="Amiri"/>
          <w:color w:val="111111"/>
          <w:sz w:val="28"/>
          <w:sz w:val="28"/>
          <w:szCs w:val="28"/>
          <w:rtl w:val="true"/>
          <w:lang w:bidi="ar-SA"/>
        </w:rPr>
        <w:t>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أصحابنا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أخذ الشّارب و الأظفار يوم الجمعة،فقال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خذها إن شئت في يوم الجمعة و إن شئت في سائر الأيّام</w:t>
      </w:r>
      <w:r>
        <w:rPr>
          <w:rFonts w:eastAsia="Amiri" w:cs="Amiri" w:ascii="Amiri" w:hAnsi="Amiri"/>
          <w:color w:val="111111"/>
          <w:sz w:val="28"/>
          <w:szCs w:val="28"/>
          <w:rtl w:val="true"/>
          <w:lang w:bidi="ar-SA"/>
        </w:rPr>
        <w:t xml:space="preserve">) </w:t>
      </w:r>
      <w:r>
        <w:rPr>
          <w:rStyle w:val="FootnoteAnchor"/>
          <w:rtl w:val="true"/>
        </w:rPr>
        <w:footnoteReference w:id="2107"/>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عبد الرّحيم القصير </w:t>
      </w:r>
      <w:r>
        <w:rPr>
          <w:rStyle w:val="FootnoteAnchor"/>
          <w:rtl w:val="true"/>
        </w:rPr>
        <w:footnoteReference w:id="2108"/>
      </w:r>
      <w:r>
        <w:rPr>
          <w:rFonts w:ascii="Amiri" w:hAnsi="Amiri" w:eastAsia="Amiri" w:cs="Amiri"/>
          <w:color w:val="111111"/>
          <w:sz w:val="28"/>
          <w:sz w:val="28"/>
          <w:szCs w:val="28"/>
          <w:rtl w:val="true"/>
          <w:lang w:bidi="ar-SA"/>
        </w:rPr>
        <w:t>،عن الباقر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أخذ من أظفاره و شاربه كلّ جمعة،و قال حين يأخذه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و على سنّة محمّد و آل محمّد صلّى اللّه عليه و آله،لم تسقط منه قلامة و لا جزازة إلاّ كتب اللّه عزّ و جلّ له بها عتق نسمة و لم يمرض إلاّ مرضه الّذي يموت فيه</w:t>
      </w:r>
      <w:r>
        <w:rPr>
          <w:rFonts w:eastAsia="Amiri" w:cs="Amiri" w:ascii="Amiri" w:hAnsi="Amiri"/>
          <w:color w:val="111111"/>
          <w:sz w:val="28"/>
          <w:szCs w:val="28"/>
          <w:rtl w:val="true"/>
          <w:lang w:bidi="ar-SA"/>
        </w:rPr>
        <w:t xml:space="preserve">) </w:t>
      </w:r>
      <w:r>
        <w:rPr>
          <w:rStyle w:val="FootnoteAnchor"/>
          <w:rtl w:val="true"/>
        </w:rPr>
        <w:footnoteReference w:id="2109"/>
      </w:r>
      <w:r>
        <w:rPr>
          <w:rFonts w:eastAsia="Times New Roman" w:cs="Times New Roman" w:ascii="Times New Roman" w:hAnsi="Times New Roman"/>
          <w:color w:val="111111"/>
          <w:sz w:val="28"/>
          <w:szCs w:val="28"/>
          <w:rtl w:val="true"/>
          <w:lang w:val="en-US" w:bidi="en-US"/>
        </w:rPr>
        <w:t xml:space="preserve">. </w:t>
      </w:r>
      <w:bookmarkStart w:id="1132" w:name="pg12672_160071"/>
    </w:p>
    <w:p>
      <w:pPr>
        <w:pStyle w:val="Heading6"/>
        <w:numPr>
          <w:ilvl w:val="5"/>
          <w:numId w:val="1"/>
        </w:numPr>
        <w:rPr/>
      </w:pPr>
      <w:bookmarkStart w:id="1133" w:name="__RefHeading___Toc747527_222507752"/>
      <w:bookmarkStart w:id="1134" w:name="_Toc454"/>
      <w:bookmarkEnd w:id="1132"/>
      <w:bookmarkEnd w:id="1133"/>
      <w:r>
        <w:rPr>
          <w:rtl w:val="true"/>
        </w:rPr>
        <w:t>فصل</w:t>
      </w:r>
      <w:r>
        <w:rPr>
          <w:rtl w:val="true"/>
        </w:rPr>
        <w:t>:</w:t>
      </w:r>
      <w:r>
        <w:rPr>
          <w:rtl w:val="true"/>
        </w:rPr>
        <w:t>فرق الرّأس من الفطرة</w:t>
      </w:r>
      <w:bookmarkEnd w:id="1134"/>
    </w:p>
    <w:p>
      <w:pPr>
        <w:pStyle w:val="BookText"/>
        <w:rPr/>
      </w:pPr>
      <w:r>
        <w:rPr>
          <w:rFonts w:ascii="Amiri" w:hAnsi="Amiri" w:eastAsia="Amiri" w:cs="Amiri"/>
          <w:color w:val="111111"/>
          <w:sz w:val="28"/>
          <w:sz w:val="28"/>
          <w:szCs w:val="28"/>
          <w:rtl w:val="true"/>
          <w:lang w:bidi="ar-SA"/>
        </w:rPr>
        <w:t>،و لأنّ فيه تحسينا،و 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اتّخذ شعرا و لم يفرقه،فرقه اللّه بمنشار من نار</w:t>
      </w:r>
      <w:r>
        <w:rPr>
          <w:rFonts w:eastAsia="Amiri" w:cs="Amiri" w:ascii="Amiri" w:hAnsi="Amiri"/>
          <w:color w:val="111111"/>
          <w:sz w:val="28"/>
          <w:szCs w:val="28"/>
          <w:rtl w:val="true"/>
          <w:lang w:bidi="ar-SA"/>
        </w:rPr>
        <w:t xml:space="preserve">) </w:t>
      </w:r>
      <w:r>
        <w:rPr>
          <w:rStyle w:val="FootnoteAnchor"/>
          <w:rtl w:val="true"/>
        </w:rPr>
        <w:footnoteReference w:id="2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التّمشّط </w:t>
      </w:r>
      <w:r>
        <w:rPr>
          <w:rStyle w:val="FootnoteAnchor"/>
          <w:rtl w:val="true"/>
        </w:rPr>
        <w:footnoteReference w:id="2111"/>
      </w:r>
      <w:r>
        <w:rPr>
          <w:rFonts w:ascii="Amiri" w:hAnsi="Amiri" w:eastAsia="Amiri" w:cs="Amiri"/>
          <w:color w:val="111111"/>
          <w:sz w:val="28"/>
          <w:sz w:val="28"/>
          <w:szCs w:val="28"/>
          <w:rtl w:val="true"/>
          <w:lang w:bidi="ar-SA"/>
        </w:rPr>
        <w:t xml:space="preserve">،سئل أبو الحسن الرّضا عليه السّلام عن قوله عز و جلّ خُذُوا زِينَتَكُمْ عِنْدَ كُلِّ مَسْجِدٍ </w:t>
      </w:r>
      <w:r>
        <w:rPr>
          <w:rStyle w:val="FootnoteAnchor"/>
          <w:rtl w:val="true"/>
        </w:rPr>
        <w:footnoteReference w:id="21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 التّمشّط عند كلّ صلاة</w:t>
      </w:r>
      <w:r>
        <w:rPr>
          <w:rFonts w:eastAsia="Amiri" w:cs="Amiri" w:ascii="Amiri" w:hAnsi="Amiri"/>
          <w:color w:val="111111"/>
          <w:sz w:val="28"/>
          <w:szCs w:val="28"/>
          <w:rtl w:val="true"/>
          <w:lang w:bidi="ar-SA"/>
        </w:rPr>
        <w:t xml:space="preserve">) </w:t>
      </w:r>
      <w:r>
        <w:rPr>
          <w:rStyle w:val="FootnoteAnchor"/>
          <w:rtl w:val="true"/>
        </w:rPr>
        <w:footnoteReference w:id="2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مشط الرّأس يذهب بالوباء،و مشط اللّحية يشدّ الأضراس</w:t>
      </w:r>
      <w:r>
        <w:rPr>
          <w:rFonts w:eastAsia="Amiri" w:cs="Amiri" w:ascii="Amiri" w:hAnsi="Amiri"/>
          <w:color w:val="111111"/>
          <w:sz w:val="28"/>
          <w:szCs w:val="28"/>
          <w:rtl w:val="true"/>
          <w:lang w:bidi="ar-SA"/>
        </w:rPr>
        <w:t xml:space="preserve">) </w:t>
      </w:r>
      <w:r>
        <w:rPr>
          <w:rStyle w:val="FootnoteAnchor"/>
          <w:rtl w:val="true"/>
        </w:rPr>
        <w:footnoteReference w:id="2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سرّح لحيته سبعين مرّة و عدّها مرّة مرّة،لم يقربه الشّيطان أربعين يوما</w:t>
      </w:r>
      <w:r>
        <w:rPr>
          <w:rFonts w:eastAsia="Amiri" w:cs="Amiri" w:ascii="Amiri" w:hAnsi="Amiri"/>
          <w:color w:val="111111"/>
          <w:sz w:val="28"/>
          <w:szCs w:val="28"/>
          <w:rtl w:val="true"/>
          <w:lang w:bidi="ar-SA"/>
        </w:rPr>
        <w:t xml:space="preserve">) </w:t>
      </w:r>
      <w:r>
        <w:rPr>
          <w:rStyle w:val="FootnoteAnchor"/>
          <w:rtl w:val="true"/>
        </w:rPr>
        <w:footnoteReference w:id="211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35" w:name="__RefHeading___Toc747529_222507752"/>
      <w:bookmarkStart w:id="1136" w:name="_Toc455"/>
      <w:bookmarkEnd w:id="1135"/>
      <w:r>
        <w:rPr>
          <w:rtl w:val="true"/>
        </w:rPr>
        <w:t xml:space="preserve">فصل </w:t>
      </w:r>
      <w:r>
        <w:rPr>
          <w:rtl w:val="true"/>
        </w:rPr>
        <w:t>:</w:t>
      </w:r>
      <w:bookmarkEnd w:id="1136"/>
    </w:p>
    <w:p>
      <w:pPr>
        <w:pStyle w:val="BookText"/>
        <w:rPr/>
      </w:pPr>
      <w:r>
        <w:rPr>
          <w:rStyle w:val="FootnoteAnchor"/>
          <w:rtl w:val="true"/>
        </w:rPr>
        <w:footnoteReference w:id="2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بابويه،عن الصّادق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يدفن الرّجل شعره و أظافيره إذا أخذ منها و هي سنّة</w:t>
      </w:r>
      <w:r>
        <w:rPr>
          <w:rFonts w:eastAsia="Amiri" w:cs="Amiri" w:ascii="Amiri" w:hAnsi="Amiri"/>
          <w:color w:val="111111"/>
          <w:sz w:val="28"/>
          <w:szCs w:val="28"/>
          <w:rtl w:val="true"/>
          <w:lang w:bidi="ar-SA"/>
        </w:rPr>
        <w:t xml:space="preserve">) </w:t>
      </w:r>
      <w:r>
        <w:rPr>
          <w:rStyle w:val="FootnoteAnchor"/>
          <w:rtl w:val="true"/>
        </w:rPr>
        <w:footnoteReference w:id="21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انّ من السّنّة دفن الشّعر و الظّفر و الدّم </w:t>
      </w:r>
      <w:r>
        <w:rPr>
          <w:rStyle w:val="FootnoteAnchor"/>
          <w:rtl w:val="true"/>
        </w:rPr>
        <w:footnoteReference w:id="211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37" w:name="__RefHeading___Toc747531_222507752"/>
      <w:bookmarkStart w:id="1138" w:name="_Toc456"/>
      <w:bookmarkEnd w:id="1137"/>
      <w:r>
        <w:rPr>
          <w:rtl w:val="true"/>
        </w:rPr>
        <w:t>فصل</w:t>
      </w:r>
      <w:r>
        <w:rPr>
          <w:rtl w:val="true"/>
        </w:rPr>
        <w:t>:</w:t>
      </w:r>
      <w:r>
        <w:rPr>
          <w:rtl w:val="true"/>
        </w:rPr>
        <w:t>يستحبّ الخضاب</w:t>
      </w:r>
      <w:bookmarkEnd w:id="1138"/>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أطلى و اختضب بالحنّاء،آمنه اللّه عزّ و جلّ من ثلاث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الجذام،و البرص،و الأكلة،إلى طلية مثلها</w:t>
      </w:r>
      <w:r>
        <w:rPr>
          <w:rFonts w:eastAsia="Amiri" w:cs="Amiri" w:ascii="Amiri" w:hAnsi="Amiri"/>
          <w:color w:val="111111"/>
          <w:sz w:val="28"/>
          <w:szCs w:val="28"/>
          <w:rtl w:val="true"/>
          <w:lang w:bidi="ar-SA"/>
        </w:rPr>
        <w:t xml:space="preserve">) </w:t>
      </w:r>
      <w:r>
        <w:rPr>
          <w:rStyle w:val="FootnoteAnchor"/>
          <w:rtl w:val="true"/>
        </w:rPr>
        <w:footnoteReference w:id="21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الحنّاء على أثر النّورة أمان من الجذام و البرص</w:t>
      </w:r>
      <w:r>
        <w:rPr>
          <w:rFonts w:eastAsia="Amiri" w:cs="Amiri" w:ascii="Amiri" w:hAnsi="Amiri"/>
          <w:color w:val="111111"/>
          <w:sz w:val="28"/>
          <w:szCs w:val="28"/>
          <w:rtl w:val="true"/>
          <w:lang w:bidi="ar-SA"/>
        </w:rPr>
        <w:t xml:space="preserve">) </w:t>
      </w:r>
      <w:r>
        <w:rPr>
          <w:rStyle w:val="FootnoteAnchor"/>
          <w:rtl w:val="true"/>
        </w:rPr>
        <w:footnoteReference w:id="2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انّ من أطلى فتدلّك </w:t>
      </w:r>
      <w:r>
        <w:rPr>
          <w:rStyle w:val="FootnoteAnchor"/>
          <w:rtl w:val="true"/>
        </w:rPr>
        <w:footnoteReference w:id="2121"/>
      </w:r>
      <w:r>
        <w:rPr>
          <w:rFonts w:ascii="Amiri" w:hAnsi="Amiri" w:eastAsia="Amiri" w:cs="Amiri"/>
          <w:color w:val="111111"/>
          <w:sz w:val="28"/>
          <w:sz w:val="28"/>
          <w:szCs w:val="28"/>
          <w:rtl w:val="true"/>
          <w:lang w:bidi="ar-SA"/>
        </w:rPr>
        <w:t>بالحنّاء من قرنه إلى قدمه،نفي اللّه عنه الفقر</w:t>
      </w:r>
      <w:r>
        <w:rPr>
          <w:rFonts w:eastAsia="Amiri" w:cs="Amiri" w:ascii="Amiri" w:hAnsi="Amiri"/>
          <w:color w:val="111111"/>
          <w:sz w:val="28"/>
          <w:szCs w:val="28"/>
          <w:rtl w:val="true"/>
          <w:lang w:bidi="ar-SA"/>
        </w:rPr>
        <w:t xml:space="preserve">) </w:t>
      </w:r>
      <w:r>
        <w:rPr>
          <w:rStyle w:val="FootnoteAnchor"/>
          <w:rtl w:val="true"/>
        </w:rPr>
        <w:footnoteReference w:id="2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اختضبوا بالحنّاء،فإنّه يجلي البصر،و ينبت الشّعر،و يطيّب الرّيح،و يسكّن الزّوجة</w:t>
      </w:r>
      <w:r>
        <w:rPr>
          <w:rFonts w:eastAsia="Amiri" w:cs="Amiri" w:ascii="Amiri" w:hAnsi="Amiri"/>
          <w:color w:val="111111"/>
          <w:sz w:val="28"/>
          <w:szCs w:val="28"/>
          <w:rtl w:val="true"/>
          <w:lang w:bidi="ar-SA"/>
        </w:rPr>
        <w:t xml:space="preserve">) </w:t>
      </w:r>
      <w:r>
        <w:rPr>
          <w:rStyle w:val="FootnoteAnchor"/>
          <w:rtl w:val="true"/>
        </w:rPr>
        <w:footnoteReference w:id="2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الخضاب هدى محمّد صلّى اللّه عليه و آله،و هو من السّنّة</w:t>
      </w:r>
      <w:r>
        <w:rPr>
          <w:rFonts w:eastAsia="Amiri" w:cs="Amiri" w:ascii="Amiri" w:hAnsi="Amiri"/>
          <w:color w:val="111111"/>
          <w:sz w:val="28"/>
          <w:szCs w:val="28"/>
          <w:rtl w:val="true"/>
          <w:lang w:bidi="ar-SA"/>
        </w:rPr>
        <w:t xml:space="preserve">) </w:t>
      </w:r>
      <w:r>
        <w:rPr>
          <w:rStyle w:val="FootnoteAnchor"/>
          <w:rtl w:val="true"/>
        </w:rPr>
        <w:footnoteReference w:id="2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بالخضاب كلّه</w:t>
      </w:r>
      <w:r>
        <w:rPr>
          <w:rFonts w:eastAsia="Amiri" w:cs="Amiri" w:ascii="Amiri" w:hAnsi="Amiri"/>
          <w:color w:val="111111"/>
          <w:sz w:val="28"/>
          <w:szCs w:val="28"/>
          <w:rtl w:val="true"/>
          <w:lang w:bidi="ar-SA"/>
        </w:rPr>
        <w:t xml:space="preserve">) </w:t>
      </w:r>
      <w:r>
        <w:rPr>
          <w:rStyle w:val="FootnoteAnchor"/>
          <w:rtl w:val="true"/>
        </w:rPr>
        <w:footnoteReference w:id="2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 محمّد بن مسلم أبا جعفر عليه السّلام عن الخضاب؟فقال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يخضب و هذا شعره عندنا</w:t>
      </w:r>
      <w:r>
        <w:rPr>
          <w:rFonts w:eastAsia="Amiri" w:cs="Amiri" w:ascii="Amiri" w:hAnsi="Amiri"/>
          <w:color w:val="111111"/>
          <w:sz w:val="28"/>
          <w:szCs w:val="28"/>
          <w:rtl w:val="true"/>
          <w:lang w:bidi="ar-SA"/>
        </w:rPr>
        <w:t xml:space="preserve">) </w:t>
      </w:r>
      <w:r>
        <w:rPr>
          <w:rStyle w:val="FootnoteAnchor"/>
          <w:rtl w:val="true"/>
        </w:rPr>
        <w:footnoteReference w:id="2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الخضاب بالسّواد انس للنّساء،و مهابة للعدوّ</w:t>
      </w:r>
      <w:r>
        <w:rPr>
          <w:rFonts w:eastAsia="Amiri" w:cs="Amiri" w:ascii="Amiri" w:hAnsi="Amiri"/>
          <w:color w:val="111111"/>
          <w:sz w:val="28"/>
          <w:szCs w:val="28"/>
          <w:rtl w:val="true"/>
          <w:lang w:bidi="ar-SA"/>
        </w:rPr>
        <w:t xml:space="preserve">) </w:t>
      </w:r>
      <w:r>
        <w:rPr>
          <w:rStyle w:val="FootnoteAnchor"/>
          <w:rtl w:val="true"/>
        </w:rPr>
        <w:footnoteReference w:id="2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 السّلام في قوله تعالى وَ أَعِدُّوا لَهُمْ مَا اسْتَطَعْتُمْ مِنْ قُوَّةٍ </w:t>
      </w:r>
      <w:r>
        <w:rPr>
          <w:rStyle w:val="FootnoteAnchor"/>
          <w:rtl w:val="true"/>
        </w:rPr>
        <w:footnoteReference w:id="212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الخضاب بالسّواد</w:t>
      </w:r>
      <w:r>
        <w:rPr>
          <w:rFonts w:eastAsia="IRNazanin" w:cs="IRNazanin"/>
          <w:color w:val="111111"/>
          <w:sz w:val="28"/>
          <w:szCs w:val="28"/>
          <w:rtl w:val="true"/>
          <w:lang w:bidi="fa-IR"/>
        </w:rPr>
        <w:t xml:space="preserve">) </w:t>
      </w:r>
      <w:r>
        <w:rPr>
          <w:rStyle w:val="FootnoteAnchor"/>
          <w:rtl w:val="true"/>
        </w:rPr>
        <w:footnoteReference w:id="2129"/>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ابن بابويه انّ رجلا دخل على رسول اللّه صلّى اللّه عليه و آله و قد صفّر لحيته، فقال له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دخل عليه بعد ذلك و قد أقنى </w:t>
      </w:r>
      <w:bookmarkStart w:id="1139" w:name="pg12672_160073"/>
    </w:p>
    <w:p>
      <w:pPr>
        <w:pStyle w:val="BookText"/>
        <w:rPr/>
      </w:pPr>
      <w:bookmarkEnd w:id="1139"/>
      <w:r>
        <w:rPr>
          <w:rFonts w:ascii="Amiri" w:hAnsi="Amiri" w:eastAsia="Amiri" w:cs="Amiri"/>
          <w:color w:val="111111"/>
          <w:sz w:val="28"/>
          <w:sz w:val="28"/>
          <w:szCs w:val="28"/>
          <w:rtl w:val="true"/>
          <w:lang w:bidi="ar-SA"/>
        </w:rPr>
        <w:t>بالحنّاء،فتبسّم رسول اللّه صلّى اللّه عليه و آله،و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أحسن من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دخل عليه بعد ذلك و قد خضب بالسّواد فضحك إليه،فقال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أحسن من ذاك و ذاك</w:t>
      </w:r>
      <w:r>
        <w:rPr>
          <w:rFonts w:eastAsia="Amiri" w:cs="Amiri" w:ascii="Amiri" w:hAnsi="Amiri"/>
          <w:color w:val="111111"/>
          <w:sz w:val="28"/>
          <w:szCs w:val="28"/>
          <w:rtl w:val="true"/>
          <w:lang w:bidi="ar-SA"/>
        </w:rPr>
        <w:t xml:space="preserve">) </w:t>
      </w:r>
      <w:r>
        <w:rPr>
          <w:rStyle w:val="FootnoteAnchor"/>
          <w:rtl w:val="true"/>
        </w:rPr>
        <w:footnoteReference w:id="2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آله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عليّ،درهم في الخضاب أفضل من ألف درهم في غيره في سبيل اللّه،و فيه أربع عشرة خصلة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يطرد الرّيح من الأذنين،و يجلو البصر،و يلين الخياشيم،و يطيّب النّكهة،و يشدّ اللّثة،و يذهب بالضّنى،و يقلّ وسوسة الشّيطان،و تفرح به الملائكة،و يستبشر به المؤمن،و يغيظ به الكافر،و هو زينة، و طيب،و يستحيي منه منكر و نكير،و هو براءة له في قبره</w:t>
      </w:r>
      <w:r>
        <w:rPr>
          <w:rFonts w:eastAsia="Amiri" w:cs="Amiri" w:ascii="Amiri" w:hAnsi="Amiri"/>
          <w:color w:val="111111"/>
          <w:sz w:val="28"/>
          <w:szCs w:val="28"/>
          <w:rtl w:val="true"/>
          <w:lang w:bidi="ar-SA"/>
        </w:rPr>
        <w:t xml:space="preserve">) </w:t>
      </w:r>
      <w:r>
        <w:rPr>
          <w:rStyle w:val="FootnoteAnchor"/>
          <w:rtl w:val="true"/>
        </w:rPr>
        <w:footnoteReference w:id="21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40" w:name="__RefHeading___Toc747533_222507752"/>
      <w:bookmarkStart w:id="1141" w:name="_Toc457"/>
      <w:bookmarkEnd w:id="1140"/>
      <w:r>
        <w:rPr>
          <w:rtl w:val="true"/>
        </w:rPr>
        <w:t>فصل</w:t>
      </w:r>
      <w:r>
        <w:rPr>
          <w:rtl w:val="true"/>
        </w:rPr>
        <w:t>:</w:t>
      </w:r>
      <w:r>
        <w:rPr>
          <w:rtl w:val="true"/>
        </w:rPr>
        <w:t>يكره نتف الشّيب</w:t>
      </w:r>
      <w:bookmarkEnd w:id="1141"/>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الشّيب نور فلا تنتفوه</w:t>
      </w:r>
      <w:r>
        <w:rPr>
          <w:rFonts w:eastAsia="Amiri" w:cs="Amiri" w:ascii="Amiri" w:hAnsi="Amiri"/>
          <w:color w:val="111111"/>
          <w:sz w:val="28"/>
          <w:szCs w:val="28"/>
          <w:rtl w:val="true"/>
          <w:lang w:bidi="ar-SA"/>
        </w:rPr>
        <w:t xml:space="preserve">) </w:t>
      </w:r>
      <w:r>
        <w:rPr>
          <w:rStyle w:val="FootnoteAnchor"/>
          <w:rtl w:val="true"/>
        </w:rPr>
        <w:footnoteReference w:id="2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عليّ عليه السّلام لا يرى بجزّ الشّيب بأسا،و يكره نتفه </w:t>
      </w:r>
      <w:r>
        <w:rPr>
          <w:rStyle w:val="FootnoteAnchor"/>
          <w:rtl w:val="true"/>
        </w:rPr>
        <w:footnoteReference w:id="2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بجزّ الشّمط </w:t>
      </w:r>
      <w:r>
        <w:rPr>
          <w:rStyle w:val="FootnoteAnchor"/>
          <w:rtl w:val="true"/>
        </w:rPr>
        <w:footnoteReference w:id="2134"/>
      </w:r>
      <w:r>
        <w:rPr>
          <w:rFonts w:ascii="Amiri" w:hAnsi="Amiri" w:eastAsia="Amiri" w:cs="Amiri"/>
          <w:color w:val="111111"/>
          <w:sz w:val="28"/>
          <w:sz w:val="28"/>
          <w:szCs w:val="28"/>
          <w:rtl w:val="true"/>
          <w:lang w:bidi="ar-SA"/>
        </w:rPr>
        <w:t>و نتفه،و جزّه أحبّ إليّ من نتفه</w:t>
      </w:r>
      <w:r>
        <w:rPr>
          <w:rFonts w:eastAsia="Amiri" w:cs="Amiri" w:ascii="Amiri" w:hAnsi="Amiri"/>
          <w:color w:val="111111"/>
          <w:sz w:val="28"/>
          <w:szCs w:val="28"/>
          <w:rtl w:val="true"/>
          <w:lang w:bidi="ar-SA"/>
        </w:rPr>
        <w:t xml:space="preserve">) </w:t>
      </w:r>
      <w:r>
        <w:rPr>
          <w:rStyle w:val="FootnoteAnchor"/>
          <w:rtl w:val="true"/>
        </w:rPr>
        <w:footnoteReference w:id="2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شاب شيبة في الإسلام،كانت له نورا يوم القيامة</w:t>
      </w:r>
      <w:r>
        <w:rPr>
          <w:rFonts w:eastAsia="Amiri" w:cs="Amiri" w:ascii="Amiri" w:hAnsi="Amiri"/>
          <w:color w:val="111111"/>
          <w:sz w:val="28"/>
          <w:szCs w:val="28"/>
          <w:rtl w:val="true"/>
          <w:lang w:bidi="ar-SA"/>
        </w:rPr>
        <w:t xml:space="preserve">) </w:t>
      </w:r>
      <w:r>
        <w:rPr>
          <w:rStyle w:val="FootnoteAnchor"/>
          <w:rtl w:val="true"/>
        </w:rPr>
        <w:footnoteReference w:id="2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شاب،إبراهيم الخليل عليه السّلام و انّه ثنى لحيته فرأى طاقة بيضاء،فقال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جبرئيل،ما هذا؟فقال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وقار،فقال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زدني وقارا</w:t>
      </w:r>
      <w:r>
        <w:rPr>
          <w:rFonts w:eastAsia="Amiri" w:cs="Amiri" w:ascii="Amiri" w:hAnsi="Amiri"/>
          <w:color w:val="111111"/>
          <w:sz w:val="28"/>
          <w:szCs w:val="28"/>
          <w:rtl w:val="true"/>
          <w:lang w:bidi="ar-SA"/>
        </w:rPr>
        <w:t xml:space="preserve">) </w:t>
      </w:r>
      <w:r>
        <w:rPr>
          <w:rStyle w:val="FootnoteAnchor"/>
          <w:rtl w:val="true"/>
        </w:rPr>
        <w:footnoteReference w:id="2137"/>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قصّ ما زاد على القبضة من اللّحية،قال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تقبض </w:t>
      </w:r>
    </w:p>
    <w:p>
      <w:pPr>
        <w:pStyle w:val="BookText"/>
        <w:rPr/>
      </w:pPr>
      <w:r>
        <w:rPr>
          <w:rFonts w:ascii="Amiri" w:hAnsi="Amiri" w:eastAsia="Amiri" w:cs="Amiri"/>
          <w:color w:val="111111"/>
          <w:sz w:val="28"/>
          <w:sz w:val="28"/>
          <w:szCs w:val="28"/>
          <w:rtl w:val="true"/>
          <w:lang w:bidi="ar-SA"/>
        </w:rPr>
        <w:t>بيدك على اللّحية و تجزّ ما فضل</w:t>
      </w:r>
      <w:r>
        <w:rPr>
          <w:rFonts w:eastAsia="Amiri" w:cs="Amiri" w:ascii="Amiri" w:hAnsi="Amiri"/>
          <w:color w:val="111111"/>
          <w:sz w:val="28"/>
          <w:szCs w:val="28"/>
          <w:rtl w:val="true"/>
          <w:lang w:bidi="ar-SA"/>
        </w:rPr>
        <w:t xml:space="preserve">) </w:t>
      </w:r>
      <w:r>
        <w:rPr>
          <w:rStyle w:val="FootnoteAnchor"/>
          <w:rtl w:val="true"/>
        </w:rPr>
        <w:footnoteReference w:id="2138"/>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زاد من اللّحية على القبضة فهو في النّار</w:t>
      </w:r>
      <w:r>
        <w:rPr>
          <w:rFonts w:eastAsia="Amiri" w:cs="Amiri" w:ascii="Amiri" w:hAnsi="Amiri"/>
          <w:color w:val="111111"/>
          <w:sz w:val="28"/>
          <w:szCs w:val="28"/>
          <w:rtl w:val="true"/>
          <w:lang w:bidi="ar-SA"/>
        </w:rPr>
        <w:t xml:space="preserve">) </w:t>
      </w:r>
      <w:r>
        <w:rPr>
          <w:rStyle w:val="FootnoteAnchor"/>
          <w:rtl w:val="true"/>
        </w:rPr>
        <w:footnoteReference w:id="2139"/>
      </w:r>
      <w:r>
        <w:rPr>
          <w:rFonts w:ascii="Amiri" w:hAnsi="Amiri" w:eastAsia="Amiri" w:cs="Amiri"/>
          <w:color w:val="111111"/>
          <w:sz w:val="28"/>
          <w:sz w:val="28"/>
          <w:szCs w:val="28"/>
          <w:rtl w:val="true"/>
          <w:lang w:bidi="ar-SA"/>
        </w:rPr>
        <w:t>و هذا بعد سلامة السّند يدلّ على تأكّد الاستحباب لا الوجوب</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يمكن جعله من التّفسير بالسّياق ببيان أنّ ظاهر سياق الحديث وحدة كيفية مطلوبيّة الإقامة للمنفرد و مطلوبيّة الأذان و الإقامة في الجماعة،و حيث أنّ المسلّم استحباب الإقامة للمنفرد،فهكذا يستحب الأذان و الإقامة في الجماعة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الملاحظة و ما يتبعها من الهوامش،ممّا تفضّل به سماحة آية اللّه 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هذه المقدّمة،أثبتناها لمزيد الفائدة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العلّة مستفادة من نصوص متعدّدة كصحيح عليّ بن مهزيار،و خبر عمران بن حمران،و خبر الحسين بن المختار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من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غير ذلك</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نمط ثالث و هو استفادة العلل من النّصوص الخاصّة،و في مثل هذه الموارد يستند إلى التّعليل كأحد الأدلّة،و في غيرها يذكر التّعليل مؤيّدا أو تفنّنا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السّرّ فيه أنّ عمومات التّقاص و هي أخبار معتبرة معمول بها تقتضي جوازه مطلقا،و الأدلّة الواردة في لزوم الاقتناع بحلف المنكر توجب تخصيصها،فإطلاق الرّوايات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الموصوفة بالمانعة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حملها على مورد حلف المنكر عند القاضي،و العمدة أنّ المورد المذكور يحتمل فيه أنّ المهم فيه عموم أخبار المقاصّة،لا غير هذه الأخبار الضّعاف</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كشف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،نهج الحق و كشف الصّدق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أنوار الملكوت في شرح الياقوت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ذهبت الأشاعرة إلى انّ أفعاله تعالى يستحيل تعليلها بالأغراض و المقاصد،كشف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أنوار الملكوت في شرح الياقوت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الحق و كشف الصّدق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تهذيب الوصول إلى علم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الحشويّة،هم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 يحشّون الأحاديث الّتي لا أصل لها في الأحاديث المرويّة 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يدخلونها فيها و ليست منها،و جميع الحشويّة يقولون بالجبر و التّشبيه،و انّ اللّه تعالى موصوف عندهم بالنّفس و اليد و السّمع و البصر،و انّهم أجازوا على ربّهم الملامسة و المصافحة،و انّ المسلمين المخلصين يعانقونه في الدّنيا و الآخرة إن بلغوا في الرّياضة و الاجتهاد إلى حدّ الإخلاص و الاتّحاد المحض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المقالات و الفرق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لذلك</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البلاغة،لصبحي الصّالح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أبو جعفر محمّد بن الحسن بن علي بن الحسن الطّوسي،ولد في طوس سنة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ه،انتقلت إليه الزّعامة بعد وفاة السّيد المرتضى،و هاجر من بغداد إلى النّجف سنة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ه،له مؤلّفات أكثر من خمسين في الفقه و الأصول و الكلام و التّفسير و غيره،توفّى ليلة الاثنين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سنة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الكنى و الألقاب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محمّد بن النّعمان،بلغ نسبه إلى يعرب بن قحطان،فضله أشهر من أن يوصف في الفقه و الكلام و الرّواية و الثّقة و العلم،ولد سنة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توفّي سنة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الكنى و الألقاب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الفطحيّة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فرقة قالت بانتقال الإمامة من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ابنه عبد اللّه الأفطح،و هو أخو إسماعيل من أبيه و امّة،ما عاش بعد أبيه إلاّ سبعين يوما،و مات و لم يعقب ولدا ذكرا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سمّوا بذلك،لأنّ عبد اللّه كان أفطح الرّأس،و قال بعضهم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أفطح الرّجلين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بعض الرّواة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انّهم نسبوا إلى رئيس لهم من أهل الكوفة يقال له عبد اللّه بن فطيح،و مال عند وفاة جعفر إلى هذه الفرقة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المقالات و الفرق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الواقفيّة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توقّف على موسى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لم يمت و سيخرج بعد الغيبة،و ربّما يطلق الواقفيّ على من وقف على غير 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كمن وقف على أمير المؤمنين أو الصّادق أو الحسن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،المقالات و الفرق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سمته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لاستقامة المعنى</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الاعتداد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مسلم بن رباح الأوقص الطحّان مولى ثقيف الأعور،وجه أصحابنا بالكوفة،فقيه ورع،صحب أبا جعفر و أبا عبد اللّه عليهما السّلام،و روى عنهما،و كان من أوثق النّاس،قال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أحبّ إليّ أحياء و أمواتا 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 محمّد بن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من أصحاب الإجماع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ماء غير البئر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شيء ينزل من السّحاب يشبه الحصى و يسمى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 الغمام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حمّاد الجوهريّ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الصّحاح،أبو نصر الفارابي،كان من الفاراب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إحدى بلاد التّرك،ولع باللّغة العربيّة و أسرارها،أخذ عن السّيرافي و أبي عليّ الفارسي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بغية الوعاة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الكنى و الألقاب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2:727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أبو حنيفة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النّعمان بن ثابت بن زوطي التّيميّ،إمام المذهب الحنفيّ،رأى أنس بن مالك،و حدّث عن عطاء،و نافع،و عبد الرّحمن،و عديّ بن ثابت،و سلمة بن كهيل،و أبي جعفر محمد بن علي،و قتادة، و عمرو بن دينار،و أبي إسحاق،و أخذ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زفر بن الهذيل،و داود الطّائي،و القاضي أبو يوسف،و محمّد بن الحسن الشّيباني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مات 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لابن النديم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،و المغني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،أحكام القرآن لابن العربي </w:t>
      </w:r>
      <w:r>
        <w:rPr>
          <w:rFonts w:eastAsia="IRNazanin" w:cs="IRNazanin"/>
          <w:b w:val="false"/>
          <w:bCs w:val="false"/>
          <w:i w:val="false"/>
          <w:iCs w:val="false"/>
          <w:color w:val="333333"/>
          <w:sz w:val="20"/>
          <w:szCs w:val="20"/>
        </w:rPr>
        <w:t>3:1416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 مالك بن أنس بن أبي عامر بن عمرو بن الحارث الحميري الأصبحي المدني،إمام المذهب المالكي،حدّث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نافع،و المقبري،و نعيم المجمر،و عامر بن عبد اللّه بن الزّبير،و الزّهري، و ابن المنكدر،و عبد اللّه بن دينار،و حدّث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المبارك،و القطّان،و ابن مهدي،و ابن وهب، و غيرهم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التّتبّع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حديث بهذا اللّفظ من طرق العامّة،حيث انّ الموجود في مصادرهم بدون 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ترابها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وجود تقديم و تأخير في البعض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2:222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نعم،ورد بهذا اللّفظ من طريق الخاصّة في دعائم الإسلام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1:176</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3:373</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5:365</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26663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26667</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27473</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سعيد بن المسيّب بن حزن بن أبي وهب بن عمرو بن عائد بن عمران بن مخزوم القرشي المدنيّ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أحد الفقهاء السّبعة بالمدينة،ولد لسنتين مضتا من خلافة عمر،سمع من عمر و عثمان و زيد بن ثابت و عائشة و أبي هريرة و سعد بن أبي وقّاص،و اختلف في سنة وفاته،فقيل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عمرو بن العاص بن وائل القرشيّ السّهميّ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محمّد،و أبو عبد الرّحمن،و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نصر،حدّث عن النّبيّ كثيرا و عن عمرو أبي الدّرداء و معاذ و ابن عوف،و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المسيّب و عبد اللّه بن الحارث بن نوفل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أحكام القرآن لابن العربي </w:t>
      </w:r>
      <w:r>
        <w:rPr>
          <w:rFonts w:eastAsia="IRNazanin" w:cs="IRNazanin"/>
          <w:b w:val="false"/>
          <w:bCs w:val="false"/>
          <w:i w:val="false"/>
          <w:iCs w:val="false"/>
          <w:color w:val="333333"/>
          <w:sz w:val="20"/>
          <w:szCs w:val="20"/>
        </w:rPr>
        <w:t>3:1425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سنان بن طريف،كوفيّ ثقة جليل لا يطعن عليه في شيء كان خازنا للمنصور و المهديّ،عدّه الشّيخ من أصحاب أبي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،رجال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أحكام القرآن لابن العربي </w:t>
      </w:r>
      <w:r>
        <w:rPr>
          <w:rFonts w:eastAsia="IRNazanin" w:cs="IRNazanin"/>
          <w:b w:val="false"/>
          <w:bCs w:val="false"/>
          <w:i w:val="false"/>
          <w:iCs w:val="false"/>
          <w:color w:val="333333"/>
          <w:sz w:val="20"/>
          <w:szCs w:val="20"/>
        </w:rPr>
        <w:t>3:1425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الطّهوريّة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26652</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 تفاوت في اللّفظ،نيل الأوطار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،و بهذا اللفظ نقلها المحقّق في المعتبر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5:202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،مقدّمات ابن رشد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xml:space="preserve">،رحمة الأمة بهامش ميزان الكبرى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،مقدّمات ابن رشد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محمّد بن إدريس بن العبّاس بن عثمان بن شافع بن السّائب بن عبيد بن عبد يزيد،إمام المذهب الشّافعي،تفقّه على مسلم بن خالد الزّنجيّ،و حدّث عن عمّه محمّد بن علي،و عبد العزيز بن الماجشون و مالك و إسماعيل بن جعفر،و حدّث عنه أحمد و الحميدي و أبو عبيد و البويطي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مات سنة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الشّافعيّة الكبرى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،الفهرست لابن النّديم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أحمد بن محمّد بن حنبل بن هلال بن أسد بن إدريس الذّهلي الشيباني المروزي ثمَّ البغدادي، سمع من سفيان بن عيينة و إبراهيم بن سعد و غيرهم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عنه البخاري و مسلم و أبو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الكتاب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مات سنة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2:431</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ذر الغفاريّ،الزّاهد المشهور الصّادق اللّهجة،هو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جندب بن جنادة بن سكن،و قد اختلف في اسمه و نسبه اختلافا كثيرا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أسلم و النّبيّ بمكّة و كان رابع أربعة أو خامس خمسة،صحب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ما هاجر إلى المدينة إلى أن مات،و يكفي في جلالة شأنه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النّبيّ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أظلّت الخضراء و لا أقلّت الغبراء أصدق من أبي 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التّرمذيّ في صحيحه </w:t>
      </w:r>
      <w:r>
        <w:rPr>
          <w:rFonts w:eastAsia="IRNazanin" w:cs="IRNazanin"/>
          <w:b w:val="false"/>
          <w:bCs w:val="false"/>
          <w:i w:val="false"/>
          <w:iCs w:val="false"/>
          <w:color w:val="333333"/>
          <w:sz w:val="20"/>
          <w:szCs w:val="20"/>
        </w:rPr>
        <w:t>5:669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3801</w:t>
      </w:r>
      <w:r>
        <w:rPr>
          <w:rFonts w:ascii="IRNazanin" w:hAnsi="IRNazanin" w:eastAsia="IRNazanin"/>
          <w:b w:val="false"/>
          <w:b w:val="false"/>
          <w:bCs w:val="false"/>
          <w:i w:val="false"/>
          <w:i w:val="false"/>
          <w:iCs w:val="false"/>
          <w:color w:val="333333"/>
          <w:sz w:val="20"/>
          <w:sz w:val="20"/>
          <w:szCs w:val="20"/>
          <w:rtl w:val="true"/>
        </w:rPr>
        <w:t xml:space="preserve">،مات بالرّبذة سنة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أو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5:180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1:176</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لفظي في الجميع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من طريق الخاصّة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سيرين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بكر مولى أنس ابن مالك،إمام المعبّرين،روى عن أبي هريرة و عمران بن حصين و ابن عباس و ابن عمر،و روى عنه أيّوب و ابن عون و أبو هلال محمّد بن سليم و غيرهم،مات سنة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،رحمة الأمة بهامش ميزان الكبرى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11:169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،رحمة الأمّة بهامش ميزان الكبرى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،كذا نسب إليه،و في المصادر أسند الرّوايتين إليه في ماء أسخن بالنّجاسة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عائشة بنت أبي بكر زوج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،روت عن النّبيّ كثيرا،و عن أبيها،و عمر،و سعد بن أبي وقّاص، روى عنها ابنها عبد اللّه،و أبو هريرة و أبو موسى و ابن عباس و عروة و سعيد بن المسيّب و مسروق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ماتت سنة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5:501</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4:359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26262</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قصعتها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الشّمس،الوسائل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جعفر الزّاهري الخزاعي من ولد زاهر مولى عمرو بن الحمق الخزاعي،عدّه الشّيخ في رجاله من أصحاب الكاظم و الرّضا و الجواد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اختلف في شأنه،ضعّفه النّجاشي و الشّيخ و وثّقه المفيد و جعله من خاصّة الإمام 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ثقاته و نقل الكشّي روايات في مدحه و ذمّه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للشّيخ المفيد </w:t>
      </w:r>
      <w:r>
        <w:rPr>
          <w:rFonts w:eastAsia="IRNazanin" w:cs="IRNazanin"/>
          <w:b w:val="false"/>
          <w:bCs w:val="false"/>
          <w:i w:val="false"/>
          <w:iCs w:val="false"/>
          <w:color w:val="333333"/>
          <w:sz w:val="20"/>
          <w:szCs w:val="20"/>
        </w:rPr>
        <w:t>2:240</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مجاهد بن جبر المكّي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الحجّاج المخزومي مولى السّائب بن أبي السّائب المخزومي،سمع سعدا و عائشة و أبا هريرة و أمّ هانيء و عبد اللّه بن عمرو ابن عبّاس و لزمه مدّة،و قرأ عليه القرآن،روى عنه قتادة و الحكم بن عتيبة و عمرو بن دينار و منصور و الأعمش و غيرهم،مات سنة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11:168</w:t>
      </w:r>
      <w:r>
        <w:rPr>
          <w:rFonts w:ascii="IRNazanin" w:hAnsi="IRNazanin" w:eastAsia="IRNazanin"/>
          <w:b w:val="false"/>
          <w:b w:val="false"/>
          <w:bCs w:val="false"/>
          <w:i w:val="false"/>
          <w:i w:val="false"/>
          <w:iCs w:val="false"/>
          <w:color w:val="333333"/>
          <w:sz w:val="20"/>
          <w:sz w:val="20"/>
          <w:szCs w:val="20"/>
          <w:rtl w:val="true"/>
        </w:rPr>
        <w:t xml:space="preserve">،رحمة الأمّة بهامش ميزان الكبرى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ميزان الكبرى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في اللّفظ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بهذا اللّفظ في المغني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الجميع عن أسلع بن شريك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أسلع بن شريك بن عوف الأعرجي أو الأعوجي التّميميّ الأشجعيّ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من بني الأعرج بن كعب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اسمه الحارث بن كعب،خادم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صاحب راحلته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 زريق المالكيّ المدلجي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بهامش الإصابة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 ضعفها لإرسالها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جعفر محمّد بن علي بن الحسين بن موسى بن بابويه القمّيّ،وجه الطّائفة،رئيس المحدّثين،ثقة جليل القدر،و هو أستاذ المفيد محمّد بن النّعمان،و له مصنّفات نحوا من ثلاثمائة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بالرّيّ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،الكنى و الألقاب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الأمة بهامش ميزان الكبرى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26670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في الجميع</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يضرّه ذلك</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جعفر بن محمّد بن عليّ بن الحسين بن عليّ بن أبي طالب،كان رواية للحديث،سديد الطّريق، شديد الورع،كثير الفضل،لزم موسى أخاه و روى عنه شيئا كثيرا،و روى الكشّي عنه ما يشهد بصحّة عقيدته و تأدّبه مع أبي جعفر الثّاني،سكن العريض من نواحي المدينة،عدّه الشّيخ من رجال الكاظم و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 ما سأله عنه،و روى عن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ذيل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محمّد بن يعقوب بن إسحاق،أبو جعفر الكليني الرّازي،ثقة الإسلام،و حاله في الفقه و العلم و الحديث و الورع و علوّ المنزلة أشهر من أن يحيط به قلم و يستوفيه رقم،صنّف الكتاب الكبير المعروف بالكافي في عشرين سنة مات سنة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5:433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كف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قطّر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4:1441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قد قيل 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عين ما في الإنصاف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الطّوسي في المبسوط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الحسين بن موسى بن محمّد بن موسى بن إبراهيم بن موسى بن جعفر بن محمّد بن عليّ بن الحسين بن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القاسم المرتضى ذو المجدين الملقّب عن جدّه المرتضى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علم الهدى،حاز من العلوم ما لم يدانه فيه أحد،متوحّد في علوم كثيرة مثل علم الكلام و الفقه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الفقه و الأدب و النّحو و الشّعر و معاني الشّعر و اللّغة،و هو أوّل من جعل داره دار العلم للمناظرة،أخذ العلوم عن الشّيخ المفيد و غيره،و تلمّذ عليه جماعة كثيرة كشيخ الطّائفة الطّوسي و أبي يعلى سلاّر،و ابن البرّاج و ابن حمزة و غيرهم،له مصنّفات كثيرة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في رجب سنة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توفّي رحمه اللّه في ربيع الأوّل سنة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ه،تولّى غسله النّجاشي،و صلّى عليه ابنه،و دفن في داره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4:223</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كابن البرّاج في شرح الجمل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،و ابن حمزة في الوسيلة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الحسن بن صالح بن حي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عبد اللّه الهمداني،فقيه الكوفة،حدّث عن سلمة بن كهيل و عبد اللّه بن دينار و سماك بن حرب،و حدّث عنه وكيع و يحيى بن آدم و محمّد بن فضيل و عبيد اللّه بن موسى و قبيصة، ولد سنة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مات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7:196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جعفر أحمد بن محمّد بن سلامة الأزديّ الحجريّ المصريّ الطّحاويّ،شيخ الحنفيّة،روى عن هارون بن سعيد الأيلي و عبد الغني بن رفاعة و طائفة من أصحاب ابن عيينة،و روى عنه أحمد بن القاسم الخشّاب و الطّبراني،له تصانيف كثيرة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مات سنة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3:808</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2:288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حكاية الطّحاوي في المصادر المتوفّرة لدينا،و نقل السيّد المرتضى في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القول من كتاب الطّحاويّ الموسوم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اختلاف الفقهاء</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،فتح الوهّاب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24:94</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،المحلّي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xml:space="preserve">،أحكام القرآن لابن العربي </w:t>
      </w:r>
      <w:r>
        <w:rPr>
          <w:rFonts w:eastAsia="IRNazanin" w:cs="IRNazanin"/>
          <w:b w:val="false"/>
          <w:bCs w:val="false"/>
          <w:i w:val="false"/>
          <w:iCs w:val="false"/>
          <w:color w:val="333333"/>
          <w:sz w:val="20"/>
          <w:szCs w:val="20"/>
        </w:rPr>
        <w:t>3:1420</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5:205</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أبو حنيفة بين القليل و الكثير بالخلوص و عدمه،و اختلف أصحابه في تفسيره،فقال بعضهم بوصول البعض إلى البعض و بعضهم بالتّحريك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3:159</w:t>
      </w:r>
      <w:r>
        <w:rPr>
          <w:rFonts w:ascii="IRNazanin" w:hAnsi="IRNazanin" w:eastAsia="IRNazanin"/>
          <w:b w:val="false"/>
          <w:b w:val="false"/>
          <w:bCs w:val="false"/>
          <w:i w:val="false"/>
          <w:i w:val="false"/>
          <w:iCs w:val="false"/>
          <w:color w:val="333333"/>
          <w:sz w:val="20"/>
          <w:sz w:val="20"/>
          <w:szCs w:val="20"/>
          <w:rtl w:val="true"/>
        </w:rPr>
        <w:t xml:space="preserve">، بداية المجتهد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يعقوب بن إبراهيم الأنصاريّ الكوفي صاحب أبي حنيفة قاضي القضاة،و هو أوّل من دعي بذلك،ولي القضاء للمهدي و ابنيه،روى عن الأعمش و هشام بن عروة و أبي إسحاق الشّيباني و عطاء بن السّائب، و روى عنه محمّد بن الحسن الفقيه و أحمد بن حنبل و بشر بن الوليد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6:300</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6:378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3:159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3:159</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،سبل السّلام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3:159</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5:204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24:94</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عليها في المصادر الّتي بأيدينا من 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طريق الخاصّة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كان الماء قدر قلّتين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بن عمار بن أبي جناب الدّهني كوفيّ ثقة،كان وجها عظيم المحل،و روى عن أبي عبد اللّه و أبي الحسن موسى،و روى عنه الحسن بن محبوب و فضالة بن أيّوب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مدلّس</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3:159</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التّفسير الكبير </w:t>
      </w:r>
      <w:r>
        <w:rPr>
          <w:rFonts w:eastAsia="IRNazanin" w:cs="IRNazanin"/>
          <w:b w:val="false"/>
          <w:bCs w:val="false"/>
          <w:i w:val="false"/>
          <w:iCs w:val="false"/>
          <w:color w:val="333333"/>
          <w:sz w:val="20"/>
          <w:szCs w:val="20"/>
        </w:rPr>
        <w:t>24:96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أحكام القرآن لابن العربي </w:t>
      </w:r>
      <w:r>
        <w:rPr>
          <w:rFonts w:eastAsia="IRNazanin" w:cs="IRNazanin"/>
          <w:b w:val="false"/>
          <w:bCs w:val="false"/>
          <w:i w:val="false"/>
          <w:iCs w:val="false"/>
          <w:color w:val="333333"/>
          <w:sz w:val="20"/>
          <w:szCs w:val="20"/>
        </w:rPr>
        <w:t>3:1430</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1:514</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11:565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بن دريد بن عتاهية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أبو بكر الأزدي البصري،كان رأسا في العربيّة و أشعار العرب،حدّث عن أبي حاتم السّجستاني و أبي الفضل العبّاس الرّياشي،و ابن أخي الأصمعي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عنه أبو سعيد السّيرافي و أبو بكر بن شاذان و أبو الفرج صاحب الأغاني و أبو العبّاس إسماعيل بن ميكال و غيرهم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مات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الشّافعيّة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في الجميع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وردت هذه الرّواية أيضا من طريق الخاصّة،انظر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يسير لفظا في الجميع</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26410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المغيرة البجلي مولى جندب بن عبد بن سفيان العلقي،كوفيّ ثقة ثقة لا يعدل به أحد من جلالته و دينه و ورعه،و هو ممّن أجمعت العصابة على تصحيح ما يصحّ عنه،روى عن أبي الحسن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صنّف ثلاثين كتابا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صفوان بن مهران بن المغيرة الأسدي مولاهم ثمَّ مولى بني كأهل منهم،كوفيّ يكنّي أبا محمّد الجمّال كان يسكن بني حرام بالكوفة،وثّقه النّجاشي و العلاّمة،و عدّه الكشّي من أصحاب الإمام 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كذا في بعض المصادر،و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زياد بن عيسى،أبو أحمد الأزدي من موالي المهلّب بن أبي صفرة،بغداديّ الأصل و المقام،أدرك من الأئمّة 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الحسن موسى و الإمامين 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عظيم المنزلة عند العامّة و الخاصّة،و كان من أصحاب الإجماع،و الأصحاب يعتمدون على مراسيله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الشّيخ من أصحاب الرّضا و قد صنّف كتبا كثيرة بلغت نحوا من أربعة و تسعين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،جمل العلم و العمل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إسماعيل بن جابر الجعفي الكوفيّ،ثمّة ممدوح،روى حديث الأذان،ذكره الشّيخ من أصحاب الباقر و الصّادق و 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اختلف في نسبته،نسبه النّجاشي و الكشّي و العلاّمة إلى جعفي،و الشّيخ في رجاله الى خثعم،و أطلق في الفهرست و هو من أصحاب الأصول و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العبارة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يكون ثلاثة أشبار طولا في عرض ثلاثة أشبار في عمق ثلاثة أشبار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اضطرب كلام الأصحاب في اسمه و اسم أبيه و كنيته و في وثاقته و عدمها،قال 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يحيى بن القاسم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بصير الأسديّ،و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محمّد،روى عن أبي جعفر و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أبي القاسم،و اسم أبي القاسم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إسحاق،و روى عن أبي الحسن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أصحاب الصّادق،يحيى بن القاسم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محمّد،يعرف أبي بصير الأسديّ،مولاهم كوفيّ تابعيّ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يحيى بن القاسم الحذّاء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ذكر العلاّمة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الأقوال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3:308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 أشبار و نصفا في مثله ثلاثة أشبار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المبسوط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البرّاج في المهذّب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 عثمان بن عيسى العامريّ الكلابيّ الرّواسي من ولد عبيد بن رؤاس،ذكره الشّيخ في أصحاب الإمام الكاظم و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 الكشّي عدّة ممّن أجمعت العصابة على تصحيح ما يصحّ عنه،و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ابن فضّال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بعضهم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بن عيسى مكان ابن فضّال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من الواقفيّة بل شيخهم و هو أحد الوكلاء المعتمدين بمال موسى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زرارة بن أعين بن سنسن،و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سنبس،قال ابن النديم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زرارة لقب،و اسمه عبد ربّه بن أعين،أبو علي أكبر رجال الشّيعة فقها و حديثا و معرفة بالكلام و التشيّع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أصحابنا في زمانه و متقدّمهم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قارئا فقيها متكلّما شاعرا أديبا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الشّيخ في رجاله تارة من أصحاب الباقر،و اخرى من أصحاب الصّادق و ثالثة من أصحاب 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،الفهرست لابن النديم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صالح بن حيّ الهمدانيّ الثّوريّ الكوفيّ،ذكره الشّيخ تارة من أصحاب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زيديّ،و إليه تنسب الصّالحيّة منهم،و اخرى من أصحاب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عدّه الكشّي من البتريّة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استظهر المامقاني اتّحاده مع الحسن الّذي نقل المرتضى في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موافقته للإماميّة في تحديد الكرّ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غرضه عدم كونه اثنى عشريّا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قوّى السّيد الخوئي اتّحاده مع الحسن بن صالح الأحول مستدلاّ بأنّ النّجاشي لم يتعرّض للحسن المذكور إلاّ بعنوان الأحول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مات سنة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قيل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تقدّمت ترجمته في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،الفهرست لابن النديم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السّيد المرتضى في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تكثيرا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الصّواب ما أثبتناه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 الكبير قطب الدّين أبو الحسين سعيد بن عبد اللّه بن الحسين بن هبة اللّه الحسن الرّاونديّ،كان عالما،فاضلا،متبحّرا،كاملا،فقيها،محدّثا،ثقة،له تصانيف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3:326</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،فتح الوهّاب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المقدار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مسحوبا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حدّا للكثير،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الكثرة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 يتبع الغلبة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فالحكم مع الغلبة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الماء</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بالتّنجّس</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الآنية،و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الآنية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سليمان الأصفهانيّ الفقيه الظّاهريّ تفقّه على أبي ثور،و ابن راهوية،و حدّث عنه ابنه محمّد،و السّاجي،و يوسف بن يعقوب الدّاوديّ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صاحب مذهب مستقل،و تبعه جماعة يعرفون بالظّاهريّة أخذوا بظاهر الكتاب و السّنّة و تركوا الرأي و القياس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مات سنة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2:572</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2:422</w:t>
      </w:r>
      <w:r>
        <w:rPr>
          <w:rFonts w:ascii="IRNazanin" w:hAnsi="IRNazanin" w:eastAsia="IRNazanin"/>
          <w:b w:val="false"/>
          <w:b w:val="false"/>
          <w:bCs w:val="false"/>
          <w:i w:val="false"/>
          <w:i w:val="false"/>
          <w:iCs w:val="false"/>
          <w:color w:val="333333"/>
          <w:sz w:val="20"/>
          <w:sz w:val="20"/>
          <w:szCs w:val="20"/>
          <w:rtl w:val="true"/>
        </w:rPr>
        <w:t>،الفهرست لابن النّديم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3:169</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xml:space="preserve">،شرح النّوويّ لصحيح مسلم بهامش إرشاد السّاري </w:t>
      </w:r>
      <w:r>
        <w:rPr>
          <w:rFonts w:eastAsia="IRNazanin" w:cs="IRNazanin"/>
          <w:b w:val="false"/>
          <w:bCs w:val="false"/>
          <w:i w:val="false"/>
          <w:iCs w:val="false"/>
          <w:color w:val="333333"/>
          <w:sz w:val="20"/>
          <w:szCs w:val="20"/>
        </w:rPr>
        <w:t>2:314</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الكثير</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الجميع بتفاوت يسير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2:346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كالمفيد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السّيّد المرتضى في الجمل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،و الشّيخ في الخلاف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3:159</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جبير الوالبي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مولى بني والبة،تابعيّ كوفيّ،نزيل مكّة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 المحدّث،روى عن ابن عباس و عديّ بن حاتم،و روى عنه جعفر بن أبي المغيرة و الأعمش و عطاء بن السّائب و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الشّيخ من أصحاب الإمام عليّ بن الحسين،و كان يسمى جهبذة العلماء،قتله الحجاج بعد محاورة طويلة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عمر بن الخطاب بن نفيل القرشيّ العدويّ،أبو عبد الرّحمن،روى عن النّبيّ و أبيه و أبي بكر و أبي ذر و معاذ و غيرهم،و روى عنه عبد الرّحمن بن عوف و سعيد بن المسيّب و عون بن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سنة ثلاث من المبعث،و مات سنة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2:347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يعقوب إسحاق بن إبراهيم بن مخلّد الحنظليّ التّميميّ المروزيّ،نزيل نيسابور و عالمها،يعرف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راهويه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من ابن المبارك و فضيل بن عياض،و أخذ عنه أحمد بن حنبل و البخاريّ و مسلم و التّرمذيّ و النّسائيّ و أبو العبّاس بن السّرّاج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قيل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2:435</w:t>
      </w:r>
      <w:r>
        <w:rPr>
          <w:rFonts w:ascii="IRNazanin" w:hAnsi="IRNazanin" w:eastAsia="IRNazanin"/>
          <w:b w:val="false"/>
          <w:b w:val="false"/>
          <w:bCs w:val="false"/>
          <w:i w:val="false"/>
          <w:i w:val="false"/>
          <w:iCs w:val="false"/>
          <w:color w:val="333333"/>
          <w:sz w:val="20"/>
          <w:sz w:val="20"/>
          <w:szCs w:val="20"/>
          <w:rtl w:val="true"/>
        </w:rPr>
        <w:t>،الفهرست لابن النّديم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بتشديد اللاّم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عبيد البغداديّ اللّغويّ الفقيه ولي القضاء بمدينة طرسوس،سمع شريكا و ابن المبارك و حدّث عنه الدّارميّ و أبو بكر بن أبي الدّنيا و ابن أبي أسامة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 عن الأصمعيّ و الكسائيّ و الفرّاء و غيرهم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بغيّة الوعاة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2:417</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5:205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بن أبي عقيل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العماني الحذّاء،فقيه متكلّم،ثقة،و عرّفه الشيخ بالحسن بن عيسى،يكنّى أبا عليّ،وجه من وجوه أصحابنا،و هو أوّل من هذّب الفقه و استعمل النّظر و فتق البحث عن الأصول و الفروع في ابتداء الغيبة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كتب،منها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المتمسّك بحبل آل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حذيفة بن حسل،و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حسيل اليمان بن جابر بن عمرو بن ربيعة بن جروة بن الحارث،يكنّى أبا عبد اللّه العبسيّ،شهد حذيفة و أخوه صفوان أحدا و كان من كبار الصّحابة معروف فيهم بصاحب سرّ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تمييز المنافقين،روى عن النّبيّ،و روى عنه ابنه أبو عبيدة و عمر بن الخطّاب و قيس بن أبي حازم،و أبو وائل و زيد بن وهب و غيرهم،مات بالمدائن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الإصابة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هريرة الدّوسيّ،و دوس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عدنان بن عبد اللّه بن زهران بن كعب بن الحارث،اختلفوا في اسمه و اسم أبيه اختلافا كثيرا لا يحاط به و لا يضبط في الجاهليّة و الإسلام،و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اسمه عبد شمس في الجاهليّة،صحب النّبي و روى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الإصابة </w:t>
      </w:r>
      <w:r>
        <w:rPr>
          <w:rFonts w:eastAsia="IRNazanin" w:cs="IRNazanin"/>
          <w:b w:val="false"/>
          <w:bCs w:val="false"/>
          <w:i w:val="false"/>
          <w:iCs w:val="false"/>
          <w:color w:val="333333"/>
          <w:sz w:val="20"/>
          <w:szCs w:val="20"/>
        </w:rPr>
        <w:t>4:202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عبّاس بن عبد المطلب بن هاشم بن عبد مناف،روى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معاذ بن جبل،و روى عنه جمع كثير منهم عبد اللّه بن عمر و أنس و أبو أمامة و عكرمة و عطاء بن أبي رباح و مجاهد و سعيد بن المسيّب و طاوس و وهب بن منبّه و أخوه كثير بن عبّاس و ابنه عليّ بن عبد اللّه 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قبل الهجرة بثلاث سنين و توفّي سنة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أبي الحسن يسار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سعيد البصريّ مولى زيد بن ثابت الأنصاريّ،و امّه خيرة مولاة أمّ سلمة، حدّث عن عثمان و عمران بن حصين و المغيرة بن شعبة و 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4:563</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عكرمة بن عبد اللّه مولى عبد اللّه بن عباس،أصله من البربر،روى عن مولاه و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أبي سعيد و أبي هريرة و عائشة،و استبعد الذّهبيّ روايته عن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ينتقل من بلد إلى بلد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عطاء بن أبي رباح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بن أسلم القرشيّ،مفتي أهل مكّة و محدّثهم،روى عن عائشة و أبي هريرة و جابر بن عبد اللّه و ابن عبّاس و أبي سعيد و طائفة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عنه أيّوب و عمرو بن دينار و ابن جريح و أبو إسحاق و الأوزاعيّ و أبو حنيفة و خلق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قيل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2:423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طاوس بن كيسان اليماني الجنديّ الخولانيّ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عبد الرّحمن من أبناء الفرس،روى عن ابن عبّاس و زيد بن أرقم،و زيد بن ثابت،و روى عنه ابنه عبد اللّه و الزّهريّ و إبراهيم بن ميسرة و حنظلة بن أبي سفيان و كان شيخ أهل اليمن و كان كثير الحجّ،مات بمكّة قبل يوم التّروية سنة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جابر بن زيد الأزدي البصريّ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الشّعثاء صاحب ابن عبّاس و روى عنه،روى عنه قتادة و أيّوب و عمرو بن دينار و كان من فقهاء البصرة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الرّحمن بن أبي ليلى الأنصاريّ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الرّحمن،مفتي الكوفة و قاضيها،حدّث عن الشّعبي و عطاء و الحكم بن عيينة و نافع و طائفة،و حدّث عنه شعبة و سفيان بن سعيد الثّوريّ و وكيع و أبو نعيم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3:613</w:t>
      </w:r>
      <w:r>
        <w:rPr>
          <w:rFonts w:ascii="IRNazanin" w:hAnsi="IRNazanin" w:eastAsia="IRNazanin"/>
          <w:b w:val="false"/>
          <w:b w:val="false"/>
          <w:bCs w:val="false"/>
          <w:i w:val="false"/>
          <w:i w:val="false"/>
          <w:iCs w:val="false"/>
          <w:color w:val="333333"/>
          <w:sz w:val="20"/>
          <w:sz w:val="20"/>
          <w:szCs w:val="20"/>
          <w:rtl w:val="true"/>
        </w:rPr>
        <w:t>،الفهرست لابن النّديم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 بن عبد الرّحمن بن عمر بن محمّد الدّمشقيّ الأوزاعيّ الفقيه،حدّث عن عطاء بن أبي رباح و القاسم بن مخيمرة و ربيعة بن يزيد و شدّاد بن أبي عمّار و الزّهريّ و قتادة و يحيى بن أبي كثير،و حدّث عنه شعبة و ابن المبارك و الوليد بن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ببعلبك و نشأ بالبقاع ثمَّ نزل بيروت فمات بها سنة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2:310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سفيان بن سعيد بن مسروق الثّوريّ الفقيه الكوفيّ،حدّث عن أبيه و زبيد بن الحارث و حبيب بن أبي ثابت و زياد بن علاقة و محارب بن دثار و يحيى القطّان و ابن وهب و وكيع و قبيصة و جمع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بالبصرة بعد أن كان مختفيا من المهديّ سنة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 لابن النّديم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المنذر بن عبد اللّه الحزاميّ الأسديّ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إسحاق المدنيّ محدّث المدينة،روى عن مالك و سفيان بن عيينة و الوليد بن مسلم و ابن وهب و أبي ضمرة،و روى عنه البخاريّ و ابن ماجه و محمّد بن إبراهيم البوشنجيّ و خلق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غير أبي بكر محمّد بن إبراهيم بن المنذر من فقهاء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2:470</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،سبل السّلام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لمزيد الاطّلاع على قول مالك،انظر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رحمة الأمّة بهامش ميزان الكبرى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،مقدّمات ابن رشد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يحمل الخبث،سنن أبي داود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يحمل الخبث،سنن ابن ماجه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كذلك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يحمل الخبث،مسند أحمد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بعدها،سنن البيهقي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عمرو بن أبي نصر مولى السّكون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جعفر المعروف بالبزنطيّ،كوفيّ،لقي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الشّيخ من أصحاب الرّضا و الجواد،و كان عظيم المنزلة عندهما و هو من أصحاب الإجماع،مات سنة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كفأت الإناء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كببته و قلبته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عبد الرّحمن،و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اللّه الأعرج السّمّان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 التّيميّ،كوفيّ ثقة،عدّه الشّيخ مع أبيه من أصحاب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نقل العلاّمة المامقاني قول العلاّمة في المختلف بأنّه لا يعرف حاله مع انّه نفسه ذكره في رجاله بعنوان سعيد بن عبد الرّحمن ثمَّ قال و التحقيق انّ سعيد الأعرج و سعيد بن عبد الرحمن و سعيد السّمّان و سعيد بن عبد الرّحمن السّمّان،واحد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عبد الملك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العبّاس البقباق،مولى كوفيّ ثقة عين،روى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 يرويه عن داود بن حصين،عدّه الشّيخ من أصحاب الصّادق،و نقل العلاّمة المامقاني في الفائدة الثّانية و العشرين في تنقيح المقال عن الشّيخ المفيد ما يدلّ على عظم منزلته و وثاقته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اصبب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اجتنب</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حديث بهذا اللّفظ إلاّ في المعتبر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بهذا المضمون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فتوضّأ و اشرب</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24:94</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عليّ بن حديد بن حكيم المدائنيّ الأزديّ السّاباطيّ،قال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أبي الحسن موسى عليه السّلام،و عدّه الشّيخ تارة من أصحاب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تارة من أصحاب الجواد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فطحيّ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العلاّمة في رجاله في الضّعفاء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الشّيخ في التّهذيب </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لا يعوّل على ما ينفرد بنقله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ياسين الضّرير الزيّات البصري،لقي أبا الحسن لمّا كان بالبصرة و روى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 النّجاشي و الكشّي و الشّيخ في الفهرست،و لم يتعرّضوا لوثاقته و عدمها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العلاّمة المامقاني،استظهر كونه إماميّا موثوقا به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،سبل السّلام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عبد اللّه بن الزّبير بن عبد المطّلب بن هاشم بن عبد مناف القرشيّ الهاشميّ،ابن عمّ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امّه عاتكة،يعدّ من الطبقة الخامسة من الصحابة قتل في معركة أجنادين مع الروم 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2:308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بهامش الإصابة </w:t>
      </w:r>
      <w:r>
        <w:rPr>
          <w:rFonts w:eastAsia="IRNazanin" w:cs="IRNazanin"/>
          <w:b w:val="false"/>
          <w:bCs w:val="false"/>
          <w:i w:val="false"/>
          <w:iCs w:val="false"/>
          <w:color w:val="333333"/>
          <w:sz w:val="20"/>
          <w:szCs w:val="20"/>
        </w:rPr>
        <w:t>2:299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5:209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3:169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27500</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نزح</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حريز بن عبد اللّه السّجستاني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الأزدي،أكثر السّفر و التّجارة إلى سجستان فعرف بها،قال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 روى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يونس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يسمع من أبي عبد اللّه إلاّ حديثين،و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أبي الحسن موسى،و لم يثبت ذاك،و كان ممّن شهر السّيف في قتال الخوارج في سجستان في حياة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الشّيخ من أصحاب الصّادق،و وثّقه في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مسكان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محمّد،كوفيّ من موالي عنزة،ثقة عين،روى عن أبي الحسن موسى،و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أبي عبد اللّه،و ليس بثبت،قاله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عدّه الشّيخ في رجاله في أصحاب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من أصحاب الإجماع،و كان من أروى أصحاب أبي عبد اللّه،مات في زمان أبي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يتوضّأ</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يصحّ،و ما أثبتناه،من المصدر</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معارضة بما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يعلى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سلاّر بن عبد العزيز الدّيلمي الطّبرستانيّ،المقدّم في الفقه و الأدب و غيرهما،من أعاظم تلاميذ المفيد و السّيّد المرتضى،و ربّما درّس نيابة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كتب،منها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 في المذهب،و التّقريب في أصول الفقه،و المراسم في الفقه،و الرّدّ على أبي الحسن البصري في نقض الشّافعي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توفّي لست خلون من شهر رمضان سنة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صفر سنة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قبره في قرية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خسروشاه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قرى تبريز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الألقاب </w:t>
      </w:r>
      <w:r>
        <w:rPr>
          <w:rFonts w:eastAsia="IRNazanin" w:cs="IRNazanin"/>
          <w:b w:val="false"/>
          <w:bCs w:val="false"/>
          <w:i w:val="false"/>
          <w:iCs w:val="false"/>
          <w:color w:val="333333"/>
          <w:sz w:val="20"/>
          <w:szCs w:val="20"/>
        </w:rPr>
        <w:t>2:238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سلاّر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أبو القاسم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العزيز بن نحرير بن عبد العزيز بن البرّاج،الفقيه العالم الجليل،وجه الأصحاب و فقيههم،لقّب بالقاضي لكونه كان قاضيا في طرابلس مدّة عشرين سنة،و كان من خواص تلامذة السيّد المرتضى و شيخ الطّائفة،له مصنّفات،منها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المهذّب،و المعتمد،و الجواهر،و شرح جمل العلم و العمل للسيّد المرتضى،و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توفي في شعبان سنة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الألقاب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3:480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محمّد بن إسماعيل بن بزيع،مولى المنصور،و ولد بزيع بيت،منهم حمزة بن بزيع كان من صالحي هذه الطّائفة و ثقاتهم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الشّيخ من أصحاب الكاظم و الرّضا و الجواد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صحيح كوفيّ،له كتب منها كتاب الحج</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عذرة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يقطين بن موسى،كوفيّ الأصل،بغداديّ السّكنى،مولى بني أسد،ثقة جليل القدر له منزلة عظيمة عند أبي الحسن موسى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مدائح كثيرة عن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الشّيخ من أصحاب 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في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كتب،منها ما سأل عنه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الملاحم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بالكوفة سنة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مات ببغداد سنة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أبي يعفور العبدي مولاهم 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اسم أبي يعفور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واقد،و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يكنّى أبا محمّد،ثقة ثقة جليل في أصحابنا،له منزلة عظيمة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الشّيخ من أصحاب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الكشّي ما يدلّ على عظم منزلته و شدّة إخلاصه في حبّه و التّسليم بأوامره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في حياة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سنة الطّاعون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عنبسة بن مصعب العجليّ الكوفيّ،عدّه الشّيخ من أصحاب الباقر و الصّادق و الكاظم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الكشّي عن حمدويه انّه ناووسيّ واقفيّ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1:646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التّنظيف</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 بن موسى السّاباطيّ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اليقظان،و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الفضل،كوفيّ سكن المدائن،وثّقه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حكى المامقانيّ في فوائد التّنقيح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المفيد انّه من أصحاب أبي جعفر و أبي عبد اللّه،و انّه من الأعلام الّذين أخذوا عنهم الحلال و الحرام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عدّه الشّيخ في رجاله من أصحاب أبي عبد اللّه،و أبي الحسن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الكشّي في رجاله و الشّيخ في الفهرست و العلاّمة في رجاله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فطحيّ،لكنّه ثقة في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أبان بن عثمان الأحمر البجليّ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 مولاهم،أصله كوفيّ،سكنها تارة و البصرة أخرى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أبي عبد اللّه و أبي الحسن موسى 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 حسن 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الشّيخ من أصحاب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من النّاووسيّة،مع انّه عدّه من أصحاب الإجماع،و استقرب العلاّمة قبول روايته و إن كان فاسد المذهب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شاع</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الحمأ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الطّين الأسود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حمى</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بن عبد المطّلب بن هاشم بن عبد مناف القرشيّ الهاشميّ،عمّ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يكنّى أبا الفضل، كان أسنّ من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بسنتين،و قيل بثلاث سنين،و كان رئيسا في الجاهليّة و ممّن خرج مع المشركين يوم بدر و أسر يومئذ فيمن أسر،أسلم قبل فتح مكّة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كانت له في الجاهليّة السّقاية و العمارة روى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عنه أولاده و عامر بن سعد و الأحنف بن قيس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بالمدينة سنة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الحلال ضدّ الحرام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لشارب،المغني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أحلّه لمغتسل لكن للمحرم حلّ و بلّ</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 الشّافعيّ في المهذّب للشّيرازي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،و المجموع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،و مغنيّ المحتاج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،و فتح الوهّاب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،و السّراج الوهّاج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 أحمد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،و الإنصاف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،و الكافي لابن قدامة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كالمرتضى في الرّسائل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الثّانية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،و ابن إدريس في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،فتح الوهّاب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،السّراج الوهّاج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الزّعفران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السّيّد المرتضى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الثّانية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إدريس الحلّي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الأجلّة،و شيخ فقهاء الحلّة،صاحب كتاب السّرائر الحاوي لتحرير الفتاوي،و مختصر تبيان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الكنى و الألقاب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البلوغ فيستصحب،و لأنّ يقين النّجاسة حاصل</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رسائل السّيّد المرتضى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الثّانية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1:176</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26702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5:146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26589</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في الجميع</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انظر احتجاجات ابن إدريس في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تسند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الماء المطلق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عليّ بن أبي شعبة الحلبيّ مولى بني تيم اللاّت بن ثعلبة أبو عليّ،كوفيّ،يتّجر هو و أبوه و إخوته إلى حلب،فغلب عليهم النّسبة إلى حلب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 أبي شعبة بالكوفة بيت مذكور من أصحابنا،و روى جدّهم أبو شعبة عن الحسن و الحسين عليهما السّلام و كانوا جميعهم ثقاة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عبيد اللّه كبيرهم و وجههم،صنّف الكتاب المنسوب إليه و عرضه على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صحّحه و استحسنه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عند قراءته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لهؤلاء في الفقه 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أوّل كتاب صنّفه الشّيعة،عدّه الشّيخ من أصحاب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1:529</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1:529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سعيد بن هلال الثّقفيّ الكوفيّ،عدّه الشّيخ في رجاله من أصحاب الباقر و الصّادق 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حكى العلاّمة المامقانيّ عن المحقّق في المعتبر،و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 هنا و في المختلف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فطحيّ،و ردّه بأنّ أحدا من علماء الرّجال لم يتفوّه بذلك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المظنون انّ المحقّق قد اشتبه عليه الرّجل فزعمه المدائني،حيث انّ الكشّي حكى عن نصر انّه فطحيّ،و اتّحادهما في غاية البعد،حيث انّ الثّقفيّ من أصحاب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المدائنيّ من أصحاب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السّيّد الخوئي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الصّحيح انّ الرّجل 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1:622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13:113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كردويه الهمدانيّ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 في طريق الصّدوق في الفقيه و الشّيخ في التّهذيب في باب تطهير المياه،روى عن أبي الحسن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الرّجل غير مذكور في كتب الرّجال أكثر من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المصنّف في المختلف في مسألة النّجاسة الّتي لم يرد فيها نصّ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كردويه لا أعرف حاله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في رجاله في الفائدة الثامنة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طريق ابن بابويه عن كردويه الهمدانيّ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السّيّد الخوئي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لم ينصّ على وثاقته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14:118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منه ابن بابويه،مرّ في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قول الشّيخ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قول المفيد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السّيّد المرتضى لم نعثر على قوله في مسألة تنجيس ماء البئر في كتبه الموجودة،و لكنّه ألحق بالخمر كلّ مسكر،انظر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عطاء بن يسار،روى عن 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روى عبد الرّحمن بن زيد بن أسلم عن أبيه عنه في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انّ رسول اللّه حرّم كلّ مسكر،حديث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الذّبائح و الأطعمة حديث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لم يتعرّض له في باقي كتب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1:538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11:156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انّ الخمر اسم لكلّ مسكر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تقيّ الدّين نجم بن عبيد اللّه بن محمّد الحلبيّ،أبو الصّلاح،الفاضل،الفقيه،المحدّث،من عظماء مشايخ الإماميّة و من أعظم تلاميذ السّيّد المرتضى و الشّيخ و خليفته في البلاد الشّاميّة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تصانيف،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في الفقه،و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الذّخيرة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البرهان على ثبوت الإيمان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مات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3:480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هشام بن الحكم الكنديّ مولاهم البغداديّ،يكنّى أبا محمّد و أبا الحكم،مولده بالكوفة،و منشأه واسط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تجارته بغداد،انتقل إليها في آخر عمره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أصحاب الإمامين الصّادق و الكاظم عليهما السّلام و روى عنهما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عنهما مدائح جليلة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ممّن اتّفق الأعلام على وثاقته و عظم قدره و كان ممّن فتق الكلام في الإمامة،و هذّب المذهب بالنّظر،و كان حاذقا بصناعة الكلام حاضر الجواب،له مباحثات كثيرة مع المخالفين في الأصول و غيرها و كان له كتاب يرويه جماعة،توفّي سنة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ذيل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الكافي و التهذيب و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خميرة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الصّلاح الحلبيّ في 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،و سلاّر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،و ابن البرّاج في المهذّب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ليست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ذكرهم في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للعموم</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كالصّدوق في الفقيه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،و 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الشّيخ في المبسوط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،و النّهاية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ابن إدريس في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قول الشّيخ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،و قول 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قول السّيّد المرتضى نقله المحقّق في المعتبر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بريد بن معاوية العجليّ الكوفيّ،يكنّى أبا القاسم،وجه من وجوه أصحابنا ثقة فقيه،له محلّ عند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أصحاب الإمامين الباقر و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عنهما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الكشّي ممّن أجمعت العصابة على تصديقهم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في حياة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نقل عن ابن فضّال انّه مات 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عبد الوهّاب بن سلام بن خالد مولى عثمان بن عفّان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عليّ الجبائيّ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إلى قرية في البصرة،شيخ المعتزلة في زمانه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السّلام بن محمّد بن عبد الوهّاب بن سلام الجبائيّ،المكنّى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هاشم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 لهما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الجبائيّان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كلاهما على مذهب المعتزلة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لهما مقالات على مذهب الاعتزال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أبو عليّ سنة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ابنه أبو هاشم سنة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،الكنى و الألقاب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الماء</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يطلق على الحسن بن عليّ بن فضّال و بنيه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عليّ،و أحمد،و محمّد،كلّهم من بني فضّال بن عمر بن أيمن مولى عكرمة بن ربعي الفيّاض،و كلّهم فطحيّة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المراد به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الحسن بن عليّ بن فضّال،أبو عبد اللّه،أو أبو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روى عنه أخوه عليّ بن الحسن و غيره من الكوفيّين و القمّيّين،و له كتب،مات سنة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عمرو بن سعيد المدائنيّ،وثّقه النّجاشي،و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نسبه الكشّي إلى الفطحيّة و نقل المامقانيّ اختلاف الأقوال فيه ثقة و ضعفا،و قد اشتبه هذا الرّجل بعمرو بن سعيد بن هلال الّذي مرّ ذكره و القول فيه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1:621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مصدّق بن صدقة المدائنيّ،عدّه الشّيخ في رجاله تارة من أصحاب الصّادق و اخرى من أصحاب الجواد، و يظهر من ذلك انّه أدرك زمان أربعة من الأئمّة،و عدّه الكشّي من الفطحيّة،و تبعه العلاّمة و الأردبيلي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3:218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ترجمته في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النّسخ،و 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فأكثره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حيث قالوا بنزح السّبعين لموت الإنسان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مبنيّ</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النّسخ،و الأنسب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النّقض</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المعتبر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من المصدر</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بشر عمرو بن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في البيضاء قرب شيراز و توفّي فيها،كان منشأه في البصرة،تعلّم على الخليل،يعدّ إمام مذهب البصريّين،و كتابه في النّحو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شرحه ابن السّراج،و المبرمان، و السّيرافيّ،و الرّمّانيّ،مات بالبيضاء أو شيراز سنة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قيل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الوعاة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نقل عنه في المعتبر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الطّوسي في المبسوط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أقوالهم في المعتبر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يونس،و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أسامة الشّحام مولى شديد بن عبد الرّحمن بن نعيم الأزديّ الغامديّ، كوفيّ،قاله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الشّيخ في رجاله تارة من أصحاب 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اخرى من أصحاب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بن يونس،ثقة له كتاب،قيل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الكنى صفحة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سعيد بن حمّاد بن سعيد بن مهران الأهوازي من موالي عليّ بن الحسين،ثقة،و أصله كوفيّ، و انتقل مع أخيه الحسن إلى الأهواز ثمَّ إلى قم،و توفّي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الشّيخ تارة من أصحاب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اخرى من أصحاب الجواد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مضيفا إليه أخيه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ثالثة من أصحاب الهادي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محمّد الجوهريّ مولى تيم اللّه،كوفيّ الأصل،سكن بغداد،واقفيّ،عدّه الشّيخ تارة من أصحاب الصّادق و اخرى من أصحاب الكاظم 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عليّ بن أبي حمزة و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حمزة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اسم أبي حمزة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 البطائنيّ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 مولى الأنصار،كوفيّ،و كان قائد أبي بصير يحيى بن القاسم،و له أخ يسمّى جعفر بن أبي حمزة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أبي الحسن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أبي عبد اللّه ثمَّ وقف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أحد عمد الواقفة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الشّيخ تارة من أصحاب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اخرى من أصحاب 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 بأنّه واقفيّ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1:547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سماعة بن مهران بن عبد الرّحمن الحضرميّ الكوفيّ مولى عبد بن وائل بن حجر الحضرميّ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خولان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يكنّي أبا ناشرة،و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محمّد،كان يتّجر في القزّ و يخرج به إلى حرّان،و نزل الكوفة في كندة، روى عن أبي عبد اللّه و أبي الحسن،و مات بالمدينة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في الكوفة مسجد،وثّقه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عدّه الشّيخ من أصحاب الصّادق و الكاظم عليهما السّلام،و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عمّار مشترك بين إسحاق بن عمّار بن حيّان مولى بني تغلب الكوفيّ الصّيرفيّ،وثّقه النّجاشي،و الشّيخ في رجاله،و عدّه من أصحاب الإمامين الصّادق و الكاظم 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بين إسحاق بن عمّار بن موسى السّاباطيّ،ذكره الشّيخ في الفهرست،و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أصل،و كان فطحيّا إلاّ انه ثقة و أصله معتمد،و توقّف العلاّمة و الأردبيليّ فيما ينفرد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نبّه العلاّمة المامقانيّ انّ هذا الاشتراك في الاسم يوجب توثيق بعض له و تضعيف بعض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ثلاثة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الغفّار بن قاسم بن قيس بن قيس بن قهد الأنصاريّ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مريم،روى عن أبي جعفر و أبي عبد اللّه، و عدّه الشّيخ من أصحاب الإمام السّجّاد و الباقر و الصّادق عليهم السّلام،له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 الحسن بن محبوب و أبان بن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التهذيب و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هامش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البئر التي يشمّ منها الرّائحة الكريهة،و في هامش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 بخط الشّيخ في نسخة الاستبصار مبخرة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الميم و سكون الباء و كسر 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الميم و الخاء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النّتن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الإرشاد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للشّهيد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الطّوسيّ في المبسوط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،و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المعتبر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البرّاج في المهذّب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،و سلاّر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،و ابن إدريس في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يعقوب بن عيثم أو عثيم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العين و فتح المثلّثة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قال العلاّمة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الشّيخ في رجاله تحت عنوان أبو يوسف من أصحاب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وقع في طريق الصّدوق في الفقيه و ذكره في مشيخته،روى عنه عليّ بن الحكم و أبان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المشيخة،جامع الرّواة </w:t>
      </w:r>
      <w:r>
        <w:rPr>
          <w:rFonts w:eastAsia="IRNazanin" w:cs="IRNazanin"/>
          <w:b w:val="false"/>
          <w:bCs w:val="false"/>
          <w:i w:val="false"/>
          <w:iCs w:val="false"/>
          <w:color w:val="333333"/>
          <w:sz w:val="20"/>
          <w:szCs w:val="20"/>
        </w:rPr>
        <w:t>2:427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الرّوايات في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في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حيوان</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معلّق</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قال الشّيخ الطّوسيّ في المبسوط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،بالمنع من المستعمل في الكبرى،و في</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جمل العلم و العمل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جعفر</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روايته</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انفسخت أو انتفخت</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الشّيخ في باب تطهير المياه من التّهذيب عن جعفر بن بشير عنه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أيضا في كتاب العتق عن أبي جميلة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 النّجاشي و لم يتعرّض لحاله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الأردبيليّ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أجد له ذكر في كتب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اقتصر على تسميته دون بيان شيء في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2:408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 المكاري،هاشم أو هشام بن حيّان الكوفيّ مولى بني عقيل كان هو و أبوه وجهين في الواقفة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الشّيخ في رجاله من أصحاب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 يرويه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بن حازم،أبو أيّوب البجليّ مولاهم كوفيّ،ثقة،عين،من أجلّة أصحابنا و فقهائهم،و هو من الأعلام المأخوذ عنهم الحلال و الحرام و الفتيا و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الشّيخ من أصحاب الصّادق،و قال له أصول الشّرائع و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3:249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المطلق،ذيل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ذكر سماعة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،و عثمان بن عيسى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العدد</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من المصدر</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 بن مكرم بن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خديجة مولى بني أسد الجمّال،يقال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وثّقه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عدّه الشّيخ في رجاله من أصحاب الصّادق و ضعّفه في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توقّف فيه الأردبيليّ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استظهر صلاحه العلاّمة المامقانيّ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فأربعين دلوا</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يدلّ</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المعتبر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الحسين بن موسى بن بابويه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 شيخ القمّيّين في عصره و فقيههم و ثقتهم،اجتمع في العراق مع أبي القاسم الحسين بن روح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سأله مسائل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كفى في فضله ما في التّوقيع الشّريف المنقول عن الإمام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أوصيك يا شيخي و معتمدي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كتب كثيرة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دفن بقم بجوار الحضرة الفاطميّة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بنات وردان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دويبّة نحو الخنفساء حمراء اللون و أكثر ما تكون في الحمّامات و في الكنف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حيوان</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يزيد بن الحارث بن عبد يغوث بن كعب بن الحارث بن معاوية بن وائل بن مرار بن جعفي،أبو عبد اللّه،و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الشّيخ تارة من أصحاب الباقر و اخرى من أصحاب الصّادق 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 جماعة غمز فيهم و ضعفوا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الكشّيّ أيضا روى فيه مدحا و بعض الذّم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هارون بن حمزة الغنويّ الصّيرفيّ،كوفيّ،ثقة،عين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الشّيخ من أصحاب الباقر و الصّادق 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 يرويه جماعة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الكافي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مسكان عن أبي بصير</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المنهال بن عمر الأسديّ،كوفيّ،عدّه الشّيخ تارة من أصحاب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اخرى من أصحاب السّجّاد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ثالثة من أصحاب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رابعة من أصحاب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عليّ بن الحسين و أبي جعفر و أبي عبد اللّه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الطّوسيّ في المبسوط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البرّاج في المهذّب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،و سلاّر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،و ابن إدريس في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ترجمته و بيان حاله في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تقدّمتا في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الثقة أبو الحسن سليمان بن الحسن بن سلمان،فقيه،وجه،ديّن،قرأ على شيخنا أبي جعفر الطّوسيّ و جلس في مجلس درس سيّدنا المرتضى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مصنّفات،منها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قبس المصباح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كتاب النّفيس،و كتاب التّنبيه،و 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الكنى و الألقاب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نقل عنه في المعتبر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المعتبر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متفسّخة</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تمعّط الشّعر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تساقط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2:575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متفسّخة</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ليست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بن فرقد الشّيباني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اللّه،ولد بواسط و نشأ بالكوفة و تفقّه على أبي حنيفة،و سمع الحديث من الثّوريّ و الأوزاعيّ و مالك بن أنس،له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الصّغير و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5:121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في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ينزح عشر دلاء</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أبي يوسف روايتان،في 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يحفر بجنبها حفيرة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السّابقة</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عبد اللّه بن الحسين بن دلال الكرخيّ شيخ الحنفيّة بالعراق،روى عن إسماعيل القاضي و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ه،لسان الميزان </w:t>
      </w:r>
      <w:r>
        <w:rPr>
          <w:rFonts w:eastAsia="IRNazanin" w:cs="IRNazanin"/>
          <w:b w:val="false"/>
          <w:bCs w:val="false"/>
          <w:i w:val="false"/>
          <w:iCs w:val="false"/>
          <w:color w:val="333333"/>
          <w:sz w:val="20"/>
          <w:szCs w:val="20"/>
        </w:rPr>
        <w:t>7:138</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لم نعثر على قول للشّافعيّ في خصوص البئر،بل المنقول عنه انّ الماء ينجس بالملاقاة إذا كان أقلّ من قلّتين، و إذا كان أكثر لا ينجس إلاّ بالتّغيّر،سواء في ذلك البئر و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بن غياث المريسيّ الفقيه المتكلّم،تفقّه على أبي يوسف فبرع و أتقن علم الكلام فكان داعية للقول بخلق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انّه كان مرجئا،و إليه تنسب طائفة المريسيّة المرجئة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حمّاد بن سلمة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أواخر سنة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قيل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لم يشيّعه أحد من العلماء بعد أن حكموا بكفره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الطوسيّ في المبسوط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قول عليّ بن بابويه في المختلف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،و محمّد بن عليّ بن بابويه في الفقيه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النسخ،و 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،و 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التّعبير بالصّاع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في الهداية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xml:space="preserve">،و شرح فتح القدير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الصّاع عند أبي حنيفة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ثمانية أرطال</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زفر بن الهذيل بن قيس من بني العنبر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يكنّى أبا الهذيل الفقيه الحنفيّ،و صاحب أبي حنيفة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بالبصرة سنة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 لابن النّديم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المراد بهما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و أبو يوسف</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النّزح</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النّجاسة</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متعلّق</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للفصل،و الظّاهر ما أثبتناه</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الشّيخ في المبسوط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،و سلاّر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النّسخ،و الأنسب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السّابقة</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متساوية</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تكثّرت</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نزحات</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لزيادة</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ترد</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السّابقة</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مواد و جهات</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بطهارة المستعمل،و في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بالنّزح لارتماس الجنب</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محمّد بن القاسم بن الفضيل بن يسار النّهديّ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ثقة،من أصحاب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رباط البجليّ الكوفيّ،عدّه الشّيخ من أصحاب الإمامين الباقر و الصّادق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الكشّي،هو و إخوته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و عليّ و يونس،من أصحاب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رباط</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قدامة بن أبي يزيد الحمار،وقع في طريق محمّد بن يعقوب في الكافي،و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في التّهذيب و الاستبصار،في باب البئر تكون إلى جنب البالوعة،إلاّ انّ 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قدامة بن أبي زيد الحمّار،و 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الجمّال بدل الحمّار،قال السّيّد الخوئي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في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نعثر على ترجمته في الكتب الرّجالية الّتي بأيدينا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قدامة بن أبي زيد الجماز،و في الجميع بتفاوت يسير</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أبو عبد اللّه محمّد بن سليمان بن عبد اللّه الدّيلميّ،ضعيف جدّا،له كتاب،قاله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عدّه الشّيخ في رجاله من أصحاب الإمامين،الكاظم و الرّضا 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توصيفه بالبصريّ و رميه بالغلوّ،و قد وصفه بعض بالنّصريّ و لكنّه رجل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العلاّمة المامقانيّ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الوادي</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سبعة</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النّسخ،و 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يلصقها،يلزقها</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يثبت</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يلصقها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الجميع بتفاوت يسير</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ينصبّ</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،فتح الوهّاب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بداية المجتهد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5:202</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11:170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،مقدّمات ابن رشد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،رحمة الأمة بهامش ميزان الكبرى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يكون المراد منه أبو عبيد القاسم بن سلام،و قد مرّت ترجمته في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كان المراد منه أبو عبيدة،فهو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معمّر بن المثنّى اللّغويّ البصريّ،مولى بني تيم،و هو أوّل من صنّف غريب الحديث،أخذ عنه أبو عبيد و أبو حاتم و المازنيّ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الوعاة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عن أبي عبيد</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قارصا</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3:179</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11:169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3:180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24:14</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3:179</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3:179</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3:179</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3:179</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 xml:space="preserve">، المحلّى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عصمة نوح بن أبي مريم المروزيّ،قاضي مرو،لقّب بالجامع،لأنّه أخذ الفقه عن أبي حنيفة و ابن أبي ليلى،و أخذ الحديث عن حجّاج بن ارطاة،و المغازي عن ابن إسحاق،و التّفسير عن مقاتل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8:484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3:179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نفس المصادر بإضافة إرشاد السّاري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زياد اللؤلؤيّ،أبو عليّ الكوفي و القاضي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صاحب أبي حنيفة و تفقّه عليه،و روى عن ابن جريح،مات سنة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1:491</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،المحلّي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،الجامع الصغير للشّيباني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3:179</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3:179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الأنسب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الأداميّة</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5:201</w:t>
      </w:r>
      <w:r>
        <w:rPr>
          <w:rFonts w:ascii="IRNazanin" w:hAnsi="IRNazanin" w:eastAsia="IRNazanin"/>
          <w:b w:val="false"/>
          <w:b w:val="false"/>
          <w:bCs w:val="false"/>
          <w:i w:val="false"/>
          <w:i w:val="false"/>
          <w:iCs w:val="false"/>
          <w:color w:val="333333"/>
          <w:sz w:val="20"/>
          <w:sz w:val="20"/>
          <w:szCs w:val="20"/>
          <w:rtl w:val="true"/>
        </w:rPr>
        <w:t xml:space="preserve">،أحكام القرآن لابن العربي </w:t>
      </w:r>
      <w:r>
        <w:rPr>
          <w:rFonts w:eastAsia="IRNazanin" w:cs="IRNazanin"/>
          <w:b w:val="false"/>
          <w:bCs w:val="false"/>
          <w:i w:val="false"/>
          <w:iCs w:val="false"/>
          <w:color w:val="333333"/>
          <w:sz w:val="20"/>
          <w:szCs w:val="20"/>
        </w:rPr>
        <w:t>3:1415</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24:91</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بن يونس بن عبد 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عليّ بن يقطين بن موسى مولى بني أسد،كان وجها في أصحابنا متقدّما عظيم المنزلة،ولد في أيّام هشام بن عبد الملك و رأى جعفر بن محمّد بين الصّفا و المروة،و لم يرو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أبي الحسن موسى و الرّضا،و كان الرّضا يشير إليه في العلم و الفتيا،و كان ممّن بذل له على الوقف مال جليل فامتنع و ثبت على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الشّيخ في رجاله من أصحاب الكاظم و الرّضا 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ضعّفه القمّيّون،و لكنّه عندي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محمّد بن الحسن بن أحمد بن الوليد شيخ القمّيّين و فقيههم و متقدمهم و وجههم،عارف بالرّجال موثوق به،عدّه الشّيخ في رجاله ممّن لم يرو عنهم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بصير بالفقه ثقة،يروي عن الصّفار و سعد، و روى عنه التّلعكبريّ و ذكر انّه لم يلقه،و لكن وردت عليه إجازاته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3:100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محمّد بن عيسى بن عبيد بن يقطين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جعفر مولى بني أسد بن خزيمة،الملقّب تارة بالعبيديّ،و اخرى باليقطينيّ،و ثالثة بالبغداديّ،و رابعة باليونسيّ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 في وجه نسبته إلى الأخير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لكثرة روايته عن يونس،أو لأن يونس أحد أجداده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الشّيخ في رجاله من أصحاب الرّضا و الهاديّ و العسكريّ،و ذكره فيمن لم يرو عنهم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اختلف في تضعيفه و توثيقه،فالشّيخ ضعّفه في رجاله و في الفهرست،و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كان يذهب مذهب الغلاة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وثّقه النّجاشيّ،و قوّى الأردبيليّ و المامقانيّ قبول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عليّ بن أحمد بن العبّاس بن محمّد بن عبد اللّه بن إبراهيم بن محمّد بن عبد اللّه النّجاشيّ،صاحب كتاب الرّجال المعروف الدّائر الّذي أتكل عليه كافّة علماء الإماميّة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جدّه عبد اللّه النّجاشيّ صاحب المكاتبة المعروفة إلى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ولايته الأهواز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يروي عنه جماعة،منهم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 و الغضائريّ،و التّلعكبريّ،و غيرهم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في صفر سنة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توفّي في نواحي سرّ من رأى سنة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الكنى و الألقاب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3:180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مسعود بن غافل بن حبيب بن شخص أو شمخ الهذيل الهذليّ حليف بني زهرة،من السبّاقين إلى الإسلام،شهد بدرا و المشاهد بعدها،و هاجر الهجرتين،لازم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صاحب نعليه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النّبيّ،و عن عمرو بن سعد بن معاذ،و روى عنه ابناه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و أبو عبيدة،و امرأته زينب،و أبو رافع و جابر و أنس و مسروق و غيرهم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الصّغير للشّيباني و شرحه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،و 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صفحة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انّه أفتى بخلافه و قال بوجوب التّيمّم</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زيد مولى عمرو بن حريث،لا يعرف أبوه و لا بلده،روى عن ابن مسعود حديث وضوء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بالنّبيذ،و ذكره ابن حبّان في الضّعفاء و المتروكين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4:526</w:t>
      </w:r>
      <w:r>
        <w:rPr>
          <w:rFonts w:ascii="IRNazanin" w:hAnsi="IRNazanin" w:eastAsia="IRNazanin"/>
          <w:b w:val="false"/>
          <w:b w:val="false"/>
          <w:bCs w:val="false"/>
          <w:i w:val="false"/>
          <w:i w:val="false"/>
          <w:iCs w:val="false"/>
          <w:color w:val="333333"/>
          <w:sz w:val="20"/>
          <w:sz w:val="20"/>
          <w:szCs w:val="20"/>
          <w:rtl w:val="true"/>
        </w:rPr>
        <w:t xml:space="preserve">،كتاب المجروحين </w:t>
      </w:r>
      <w:r>
        <w:rPr>
          <w:rFonts w:eastAsia="IRNazanin" w:cs="IRNazanin"/>
          <w:b w:val="false"/>
          <w:bCs w:val="false"/>
          <w:i w:val="false"/>
          <w:iCs w:val="false"/>
          <w:color w:val="333333"/>
          <w:sz w:val="20"/>
          <w:szCs w:val="20"/>
        </w:rPr>
        <w:t>3:158</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خثر و رسب من الزّيت و 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حكاية كلام شبه الانتهار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13:508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ثنتين</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ثنتين</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ثنتين،الاستبصار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عقبة بن عبد اللّه الأصمّ الرّفاعيّ العبديّ البصريّ،روى عن أبيه و عطاء بن أبي رباح و حميد بن هلال و قتادة و الحسن و محمّد بن سيرين و عنه معقل بن مالك الباهليّ و أبو قبيصة و شاذ بن فيّاض و ابن المبارك، مات سنة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7:244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،رحمة الأمّة بهامش ميزان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الجواز،و قال به السّيّد المرتضى،انظر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،و ثانيهما،المنع، و قال به 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الشّيخ في المبسوط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 سلاّر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،و ابن البرّاج في المهذّب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،و أبو الصّلاح الحلبيّ في 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،مقدّمات ابن رشد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،رحمة الأمة بهامش ميزان الكبرى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24:98</w:t>
      </w:r>
      <w:r>
        <w:rPr>
          <w:rFonts w:ascii="IRNazanin" w:hAnsi="IRNazanin" w:eastAsia="IRNazanin"/>
          <w:b w:val="false"/>
          <w:b w:val="false"/>
          <w:bCs w:val="false"/>
          <w:i w:val="false"/>
          <w:i w:val="false"/>
          <w:iCs w:val="false"/>
          <w:color w:val="333333"/>
          <w:sz w:val="20"/>
          <w:sz w:val="20"/>
          <w:szCs w:val="20"/>
          <w:rtl w:val="true"/>
        </w:rPr>
        <w:t xml:space="preserve">،رحمة الأمة بهامش ميزان الكبرى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،رحمة الأمة بهامش ميزان الكبرى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24:98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أبو الحسين مسلم بن الحجّاج بن مسلم بن ورد بن كرشان القشيريّ النّيسابوريّ صاحب الصّحيح،رحل إلى الحجاز و العراق و الشّام،سمع يحيى بن يحيى و أحمد بن حنبل و إسحاق بن راهويه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عنه التّرمذي حديثا واحدا،و إبراهيم بن أبي طالب و ابن خزيمة و السّرّاج و غيرهم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كتب أهمّها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2:588</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 لابن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محمّد بن إسماعيل بن إبراهيم بن المغيرة الجعفيّ مولاهم،صاحب الصّحيح و التّصانيف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في شوّال سنة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ه،روى عن أحمد و إبراهيم المنذر و ابن المديني،و روى عنه مسلم و التّرمذي و أبو حاتم و المحاملي و غيرهم،له كتب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الصّحيح،و التّاريخ الكبير مات سنة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2:555</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،الفهرست لابن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4:188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بنت أبي بكر بن أبي قحافة،زوجة الزّبير بن العوّام،روت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عنها ابناها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اللّه،و عروة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ماتت بمكّة سنة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5:392</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4:229</w:t>
      </w:r>
      <w:r>
        <w:rPr>
          <w:rFonts w:ascii="IRNazanin" w:hAnsi="IRNazanin" w:eastAsia="IRNazanin"/>
          <w:b w:val="false"/>
          <w:b w:val="false"/>
          <w:bCs w:val="false"/>
          <w:i w:val="false"/>
          <w:i w:val="false"/>
          <w:iCs w:val="false"/>
          <w:color w:val="333333"/>
          <w:sz w:val="20"/>
          <w:sz w:val="20"/>
          <w:szCs w:val="20"/>
          <w:rtl w:val="true"/>
        </w:rPr>
        <w:t xml:space="preserve">،الاستيعاب بهامش الإصابة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جنّبيه ثمَّ أقرضيه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حتّيه،فاقرصيه،فاغسليه</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تحتّه،ثمَّ تقرصه بالماء،ثمَّ تنضحه</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أبي العلاء العامريّ الزّندجيّ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 من الثّياب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الخفّاف أبو علي الأعور مولى بني 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 عامر،روى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الشّيخ في رجاله من أصحاب الباقر تارة،و اخرى من أصحاب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في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 يعدّ في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أمروه</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بالسّؤال</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كالتنبّه</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أقوى لهما</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حيث انّه لم يشترط النّيّة في الطهارة الحكميّة،انظر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خولة بنت يسار،روى عنها عليّ بن ثابت،لم تترجم بأكثر من انّها روت هذا الحديث،و قد احتمل كونها خولة بنت اليمان،أخت حذيفة بن اليمان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و الاستيعاب بهامشها </w:t>
      </w:r>
      <w:r>
        <w:rPr>
          <w:rFonts w:eastAsia="IRNazanin" w:cs="IRNazanin"/>
          <w:b w:val="false"/>
          <w:bCs w:val="false"/>
          <w:i w:val="false"/>
          <w:iCs w:val="false"/>
          <w:color w:val="333333"/>
          <w:sz w:val="20"/>
          <w:szCs w:val="20"/>
        </w:rPr>
        <w:t>4:293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5:447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2:364</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2:408</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اغسليه و صلّي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 في المتن من حديث أسماء الّذي تقدّم في صفحة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حكم بن حكيم الصّيرفيّ الأسديّ،أبو خلاد،كوفيّ ثقة،روى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الشّيخ في رجاله من أصحاب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غياث بن إبراهيم الاسيدي،بصريّ سكن الكوفة،روى عن أبي عبد اللّه و أبي الحسن،وثّقه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تارة من أصحاب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قائلا بأنه بتريّ،و اخرى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أصحاب الصّادق،و ثالثة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 فيمن لم يرو عنهم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العلاّمة في الخلاصة بأنّه بتريّ و نقل المامقانيّ الأقوال فيه ثقة و ضعفا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البتريّة 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 الحسن بن صالح بن حيّ و أصحاب كثير النّوّاء،و إنّما سمّوا بذلك،لأنّ كثيرا كان يلقّب بالأبتر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2:366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المقالات و الفرق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27295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بإحدى</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أبو بكر محمّد بن مسلم بن عبيد اللّه بن شهاب بن عبد اللّه بن الحارث القرشيّ الزّهريّ المدنيّ، أحد الفقهاء السّبعة و أحد الأعلام المشهورين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ابن عمر،و سهل بن سعد،و سعيد بن المسيّب، و أبي أمامة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عنه عطاء بن أبي رباح،و الزّبيديّ،و صالح بن كيسان،و الأوزاعيّ و اللّيث،و مالك و غيرهم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4:177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عمران،إبراهيم بن يزيد بن قيس بن الأسود الكوفي النخعي روى عن علقمة و مسروق و الأسود و روى عنه حماد بن أبي سليمان و سماك بن حرب،مات سنة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بن أبي مسلم الهذليّ مولى امرأة من هذيل و أصله من كابل،فقيه أهل الشّام،روى عن أبي أمامة،و واثلة بن الأسقع و أنس بن مالك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تدليسا عن أبيّ بن كعب و عبادة بن الصّامت و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عنه الأوزاعيّ و حجّاج بن أرطاة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3:815</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 لابن النّديم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خالد الكلبيّ البغداديّ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ثور،و يكنّى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عبد اللّه،سمع من سفيان بن عيينة،كان على مذهب أبي حنيفة حتّى قدم الشّافعيّ العراق فصحبه و اتّبعه و تفقّه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2:512</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،طبقات الشّافعيّة للسبكي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11:170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أبو موسى عيسى بن أبان بن صدقة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فقهاء العراق،صحب محمّد بن الحسن الشّيباني و تفقّه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تولّى القضاء بعسكر المهدي ثمَّ بالبصرة،و مات فيها سنة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11:157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التّفسير الكبير </w:t>
      </w:r>
      <w:r>
        <w:rPr>
          <w:rFonts w:eastAsia="IRNazanin" w:cs="IRNazanin"/>
          <w:b w:val="false"/>
          <w:bCs w:val="false"/>
          <w:i w:val="false"/>
          <w:iCs w:val="false"/>
          <w:color w:val="333333"/>
          <w:sz w:val="20"/>
          <w:szCs w:val="20"/>
        </w:rPr>
        <w:t>11:170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11:170</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اللّيث بن سعد،أبو الحارث الفهميّ،شيخ الدّيار المصريّة،أصله فارسيّ أصبهانيّ،روى عن الزّهريّ و عطاء و نافع،و روى عنه ابن شعيب و ابن المبارك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7:179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نفس المصادر</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نفس المصدر</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11:170</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بلال بن رباح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عمرو أو أبو عبد الكريم،مولى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مؤذّن للنّبيّ،شهد بدرا و المشاهد كلّها،و كان من السّابقين إلى الإسلام،لم يؤذّن بعد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لأحد إلاّ مرّة واحدة بطلب من الصّدّيقة الطّاهرة فاطمة 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لم يتمّه،كما في الفقيه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توفّى بدمشق سنة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دفن بباب الصّغير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بهامش الإصابة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4:308</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عبد اللّه بن عمرو بن حزام الأنصاريّ المدنيّ العربيّ الخزرجيّ،صاحب رسول اللّه،شهد بدرا و ثماني عشرة غزوة مع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من السّابقين الّذين رجعوا إلى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الشّيخ من أصحاب النّبيّ و أمير المؤمنين و الحسن و الحسين و السّجّاد و الباقر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1:256</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3:1235</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2097</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27504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بنت معوذ بن عفراء الأنصاريّة،شهدت بيعة الشّجرة و الرّضوان،روت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عنها سليمان بن يسار و أبو سلمة بن عبد الرّحمن و خالد بن ذكوان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5:451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26836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لا يؤكل،و الصّحيح ما أثبتناه،لأنّهما يقولان بنجاسة بول ما يؤكل لحمه نجاسة خفيفة</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نفس المصادر،مع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الطّوسيّ في المبسوط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عليّ بن بابويه،الفقيه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بأنّه</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مرّ الحديثان في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محمّد بن يزيد ابن ماجه الربعيّ القزوينيّ صاحب كتاب السّنن و التّفسير و التّأريخ،سمع من ابن أبي شيبة و يزيد بن عبد اللّه اليمانيّ،و روى عنه خلق،منهم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الطّيّب البغداديّ،و إسحاق بن محمّد القزوينيّ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2:636</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فانخلست،و ما أثبتناه من البخاري</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لفظيّ في الجميع</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2:433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26422</w:t>
      </w:r>
      <w:r>
        <w:rPr>
          <w:rFonts w:ascii="IRNazanin" w:hAnsi="IRNazanin" w:eastAsia="IRNazanin"/>
          <w:b w:val="false"/>
          <w:b w:val="false"/>
          <w:bCs w:val="false"/>
          <w:i w:val="false"/>
          <w:i w:val="false"/>
          <w:iCs w:val="false"/>
          <w:color w:val="333333"/>
          <w:sz w:val="20"/>
          <w:sz w:val="20"/>
          <w:szCs w:val="20"/>
          <w:rtl w:val="true"/>
        </w:rPr>
        <w:t>،و قريب منه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26410</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روايتها</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أحمد بن هلال العبرتائي،يعرف منها و ينكر،و قد روي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ذموم من سيّدنا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عدّه الشّيخ من أصحاب الإمامين الهادي و العسكريّ 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متّهما في دينه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الكريم بن عمرو بن صالح الخثعميّ الملقّب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أبي عبد اللّه و أبي الحسن ثمَّ وقف على أبي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وثّقه النّجاشي و عدّه الشّيخ من أصحاب الصّادق و 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واقفيّ،و أطلق في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توقّف فيه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ميسّر بن عبد العزيز النّخعيّ بياع الزّطّيّ،كوفيّ ثقة،روى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الوهدة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الأرض المنخفضة كالوهد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جامع البزنطيّ</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أبو محمّد عبد اللّه بن يحيى الكاهليّ،روى عن أبي عبد اللّه و أبي الحسن،و كان وجها عنده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الشّيخ من أصحاب 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المغتسل</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1:167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الاولى</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انّه قال بعدم مطهّريّة الماء المستعمل في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كالشّيخين و ابن بابويه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الّتي بأيدينا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نفي انفعاله لعدمه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 أثبتناه مطابق لما نقل عنه صاحب الحدائق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يجزئه،و هو الأنسب</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يجزئه،و هو الأنسب</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يجزئه،و هو الأنسب</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جميع ذلك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اتّصال</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غاص</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الارتماس</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النّسخ،و لعلّ الأنسب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برفع</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صالح بن خيران،شيخ الشّافعيّة ببغداد بعد ابن سريج،و أحد أركان المذهب، عرض عليه القضاء فامتنع،تفقّه به جماعة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للسبكي </w:t>
      </w:r>
      <w:r>
        <w:rPr>
          <w:rFonts w:eastAsia="IRNazanin" w:cs="IRNazanin"/>
          <w:b w:val="false"/>
          <w:bCs w:val="false"/>
          <w:i w:val="false"/>
          <w:iCs w:val="false"/>
          <w:color w:val="333333"/>
          <w:sz w:val="20"/>
          <w:szCs w:val="20"/>
        </w:rPr>
        <w:t>3:213</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يزيل به النّجاسة</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أبو القاسم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بن سعيد بن بشار الفقيه البغداديّ الأنماطيّ،صاحب المزني،نشر مذهب الشّافعيّ ببغداد،و تفقّه عليه أبو العبّاس بن سريج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الشّافعيّة للسّبكي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عيص بن القاسم بن ثابت بن عبيد بن مهران البجليّ الكوفي،يكنّى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القاسم،ثقة،عين،روى عن أبي عبد اللّه،و أبي الحسن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الرّواية لم يذكرها الشّيخ إلاّ في الخلاف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ذكرها المحقّق في المعتبر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الشّهيد في الذكرى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مقطوعة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xml:space="preserve">،فتح الوهّاب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،الطّوسيّ في المبسوط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محمّد بن عليّ بن نعمان بن أبي طريفة البجليّ مولاهم الأحول،كوفيّ صيرفيّ يلقّب مؤمن الطّاق و صاحب الطّاق،له مناظرات مع أبي حنيفة،عدّه الشّيخ في رجاله من أصحابه الصّادق و الكاظم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النّعمان الأحول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كتب منها كتاب الاحتجاج في إمامة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مشترك بين محمّد بن النّعمان الأحول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مرّت ترجمته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بين محمّد بن النّعمان الحضرميّ و محمّد بن النّعمان الأزديّ الكوفيّ،عدّهما الشّيخ في رجاله من أصحاب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عبد الكريم بن عتبة الهاشميّ القرشيّ اللّهبيّ ثقة من أصحاب الإمامين الصّادق و الكاظم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الفضيل بن يسار النّهديّ،أصله 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نزيل البصرة،ثقة،و ممّن أجمعت العصابة على تصديقه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يكنّى أبا ميسور،من أصحاب الإمامين الباقر و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مات في أيّامه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حمزة بن أحمد،عدّه الشّيخ في رجاله من أصحاب 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ظاهره كونه إماميّا،إلاّ انّ حاله 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محبوب الأشعريّ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جعفر،شيخ القمّيّين في زمانه،ثقة،عين،فقيه،صحيح المذهب،عدّه الشّيخ في رجاله في باب من لم يرو عن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في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تصانيف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سهيل بن زياد أبو يحيى الواسطيّ،لقي أبا محمّد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،امّة بنت أبي جعفر الأحول مؤمن الطّاق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الشّيخ في رجاله في باب من لم يرو عنهم،و قال في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اختلف في تضعيفه و توثيقه،و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يكن بكل الثبت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كالسّيّد في الجمل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،و ابن البرّاج في المهذّب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،و سلاّر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،و المحقّق في المعتبر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2:589</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العاص بن وائل بن هاشم بن سعيد بن سهم،يكنّى أبا عبد اللّه،و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محمّد،و امّة النّابغة بنت حرملة،و هو الّذي أرسلته قريش إلى النّجاشي لاسترداد جعفر بن أبي طالب و من معه،روى عن النّبيّ و عمر بن الخطّاب،و روى عنه ابنه عبد اللّه و أبو عثمان النّهدي و قبيصة و غيرهم،مات سنة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،بخصوص قول عمرو بن العاص،فإنّنا قد استفدناه منه،و انظر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طلق</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جميع ذلك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المحلّى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،رحمة الأمة بهامش ميزان الكبرى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المحلّى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2:580</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2:580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عبدة بن أبي لبابة،و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القاسم الأسديّ ثمَّ الغاضري مولاهم الكوفيّ التاجر،أحد الأئمّة،نزل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ابن عمر و زر بن حبيش و أبي وائل و سويد بن غفلة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روى عنه عبد الرّحمن بن يزيد بن جابر،و الأوزاعي و شعبة و سفيان بن عيينة و آخرون،مات في حدود سنة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5:229</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مروان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الملك بن عبد العزيز بن الماجشون صاحب مالك و تفقّه به و بأبيه و ابن أبي حازم و غيرهم، مات سنة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هشام محمّد بن مسلمة بن محمّد بن هشام بن إسماعيل بن هشام المخزوميّ المدينيّ من أصحاب مالك، و تفقّه عنده،كان أحد فقهاء المدينة و أفقههم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،رحمة الأمة بهامش ميزان الكبرى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2:581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يحيى بن سعيد بن قيس بن عمرو،أبو سعيد الأنصاريّ الفقيه،ولّي قضاء المنصور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أنس و أبي أمامة و سعيد بن المسيّب،و روى عنه شعبة و مالك و غيرهم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عثمان ربيعة بن أبي عبد الرّحمن فرّوخ التّيميّ المدنيّ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ربيعة الرأي،سمع أنسا و ابن المسيّب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أخذ عنه مالك و الأوزاعي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رحمة الأمة بهامش ميزان الكبرى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،مقدّمات ابن رشد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،رحمة الأمة بهامش ميزان الكبرى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كالأوزاعي و داود و الزّهريّ،انظر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أبو ثعلبة الخشنيّ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بخاء مضمومة ثمَّ شين مفتوحة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منسوب إلى خشين،بطن من قضاعة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جرهم، 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جرثوم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ممّن بايع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تحت الشّجرة،و شهد فتح خيبر،مات أيّام معاوية سنة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من صحيح مسلم</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7:114</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1930</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3207</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 سليمان بن الأشعث بن إسحاق بن بشير بن شدّاد بن عمرو الأزدي السّجستانيّ صاحب 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عن أبي عمرو الضّرير و مسلم بن إبراهيم و شيخه أحمد بن حنبل و خلق كثير،و حدّث عنه التّرمذي و النّسائي و ابنه أبو بكر بن أبي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بالبصرة سنة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2:591</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بن ميسرة بن شريح الكنديّ القاضي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الشّيخ في رجاله من أصحاب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إشكال في توثيق الرّجل،إنّما الخلاف في اتّحاده مع معاوية بن ميسرة الّذي يأتي بعده،فقال العلاّمة المامقاني باتّحادهما،حيث انّه ينسب تارة إلى أبيه،و تارة إلى جدّه شريح و قد استظهر الأردبيليّ و المحدّث النّوري تعدّدهما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الأمر سهل بعد التّوثيق واحدا كان أو متعدّدا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2:238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3:678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عذافر بن عيسى الخزاعي الصيرفيّ،كوفيّ،عدّه الشيخ بهذا العنوان في رجاله من أصحاب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1:537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الأسئار،ذيل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،و من طريق الخاصّة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يوجب التّنجيس</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ينوبه</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الرّواية الّتي مذيّلة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 ما حملت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تقدّم نفس الصّفحة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هذه الرواية،فإنّها مذيّلة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كان الماء قدر قلّتين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 في الجميع</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الروايات في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الروايات في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الروايات في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طهور</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نعيم العبديّ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الصّباح الكنانيّ،قال له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ميزان لا عين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لثقته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أصحاب الإمامين الباقر و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فقهاء أصحاب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المأخوذ منهم الحلال و الحرام و الفتيا، مات سنة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جميل بن درّاج بن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عليّ النّخعيّ،و أبوه درّاج يكنّى بأبي الصّبيح،ثقة من أصحاب الإمامين أبي عبد اللّه و أبي الحسن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أخذ عن زرارة،و قد أجمعت العصابة على تصحيح ما يصحّ عنه، مات في أيام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ماء</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للكرامة</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5:167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7:123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2:1027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3:1537</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7:202</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إسماعيل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إسماعيل بن أبي حبيبة الأشهلي،مولى بني عبد الأشهل من الأنصار من أهل المدينة،يروي عن داود بن الحصين،و عمر بن سعيد بن سريح،و روى عنه أبو عامر العقدي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قيل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هو ضعيف منكر الحديث كان يقلب الأسانيد و يرفع المراسيل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الصّغير للبخاري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،المجروحين لابن حبّان </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 xml:space="preserve">،الضّعفاء و المتروكين لابن الجوزي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أبو إسحاق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محمّد بن أبي يحيى الأسلميّ المدنيّ،و اسم أبي يحيى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سمعان روى عن صفوان بن سليم و صالح،و روى عنه محمّد بن إدريس الشّافعي،و داود بن عبد اللّه الجعفريّ،مات سنة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كذّاب متروك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الصغير للبخاري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2:125</w:t>
      </w:r>
      <w:r>
        <w:rPr>
          <w:rFonts w:ascii="IRNazanin" w:hAnsi="IRNazanin" w:eastAsia="IRNazanin"/>
          <w:b w:val="false"/>
          <w:b w:val="false"/>
          <w:bCs w:val="false"/>
          <w:i w:val="false"/>
          <w:i w:val="false"/>
          <w:iCs w:val="false"/>
          <w:color w:val="333333"/>
          <w:sz w:val="20"/>
          <w:sz w:val="20"/>
          <w:szCs w:val="20"/>
          <w:rtl w:val="true"/>
        </w:rPr>
        <w:t xml:space="preserve">،المجروحين لابن حبان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xml:space="preserve">،الضّعفاء و المتروكين لابن الجوزي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بن زياد الوشّاء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بجليّ كوفيّ يكنّى بأبي محمّد،و هو ابن بنت إلياس الصّيرفيّ من أصحاب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من وجوه الطّائفة،روى عن جدّه الياس،قاله النّجاشي،عدّه الشّيخ في رجاله من أصحاب الإمامين الرّضا و الهاديّ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المجبّرة،هم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 نفوا الفعل حقيقة عن العبد و أسندوه إلى الربّ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المجسّمة،هم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 ذهبوا إلى أنّ اللّه تعالى جسم و في جهة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،كشف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،أصول الدّين للبزدوي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توضّأ</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 بإضافة منه</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الذّئب،و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كالدّب و الذّئب</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سلاّر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،و ابن حمزة في الوسيلة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 بن وهب بن عبد اللّه بن زمعة بن الأسود بن عبد المطّلب بن أسد بن عبد العزّى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البختريّ،روى عن أبي عبد اللّه،و كان عاميّ المذهب ضعيفا كذّابا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2:191</w:t>
      </w:r>
      <w:r>
        <w:rPr>
          <w:rFonts w:ascii="IRNazanin" w:hAnsi="IRNazanin" w:eastAsia="IRNazanin"/>
          <w:b w:val="false"/>
          <w:b w:val="false"/>
          <w:bCs w:val="false"/>
          <w:i w:val="false"/>
          <w:i w:val="false"/>
          <w:iCs w:val="false"/>
          <w:color w:val="333333"/>
          <w:sz w:val="20"/>
          <w:sz w:val="20"/>
          <w:szCs w:val="20"/>
          <w:rtl w:val="true"/>
        </w:rPr>
        <w:t xml:space="preserve">،شرح النّووي لصحيح مسلم بهامش إرشاد السّاري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حكاية ابن المنذر عن إسحاق،لكن نقل قول إسحاق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13:171</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2:193</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شرح النّووي لصحيح مسلم بهامش إرشاد السّاري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ميمونة بنت الحارث بن حزن الهلاليّة العامريّة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زوجة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خالة عبد اللّه 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اسمها برّة فسمّاها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ميمونة،تزوّجها سنة سبع في عمرة القضاء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روت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عنها عبد اللّه بن عبّاس و عبد اللّه بن شدّاد،و مولاها عطاء بن يسار و سليمان بن يسار و يزيد بن الأصمّ، ماتت بسرف سنة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قيل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عام الحرّة،و قيل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و الاستيعاب بهامشها </w:t>
      </w:r>
      <w:r>
        <w:rPr>
          <w:rFonts w:eastAsia="IRNazanin" w:cs="IRNazanin"/>
          <w:b w:val="false"/>
          <w:bCs w:val="false"/>
          <w:i w:val="false"/>
          <w:iCs w:val="false"/>
          <w:color w:val="333333"/>
          <w:sz w:val="20"/>
          <w:szCs w:val="20"/>
        </w:rPr>
        <w:t>4:411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5:550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الرّوايات وردت بألفاظ مختلفة تارة عن ميمونة،و اخرى عن بعض أزواج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بن عمرو بن مجدع بن حذيم بن الحارث بن ثعلبة بن مليل بن كنانة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عمرو الغفاريّ،أخو رافع بن 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 إلى غفار،لأنّ ثعلبة أخو غفار صحب النّبيّ و روى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 أبو الشّعثاء و أبو حاجب و ابن سيرين و غيرهم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بخراسان بمرو بعد أن ولاّه زياد عليها سنة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3:119</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تضعيف البخاري لحديث الحكم بن عمرو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،شرح النّووي لصحيح مسلم بهامش إرشاد السّاري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سلمان الفارسيّ،و يعرف سلمان الخير،مولى رسول اللّه،و أصله من فارس من رام هرمز، منزلته عظيمة،و هو أوّل الأركان الأربعة،و من السّبعة الّذين بهم الرّزق و كفى في حقّه قول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سلمان منّا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من حواريّ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النّبيّ،و روى عنه ابن عباس و أنس و عقبة بن عامر و غيرهم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عاش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سنة،و قيل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9:375</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26541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الحديث في صحيح مسلم نعم،رواه البخاري و أبو داود،انظر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4:158</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النّسخ،و الأنسب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أحمد بن الحسن بن جنيدب المشهور بالتّرمذيّ الكبير،كان من أصحاب أحمد بن حنبل،روى عن يعلى بن عبيد و أبي النّضر و سعيد بن أبي مريم و روى عنه البخاري و ابن خزيمة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غير التّرمذي صاحب الجامع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بقية بن الوليد بن صائد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يحمد أو أبو محمّد الحميري الكلاعي الحمّصي روى عن بحير بن سعد و محمّد بن زياد الألهاني و الزّبيديّ،و روى عنه ابن جريح و الأوزاعيّ و شعبة و ابن راهويه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طعن أحمد بن الحسن التّرمذي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،المجروحين لابن حبّان </w:t>
      </w:r>
      <w:r>
        <w:rPr>
          <w:rFonts w:eastAsia="IRNazanin" w:cs="IRNazanin"/>
          <w:b w:val="false"/>
          <w:bCs w:val="false"/>
          <w:i w:val="false"/>
          <w:iCs w:val="false"/>
          <w:color w:val="333333"/>
          <w:sz w:val="20"/>
          <w:szCs w:val="20"/>
        </w:rPr>
        <w:t>1:200</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جعفر العطّار القمّي،شيخ أصحابنا في زمانه،عدّه الشّيخ ممّن لم يرو عنهم،و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الكليني،قمّيّ،كثير الرّواية،و هو مشترك بين عديد من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حفص بن غياث بن طلق بن معاوية بن مالك،أبو عمرو النّخعيّ الكوفيّ القاضي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الشّيخ تارة من أصحاب الإمامين الباقر و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اخرى فيمن لم يرو عنهم،و الرّجل عاميّ،ولّي القضاء لهارون ببغداد ثمَّ بالكوفة،مات سنة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مشترك بين عبد اللّه بن سنان الّذي مرّت ترجمته في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،و بين محمّد بن سنان الّذي مرّت ترجمته في ص </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البئر</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حرّم</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،مقدّمات ابن رشد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نجسا</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5:187</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،شرح النّووي لصحيح مسلم بهامش إرشاد السّاري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عنق بعير جزور</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بالإنطاع</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المؤمن</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لم نعثر على القائل به ممّن تقدّم على العلاّمة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العامّة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عليها من طرق 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نعم،في أحكام القرآن للجصّاص </w:t>
      </w:r>
      <w:r>
        <w:rPr>
          <w:rFonts w:eastAsia="IRNazanin" w:cs="IRNazanin"/>
          <w:b w:val="false"/>
          <w:bCs w:val="false"/>
          <w:i w:val="false"/>
          <w:iCs w:val="false"/>
          <w:color w:val="333333"/>
          <w:sz w:val="20"/>
          <w:szCs w:val="20"/>
        </w:rPr>
        <w:t>5:205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نقلها عن مسروق و النّخعيّ و ابن سيرين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طريق الخاصّة،انظر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الدّمق،بالتّحريك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الثّلج مع الرّيح يغشى الإنسان من كل أوب حتّى يكاد يقتل من يصيبه،لسان العرب </w:t>
      </w:r>
      <w:r>
        <w:rPr>
          <w:rFonts w:eastAsia="IRNazanin" w:cs="IRNazanin"/>
          <w:b w:val="false"/>
          <w:bCs w:val="false"/>
          <w:i w:val="false"/>
          <w:iCs w:val="false"/>
          <w:color w:val="333333"/>
          <w:sz w:val="20"/>
          <w:szCs w:val="20"/>
        </w:rPr>
        <w:t>10:104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يتيمّم أم يمسح</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الأراضي</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الميم،و فتح الزاي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إبراهيم إسماعيل بن يحيى بن إسماعيل بن عمرو بن إسحاق المزني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قبيلة من قبائل اليمن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 عن الشّافعي،له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المختصر في فروع الشّافعيّة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بمصر سنة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لابن النديم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الشّافعيّة للسّبكي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نواقض الوضوء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،فتح الوهّاب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،فتح الوهّاب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نسب إليه،و لكن لم نجد له تصريحا في السّرائر بهذا المطلب</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إسحاق المروزي،شيخ الشّافعيّة و صاحب المزني و أبي العبّاس بن سريج،انتهت إليه رئاسة مذهب الشّافعيّة ببغداد،مات بمصر سنة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لابن النديم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جوّز التّحرّي في الآخر</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ليست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جنون</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سالم الحنّاط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الفضل،كوفيّ مولى ثقة،روى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النّجاشي،و عنونه الشّيخ و العلاّمة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 الحنّاط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الأردبيلي عنونه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 الخيّاط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أنس بن مالك بن ضمضم بن 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حمزة الأنصاريّ الخزرجيّ،خادم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أحد المكثرين من الرّواية عنه،روى عنه الحسن و الزّهري و قتادة و غيرهم،مات سنة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بهامشها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عبارة بهذا اللّفظ بعد التّتبع،و الموجود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احتجم رسول اللّه فصلّى و لم يزد على غسل محاجمه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ثوبان بن يجدد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رسول اللّه من أهل السّراة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بين مكّة و اليمن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اشتراه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أعتقه فخدمه الى أن مات،روى عنه أبو أسماء الرحبي و جبير و ابن أبي الجعد و جماعة من التّابعين مات بحمص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بهامش الإصابة </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،و قريب منه في سنن الدّارقطني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بنت أبي حبيش قيس بن عبد المطّلب بن أسد بن عبد العزّى بن قصيّ القرشيّة الأسديّة،تعدّ من النّساء المهاجرات،زوجة عبد اللّه بن جحش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روت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سألت عنه في الاستحاضة،روى عنها عروة بن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الإصابة </w:t>
      </w:r>
      <w:r>
        <w:rPr>
          <w:rFonts w:eastAsia="IRNazanin" w:cs="IRNazanin"/>
          <w:b w:val="false"/>
          <w:bCs w:val="false"/>
          <w:i w:val="false"/>
          <w:iCs w:val="false"/>
          <w:color w:val="333333"/>
          <w:sz w:val="20"/>
          <w:szCs w:val="20"/>
        </w:rPr>
        <w:t>4:383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5:518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عروة بن الزّبير بن العوّام الأسديّ المدنيّ أبو عبد اللّه أو أبو محمّد،روى عن أبيه يسيرا،و عن زيد بن ثابت و حكيم بن حزام و عائشة و أبي هريرة،روى عنه بنوه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هشام،و محمّد،و عثمان،و يحيى،و عبد اللّه، و حفيده عمر بن عبد اللّه،و أبو الزّناد و غيرهم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أبو القاسم اللاّلكائي هبة اللّه بن الحسن بن منصور الطّبريّ الرّازيّ الفقيه الشّافعيّ محدّث بغداد،تفقّه على الشّيخ أبي حامد الاسفراييني،و سمع من جعفر بن عبد اللّه بن فناكي و أبي القاسم عيسى بن عليّ الوزير و أبي طاهر المخلص و غيرهم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 عنه أبو بكر الخطيب،و أبو بكر أحمد بن علي الطرثيثي،صنّف كتابا في السّنة،و كتابا في رجال الصّحيحين،و كتابا في السّنن،مات سنة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3:1083</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من طريق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معاذ بن جبل بن عمرو بن أوس بن جشم بن الخزرج الأنصاريّ الخزرجيّ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ممّن شهد العقبة، و بدر،و المشاهد كلّها مع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آخى النّبيّ بينه و بين عبد اللّه بن مسعود،روى عن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عنه عمر و ابنه عبد اللّه و أبو قتادة و أنس بن مالك و أبو أمامة و أبو ليلى و غيرهم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في طاعون عمواس سنة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4:376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عن عبد اللّه بن زيد،و الّذي روي عن معاذ،انّه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أكل أحدنا ممّا غيّرت النّار غسل يديه وفاه فكنا نعدّ هذا وضوءا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،رحمة الأمة بهامش ميزان الكبرى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يورد الشّيخ هذه الرّواية في كتابي الأخبار</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يزيد الفزاريّ الكوفيّ،عدّه الشّيخ في رجاله من أصحاب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1:518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3:217</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المقداد بن الأسود الكنديّ،و كان اسم أبيه عمرو البهرانيّ أو البهراويّ و كان الأسود بن عبد يغوث قد تبنّاه فنسب إليه،يكنّى أبا سعيد،من أصحاب رسول اللّه و أمير المؤمنين ثاني الأركان الأربعة،عظيم القدر، شريف المنزلة،هاجر الهجرتين و شهد بدرا و ما بعدها من المشاهد،وثاقته بين الخاصّة و العامّة أشهر من أن تحتاج إلى بيان،و كفى في فضله ما روي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أمرني بحبّ 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 المقداد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توفّي بالجرف،و هو على ثلاثة أميال من المدينة و حمل على الرّقاب حتّى دفن بالبقير سنة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3:454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4:404</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حنظلة العجليّ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الصّخر،عدّه الشّيخ تارة من أصحاب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و عليّ ابنا حنظلة، و اخرى من أصحاب الصّادق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بعنوان عمر بن حنظلا العجليّ البكريّ الكوفيّ، و استظهر العلاّمة المامقانيّ و وثاقته من رواية الكافي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لا يكذب علينا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 رواية التّهذيب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رسولي إليهم في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معلّى بن محمد البصري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الحسن،ضعّفه النّجاشي و العلاّمة بأنّه مضطرب الحديث و المذهب،و عدّه الشّيخ في رجاله فيمن لم يرو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يقاربه</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يعقوب بن يقطين،عدّه الشّيخ في رجاله من أصحاب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وثّقه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كذلك العلاّمة في رجاله في ترجمة يعقوب بن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3:109</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5:221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3:109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3:110</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قيس بن سليم بن حضار بن حرب بن عامر الأشعريّ،أبو موسى،روى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معاذ و ابن مسعود و عمّار و غيرهم،و روى عنه أولاده و إبراهيم و موسى و أبو بردة و أبو بكر،و امرأته أم عبد اللّه و غيرهم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بالكوفة سنة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قيل غير ذلك،الإصابة </w:t>
      </w:r>
      <w:r>
        <w:rPr>
          <w:rFonts w:eastAsia="IRNazanin" w:cs="IRNazanin"/>
          <w:b w:val="false"/>
          <w:bCs w:val="false"/>
          <w:i w:val="false"/>
          <w:iCs w:val="false"/>
          <w:color w:val="333333"/>
          <w:sz w:val="20"/>
          <w:szCs w:val="20"/>
        </w:rPr>
        <w:t>2:359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الإصابة </w:t>
      </w:r>
      <w:r>
        <w:rPr>
          <w:rFonts w:eastAsia="IRNazanin" w:cs="IRNazanin"/>
          <w:b w:val="false"/>
          <w:bCs w:val="false"/>
          <w:i w:val="false"/>
          <w:iCs w:val="false"/>
          <w:color w:val="333333"/>
          <w:sz w:val="20"/>
          <w:szCs w:val="20"/>
        </w:rPr>
        <w:t>2:371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مجلز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حق بن حميد البصريّ،أحد علماء البصرة،لقي كبار الصّحابة كابن عبّاس و روى عنه،كان عاملا على بيت المال و على ضرب السّكّة زمن عمر بن عبد العزيز،مات سنة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حميد بن قيس المكّي المقرئ الأعرج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صفوان مولى بني أسد بن عبد العزّى،روى عن مجاهد و محمّد بن إبراهيم التّيميّ و جماعة،و روى عنه مالك و الزّنجي و غيرهم،مات سنة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1:615</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3:227</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3:109</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5:221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أحكام القرآن لابن العربي </w:t>
      </w:r>
      <w:r>
        <w:rPr>
          <w:rFonts w:eastAsia="IRNazanin" w:cs="IRNazanin"/>
          <w:b w:val="false"/>
          <w:bCs w:val="false"/>
          <w:i w:val="false"/>
          <w:iCs w:val="false"/>
          <w:color w:val="333333"/>
          <w:sz w:val="20"/>
          <w:szCs w:val="20"/>
        </w:rPr>
        <w:t>2:559</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نصر بن الصّبّاغ عبد السّيّد بن محمّد بن عبد الواحد الفقيه البغداديّ الشّافعيّ مؤلّف كتاب الشّامل في الفقه،تولّى التّدريس بالمدرسة النّظاميّة ببغداد بعد أبي إسحاق،روى عن محمّد بن الحسين القطّان و أبي عليّ بن شاذان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مات سنة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2:337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كتابه أو من نسب إليه القول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نقل الشّوكاني هذا القول في نيل الأوطار </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 xml:space="preserve">،عن شرح النّوويّ لصحيح مسلم بهامش إرشاد السّاري </w:t>
      </w:r>
      <w:r>
        <w:rPr>
          <w:rFonts w:eastAsia="IRNazanin" w:cs="IRNazanin"/>
          <w:b w:val="false"/>
          <w:bCs w:val="false"/>
          <w:i w:val="false"/>
          <w:iCs w:val="false"/>
          <w:color w:val="333333"/>
          <w:sz w:val="20"/>
          <w:szCs w:val="20"/>
        </w:rPr>
        <w:t>2:454</w:t>
      </w:r>
      <w:r>
        <w:rPr>
          <w:rFonts w:ascii="IRNazanin" w:hAnsi="IRNazanin" w:eastAsia="IRNazanin"/>
          <w:b w:val="false"/>
          <w:b w:val="false"/>
          <w:bCs w:val="false"/>
          <w:i w:val="false"/>
          <w:i w:val="false"/>
          <w:iCs w:val="false"/>
          <w:color w:val="333333"/>
          <w:sz w:val="20"/>
          <w:sz w:val="20"/>
          <w:szCs w:val="20"/>
          <w:rtl w:val="true"/>
        </w:rPr>
        <w:t>،و هو غلط أيضا،لأنّ النّوويّ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محكيّ عن أبي موسى الأشعريّ و سعيد بن المسيّب و أبي مجلز و حميد الأعرج و شعبة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 الغلط نشأ من اشتباه 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بهذا ظهر عدم صحّة ما نقل في المجموع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القاضي أبي الطيّب من نسبة القول إلى الشّيعة</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 xml:space="preserve">،أحكام القرآن لابن العربي </w:t>
      </w:r>
      <w:r>
        <w:rPr>
          <w:rFonts w:eastAsia="IRNazanin" w:cs="IRNazanin"/>
          <w:b w:val="false"/>
          <w:bCs w:val="false"/>
          <w:i w:val="false"/>
          <w:iCs w:val="false"/>
          <w:color w:val="333333"/>
          <w:sz w:val="20"/>
          <w:szCs w:val="20"/>
        </w:rPr>
        <w:t>2:560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3:109</w:t>
      </w:r>
      <w:r>
        <w:rPr>
          <w:rFonts w:ascii="IRNazanin" w:hAnsi="IRNazanin" w:eastAsia="IRNazanin"/>
          <w:b w:val="false"/>
          <w:b w:val="false"/>
          <w:bCs w:val="false"/>
          <w:i w:val="false"/>
          <w:i w:val="false"/>
          <w:iCs w:val="false"/>
          <w:color w:val="333333"/>
          <w:sz w:val="20"/>
          <w:sz w:val="20"/>
          <w:szCs w:val="20"/>
          <w:rtl w:val="true"/>
        </w:rPr>
        <w:t xml:space="preserve">، شرح النّوويّ لصحيح مسلم بهامش إرشاد السّاري </w:t>
      </w:r>
      <w:r>
        <w:rPr>
          <w:rFonts w:eastAsia="IRNazanin" w:cs="IRNazanin"/>
          <w:b w:val="false"/>
          <w:bCs w:val="false"/>
          <w:i w:val="false"/>
          <w:iCs w:val="false"/>
          <w:color w:val="333333"/>
          <w:sz w:val="20"/>
          <w:szCs w:val="20"/>
        </w:rPr>
        <w:t>2:454</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xml:space="preserve">،شرح النّوويّ لصحيح مسلم بهامش إرشاد السّاري </w:t>
      </w:r>
      <w:r>
        <w:rPr>
          <w:rFonts w:eastAsia="IRNazanin" w:cs="IRNazanin"/>
          <w:b w:val="false"/>
          <w:bCs w:val="false"/>
          <w:i w:val="false"/>
          <w:iCs w:val="false"/>
          <w:color w:val="333333"/>
          <w:sz w:val="20"/>
          <w:szCs w:val="20"/>
        </w:rPr>
        <w:t>2:454</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،مقدّمات ابن رشد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5:221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،شرح النّوويّ لصحيح مسلم بهامش إرشاد السّاري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3:448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6:112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الوكاء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 و المدّ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خيط يشدّ به الصرّة و الكيس و القربة و نحوها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5:222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السّه،حلقة الدّبر،و هو من الاست،و أصلها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سته،بوزن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3:429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9:342</w:t>
      </w:r>
      <w:r>
        <w:rPr>
          <w:rFonts w:ascii="IRNazanin" w:hAnsi="IRNazanin" w:eastAsia="IRNazanin"/>
          <w:b w:val="false"/>
          <w:b w:val="false"/>
          <w:bCs w:val="false"/>
          <w:i w:val="false"/>
          <w:i w:val="false"/>
          <w:iCs w:val="false"/>
          <w:color w:val="333333"/>
          <w:sz w:val="20"/>
          <w:sz w:val="20"/>
          <w:szCs w:val="20"/>
          <w:rtl w:val="true"/>
        </w:rPr>
        <w:t>،و معنى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الإنسان مهما كان مستيقظا، كانت استه كالمشدودة الموكيّ عليها،فإذا نام انحلّ وكاؤها،كنّى بهذا اللّفظ عن الحدث و خروج الرّيح</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9:342</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صفوان بن عسّال المرادي من بني الرّبض بن زاهر بن عامر بن عوسان بن مراد،سكن الكوفة،روى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عنه عبد اللّه بن مسعود و زرّ بن حبيش و عبد اللّه بن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2:189</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الحميد بن عواض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غواض،و قيل غير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الطّائيّ الكسائيّ الكوفيّ،وثّقه الشّيخ و العلاّمة،من أصحاب الإمام الباقر و الصّادق و الكاظم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كذا في النّسخ،و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عبيد اللّه،و هو ابن أبي نصر،روى عن الرّضا،و عنه أحمد بن محمّد بن عيسى،و يحتمل اتّحاده مع محمّد بن عبد اللّه بن عيسى الأشعريّ القمّيّ الّذي عدّه الشّيخ في رجاله من أصحاب الرّضا و وثّقه بقرينة اتّحاد الرّاوي عنه،و ذكره العلاّمة المامقانيّ من غير توصيف،و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يعلم حاله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عبد اللّه بن سعد بن مالك الأشعري القمّيّ،ثقة،روى عن أبي عبد اللّه و أبي الحسن،عدّه الشّيخ في رجاله من أصحاب الباقر و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الحدثيّة</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بإسناد</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عمران بن حمران الأذرعيّ من أهل أذرعات،روى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النّجاشي،و عدّه الشّيخ في رجاله من أصحاب الصّادق قائلا بأنّه روى عن أبي الحسن أيضا،و استظهر المامقاني كونه إماميّا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أقف فيه على مدح يدرجه في الحسان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 بن أبي بكر عبد اللّه بن محمّد الحضرميّ الكوفيّ،عدّه الشّيخ في رجاله من أصحاب الصّادق،و استظهر المامقاني كونه إماميّا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انّه مجهول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يقين،و ما أثبتناه،من المصدر</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xml:space="preserve">،أحكام القرآن لابن العربي </w:t>
      </w:r>
      <w:r>
        <w:rPr>
          <w:rFonts w:eastAsia="IRNazanin" w:cs="IRNazanin"/>
          <w:b w:val="false"/>
          <w:bCs w:val="false"/>
          <w:i w:val="false"/>
          <w:iCs w:val="false"/>
          <w:color w:val="333333"/>
          <w:sz w:val="20"/>
          <w:szCs w:val="20"/>
        </w:rPr>
        <w:t>2:560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جنبك</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عبد الرّحمن الدّالاني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خالد الأسديّ من أهل واسط كان نازلا في بني دالان فنسب إليهم،روى عن عون بن أبي جحيفة و إبراهيم السّكسكي و عمرو بن مرّة و قتادة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عنه الثّوريّ و شعبة و عبد السّلام بن حرب،ضعّفه ابن حبّان،و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كثيرا الخطأ،فاحش الوهم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4:432</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9:277</w:t>
      </w:r>
      <w:r>
        <w:rPr>
          <w:rFonts w:ascii="IRNazanin" w:hAnsi="IRNazanin" w:eastAsia="IRNazanin"/>
          <w:b w:val="false"/>
          <w:b w:val="false"/>
          <w:bCs w:val="false"/>
          <w:i w:val="false"/>
          <w:i w:val="false"/>
          <w:iCs w:val="false"/>
          <w:color w:val="333333"/>
          <w:sz w:val="20"/>
          <w:sz w:val="20"/>
          <w:szCs w:val="20"/>
          <w:rtl w:val="true"/>
        </w:rPr>
        <w:t xml:space="preserve">،المجروحين لابن حيان </w:t>
      </w:r>
      <w:r>
        <w:rPr>
          <w:rFonts w:eastAsia="IRNazanin" w:cs="IRNazanin"/>
          <w:b w:val="false"/>
          <w:bCs w:val="false"/>
          <w:i w:val="false"/>
          <w:iCs w:val="false"/>
          <w:color w:val="333333"/>
          <w:sz w:val="20"/>
          <w:szCs w:val="20"/>
        </w:rPr>
        <w:t>3:105</w:t>
      </w:r>
      <w:r>
        <w:rPr>
          <w:rFonts w:ascii="IRNazanin" w:hAnsi="IRNazanin" w:eastAsia="IRNazanin"/>
          <w:b w:val="false"/>
          <w:b w:val="false"/>
          <w:bCs w:val="false"/>
          <w:i w:val="false"/>
          <w:i w:val="false"/>
          <w:iCs w:val="false"/>
          <w:color w:val="333333"/>
          <w:sz w:val="20"/>
          <w:sz w:val="20"/>
          <w:szCs w:val="20"/>
          <w:rtl w:val="true"/>
        </w:rPr>
        <w:t xml:space="preserve">،الضّعفاء و المتروكين لابن الجوزي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الخطّاب قتادة بن دعامة بن قتادة بن عزيز السّدوسي البصري،كان أعمى،روى عن أنس و عبد اللّه بن سرجس و سعيد بن المسيّب و الحسن و ابن سيرين،و عنه أبو حنيفة و أيّوب و شعبة و أبو عوانة و غيرهم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مات سنة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قيل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رفيع بن مهران البصريّ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العالية الرّياحي الفقيه المقرئ مولى امرأة من بني رياح،أدرك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الجاهليّة و أسلم بعد وفاته بسنتين،روى عن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عائشة و ابن مسعود،و روى عنه قتادة و خالد الحذّاء و داود بن أبي هند و الرّبيع و غيرهم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قيل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بسطام شعبة بن الحجّاج بن الورد العتكي الأزديّ الواسطيّ شيخ البصرة،هو أوّل من فتّش بالعراق عن أمر المحدّثين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معاوية بن قرّة و الأزرق بن قيس و أنس و ابن سيرين و قتادة،و روى عنه الأعمش و أيّوب و ابن إسحاق و الثّوري و غيرهم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مات سنة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،هامش سنن الدّارقطني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xml:space="preserve">، المحلّى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،سبل السّلام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معمّر بن خلاّد بن أبي خلاّد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خلاّد البغداديّ،ثقة روى عن الرّضا،له كتاب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للوضوء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أثبتناه،من المصدر</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2:535</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2:535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،و بهذا المضمون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بكير بن أعين بن سنسن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عليّ الشّيبانيّ مولاهم،عدّه الشّيخ في رجاله من أصحاب الصّادق، و قال في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فطحيّ إلاّ انّه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عدّه الكشّي تارة من الفطحيّة،و اخرى ممّن أجمعت العصابة على تصحيح ما يصحّ عنه،و قال العلاّمة في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أعتمد على روايته و إن كان مذهبه فاسدا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عائشة 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جاءت فاطمة بنت أبي حبيش إلى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امرأة أستحاض فلا أطهر، أ فأدع الصّلاة؟قال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لا،إنّما ذلك عرق و ليس بالحيضة،اجتنبي الصلاة أيّام محيضك ثمَّ اغتسلي و توضئي لكل صلاة،و إن قطر الدم على الحصير</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2:535</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3:277</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3:277</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2:535</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2:538</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،فتح الوهّاب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يوجد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 الاستئناف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حذفناها لاستقامة معنى العبارة</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صلّته</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اللّفظ</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الطّوسيّ في المبسوط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،و الخلاف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الشّريف المرتضى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الثّالثة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،جمل العلم و العمل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كابن زهرة الحلبيّ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،و ابن حمزة في الوسيلة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،و ابن البرّاج في المهذّب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قوله في المعتبر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اليقظان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 بن ياسر العبسيّ أو العنسيّ،رابع الأركان،و هو و أبوه و امّه من السّابقين الأوّلين إلى الإسلام،صحب النّبيّ و أمير المؤمنين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من شرطة الخميس،و فضائله كثيرة،و كفى في فضله قول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مرّ به و بامّه و أبيه و هم يعذّبوه بالأبطح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صبرا يا آل ياسر،إنّ موعدكم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استشهد يوم صفّين في قتال معاوية مع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أخبر النّبيّ بقتله،و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أبشر عمّار تقتلك الفئة الباغية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التّرمذي </w:t>
      </w:r>
      <w:r>
        <w:rPr>
          <w:rFonts w:eastAsia="IRNazanin" w:cs="IRNazanin"/>
          <w:b w:val="false"/>
          <w:bCs w:val="false"/>
          <w:i w:val="false"/>
          <w:iCs w:val="false"/>
          <w:color w:val="333333"/>
          <w:sz w:val="20"/>
          <w:szCs w:val="20"/>
        </w:rPr>
        <w:t>5:669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3800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Pr>
        <w:t>4:2236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فتح الوهّاب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الثقبة</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11:168</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5:225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زيد بن أسلم العدوي مولاهم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 أبو عبد اللّه،و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أسامة،لقي ابن عمرو و روى عنه،و عن سلمة بن الأكوع،و جابر بن عبد اللّه،و أنس،و روى عنه مالك،و هشام بن سعد و غيرهم،له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،مقدّمات ابن رشد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5:224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 عامر بن شراحيل بن معبد الشّعبيّ الحميريّ،كوفيّ من شعب همدان ينسب إليها،و قيل لمن كان منهم بالكوفة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شعبيّون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أمير المؤمنين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عمران بن حصين و أبي هريرة و ابن عبّاس،و روى عنه إسماعيل بن أبي خالد و الأعمش و أبو حنيفة و أبو إسحاق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الحكم بن عتيبة الكوفيّ مولى كندة،أخذ عن أبي جحيفة،و تفقّه على إبراهيم النّخعيّ،و روى عنه الأوزاعيّ و حمزة الزّيّات و شعبة،مات سنة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أبو إسماعيل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حمّاد بن أبي سليمان الأشعريّ مولاهم،صاحب إبراهيم النّخعي،روى عن أنس بن مالك و سعيد بن المسيّب و غيرهم،مات سنة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5:226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فيها حكاية ابن المنذر،بل نقلوها عنهم</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 بن طلق بن عليّ بن المنذر الحنفيّ،روى عن أبيه،و عنه عبد اللّه بن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4:219</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طلق بن عليّ بن طلق بن عمرو،و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عليّ بن المنذر بن قيس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عليّ الحنفيّ اليماميّ،من الوفد الّذين قدموا على رسول اللّه من اليمامة فأسلموا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ابنه قيس،و ابنته خلدة،و عبد اللّه بن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السّعة</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 منه في سنن الدّارقطني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6:210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سنان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فروة الرّهاويّ مولى بني تميم،روى عن ميمون بن مهران و زيد بن أبي أنيسة،و روى عنه ابنه محمّد و وكيع و أبو أسامة و شعبة و عطاء و غيرهم،مات سنة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4:427</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9:266</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نصر يحيى بن أبي كثير الطّائي اليماميّ و اسم أبي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 بن المتوكّل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روى عن أبي سلمة بن عبد الرّحمن و أبي قلابة و أنس و غيرهم،و روى عنه ابنه عبد اللّه و معمّر و الأوزاعي و هشام الدّستوائي و غيرهم مات سنة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الحفّاظ للسّيوطي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سلمة بن عبد الرّحمن بن عوف القرشيّ الزّهريّ المدنيّ،قيل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اسمه عبد اللّه،و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إسماعيل،روى عن أبيه و عن أسامة و أمّ سلمة و أبي هريرة و شعبة و ابن عبّاس،و روى عنه ابنه عمر بن أبي سلمة و عروة و الشّعبيّ و يحيى بن أبي كثير و أبو الزّناد و غيره،مات بالمدينة سنة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،طبقات الحفّاظ للسّيوطي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سلمة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هند بنت أبي أميّة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اسم أبي أميّة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حذيفة،و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المغيرة بن عبد اللّه بن عمرو بن مخزوم القرشيّة،زوجة النّبيّ،هاجرت إلى الحبشة ثمَّ إلى المدينة،حالها في الجلالة و الإخلاص لأمير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فاطمة 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الحسنين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أشهر من أن يذكر،و كفى في فضلها إيداع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إيّاها تربة سيّد الشّهداء و إخباره لها بأنّها متى فاضت دما فاعلمي انّ الحسين قد 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عدّها الشّيخ في رجاله و ابن عبد البرّ في الاستيعاب من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روت عن النّبيّ و فاطمة الزّهراء،روى عنها ابناها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و زينب،و سعيد بن المسيّب و أبو سلمة و غيرهم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ماتت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،الاستيعاب بهامش الإصابة </w:t>
      </w:r>
      <w:r>
        <w:rPr>
          <w:rFonts w:eastAsia="IRNazanin" w:cs="IRNazanin"/>
          <w:b w:val="false"/>
          <w:bCs w:val="false"/>
          <w:i w:val="false"/>
          <w:iCs w:val="false"/>
          <w:color w:val="333333"/>
          <w:sz w:val="20"/>
          <w:szCs w:val="20"/>
        </w:rPr>
        <w:t>4:454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5:588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4:458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النّساء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أبي عبد اللّه البصريّ،مولى بني شيبان و أصله كوفيّ،و اسم أبي عبد اللّه ميمون،و كان ختن الفضيل بن يسار،من أصحاب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عبد اللّه بن عبّاس و عبد اللّه بن عمر و البراء بن عازب،و روى عنه سلمة بن كهيل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وثّقه العلاّمة و النّجاشي عند ترجمة ابن ابنه إسماعيل بن همام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 الأنسب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للأصل فيمن مسّ نفسه</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الشّافعي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روته</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بسرة بنت صفوان بن نوفل بن أسد بن عبد العزّى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القرشيّة الأسديّة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 بنت أميّة بن محرث من كنانة،جدّة عبد الملك بن مروان،روت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عنها مروان بن الحكم،و عروة بن الزّبير و سعيد بن المسيّب و أم كلثوم بنت عقبة و غيرهم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الإصابة </w:t>
      </w:r>
      <w:r>
        <w:rPr>
          <w:rFonts w:eastAsia="IRNazanin" w:cs="IRNazanin"/>
          <w:b w:val="false"/>
          <w:bCs w:val="false"/>
          <w:i w:val="false"/>
          <w:iCs w:val="false"/>
          <w:color w:val="333333"/>
          <w:sz w:val="20"/>
          <w:szCs w:val="20"/>
        </w:rPr>
        <w:t>4:249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5:410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النّسخ،و لعلّ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راويه</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خالد يزيد بن عبد الملك بن نوفل بن الحارث بن عبد المطّلب النّوفليّ المدنيّ،روى عن سعيد المقبريّ و يزيد بن خسيفة،و روى عنه ابنه يحيى و معن بن عيسى و خالد بن مخلّد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ضعّفه البخاري و ابن حبّان و الذّهبي و ابن أبي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الصّغير للبخاري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،المجروحين لابن حبّان </w:t>
      </w:r>
      <w:r>
        <w:rPr>
          <w:rFonts w:eastAsia="IRNazanin" w:cs="IRNazanin"/>
          <w:b w:val="false"/>
          <w:bCs w:val="false"/>
          <w:i w:val="false"/>
          <w:iCs w:val="false"/>
          <w:color w:val="333333"/>
          <w:sz w:val="20"/>
          <w:szCs w:val="20"/>
        </w:rPr>
        <w:t>3:102</w:t>
      </w:r>
      <w:r>
        <w:rPr>
          <w:rFonts w:ascii="IRNazanin" w:hAnsi="IRNazanin" w:eastAsia="IRNazanin"/>
          <w:b w:val="false"/>
          <w:b w:val="false"/>
          <w:bCs w:val="false"/>
          <w:i w:val="false"/>
          <w:i w:val="false"/>
          <w:iCs w:val="false"/>
          <w:color w:val="333333"/>
          <w:sz w:val="20"/>
          <w:sz w:val="20"/>
          <w:szCs w:val="20"/>
          <w:rtl w:val="true"/>
        </w:rPr>
        <w:t xml:space="preserve">،الضعفاء و المتروكين لابن الجوزي </w:t>
      </w:r>
      <w:r>
        <w:rPr>
          <w:rFonts w:eastAsia="IRNazanin" w:cs="IRNazanin"/>
          <w:b w:val="false"/>
          <w:bCs w:val="false"/>
          <w:i w:val="false"/>
          <w:iCs w:val="false"/>
          <w:color w:val="333333"/>
          <w:sz w:val="20"/>
          <w:szCs w:val="20"/>
        </w:rPr>
        <w:t>3:210</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9:278</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يضبط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له ذكر في سند حديث أبي هريرة،إلاّ انّ ابن التّركماني نقل في الجوهر النّقي بذيل سنن البيهقي عنه إدخال أبي موسى الحنّاط بين يزيد و المقبري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أبي سعيد المقبريّ المدنيّ مولى بني ليث،روى عن أبيه و أبي هريرة و سعد بن أبي وقّاص و جبير بن مطعم،و روى عنه إسماعيل بن أميّة و أيّوب بن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لكنّه اختلط قبل موته بأربع سنوات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مروان بن الحكم بن أبي العاص الأموي يكنّى أبا عبد الملك،لم ير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النّبيّ طرد أباه من المدينة إلى الطّائف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أرسل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روى عن عمر و عثمان و زيد بن ثابت و بسرة بنت صفوان، روى عنه ابنه عبد الملك و عروة بن الزّبير و سعيد بن المسيّب،مات سنة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3:477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4:348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أبو إسحاق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بن إسحاق البغداديّ،تفقّه على أحمد،و كان من أجلّة أصحابه،روى عن أبي نعيم و هوذة بن خليفة،و روى عنه عبد الرّحمن بن العبّاس الذّهبي و أبو بكر القطيعيّ،له كتاب غريب الحديث،مات سنة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2:584</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 لابن النّديم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شرطي</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معين بن عون أبو زكريّا الغطفانيّ البغداديّ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هشيم و ابن المبارك و يحيى بن أبي زائدة، و روى عنه أحمد و هناد و البخاري و مسلم و أبو داود و زرعة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2:429</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الحفّاظ للسّيوطي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الصغير بهامش بلغة السالك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5:226</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،مقدّمات ابن رشد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عبد اللّه بن أبي أوفى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اسم أبي أوفى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خالد بن الحرث بن أسد بن هوازن الأسلمي،أبو معاوية،و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إبراهيم،و قيل غير ذلك،روى عنه أبو إسحاق الشّيباني و سلمة بن كهيل و طلحة بن أبي خالد و 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بهامش الإصابة </w:t>
      </w:r>
      <w:r>
        <w:rPr>
          <w:rFonts w:eastAsia="IRNazanin" w:cs="IRNazanin"/>
          <w:b w:val="false"/>
          <w:bCs w:val="false"/>
          <w:i w:val="false"/>
          <w:iCs w:val="false"/>
          <w:color w:val="333333"/>
          <w:sz w:val="20"/>
          <w:szCs w:val="20"/>
        </w:rPr>
        <w:t>2:264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5:120</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 أو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سالم بن عبد اللّه بن عمر بن الخطّاب العدويّ العمريّ المدنيّ،روى عن أبيه و أبي هريرة و عائشة و رافع بن خديج و سعيد بن المسيّب،و روى عنه عمرو بن دينار و الزّهري و صالح بن كيسان،مات سنة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المبسوط للسّرخسي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بداية المجتهد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،الجامع الصّغير للشّيباني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نفس المصادر</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نفس المصادر</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xml:space="preserve">،منار السّبيل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،العبارة مطلقة حيث انّهم لم يقيّدوه بملء الفم</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،الجامع الصّغير للشّيباني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الدّرداء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عويمر،و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عويمر لقب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 مالك بن زيد بن قيس بن أميّة الخزرجي الأنصاريّ أسلم بعد بدر،ولي قضاء دمشق لمعاوية في خلافة عثمان،روى عن النّبيّ و زيد بن ثابت و أبي أمامة، و روى عنه ابنه بلال و زوجته أم الدّرداء و أبو إدريس الخولاني،مات سنة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قيل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بهامشها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ظاهر كلام العلاّمة يوحي بأنّ الرّواية الّتي نقلها عن أبي الدّرداء واحدة،و الواقع انّ هناك روايتين، إحداهما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الدّرداء على هذا النّحو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النّبيّ قاء فأفطر،فلقيت ثوبان في مسجد دمشق فذكرت ذلك له،فقال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صدق،أنا صببت له وضوءه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6:443</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الأخرى عن ثوبان على هذا النّحو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صائما في غير رمضان،فأصابه غمّ آذاه فتقيّأ،فقاء،فدعاني بوضوء،فتوضّأ ثمَّ أفطر، 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رسول اللّه أ فريضة الوضوء من القيء؟قال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كان فريضة لوجدته في القرآن،قال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صام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اللّفظ في الجميع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 عن القيء هل ينقض الوضوء؟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أبي محمود الخراساني،ثقة مولى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الشّيخ في رجاله من أصحاب الإمامين 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الملك بن عبد العزيز بن جريج الرّوميّ المكّيّ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الوليد،أو أبو خالد،روى عن أبيه،و مجاهد يسيرا و عن عطاء بن أبي رباح و الزّهري،و روى عنه ابناه و الأوزاعيّ و مسلم بن خالد و غيرهم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الحفّاظ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2:659</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أبو بكر أو أبو محمّد عبد اللّه بن عبيد اللّه بن أبي مليكة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اسم أبي مليكة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 عبد اللّه بن جدعان القرشيّ التّيميّ المكّيّ الأحول قاضي مكّة زمن ابن الزّبير روى عن جدّه و عائشة و أم سلمة و ابن عبّاس و ابن عمر،و روى عنه عمرو بن دينار و أيّوب و ابن جريج و اللّيث بن سعد،مات سنة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فلينصرف</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فنقض</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 xml:space="preserve">،التّعليق المغني على سنن الدّارقطني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2:659</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،فإنّه قال بعدم الوجوب</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xml:space="preserve">، المبسوط للسّرخسي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النّسخ،و الأنسب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كانت</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حنيفة و أصحابه</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معاذ بن أنس الجهني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 سهل خليفة الأنصار،سكن مصر،روى عن النّبيّ و أبي الدّرداء و كعب الأحبار،و روى عنه ابنه سهل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3:426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4:375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2:289</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3:438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اللّفظ في الجميع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الضّاحك في الصّلاة و الملتفت و المفقّع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المفرقع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أصابعه بمنزلة واحدة</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أسامة بن عمير بن عامر الهذليّ البصريّ،روى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عنه ابنه أبو المليح عامر بن أسامة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بهامش الإصابة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واصل التّيميّ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سعيد،من أهل البصرة،و انّما نسب إلى دينار،لأنّه كان زوج امّه،روى عن الحسن و يحيى بن أبي كثير،و روى عنه وكيع و مروان بن معاوية و يزيد بن هارون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ضعّفه البخاري و الذّهبي و ابن حبّان و العقيلي و ابن حجر و الدّارقطني و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الصّغير للبخاري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1:487</w:t>
      </w:r>
      <w:r>
        <w:rPr>
          <w:rFonts w:ascii="IRNazanin" w:hAnsi="IRNazanin" w:eastAsia="IRNazanin"/>
          <w:b w:val="false"/>
          <w:b w:val="false"/>
          <w:bCs w:val="false"/>
          <w:i w:val="false"/>
          <w:i w:val="false"/>
          <w:iCs w:val="false"/>
          <w:color w:val="333333"/>
          <w:sz w:val="20"/>
          <w:sz w:val="20"/>
          <w:szCs w:val="20"/>
          <w:rtl w:val="true"/>
        </w:rPr>
        <w:t xml:space="preserve">،المجروحين لابن حبّان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،الضّعفاء الكبير للعقيلي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2:203</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،الضّعفاء و المتروكين لابن الجوزي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الإنصاف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سليمان حمد بن محمّد بن إبراهيم بن خطّاب البستي الخطّابي من الشّافعيّة،أخذ الفقه عن أبي بكر القفال و ابن أبي هريرة و سمع الحديث من أبي سعيد بن الأعرابي و إسماعيل الصّفّار،روى عنه أبو حامد الإسفرائيني و البلخي و الكرابيسي و غيرهم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كتب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معالم السّنن في شرح سنن أبي داود،و غريب الحديث،مات سنة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3:1018</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2:174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بغية الوعاة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الشّافعيّة للسّبكي </w:t>
      </w:r>
      <w:r>
        <w:rPr>
          <w:rFonts w:eastAsia="IRNazanin" w:cs="IRNazanin"/>
          <w:b w:val="false"/>
          <w:bCs w:val="false"/>
          <w:i w:val="false"/>
          <w:iCs w:val="false"/>
          <w:color w:val="333333"/>
          <w:sz w:val="20"/>
          <w:szCs w:val="20"/>
        </w:rPr>
        <w:t>2:218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ثابت بن الضّحّاك بن زيد بن لوذان الأنصاريّ الخزرجيّ،أبو سعيد،و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ثابت،و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الرّحمن،و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خارجة،روى عن النّبيّ و روى عنه ابنه خارجة و أنس و ابن عمر و عطاء و سهل بن سعد،اختلف في وفاته،فقيل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قيل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1:561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بهامش الإصابة </w:t>
      </w:r>
      <w:r>
        <w:rPr>
          <w:rFonts w:eastAsia="IRNazanin" w:cs="IRNazanin"/>
          <w:b w:val="false"/>
          <w:bCs w:val="false"/>
          <w:i w:val="false"/>
          <w:iCs w:val="false"/>
          <w:color w:val="333333"/>
          <w:sz w:val="20"/>
          <w:szCs w:val="20"/>
        </w:rPr>
        <w:t>1:551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3:104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xml:space="preserve">،مسند الحميدي </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898</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4:303</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تفاوت في الجميع</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بكير بن أعين بن سنسن الشّيباني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أخو زرارة،يكنّى أبا الجهم أو أبا عبد اللّه من أصحاب الإمامين الباقر و الصّادق 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ثقة،مات على الاستقامة،روى الكشّي انّ الصّادق لمّا بلغه موت بكير،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و اللّه،لقد أنزله اللّه بين رسول اللّه و أمير المؤمنين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في حياة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لحوم</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خالد بن دهقان بن نافلة مولى عفيف بن معدي كرب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الرّبيع الهلالي البجليّ الكوفيّ، كان قارئا فقيها وجها ثقة،روى عن الإمامين الباقر و الصّادق 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المفيد من شيوخ أصحاب أبي عبد اللّه و خاصّته و بطانته و ثقاته من الفقهاء الصّالحين،مات في حياة أبي عبد اللّه فتوجّع لفقده و دعى لولده و أوصى بهم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Pr>
        <w:t>2:208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البراء بن عازب الأنصاريّ الخزرجيّ،يكنّى أبا عامر،و قيل أبا عمارة،و قيل أبا عمرو،ردّه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غزوة بدر لصغره،شهد أحدا و هو أوّل مشاهده،و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الخندق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افتتح الرّي سنة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الشّيخ في رجاله من أصحاب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،أصابته دعوة الإمام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لكتمانه الشّهادة في حديث الغدير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في إمارة مصعب بن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اقتصر على</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مرّ الأمر</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المائدة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سنن التّرمذي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زهمت يدي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الزّهومة،فهي زهمة،اي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5:1946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توضؤوا من ألبانها</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xml:space="preserve">،منار السّبيل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1:200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1:200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1:200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1:200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1:200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قاربت</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1647</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زرعة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الحضرمي،صحب سماعة و أكثر عنه،عدّه الشّيخ من أصحاب الإمامين الصّادق و 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واقفيّ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هو،و ما أثبتناه،من المصدر</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1010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تعدّى</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فينفذ</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مسدود</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1:256</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رحمة الأمة بهامش ميزان الكبرى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،مقدّمات ابن رشد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 xml:space="preserve">،رحمة الأمة بهامش ميزان الكبرى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النّقي بهامش سنن البيهقي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xml:space="preserve">،منار السّبيل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الأعلى بن أعين العجلي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مولاهم الكوفي،عدّه الشّيخ في رجاله من أصحاب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نقل العلاّمة المامقاني عن المفيد انّه من الفقهاء أصحاب الصّادق المأخوذ عنه الحلال و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تنتقض</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1017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لم،و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لا،فلا يخرجن</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أضفناه من المصدر</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1018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شيء لا تصبر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في المتن موافق للمصدر</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ينقض</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بتفاوت،و قريب منه في صحيح مسلم </w:t>
      </w:r>
      <w:r>
        <w:rPr>
          <w:rFonts w:eastAsia="IRNazanin" w:cs="IRNazanin"/>
          <w:b w:val="false"/>
          <w:bCs w:val="false"/>
          <w:i w:val="false"/>
          <w:iCs w:val="false"/>
          <w:color w:val="333333"/>
          <w:sz w:val="20"/>
          <w:szCs w:val="20"/>
        </w:rPr>
        <w:t>4:2306</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5:109</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حكم</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هاهنا</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مستورة،و ما أثبتناه موافق للمصدر</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فيه مربوط بتقبيله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نقل عنه في المعتبر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أيّوب الأنصاري،اسمه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زيد بن كليب بن ثعلبة الخزرجي،شهد العقبة و بدرا و سائر المشاهد،و شهد مع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و صفّين مات بأرض الرّوم عام غزا يزيد القسطنطنيّة زمن معاوية سنة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قيل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بهامش الإصابة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نسب إليه،و لكنّه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دخل الإنسان دارا قد بنى فيها مقعدا للغائط على استقبال القبلة و استدبارها لم يضرّه الجلوس عليه،و إنّما يكره ذلك في الصّحاري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أيضا نسب المصنّف إليه في المختلف القول بالكراهة،انظر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2:278</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xml:space="preserve">، المهذّب للشّيرازي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مقدّمات ابن رشد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2:278</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2:277</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2:278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رووه</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5:414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عيسى بن عبد اللّه بن محمّد بن عمر بن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الهاشميّ،من أصحاب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الكشّي مدح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إيّاه بأنّه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منّا،حيّا،و هو منّا ميّتا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الحميد بن أبي العلاء بن عبد الملك الأزديّ الكوفيّ،يقال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السّمين،ثقة،عدّه الشّيخ في رجاله من أصحاب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بن هاشم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 القمّي،ثقة في الحديث ثبت معتمد صحيح المذهب،روى عنه محمّد بن يعقوب الكليني كثيرا،له كتب،منها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عليّ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1:545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من المصدر</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استدلالهما بهذه الرّواية إلاّ ما نقله المصنّف في المختلف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حفصة بنت عمر بن الخطّاب،تقدّم نسبها عند ذكر أخيها عبد اللّه من بني عديّ بن كعب زوج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روت عنه و عن أبيها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عنها أخوها عبد اللّه و ابنه حمزة و زوجته صفيّة بنت أبي عبيد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ماتت سنة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5:425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4:273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الجواب</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الوهدة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المكان المطمئنّ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5:415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أبي زياد السّكونيّ الشّعيريّ،عدّه الشّيخ في رجاله من أصحاب الصّادق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مسلم،لم يتعرّض الشّيخ و النّجاشي لمذهبه،لكنّ المصنّف نصّ على كونه عاميّا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جعفر بن إبراهيم بن محمّد بن عليّ بن عبد اللّه بن جعفر الطّيّار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الطّالبيّ الجعفريّ،ثقة روى عن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عدّه الشّيخ في رجاله من أصحاب الإمامين الكاظم و الرّضا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سعد بن إبراهيم بن عبد الرّحمن بن عوف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إسحاق مديني أو المدنيّ،ولّي قضاء المدينة،روى عن ابن عمر و عبد اللّه بن جعفر بن أبي طالب و سعيد بن المسيّب و إبراهيم بن عبد اللّه،روى عنه يحيى بن سعيد الأنصاري،و أيّوب و الثّوريّ و شعبة و ابن عيينة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قيل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سعد،و هو ابن إبراهيم بن عبد الرّحمن بن عوف،روى عن أبيه و الزّهريّ و صفوان و ابن إسحاق،و روى عنه ابناه يعقوب و سعد و شعبة و الليث 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أو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 شيء في الباب و أصحّ</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مسمع بن عبد الملك بن مسمع بن مالك شيخ بكر بن وائل بالبصرة،يكنّى أبا سيار الملقّب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كردين، روى عن أبي جعفر يسيرا،و عن أبي عبد اللّه،و أكثر،و اختصّ به،و روى عن أبي الحسن موسى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عدّه الشّيخ في رجاله من أصحاب الإمامين الباقر و الصّادق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يبول</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عاصم بن حميد الحنّاط الحنفيّ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الفضل،مولى كوفيّ،ثقة،عين،صدوق،من أصحاب الصّادق، و 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تتوضّأ</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تتّقي</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اختلفت كتب الرّجال و الأخبار في الرّجل،عنونوه تارة بإبراهيم بن أبي زياد الكرخيّ،و اخرى بعنوان إبراهيم بن زياد الكرخيّ،و ثالثة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الكرخيّ البغداديّ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الشّيخ في رجاله من أصحاب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وثّق برواية ابن أبي عمير و الحسن بن محبوب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سرجس المزني حليف بني مخزوم سكن البصرة،روى عن النّبيّ صلّى اللّه عليه و آله و سلّم، و عمر و أبي هريرة،و روى عنه قتادة و عاصم الأحول و عثمان بن 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2:315</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3:171</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عبادة بن دليم بن حارثة بن أبي خزيمة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الخزرجيّ الأنصاريّ السّاعديّ،يكنّى أبا ثابت،و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قيس،كان نقيب بني ساعدة،شهد العقبة،و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بدرا،روى عنه بنوه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قيس و سعيد و إسحاق، و حفيده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شرحبيل بن سعيد،و من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عباس و أبو أمامة بن سهل،و قصّته،مشهورة في أنّه بال قائما في بئر بالشّام فوجد ميّتا سنة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قيل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قيل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مالك بن سنان أو شيبان بن عبيد بن ثعلبة بن الأبجر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سعيد الأنصاريّ الخزرجيّ الخدريّ من مشهوري الصّحابة و علمائهم و فضلائهم،شهد بيعة الشّجرة،و الخندق،و اثنتي عشرة غزوة بعدها،روى عن النّبيّ كثيرا و أبي بكر و عمر و عثمان و عليّ و زيد بن ثابت،و روى عنه من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عبّاس و ابن عمر و جابر و محمود بن لبيد و غيرهم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طائفة من التّابعين،و قد عدّه الشّيخ في رجاله من أصحاب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اختلف في سنة وفاته،فقيل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قيل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يقربان،و ما أثبتناه من المصدر</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صفوان بن يحيى،أبو محمّد البجليّ،بيّاع السّابريّ،كوفيّ،ثقة،عين،وكيل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منزلة عنده،عدّه الشّيخ في رجاله من أصحاب الإمامين الرّضا و الجواد 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عمر بن يزيد بن ذبيان الصّيقل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موسى مولى بني نهد،روى عن أبي عبد اللّه،و عدّه الشّيخ من أصحابه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1:639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يحمد اللّه</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زرارة و محمّد بن مسلم</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لنا</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المهاجر بن قنفذ بن عمير بن جدعان بن كعب 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القرشيّ التّيميّ،كان أحد السّابقين إلى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أسلم يوم 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ولاّه عثمان في خلافته شرطته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 أبو ساسان حصين،و روى عنه الحسن 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سكن البصرة و مات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4:424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3:466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8:259</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المعطس</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2:109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بن زياد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سعيد الرّازي متّهم بالغلوّ و الكذب اخرج من قم إلى الرّيّ و سكنها،ضعّفه الشّيخ في الفهرست و العلاّمة في رجاله،عدّه الشّيخ في رجاله من أصحاب الجواد و الهادي و العسكريّ عليهم السّلام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لوجه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ليست في الحديث</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تقدّما في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دراهم بيض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دراهم أبيض</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أسباط بن سالم بياع الزّطّي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 المقري،كوفيّ ثقة،و كان فطحيّا و من أوثق النّاس و أصدقهم لهجة،روى عن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الشّيخ في رجاله من أصحاب الرّضا و الجواد 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كتب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الدّلائل،التّفسير،المزار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1:554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الحسين بن أبي الخطّاب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جعفر الزيّات الهمدانيّ الكوفيّ،ثقة عين حسن التّصانيف،عدّه الشّيخ في رجاله من أصحاب الجواد و الهادي و العسكريّ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منها التوحيد،مات سنة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ميمون بن الأسود القدّاح المكّي،مولى بني مخزوم،ثقة من أصحاب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الفقهاء، له كتب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مبعث النّبيّ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،الفهرست لابن النّديم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اني</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مستحب</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المعتبر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حفص بن البختري مولى بغداديّ أصله كوفي،ثقة روى عن أبي عبد اللّه و أبي الحسن عليهما السّلام،عدّه الشّيخ في رجاله من أصحاب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الاستطهار</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محمّد بن الحسن بن فرّوخ الصّفار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جعفر الأعرج،كان وجها في أصحابنا القمّيّين ثقة عظيم،عدّه الشّيخ في رجاله من أصحاب الإمام العسكريّ،له كتب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بقم سنة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عيسى بن عبد اللّه بن سعد بن مالك الأشعري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عليّ،شيخ القمّيّين،دخل على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 منه،و روى عن 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مخرج</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3:367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2:300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2:300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بموضع الاستنجاء</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2:300</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8:20</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في الجميع</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للتّضييق</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 بن يعقوب بن قيس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عليّ الجلاب البجليّ الدّهنيّ،اختصّ بأبي عبد اللّه و أبي الحسن عليهما السّلام و كان يتوكّل لأبي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الشيخ في رجاله من أصحاب الصّادق و الكاظم و الرّضا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بالمدينة في أيّام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فتولّى أمره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نقل المصنّف في رجاله عن بعض انّه فطحيّ و قال بقبول روايته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روي</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محمّد بن عبد الرّحمن بن أذينة بن سلمة بن الحارث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ربيعة بن نزار بن معد بن عدنان شيخ أصحابنا البصريّين و وجههم،روى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مكاتبة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الشّيخ في رجاله من أصحاب الإمامين الصّادق و الكاظم 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ورد تارة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أذينة،و اخرى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أذينة، و ثالثة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محمّد بن عبد الرّحمن،و إسناده إلى أذينة اسناد إلى جدّ أبيه من حيث انّ له شرفا و قدرا بين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أو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 بن عتيبة الكنديّ الكوفيّ مولى الشّموس بن عمرو أو عمر الكنديّ،عدّه الشّيخ من أصحاب السّجاد و الباقر و الصّادق عليهم السّلام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زيديّ بتري ورد فيه ذمّ من أبي جعفر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أبي نصر الأنماطي السّكوني الشرعبيّ،و اسم أبي نصر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زياد،ثقة روى عن أبي عبد اللّه،عده الشّيخ في رجاله من أصحاب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يزيد داود بن فرقد مولى آل أبي سمّال الأسديّ النّصريّ،كوفيّ ثقة،عدّه الشّيخ في رجاله من أصحاب الإمامين الصّادق و الكاظم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1065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مرتقا</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نجست</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،و قال في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أعد الوضوء للصّلاة</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الصّواب ما أثبتناه بدليل ما سيأتي في الجواب من نسبته إلى سماعة</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يعوّل</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زيد بن عليّ بن الحسين بن عليّ بن أبي طالب عليهم السّلام المجاهد المعروف الّذي تنسب إليه الزّيدية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أخو 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الشّيخ تارة من أصحاب أبيه السّجّاد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اخرى من أصحاب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ثالثة من أصحاب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صرّح المفيد رضوان اللّه عليه،انّه ظهر بالسّيف يأمر بالمعروف و ينهى عن المنكر و يطلب بثارات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نقل المامقاني اتّفاق علماء الإسلام على جلالته و ثقته و ورعه و علمه،استشهد سنة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Pr>
        <w:t>2:168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سالم الجواليقي العلاّف مولى بشر بن مروان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محمّد،أو أبو الحكيم،ثقة،له أصل،و كان من سبي الجوزجان،روى الكشّي في مدحه روايات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عدّه الشّيخ في رجاله من أصحاب الإمامين الصّادق و الكاظم 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شبهه</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الطّوسي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فيخرج</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نشيط بن صالح بن لفافة العجليّ مولاهم،كوفيّ ثقة،روى عن أبي الحسن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يخدمه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الشّيخ في رجاله من أصحاب الإمامين الصّادق و الكاظم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مروك بن عبيد بن سالم بن أبي حفصة مولى بني عجل،و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عمّار بن المبارك العجليّ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اسم مروك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الشّيخ في رجاله من أصحاب الجواد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في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نقل المصنّف توثيق الكشّي إيّاه و سكت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لجميع</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صاحب البيان و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يستحبّ للبكر أن تدخل إصبعها في الثّقب الّذي في الفرج فتغسله</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3:367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2:300</w:t>
      </w:r>
      <w:r>
        <w:rPr>
          <w:rFonts w:ascii="IRNazanin" w:hAnsi="IRNazanin" w:eastAsia="IRNazanin"/>
          <w:b w:val="false"/>
          <w:b w:val="false"/>
          <w:bCs w:val="false"/>
          <w:i w:val="false"/>
          <w:i w:val="false"/>
          <w:iCs w:val="false"/>
          <w:color w:val="333333"/>
          <w:sz w:val="20"/>
          <w:sz w:val="20"/>
          <w:szCs w:val="20"/>
          <w:rtl w:val="true"/>
        </w:rPr>
        <w:t xml:space="preserve">، ميزان الكبرى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،رحمة الأمة بهامش ميزان الكبرى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2:300</w:t>
      </w:r>
      <w:r>
        <w:rPr>
          <w:rFonts w:ascii="IRNazanin" w:hAnsi="IRNazanin" w:eastAsia="IRNazanin"/>
          <w:b w:val="false"/>
          <w:b w:val="false"/>
          <w:bCs w:val="false"/>
          <w:i w:val="false"/>
          <w:i w:val="false"/>
          <w:iCs w:val="false"/>
          <w:color w:val="333333"/>
          <w:sz w:val="20"/>
          <w:sz w:val="20"/>
          <w:szCs w:val="20"/>
          <w:rtl w:val="true"/>
        </w:rPr>
        <w:t xml:space="preserve">،رحمة الأمة بهامش ميزان الكبرى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لتحصيل</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اللفظ 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تقبل صلاة بغير طهور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،و من طريق الخاصّة،انظر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مسعدة بن زياد الرّبعيّ الكوفيّ،ثقة عين،روى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الشّيخ في رجاله من أصحاب الإمامين الباقر و الصّادق عليهما السّلام،له كتاب مبوّب في الحلال و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الميم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الخصية و حلقة الدّبر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يمسح رجليه و لا يغسلهما</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لفظة</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تكرار</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تكرار</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الأمر</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2:100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أبو إسحاق بن أبي وقّاص،سعد بن مالك بن أهيب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وهيب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 مناف بن زهرة بن كلاب القرشيّ الزّهريّ،روى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كثيرا،و روى عنه بنوه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و عامر و مصعب و عمر و محمّد،و عائشة و ابن عبّاس و ابن عمر و سعيد بن المسيّب و غيرهم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قيل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قيل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الزّيديّة،هم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 قالوا بإمامة زيد بن عليّ بن الحسين عليهم السّلام ثمَّ قالوا بعده بالإمامة في ولد فاطمة عليها السّلام كائنا من كان إذا خرج بالإمامة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علمائهم سفيان بن عيينة،و سفيان الثّوريّ،و صالح بن حيّ و 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لابن النّديم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فرق الزّيديّة القائلين بإمامة أبي محمّد القاسم بن إبراهيم بن إسماعيل الحسيني العلويّ أخي محمّد بن إبراهيم بن طباطبا من الام،سكن جبال القدس من نواحي المدينة،و كان يعرف بالرّسيّ،انتسابا إلى الجبل الّذي مات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اليمن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أبو محمّد الحسن بن راشد مولى بني العبّاس،كان وزير المهديّ و موسى و هارون،بغداديّ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الشّيخ في رجاله من أصحاب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،مضيفا إلى ما في العنوان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زوال</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كالقاضي ابن البرّاج في المهذّب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،و ابن حمزة في الوسيلة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 الهداية للمرغيناني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2:304</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مراده الحديث الّذي رواه أبو داود المتقدّم في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لم نجد رواية عن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متقدّمة بهذا الخصوص</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يحصل</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تكرار</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الخزف</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شعبة</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الخزف</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ليستطب بثلاثة أحجار</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في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يغسل</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في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2:117</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الحديث في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نجس</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الاستنجاء</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،فتح الوهّاب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 xml:space="preserve">، المهذّب للشّيرازي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2:118</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عليّ بن عمر بن أحمد بن مهديّ البغداديّ الدّارقطنيّ،نسبة إلى دار القطن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محلّة ببغداد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السّنن،و العلل،و الافراد،روى عن البغويّ و ابن أبي داود و ابن صاعد،و روى عنه الحاكم،و أبو حامد الاسفرائينيّ،و أبو نعيم الأصفهاني،و غيرهم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ارتحل في كهولته إلى مصر و الشّام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مات سنة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3:991</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2:167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الحفّاظ للسّيوطي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3:116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رويفع بن ثابت بن سكن بن عديّ من بني مالك بن النّجار،روى عن النّبيّ 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روى عنه بشر بن عبيد اللّه الحضرميّ و حنش الصّنعاني،مات ببرقة و هو أمير عليها من قبل مسلمة بن مخلّد سنة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ليث بن البختريّ المراديّ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أو أبو يحيى،و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بصير الأصغر،عدّه الشّيخ في رجاله تارة من أصحاب الباقر عليه السّلام،و اخرى من أصحاب الصّادق عليه السّلام و ثالثة من أصحاب الكاظم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عدّه الكشّي ممّن أجمعت العصابة على تصديقه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فبقي</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استجمر</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2:118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xml:space="preserve">، ميزان الكبرى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2:102</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،إلاّ انّ في الأربعة الأخيرة قيّدوه بالتعدّي عن المخرج</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بالاستجمار</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ذلك من الشّرائع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يابسا</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2:127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الإجزاء</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8429</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الفهّامة هامش تبيين الحقائق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في الجميع</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2:127</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2:129</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3:185</w:t>
      </w:r>
      <w:r>
        <w:rPr>
          <w:rFonts w:ascii="IRNazanin" w:hAnsi="IRNazanin" w:eastAsia="IRNazanin"/>
          <w:b w:val="false"/>
          <w:b w:val="false"/>
          <w:bCs w:val="false"/>
          <w:i w:val="false"/>
          <w:i w:val="false"/>
          <w:iCs w:val="false"/>
          <w:color w:val="333333"/>
          <w:sz w:val="20"/>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9:310</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السّواك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السّواك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السّواك 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السّواك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السّواك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السّواك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السّواك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السّواك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السّواك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السّواك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السّواك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معلّى بن خنيس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 مولى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قبله كان مولى بني أسد،كوفيّ بزّاز ضعيف جدّا، عدّه الشّيخ من أصحاب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وصفه المصنّف بالعدالة لما روي من كتاب الغيبة بأنّه كان محمودا عند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وردت أخبار كثيرة في مدحه و قدحه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3:230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السّواك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أضفناه من المصدر</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السّواك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بخر الفم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أنتنت ريحه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xml:space="preserve">،فتح الوهّاب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1677</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2:203</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الخطّاب بن نفيل بن عبد العزّى بن رياح،روى عن النّبيّ و أبي بكر و أبي بن كعب،و روى عنه أولاده و عثمان و سعد بن أبي وقّاص و طلحة بن عبيد اللّه و عبد الرّحمن بن عوف و غيرهم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قتل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2:518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الانصاف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السّواك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مبدّلك</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xml:space="preserve">،منار السّبيل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،فتح الوهّاب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السّواك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السّواك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السّواك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السّواك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السّواك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اختلفوا</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3:185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3:185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التّاسع</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7:199</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العاشر</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،سبل السّلام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،شرح الزّرقاني على موطّإ مالك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،مقدّمات ابن رشد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،سبل السّلام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المهذّب للشّيرازي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،فتح الوهّاب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xml:space="preserve">،شرح الزّرقاني على موطّإ مالك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،سبل السّلام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6:112</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،أحكام القرآن لابن العربي </w:t>
      </w:r>
      <w:r>
        <w:rPr>
          <w:rFonts w:eastAsia="IRNazanin" w:cs="IRNazanin"/>
          <w:b w:val="false"/>
          <w:bCs w:val="false"/>
          <w:i w:val="false"/>
          <w:iCs w:val="false"/>
          <w:color w:val="333333"/>
          <w:sz w:val="20"/>
          <w:szCs w:val="20"/>
        </w:rPr>
        <w:t>2:559</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ليست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 و القول فيه في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،و</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باتت</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بسكون الميم و ضمّها و فتحها يقال لمزدلفة،إمّا لأنّ النّاس يجتمعون بها،و إمّا لأنّ آدم اجتمع هناك بحوّاء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الحديثان في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الرّواية في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المهراس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صخرة منقورة تسع كثيرا من 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5:259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1:167</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11:157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1:167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1:167</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1060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1073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1075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الأنسب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1:167</w:t>
      </w:r>
      <w:r>
        <w:rPr>
          <w:rFonts w:ascii="IRNazanin" w:hAnsi="IRNazanin" w:eastAsia="IRNazanin"/>
          <w:b w:val="false"/>
          <w:b w:val="false"/>
          <w:bCs w:val="false"/>
          <w:i w:val="false"/>
          <w:i w:val="false"/>
          <w:iCs w:val="false"/>
          <w:color w:val="333333"/>
          <w:sz w:val="20"/>
          <w:sz w:val="20"/>
          <w:szCs w:val="20"/>
          <w:rtl w:val="true"/>
        </w:rPr>
        <w:t xml:space="preserve">،سبل السّلام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1:176</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،سبل السّلام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الحسن بن محمّد بن الصّباح الزّعفراني صاحب الشّافعيّ ببغداد،روى عنه كتابه القديم،له مصنّفات،روى عنه الجماعة سوى مسلم،مات سنة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2:525</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الحفّاظ للسّيوطي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قولهم في صفحة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11:157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نفس المصادر</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نفس المصادر</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رواه بتفاوت في سنن ابن ماجه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بهذا اللّفظ في الوسائل </w:t>
      </w:r>
      <w:r>
        <w:rPr>
          <w:rFonts w:eastAsia="IRNazanin" w:cs="IRNazanin"/>
          <w:b w:val="false"/>
          <w:bCs w:val="false"/>
          <w:i w:val="false"/>
          <w:iCs w:val="false"/>
          <w:color w:val="333333"/>
          <w:sz w:val="20"/>
          <w:szCs w:val="20"/>
        </w:rPr>
        <w:t>11:295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كثير الهاشميّ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عبّاس بن محمّد بن عليّ بن عبد اللّه بن العبّاس،كان ضعيفا،غمز أصحابنا عليه،و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يضع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مقدّمات ابن رشد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11:157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،منار السّبيل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11:157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11:157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11:157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8:126</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6:137</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 الحضرميّ الكوفيّ سمع من أبي الطّفيل،عدّه الشّيخ في رجاله من أصحاب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الكشّي له مناظرة جرت مع زيد بن عليّ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في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بن سعدان الحنّاط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بالحاء المهملة و النّون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الخيّاط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بالخاء المعجمة و الياء المثنّاة التحتانيّة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كوفيّ، ضعيف في الحديث،في مذهبه غلوّ،روى عن أبي الحسن موسى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26595</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بركة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سعيد الحلبيّ،روى عن يوسف بن أسباط و الوليد بن مسلم و أهل الشّام،ضعّفه ابن حبّان،و الدّارقطني،و الذّهبي و ابن حجر،و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كان يسرق و يضع الحديث و ربّما قلبه،متّهم بالكذب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المجروحين لابن حبّان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،الضّعفاء و المتروكين لابن الجوزي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بن وجيه الرّاسبيّ البصريّ،روى عن مالك بن دينار،و روى عنه زيد بن الحبّاب و مسلم بن إبراهيم و أبو سلمة و أبو عمر الحوضي و المقدمي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1:445</w:t>
      </w:r>
      <w:r>
        <w:rPr>
          <w:rFonts w:ascii="IRNazanin" w:hAnsi="IRNazanin" w:eastAsia="IRNazanin"/>
          <w:b w:val="false"/>
          <w:b w:val="false"/>
          <w:bCs w:val="false"/>
          <w:i w:val="false"/>
          <w:i w:val="false"/>
          <w:iCs w:val="false"/>
          <w:color w:val="333333"/>
          <w:sz w:val="20"/>
          <w:sz w:val="20"/>
          <w:szCs w:val="20"/>
          <w:rtl w:val="true"/>
        </w:rPr>
        <w:t xml:space="preserve">،المجروحين لابن حبّان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الصّغير للبخاري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1:445</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،الضّعفاء و المتروكين لابن الجوزي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بكونهما ظاهرين باطنين</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الأنف</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باليمين،و الاستنشاق باليسار</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7:199</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جوانب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جوانب فمه</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الدّرن</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الدّماغ</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،فتح الوهّاب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أو أبو عبد اللّه طلحة بن مصرف بن كعب بن عمرو بن جحدب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اليامي سمع أنس بن مالك و عبد اللّه بن أبي أوفى و سعيد بن جبير،و روى عنه منصور بن المعتمر و ابنه محمّد بن طلحة و عبد الملك بن أبجر و الزّبير بن 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رجال الصّحيحين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4:473</w:t>
      </w:r>
      <w:r>
        <w:rPr>
          <w:rFonts w:ascii="IRNazanin" w:hAnsi="IRNazanin" w:eastAsia="IRNazanin"/>
          <w:b w:val="false"/>
          <w:b w:val="false"/>
          <w:bCs w:val="false"/>
          <w:i w:val="false"/>
          <w:i w:val="false"/>
          <w:iCs w:val="false"/>
          <w:color w:val="333333"/>
          <w:sz w:val="20"/>
          <w:sz w:val="20"/>
          <w:szCs w:val="20"/>
          <w:rtl w:val="true"/>
        </w:rPr>
        <w:t xml:space="preserve">،سبل السّلام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،سبل السّلام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الرّواية في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أذكى</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زيد بن عاصم بن كعب بن عمرو بن عوف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الأنصاريّ المازنيّ،أبو محمّد،و يعرف بابن أمّ عمارة،روى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ابن أخيه عبّاد بن تميم و يحيى بن عمارة و سعيد بن المسيّب و غيرهم،قيل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قتل يوم الحرّة سنة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بهامشها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الحديثان في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بأقلّ ما</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الجميع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الدّهن</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حفص المروزي لم يتعرّض له أكثر علماء الرّجال،كذا قال المامقاني،و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كان من علماء خراسان و باحث مع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له مكاتبات إلى الجواد و الهادي و العسكريّ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 العقود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 xml:space="preserve">،فتح الوهّاب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تقدّم الحديث في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إسحاق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إسحاق النّهاونديّ الأحمريّ أو الأحمر،عدّه الشّيخ في رجاله في باب من لم يرو عن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في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ضعيفا في حديثه متّهما في دينه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ضعيف</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حنّان بن سدير بن صهيب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الفضل الصّيرفيّ،كوفيّ،روى عن أبي عبد اللّه و أبي الحسن عليهما السّلام،قاله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الشّيخ في رجاله من أصحاب 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في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الكرابيس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كرباس،و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حمران النّهديّ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جعفر،كوفيّ الأصل ثقة من أصحاب أبي عبد اللّه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الأقذاء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قذيّ،و القذيّ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قذاة،و هو ما يقع في العين و الماء و الشّراب من تراب أو تبن أو وسخ أو غير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ذيل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يحسن</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مجنا</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مجنا،الوسائل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يعرف</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 آدابها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 آدابها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 آدابها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 آدابها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 آدابها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الأنسب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مخبأ</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 آدابها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بن بكر الواسطيّ،عدّه الشّيخ في رجاله تارة من أصحاب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اخرى من أصحاب 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أصله كوفيّ،واقفيّ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قال المصنّف في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الرّحيم القصير،عدّه الشّيخ في رجاله تارة من أصحاب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بعنوان عبد الرّحيم بن روح القصير الأسديّ،كوفيّ روى عنهما و بقي بعد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اخرى من أصحاب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الرّحيم القصير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استظهر المامقاني اتحادهما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ذيل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التمشيط</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تدلّك</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بياض شعر الرأس يخالطه سواده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3:1138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2:612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image" Target="media/image2.jpeg"/><Relationship Id="rId417" Type="http://schemas.openxmlformats.org/officeDocument/2006/relationships/image" Target="media/image2.jpeg"/><Relationship Id="rId418" Type="http://schemas.openxmlformats.org/officeDocument/2006/relationships/footer" Target="footer411.xml"/><Relationship Id="rId419" Type="http://schemas.openxmlformats.org/officeDocument/2006/relationships/footnotes" Target="footnotes.xml"/><Relationship Id="rId420" Type="http://schemas.openxmlformats.org/officeDocument/2006/relationships/numbering" Target="numbering.xml"/><Relationship Id="rId421" Type="http://schemas.openxmlformats.org/officeDocument/2006/relationships/fontTable" Target="fontTable.xml"/><Relationship Id="rId422" Type="http://schemas.openxmlformats.org/officeDocument/2006/relationships/settings" Target="settings.xml"/><Relationship Id="rId4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424</Pages>
  <Words>12982</Words>
  <Characters>58473</Characters>
  <CharactersWithSpaces>70870</CharactersWithSpaces>
  <Paragraphs>662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2026-08-23T16:26:44Z</dcterms:created>
  <dc:creator>ghaemiyeh.com</dc:creator>
  <dc:description/>
  <dc:language>en-US</dc:language>
  <cp:lastModifiedBy/>
  <dcterms:modified xsi:type="dcterms:W3CDTF">2026-08-23T19:57:05Z</dcterms:modified>
  <cp:revision>1</cp:revision>
  <dc:subject/>
  <dc:title>منتهی المطلب ط - الحدیثة جلد 1</dc:title>
</cp:coreProperties>
</file>

<file path=docProps/custom.xml><?xml version="1.0" encoding="utf-8"?>
<Properties xmlns="http://schemas.openxmlformats.org/officeDocument/2006/custom-properties" xmlns:vt="http://schemas.openxmlformats.org/officeDocument/2006/docPropsVTypes"/>
</file>