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96921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696923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696925_73709187">
            <w:r>
              <w:rPr>
                <w:webHidden/>
                <w:rStyle w:val="IndexLink"/>
                <w:rtl w:val="true"/>
              </w:rPr>
              <w:t>أحكام المواقيت</w:t>
            </w:r>
            <w:r>
              <w:rPr>
                <w:rStyle w:val="IndexLink"/>
                <w:rtl w:val="true"/>
              </w:rPr>
              <w:tab/>
            </w:r>
            <w:r>
              <w:rPr>
                <w:rStyle w:val="IndexLink"/>
              </w:rPr>
              <w:t>12</w:t>
            </w:r>
          </w:hyperlink>
        </w:p>
        <w:p>
          <w:pPr>
            <w:pStyle w:val="Contents2"/>
            <w:tabs>
              <w:tab w:val="clear" w:pos="8743"/>
              <w:tab w:val="right" w:pos="9026" w:leader="dot"/>
            </w:tabs>
            <w:rPr/>
          </w:pPr>
          <w:hyperlink w:anchor="__RefHeading___Toc10696927_73709187">
            <w:r>
              <w:rPr>
                <w:webHidden/>
                <w:rStyle w:val="IndexLink"/>
                <w:rtl w:val="true"/>
              </w:rPr>
              <w:t>نذر الإحرام قبل الميقات</w:t>
            </w:r>
            <w:r>
              <w:rPr>
                <w:rStyle w:val="IndexLink"/>
                <w:rtl w:val="true"/>
              </w:rPr>
              <w:tab/>
            </w:r>
            <w:r>
              <w:rPr>
                <w:rStyle w:val="IndexLink"/>
              </w:rPr>
              <w:t>14</w:t>
            </w:r>
          </w:hyperlink>
        </w:p>
        <w:p>
          <w:pPr>
            <w:pStyle w:val="Contents2"/>
            <w:tabs>
              <w:tab w:val="clear" w:pos="8743"/>
              <w:tab w:val="right" w:pos="9026" w:leader="dot"/>
            </w:tabs>
            <w:rPr/>
          </w:pPr>
          <w:hyperlink w:anchor="__RefHeading___Toc10696929_73709187">
            <w:r>
              <w:rPr>
                <w:webHidden/>
                <w:rStyle w:val="IndexLink"/>
                <w:rtl w:val="true"/>
              </w:rPr>
              <w:t>فروع</w:t>
            </w:r>
            <w:r>
              <w:rPr>
                <w:rStyle w:val="IndexLink"/>
                <w:rtl w:val="true"/>
              </w:rPr>
              <w:t>:</w:t>
              <w:tab/>
            </w:r>
            <w:r>
              <w:rPr>
                <w:rStyle w:val="IndexLink"/>
              </w:rPr>
              <w:t>18</w:t>
            </w:r>
          </w:hyperlink>
        </w:p>
        <w:p>
          <w:pPr>
            <w:pStyle w:val="Contents2"/>
            <w:tabs>
              <w:tab w:val="clear" w:pos="8743"/>
              <w:tab w:val="right" w:pos="9026" w:leader="dot"/>
            </w:tabs>
            <w:rPr/>
          </w:pPr>
          <w:hyperlink w:anchor="__RefHeading___Toc10696931_73709187">
            <w:r>
              <w:rPr>
                <w:webHidden/>
                <w:rStyle w:val="IndexLink"/>
                <w:rtl w:val="true"/>
              </w:rPr>
              <w:t>الإحرام قبل الميقات لإدراك عُمرة رجب</w:t>
            </w:r>
            <w:r>
              <w:rPr>
                <w:rStyle w:val="IndexLink"/>
                <w:rtl w:val="true"/>
              </w:rPr>
              <w:tab/>
            </w:r>
            <w:r>
              <w:rPr>
                <w:rStyle w:val="IndexLink"/>
              </w:rPr>
              <w:t>22</w:t>
            </w:r>
          </w:hyperlink>
        </w:p>
        <w:p>
          <w:pPr>
            <w:pStyle w:val="Contents2"/>
            <w:tabs>
              <w:tab w:val="clear" w:pos="8743"/>
              <w:tab w:val="right" w:pos="9026" w:leader="dot"/>
            </w:tabs>
            <w:rPr/>
          </w:pPr>
          <w:hyperlink w:anchor="__RefHeading___Toc10696933_73709187">
            <w:r>
              <w:rPr>
                <w:webHidden/>
                <w:rStyle w:val="IndexLink"/>
                <w:rtl w:val="true"/>
              </w:rPr>
              <w:t>التجاوز عن الميقات بلا إحرام</w:t>
            </w:r>
            <w:r>
              <w:rPr>
                <w:rStyle w:val="IndexLink"/>
                <w:rtl w:val="true"/>
              </w:rPr>
              <w:tab/>
            </w:r>
            <w:r>
              <w:rPr>
                <w:rStyle w:val="IndexLink"/>
              </w:rPr>
              <w:t>24</w:t>
            </w:r>
          </w:hyperlink>
        </w:p>
        <w:p>
          <w:pPr>
            <w:pStyle w:val="Contents2"/>
            <w:tabs>
              <w:tab w:val="clear" w:pos="8743"/>
              <w:tab w:val="right" w:pos="9026" w:leader="dot"/>
            </w:tabs>
            <w:rPr/>
          </w:pPr>
          <w:hyperlink w:anchor="__RefHeading___Toc10696935_73709187">
            <w:r>
              <w:rPr>
                <w:webHidden/>
                <w:rStyle w:val="IndexLink"/>
                <w:rtl w:val="true"/>
              </w:rPr>
              <w:t>لو تعذّر الإحرام من الميقات</w:t>
            </w:r>
            <w:r>
              <w:rPr>
                <w:rStyle w:val="IndexLink"/>
                <w:rtl w:val="true"/>
              </w:rPr>
              <w:tab/>
            </w:r>
            <w:r>
              <w:rPr>
                <w:rStyle w:val="IndexLink"/>
              </w:rPr>
              <w:t>26</w:t>
            </w:r>
          </w:hyperlink>
        </w:p>
        <w:p>
          <w:pPr>
            <w:pStyle w:val="Contents2"/>
            <w:tabs>
              <w:tab w:val="clear" w:pos="8743"/>
              <w:tab w:val="right" w:pos="9026" w:leader="dot"/>
            </w:tabs>
            <w:rPr/>
          </w:pPr>
          <w:hyperlink w:anchor="__RefHeading___Toc10696937_73709187">
            <w:r>
              <w:rPr>
                <w:webHidden/>
                <w:rStyle w:val="IndexLink"/>
                <w:rtl w:val="true"/>
              </w:rPr>
              <w:t>في حكم تأخير الإحرام من الميقات</w:t>
            </w:r>
            <w:r>
              <w:rPr>
                <w:rStyle w:val="IndexLink"/>
                <w:rtl w:val="true"/>
              </w:rPr>
              <w:tab/>
            </w:r>
            <w:r>
              <w:rPr>
                <w:rStyle w:val="IndexLink"/>
              </w:rPr>
              <w:t>29</w:t>
            </w:r>
          </w:hyperlink>
        </w:p>
        <w:p>
          <w:pPr>
            <w:pStyle w:val="Contents2"/>
            <w:tabs>
              <w:tab w:val="clear" w:pos="8743"/>
              <w:tab w:val="right" w:pos="9026" w:leader="dot"/>
            </w:tabs>
            <w:rPr/>
          </w:pPr>
          <w:hyperlink w:anchor="__RefHeading___Toc10696939_73709187">
            <w:r>
              <w:rPr>
                <w:webHidden/>
                <w:rStyle w:val="IndexLink"/>
                <w:rtl w:val="true"/>
              </w:rPr>
              <w:t>لو ترك الإحرام من الميقات ناسياً أو جاهلاً</w:t>
            </w:r>
            <w:r>
              <w:rPr>
                <w:rStyle w:val="IndexLink"/>
                <w:rtl w:val="true"/>
              </w:rPr>
              <w:tab/>
            </w:r>
            <w:r>
              <w:rPr>
                <w:rStyle w:val="IndexLink"/>
              </w:rPr>
              <w:t>33</w:t>
            </w:r>
          </w:hyperlink>
        </w:p>
        <w:p>
          <w:pPr>
            <w:pStyle w:val="Contents2"/>
            <w:tabs>
              <w:tab w:val="clear" w:pos="8743"/>
              <w:tab w:val="right" w:pos="9026" w:leader="dot"/>
            </w:tabs>
            <w:rPr/>
          </w:pPr>
          <w:hyperlink w:anchor="__RefHeading___Toc10696941_73709187">
            <w:r>
              <w:rPr>
                <w:webHidden/>
                <w:rStyle w:val="IndexLink"/>
                <w:rtl w:val="true"/>
              </w:rPr>
              <w:t>لو ترك الإحرام عن عُذر</w:t>
            </w:r>
            <w:r>
              <w:rPr>
                <w:rStyle w:val="IndexLink"/>
                <w:rtl w:val="true"/>
              </w:rPr>
              <w:tab/>
            </w:r>
            <w:r>
              <w:rPr>
                <w:rStyle w:val="IndexLink"/>
              </w:rPr>
              <w:t>39</w:t>
            </w:r>
          </w:hyperlink>
        </w:p>
        <w:p>
          <w:pPr>
            <w:pStyle w:val="Contents2"/>
            <w:tabs>
              <w:tab w:val="clear" w:pos="8743"/>
              <w:tab w:val="right" w:pos="9026" w:leader="dot"/>
            </w:tabs>
            <w:rPr/>
          </w:pPr>
          <w:hyperlink w:anchor="__RefHeading___Toc10696943_73709187">
            <w:r>
              <w:rPr>
                <w:webHidden/>
                <w:rStyle w:val="IndexLink"/>
                <w:rtl w:val="true"/>
              </w:rPr>
              <w:t>لو نسي المتمتّع الإحرام للحجّ‌</w:t>
            </w:r>
            <w:r>
              <w:rPr>
                <w:rStyle w:val="IndexLink"/>
                <w:rtl w:val="true"/>
              </w:rPr>
              <w:tab/>
            </w:r>
            <w:r>
              <w:rPr>
                <w:rStyle w:val="IndexLink"/>
              </w:rPr>
              <w:t>41</w:t>
            </w:r>
          </w:hyperlink>
        </w:p>
        <w:p>
          <w:pPr>
            <w:pStyle w:val="Contents2"/>
            <w:tabs>
              <w:tab w:val="clear" w:pos="8743"/>
              <w:tab w:val="right" w:pos="9026" w:leader="dot"/>
            </w:tabs>
            <w:rPr/>
          </w:pPr>
          <w:hyperlink w:anchor="__RefHeading___Toc10696945_73709187">
            <w:r>
              <w:rPr>
                <w:webHidden/>
                <w:rStyle w:val="IndexLink"/>
                <w:rtl w:val="true"/>
              </w:rPr>
              <w:t>حقيقة الإحرام</w:t>
            </w:r>
            <w:r>
              <w:rPr>
                <w:rStyle w:val="IndexLink"/>
                <w:rtl w:val="true"/>
              </w:rPr>
              <w:tab/>
            </w:r>
            <w:r>
              <w:rPr>
                <w:rStyle w:val="IndexLink"/>
              </w:rPr>
              <w:t>45</w:t>
            </w:r>
          </w:hyperlink>
        </w:p>
        <w:p>
          <w:pPr>
            <w:pStyle w:val="Contents2"/>
            <w:tabs>
              <w:tab w:val="clear" w:pos="8743"/>
              <w:tab w:val="right" w:pos="9026" w:leader="dot"/>
            </w:tabs>
            <w:rPr/>
          </w:pPr>
          <w:hyperlink w:anchor="__RefHeading___Toc10696947_73709187">
            <w:r>
              <w:rPr>
                <w:webHidden/>
                <w:rStyle w:val="IndexLink"/>
                <w:rtl w:val="true"/>
              </w:rPr>
              <w:t>من واجبات الإحرام النيّة</w:t>
            </w:r>
            <w:r>
              <w:rPr>
                <w:rStyle w:val="IndexLink"/>
                <w:rtl w:val="true"/>
              </w:rPr>
              <w:tab/>
            </w:r>
            <w:r>
              <w:rPr>
                <w:rStyle w:val="IndexLink"/>
              </w:rPr>
              <w:t>53</w:t>
            </w:r>
          </w:hyperlink>
        </w:p>
        <w:p>
          <w:pPr>
            <w:pStyle w:val="Contents2"/>
            <w:tabs>
              <w:tab w:val="clear" w:pos="8743"/>
              <w:tab w:val="right" w:pos="9026" w:leader="dot"/>
            </w:tabs>
            <w:rPr/>
          </w:pPr>
          <w:hyperlink w:anchor="__RefHeading___Toc10696949_73709187">
            <w:r>
              <w:rPr>
                <w:webHidden/>
                <w:rStyle w:val="IndexLink"/>
                <w:rtl w:val="true"/>
              </w:rPr>
              <w:t>تعيين الإحرام في النيّة</w:t>
            </w:r>
            <w:r>
              <w:rPr>
                <w:rStyle w:val="IndexLink"/>
                <w:rtl w:val="true"/>
              </w:rPr>
              <w:tab/>
            </w:r>
            <w:r>
              <w:rPr>
                <w:rStyle w:val="IndexLink"/>
              </w:rPr>
              <w:t>55</w:t>
            </w:r>
          </w:hyperlink>
        </w:p>
        <w:p>
          <w:pPr>
            <w:pStyle w:val="Contents2"/>
            <w:tabs>
              <w:tab w:val="clear" w:pos="8743"/>
              <w:tab w:val="right" w:pos="9026" w:leader="dot"/>
            </w:tabs>
            <w:rPr/>
          </w:pPr>
          <w:hyperlink w:anchor="__RefHeading___Toc10696951_73709187">
            <w:r>
              <w:rPr>
                <w:webHidden/>
                <w:rStyle w:val="IndexLink"/>
                <w:rtl w:val="true"/>
              </w:rPr>
              <w:t>استدامة النيّة</w:t>
            </w:r>
            <w:r>
              <w:rPr>
                <w:rStyle w:val="IndexLink"/>
                <w:rtl w:val="true"/>
              </w:rPr>
              <w:tab/>
            </w:r>
            <w:r>
              <w:rPr>
                <w:rStyle w:val="IndexLink"/>
              </w:rPr>
              <w:t>59</w:t>
            </w:r>
          </w:hyperlink>
        </w:p>
        <w:p>
          <w:pPr>
            <w:pStyle w:val="Contents2"/>
            <w:tabs>
              <w:tab w:val="clear" w:pos="8743"/>
              <w:tab w:val="right" w:pos="9026" w:leader="dot"/>
            </w:tabs>
            <w:rPr/>
          </w:pPr>
          <w:hyperlink w:anchor="__RefHeading___Toc10696953_73709187">
            <w:r>
              <w:rPr>
                <w:webHidden/>
                <w:rStyle w:val="IndexLink"/>
                <w:rtl w:val="true"/>
              </w:rPr>
              <w:t>لو أحرم بنُسُكٍ ثمّ نَسيه</w:t>
            </w:r>
            <w:r>
              <w:rPr>
                <w:rStyle w:val="IndexLink"/>
                <w:rtl w:val="true"/>
              </w:rPr>
              <w:tab/>
            </w:r>
            <w:r>
              <w:rPr>
                <w:rStyle w:val="IndexLink"/>
              </w:rPr>
              <w:t>60</w:t>
            </w:r>
          </w:hyperlink>
        </w:p>
        <w:p>
          <w:pPr>
            <w:pStyle w:val="Contents2"/>
            <w:tabs>
              <w:tab w:val="clear" w:pos="8743"/>
              <w:tab w:val="right" w:pos="9026" w:leader="dot"/>
            </w:tabs>
            <w:rPr/>
          </w:pPr>
          <w:hyperlink w:anchor="__RefHeading___Toc10696955_73709187">
            <w:r>
              <w:rPr>
                <w:webHidden/>
                <w:rStyle w:val="IndexLink"/>
                <w:rtl w:val="true"/>
              </w:rPr>
              <w:t>عدم كفاية نيّة واحدة للعمرة والحَجّ‌</w:t>
            </w:r>
            <w:r>
              <w:rPr>
                <w:rStyle w:val="IndexLink"/>
                <w:rtl w:val="true"/>
              </w:rPr>
              <w:tab/>
            </w:r>
            <w:r>
              <w:rPr>
                <w:rStyle w:val="IndexLink"/>
              </w:rPr>
              <w:t>65</w:t>
            </w:r>
          </w:hyperlink>
        </w:p>
        <w:p>
          <w:pPr>
            <w:pStyle w:val="Contents2"/>
            <w:tabs>
              <w:tab w:val="clear" w:pos="8743"/>
              <w:tab w:val="right" w:pos="9026" w:leader="dot"/>
            </w:tabs>
            <w:rPr/>
          </w:pPr>
          <w:hyperlink w:anchor="__RefHeading___Toc10696957_73709187">
            <w:r>
              <w:rPr>
                <w:webHidden/>
                <w:rStyle w:val="IndexLink"/>
                <w:rtl w:val="true"/>
              </w:rPr>
              <w:t>حكم النيّة المُبهمة</w:t>
            </w:r>
            <w:r>
              <w:rPr>
                <w:rStyle w:val="IndexLink"/>
                <w:rtl w:val="true"/>
              </w:rPr>
              <w:tab/>
            </w:r>
            <w:r>
              <w:rPr>
                <w:rStyle w:val="IndexLink"/>
              </w:rPr>
              <w:t>69</w:t>
            </w:r>
          </w:hyperlink>
        </w:p>
        <w:p>
          <w:pPr>
            <w:pStyle w:val="Contents2"/>
            <w:tabs>
              <w:tab w:val="clear" w:pos="8743"/>
              <w:tab w:val="right" w:pos="9026" w:leader="dot"/>
            </w:tabs>
            <w:rPr/>
          </w:pPr>
          <w:hyperlink w:anchor="__RefHeading___Toc10696959_73709187">
            <w:r>
              <w:rPr>
                <w:webHidden/>
                <w:rStyle w:val="IndexLink"/>
                <w:rtl w:val="true"/>
              </w:rPr>
              <w:t>اشتراط الإحلال</w:t>
            </w:r>
            <w:r>
              <w:rPr>
                <w:rStyle w:val="IndexLink"/>
                <w:rtl w:val="true"/>
              </w:rPr>
              <w:tab/>
            </w:r>
            <w:r>
              <w:rPr>
                <w:rStyle w:val="IndexLink"/>
              </w:rPr>
              <w:t>71</w:t>
            </w:r>
          </w:hyperlink>
        </w:p>
        <w:p>
          <w:pPr>
            <w:pStyle w:val="Contents2"/>
            <w:tabs>
              <w:tab w:val="clear" w:pos="8743"/>
              <w:tab w:val="right" w:pos="9026" w:leader="dot"/>
            </w:tabs>
            <w:rPr/>
          </w:pPr>
          <w:hyperlink w:anchor="__RefHeading___Toc10696961_73709187">
            <w:r>
              <w:rPr>
                <w:webHidden/>
                <w:rStyle w:val="IndexLink"/>
                <w:rtl w:val="true"/>
              </w:rPr>
              <w:t>استحباب التلفّظ بالنيّة</w:t>
            </w:r>
            <w:r>
              <w:rPr>
                <w:rStyle w:val="IndexLink"/>
                <w:rtl w:val="true"/>
              </w:rPr>
              <w:tab/>
            </w:r>
            <w:r>
              <w:rPr>
                <w:rStyle w:val="IndexLink"/>
              </w:rPr>
              <w:t>79</w:t>
            </w:r>
          </w:hyperlink>
        </w:p>
        <w:p>
          <w:pPr>
            <w:pStyle w:val="Contents2"/>
            <w:tabs>
              <w:tab w:val="clear" w:pos="8743"/>
              <w:tab w:val="right" w:pos="9026" w:leader="dot"/>
            </w:tabs>
            <w:rPr/>
          </w:pPr>
          <w:hyperlink w:anchor="__RefHeading___Toc10696963_73709187">
            <w:r>
              <w:rPr>
                <w:webHidden/>
                <w:rStyle w:val="IndexLink"/>
                <w:rtl w:val="true"/>
              </w:rPr>
              <w:t>التلبيات الأربع</w:t>
            </w:r>
            <w:r>
              <w:rPr>
                <w:rStyle w:val="IndexLink"/>
                <w:rtl w:val="true"/>
              </w:rPr>
              <w:tab/>
            </w:r>
            <w:r>
              <w:rPr>
                <w:rStyle w:val="IndexLink"/>
              </w:rPr>
              <w:t>82</w:t>
            </w:r>
          </w:hyperlink>
        </w:p>
        <w:p>
          <w:pPr>
            <w:pStyle w:val="Contents2"/>
            <w:tabs>
              <w:tab w:val="clear" w:pos="8743"/>
              <w:tab w:val="right" w:pos="9026" w:leader="dot"/>
            </w:tabs>
            <w:rPr/>
          </w:pPr>
          <w:hyperlink w:anchor="__RefHeading___Toc10696965_73709187">
            <w:r>
              <w:rPr>
                <w:webHidden/>
                <w:rStyle w:val="IndexLink"/>
                <w:rtl w:val="true"/>
              </w:rPr>
              <w:t>ما ينعقد به إحرام القارن</w:t>
            </w:r>
            <w:r>
              <w:rPr>
                <w:rStyle w:val="IndexLink"/>
                <w:rtl w:val="true"/>
              </w:rPr>
              <w:tab/>
            </w:r>
            <w:r>
              <w:rPr>
                <w:rStyle w:val="IndexLink"/>
              </w:rPr>
              <w:t>85</w:t>
            </w:r>
          </w:hyperlink>
        </w:p>
        <w:p>
          <w:pPr>
            <w:pStyle w:val="Contents2"/>
            <w:tabs>
              <w:tab w:val="clear" w:pos="8743"/>
              <w:tab w:val="right" w:pos="9026" w:leader="dot"/>
            </w:tabs>
            <w:rPr/>
          </w:pPr>
          <w:hyperlink w:anchor="__RefHeading___Toc10696967_73709187">
            <w:r>
              <w:rPr>
                <w:webHidden/>
                <w:rStyle w:val="IndexLink"/>
                <w:rtl w:val="true"/>
              </w:rPr>
              <w:t>وجوب التلبية على نفس القارن</w:t>
            </w:r>
            <w:r>
              <w:rPr>
                <w:rStyle w:val="IndexLink"/>
                <w:rtl w:val="true"/>
              </w:rPr>
              <w:tab/>
            </w:r>
            <w:r>
              <w:rPr>
                <w:rStyle w:val="IndexLink"/>
              </w:rPr>
              <w:t>89</w:t>
            </w:r>
          </w:hyperlink>
        </w:p>
        <w:p>
          <w:pPr>
            <w:pStyle w:val="Contents2"/>
            <w:tabs>
              <w:tab w:val="clear" w:pos="8743"/>
              <w:tab w:val="right" w:pos="9026" w:leader="dot"/>
            </w:tabs>
            <w:rPr/>
          </w:pPr>
          <w:hyperlink w:anchor="__RefHeading___Toc10696969_73709187">
            <w:r>
              <w:rPr>
                <w:webHidden/>
                <w:rStyle w:val="IndexLink"/>
                <w:rtl w:val="true"/>
              </w:rPr>
              <w:t>مقارنة التلبية لنيّة الإحرام</w:t>
            </w:r>
            <w:r>
              <w:rPr>
                <w:rStyle w:val="IndexLink"/>
                <w:rtl w:val="true"/>
              </w:rPr>
              <w:tab/>
            </w:r>
            <w:r>
              <w:rPr>
                <w:rStyle w:val="IndexLink"/>
              </w:rPr>
              <w:t>92</w:t>
            </w:r>
          </w:hyperlink>
        </w:p>
        <w:p>
          <w:pPr>
            <w:pStyle w:val="Contents2"/>
            <w:tabs>
              <w:tab w:val="clear" w:pos="8743"/>
              <w:tab w:val="right" w:pos="9026" w:leader="dot"/>
            </w:tabs>
            <w:rPr/>
          </w:pPr>
          <w:hyperlink w:anchor="__RefHeading___Toc10696971_73709187">
            <w:r>
              <w:rPr>
                <w:webHidden/>
                <w:rStyle w:val="IndexLink"/>
                <w:rtl w:val="true"/>
              </w:rPr>
              <w:t>وقت التلبية</w:t>
            </w:r>
            <w:r>
              <w:rPr>
                <w:rStyle w:val="IndexLink"/>
                <w:rtl w:val="true"/>
              </w:rPr>
              <w:tab/>
            </w:r>
            <w:r>
              <w:rPr>
                <w:rStyle w:val="IndexLink"/>
              </w:rPr>
              <w:t>94</w:t>
            </w:r>
          </w:hyperlink>
        </w:p>
        <w:p>
          <w:pPr>
            <w:pStyle w:val="Contents2"/>
            <w:tabs>
              <w:tab w:val="clear" w:pos="8743"/>
              <w:tab w:val="right" w:pos="9026" w:leader="dot"/>
            </w:tabs>
            <w:rPr/>
          </w:pPr>
          <w:hyperlink w:anchor="__RefHeading___Toc10696973_73709187">
            <w:r>
              <w:rPr>
                <w:webHidden/>
                <w:rStyle w:val="IndexLink"/>
                <w:rtl w:val="true"/>
              </w:rPr>
              <w:t>الواجب من التلبية مرّة واحدة</w:t>
            </w:r>
            <w:r>
              <w:rPr>
                <w:rStyle w:val="IndexLink"/>
                <w:rtl w:val="true"/>
              </w:rPr>
              <w:tab/>
            </w:r>
            <w:r>
              <w:rPr>
                <w:rStyle w:val="IndexLink"/>
              </w:rPr>
              <w:t>100</w:t>
            </w:r>
          </w:hyperlink>
        </w:p>
        <w:p>
          <w:pPr>
            <w:pStyle w:val="Contents2"/>
            <w:tabs>
              <w:tab w:val="clear" w:pos="8743"/>
              <w:tab w:val="right" w:pos="9026" w:leader="dot"/>
            </w:tabs>
            <w:rPr/>
          </w:pPr>
          <w:hyperlink w:anchor="__RefHeading___Toc10696975_73709187">
            <w:r>
              <w:rPr>
                <w:webHidden/>
                <w:rStyle w:val="IndexLink"/>
                <w:rtl w:val="true"/>
              </w:rPr>
              <w:t>الجهر بالتلبية</w:t>
            </w:r>
            <w:r>
              <w:rPr>
                <w:rStyle w:val="IndexLink"/>
                <w:rtl w:val="true"/>
              </w:rPr>
              <w:tab/>
            </w:r>
            <w:r>
              <w:rPr>
                <w:rStyle w:val="IndexLink"/>
              </w:rPr>
              <w:t>102</w:t>
            </w:r>
          </w:hyperlink>
        </w:p>
        <w:p>
          <w:pPr>
            <w:pStyle w:val="Contents2"/>
            <w:tabs>
              <w:tab w:val="clear" w:pos="8743"/>
              <w:tab w:val="right" w:pos="9026" w:leader="dot"/>
            </w:tabs>
            <w:rPr/>
          </w:pPr>
          <w:hyperlink w:anchor="__RefHeading___Toc10696977_73709187">
            <w:r>
              <w:rPr>
                <w:webHidden/>
                <w:rStyle w:val="IndexLink"/>
                <w:rtl w:val="true"/>
              </w:rPr>
              <w:t>صورة التلبيات الأربع</w:t>
            </w:r>
            <w:r>
              <w:rPr>
                <w:rStyle w:val="IndexLink"/>
                <w:rtl w:val="true"/>
              </w:rPr>
              <w:tab/>
            </w:r>
            <w:r>
              <w:rPr>
                <w:rStyle w:val="IndexLink"/>
              </w:rPr>
              <w:t>105</w:t>
            </w:r>
          </w:hyperlink>
        </w:p>
        <w:p>
          <w:pPr>
            <w:pStyle w:val="Contents2"/>
            <w:tabs>
              <w:tab w:val="clear" w:pos="8743"/>
              <w:tab w:val="right" w:pos="9026" w:leader="dot"/>
            </w:tabs>
            <w:rPr/>
          </w:pPr>
          <w:hyperlink w:anchor="__RefHeading___Toc10696979_73709187">
            <w:r>
              <w:rPr>
                <w:webHidden/>
                <w:rStyle w:val="IndexLink"/>
                <w:rtl w:val="true"/>
              </w:rPr>
              <w:t>حُكم من لا يُحسِن التلبية</w:t>
            </w:r>
            <w:r>
              <w:rPr>
                <w:rStyle w:val="IndexLink"/>
                <w:rtl w:val="true"/>
              </w:rPr>
              <w:tab/>
            </w:r>
            <w:r>
              <w:rPr>
                <w:rStyle w:val="IndexLink"/>
              </w:rPr>
              <w:t>111</w:t>
            </w:r>
          </w:hyperlink>
        </w:p>
        <w:p>
          <w:pPr>
            <w:pStyle w:val="Contents2"/>
            <w:tabs>
              <w:tab w:val="clear" w:pos="8743"/>
              <w:tab w:val="right" w:pos="9026" w:leader="dot"/>
            </w:tabs>
            <w:rPr/>
          </w:pPr>
          <w:hyperlink w:anchor="__RefHeading___Toc10696981_73709187">
            <w:r>
              <w:rPr>
                <w:webHidden/>
                <w:rStyle w:val="IndexLink"/>
                <w:rtl w:val="true"/>
              </w:rPr>
              <w:t>مبدأ اشتقاق التلبية</w:t>
            </w:r>
            <w:r>
              <w:rPr>
                <w:rStyle w:val="IndexLink"/>
                <w:rtl w:val="true"/>
              </w:rPr>
              <w:tab/>
            </w:r>
            <w:r>
              <w:rPr>
                <w:rStyle w:val="IndexLink"/>
              </w:rPr>
              <w:t>116</w:t>
            </w:r>
          </w:hyperlink>
        </w:p>
        <w:p>
          <w:pPr>
            <w:pStyle w:val="Contents2"/>
            <w:tabs>
              <w:tab w:val="clear" w:pos="8743"/>
              <w:tab w:val="right" w:pos="9026" w:leader="dot"/>
            </w:tabs>
            <w:rPr/>
          </w:pPr>
          <w:hyperlink w:anchor="__RefHeading___Toc10696983_73709187">
            <w:r>
              <w:rPr>
                <w:webHidden/>
                <w:rStyle w:val="IndexLink"/>
                <w:rtl w:val="true"/>
              </w:rPr>
              <w:t>لبس الثوبين</w:t>
            </w:r>
            <w:r>
              <w:rPr>
                <w:rStyle w:val="IndexLink"/>
                <w:rtl w:val="true"/>
              </w:rPr>
              <w:tab/>
            </w:r>
            <w:r>
              <w:rPr>
                <w:rStyle w:val="IndexLink"/>
              </w:rPr>
              <w:t>119</w:t>
            </w:r>
          </w:hyperlink>
        </w:p>
        <w:p>
          <w:pPr>
            <w:pStyle w:val="Contents2"/>
            <w:tabs>
              <w:tab w:val="clear" w:pos="8743"/>
              <w:tab w:val="right" w:pos="9026" w:leader="dot"/>
            </w:tabs>
            <w:rPr/>
          </w:pPr>
          <w:hyperlink w:anchor="__RefHeading___Toc10696985_73709187">
            <w:r>
              <w:rPr>
                <w:webHidden/>
                <w:rStyle w:val="IndexLink"/>
                <w:rtl w:val="true"/>
              </w:rPr>
              <w:t>لبس الثوبين ليس شرطاً للصحّة</w:t>
            </w:r>
            <w:r>
              <w:rPr>
                <w:rStyle w:val="IndexLink"/>
                <w:rtl w:val="true"/>
              </w:rPr>
              <w:tab/>
            </w:r>
            <w:r>
              <w:rPr>
                <w:rStyle w:val="IndexLink"/>
              </w:rPr>
              <w:t>122</w:t>
            </w:r>
          </w:hyperlink>
        </w:p>
        <w:p>
          <w:pPr>
            <w:pStyle w:val="Contents2"/>
            <w:tabs>
              <w:tab w:val="clear" w:pos="8743"/>
              <w:tab w:val="right" w:pos="9026" w:leader="dot"/>
            </w:tabs>
            <w:rPr/>
          </w:pPr>
          <w:hyperlink w:anchor="__RefHeading___Toc10696987_73709187">
            <w:r>
              <w:rPr>
                <w:webHidden/>
                <w:rStyle w:val="IndexLink"/>
                <w:rtl w:val="true"/>
              </w:rPr>
              <w:t>كيفيّة لبس الثوبين</w:t>
            </w:r>
            <w:r>
              <w:rPr>
                <w:rStyle w:val="IndexLink"/>
                <w:rtl w:val="true"/>
              </w:rPr>
              <w:tab/>
            </w:r>
            <w:r>
              <w:rPr>
                <w:rStyle w:val="IndexLink"/>
              </w:rPr>
              <w:t>125</w:t>
            </w:r>
          </w:hyperlink>
        </w:p>
        <w:p>
          <w:pPr>
            <w:pStyle w:val="Contents2"/>
            <w:tabs>
              <w:tab w:val="clear" w:pos="8743"/>
              <w:tab w:val="right" w:pos="9026" w:leader="dot"/>
            </w:tabs>
            <w:rPr/>
          </w:pPr>
          <w:hyperlink w:anchor="__RefHeading___Toc10696989_73709187">
            <w:r>
              <w:rPr>
                <w:webHidden/>
                <w:rStyle w:val="IndexLink"/>
                <w:rtl w:val="true"/>
              </w:rPr>
              <w:t>الإحرام في القميص جاهلاً أو ناسياً</w:t>
            </w:r>
            <w:r>
              <w:rPr>
                <w:rStyle w:val="IndexLink"/>
                <w:rtl w:val="true"/>
              </w:rPr>
              <w:tab/>
            </w:r>
            <w:r>
              <w:rPr>
                <w:rStyle w:val="IndexLink"/>
              </w:rPr>
              <w:t>130</w:t>
            </w:r>
          </w:hyperlink>
        </w:p>
        <w:p>
          <w:pPr>
            <w:pStyle w:val="Contents2"/>
            <w:tabs>
              <w:tab w:val="clear" w:pos="8743"/>
              <w:tab w:val="right" w:pos="9026" w:leader="dot"/>
            </w:tabs>
            <w:rPr/>
          </w:pPr>
          <w:hyperlink w:anchor="__RefHeading___Toc10696991_73709187">
            <w:r>
              <w:rPr>
                <w:webHidden/>
                <w:rStyle w:val="IndexLink"/>
                <w:rtl w:val="true"/>
              </w:rPr>
              <w:t>استدامة لبس الثوبين</w:t>
            </w:r>
            <w:r>
              <w:rPr>
                <w:rStyle w:val="IndexLink"/>
                <w:rtl w:val="true"/>
              </w:rPr>
              <w:tab/>
            </w:r>
            <w:r>
              <w:rPr>
                <w:rStyle w:val="IndexLink"/>
              </w:rPr>
              <w:t>131</w:t>
            </w:r>
          </w:hyperlink>
        </w:p>
        <w:p>
          <w:pPr>
            <w:pStyle w:val="Contents2"/>
            <w:tabs>
              <w:tab w:val="clear" w:pos="8743"/>
              <w:tab w:val="right" w:pos="9026" w:leader="dot"/>
            </w:tabs>
            <w:rPr/>
          </w:pPr>
          <w:hyperlink w:anchor="__RefHeading___Toc10696993_73709187">
            <w:r>
              <w:rPr>
                <w:webHidden/>
                <w:rStyle w:val="IndexLink"/>
                <w:rtl w:val="true"/>
              </w:rPr>
              <w:t>حكم الزيادة على الثوبين</w:t>
            </w:r>
            <w:r>
              <w:rPr>
                <w:rStyle w:val="IndexLink"/>
                <w:rtl w:val="true"/>
              </w:rPr>
              <w:tab/>
            </w:r>
            <w:r>
              <w:rPr>
                <w:rStyle w:val="IndexLink"/>
              </w:rPr>
              <w:t>133</w:t>
            </w:r>
          </w:hyperlink>
        </w:p>
        <w:p>
          <w:pPr>
            <w:pStyle w:val="Contents2"/>
            <w:tabs>
              <w:tab w:val="clear" w:pos="8743"/>
              <w:tab w:val="right" w:pos="9026" w:leader="dot"/>
            </w:tabs>
            <w:rPr/>
          </w:pPr>
          <w:hyperlink w:anchor="__RefHeading___Toc10696995_73709187">
            <w:r>
              <w:rPr>
                <w:webHidden/>
                <w:rStyle w:val="IndexLink"/>
                <w:rtl w:val="true"/>
              </w:rPr>
              <w:t>اعتبار كون الثوب ممّا تصحّ فيه الصلاة</w:t>
            </w:r>
            <w:r>
              <w:rPr>
                <w:rStyle w:val="IndexLink"/>
                <w:rtl w:val="true"/>
              </w:rPr>
              <w:tab/>
            </w:r>
            <w:r>
              <w:rPr>
                <w:rStyle w:val="IndexLink"/>
              </w:rPr>
              <w:t>134</w:t>
            </w:r>
          </w:hyperlink>
        </w:p>
        <w:p>
          <w:pPr>
            <w:pStyle w:val="Contents2"/>
            <w:tabs>
              <w:tab w:val="clear" w:pos="8743"/>
              <w:tab w:val="right" w:pos="9026" w:leader="dot"/>
            </w:tabs>
            <w:rPr/>
          </w:pPr>
          <w:hyperlink w:anchor="__RefHeading___Toc10696997_73709187">
            <w:r>
              <w:rPr>
                <w:webHidden/>
                <w:rStyle w:val="IndexLink"/>
                <w:rtl w:val="true"/>
              </w:rPr>
              <w:t>اعتبار طهارة ثوبي الإحرام</w:t>
            </w:r>
            <w:r>
              <w:rPr>
                <w:rStyle w:val="IndexLink"/>
                <w:rtl w:val="true"/>
              </w:rPr>
              <w:tab/>
            </w:r>
            <w:r>
              <w:rPr>
                <w:rStyle w:val="IndexLink"/>
              </w:rPr>
              <w:t>136</w:t>
            </w:r>
          </w:hyperlink>
        </w:p>
        <w:p>
          <w:pPr>
            <w:pStyle w:val="Contents2"/>
            <w:tabs>
              <w:tab w:val="clear" w:pos="8743"/>
              <w:tab w:val="right" w:pos="9026" w:leader="dot"/>
            </w:tabs>
            <w:rPr/>
          </w:pPr>
          <w:hyperlink w:anchor="__RefHeading___Toc10696999_73709187">
            <w:r>
              <w:rPr>
                <w:webHidden/>
                <w:rStyle w:val="IndexLink"/>
                <w:rtl w:val="true"/>
              </w:rPr>
              <w:t>الإحرام في الثوب المغصوب والجلد والحرير</w:t>
            </w:r>
            <w:r>
              <w:rPr>
                <w:rStyle w:val="IndexLink"/>
                <w:rtl w:val="true"/>
              </w:rPr>
              <w:tab/>
            </w:r>
            <w:r>
              <w:rPr>
                <w:rStyle w:val="IndexLink"/>
              </w:rPr>
              <w:t>138</w:t>
            </w:r>
          </w:hyperlink>
        </w:p>
        <w:p>
          <w:pPr>
            <w:pStyle w:val="Contents2"/>
            <w:tabs>
              <w:tab w:val="clear" w:pos="8743"/>
              <w:tab w:val="right" w:pos="9026" w:leader="dot"/>
            </w:tabs>
            <w:rPr/>
          </w:pPr>
          <w:hyperlink w:anchor="__RefHeading___Toc10697001_73709187">
            <w:r>
              <w:rPr>
                <w:webHidden/>
                <w:rStyle w:val="IndexLink"/>
                <w:rtl w:val="true"/>
              </w:rPr>
              <w:t>إحرام النساء في الحرير</w:t>
            </w:r>
            <w:r>
              <w:rPr>
                <w:rStyle w:val="IndexLink"/>
                <w:rtl w:val="true"/>
              </w:rPr>
              <w:tab/>
            </w:r>
            <w:r>
              <w:rPr>
                <w:rStyle w:val="IndexLink"/>
              </w:rPr>
              <w:t>140</w:t>
            </w:r>
          </w:hyperlink>
        </w:p>
        <w:p>
          <w:pPr>
            <w:pStyle w:val="Contents2"/>
            <w:tabs>
              <w:tab w:val="clear" w:pos="8743"/>
              <w:tab w:val="right" w:pos="9026" w:leader="dot"/>
            </w:tabs>
            <w:rPr/>
          </w:pPr>
          <w:hyperlink w:anchor="__RefHeading___Toc10697003_73709187">
            <w:r>
              <w:rPr>
                <w:webHidden/>
                <w:rStyle w:val="IndexLink"/>
                <w:rtl w:val="true"/>
              </w:rPr>
              <w:t>الإحرام في القباء</w:t>
            </w:r>
            <w:r>
              <w:rPr>
                <w:rStyle w:val="IndexLink"/>
                <w:rtl w:val="true"/>
              </w:rPr>
              <w:tab/>
            </w:r>
            <w:r>
              <w:rPr>
                <w:rStyle w:val="IndexLink"/>
              </w:rPr>
              <w:t>146</w:t>
            </w:r>
          </w:hyperlink>
        </w:p>
        <w:p>
          <w:pPr>
            <w:pStyle w:val="Contents2"/>
            <w:tabs>
              <w:tab w:val="clear" w:pos="8743"/>
              <w:tab w:val="right" w:pos="9026" w:leader="dot"/>
            </w:tabs>
            <w:rPr/>
          </w:pPr>
          <w:hyperlink w:anchor="__RefHeading___Toc10697005_73709187">
            <w:r>
              <w:rPr>
                <w:webHidden/>
                <w:rStyle w:val="IndexLink"/>
                <w:rtl w:val="true"/>
              </w:rPr>
              <w:t>الإحرام في الثياب السود</w:t>
            </w:r>
            <w:r>
              <w:rPr>
                <w:rStyle w:val="IndexLink"/>
                <w:rtl w:val="true"/>
              </w:rPr>
              <w:tab/>
            </w:r>
            <w:r>
              <w:rPr>
                <w:rStyle w:val="IndexLink"/>
              </w:rPr>
              <w:t>151</w:t>
            </w:r>
          </w:hyperlink>
        </w:p>
        <w:p>
          <w:pPr>
            <w:pStyle w:val="Contents2"/>
            <w:tabs>
              <w:tab w:val="clear" w:pos="8743"/>
              <w:tab w:val="right" w:pos="9026" w:leader="dot"/>
            </w:tabs>
            <w:rPr/>
          </w:pPr>
          <w:hyperlink w:anchor="__RefHeading___Toc10697007_73709187">
            <w:r>
              <w:rPr>
                <w:webHidden/>
                <w:rStyle w:val="IndexLink"/>
                <w:rtl w:val="true"/>
              </w:rPr>
              <w:t>آداب الإحرام</w:t>
            </w:r>
            <w:r>
              <w:rPr>
                <w:rStyle w:val="IndexLink"/>
                <w:rtl w:val="true"/>
              </w:rPr>
              <w:tab/>
            </w:r>
            <w:r>
              <w:rPr>
                <w:rStyle w:val="IndexLink"/>
              </w:rPr>
              <w:t>153</w:t>
            </w:r>
          </w:hyperlink>
        </w:p>
        <w:p>
          <w:pPr>
            <w:pStyle w:val="Contents2"/>
            <w:tabs>
              <w:tab w:val="clear" w:pos="8743"/>
              <w:tab w:val="right" w:pos="9026" w:leader="dot"/>
            </w:tabs>
            <w:rPr/>
          </w:pPr>
          <w:hyperlink w:anchor="__RefHeading___Toc10697009_73709187">
            <w:r>
              <w:rPr>
                <w:webHidden/>
                <w:rStyle w:val="IndexLink"/>
                <w:rtl w:val="true"/>
              </w:rPr>
              <w:t>تنظيف الجسد</w:t>
            </w:r>
            <w:r>
              <w:rPr>
                <w:rStyle w:val="IndexLink"/>
                <w:rtl w:val="true"/>
              </w:rPr>
              <w:tab/>
            </w:r>
            <w:r>
              <w:rPr>
                <w:rStyle w:val="IndexLink"/>
              </w:rPr>
              <w:t>161</w:t>
            </w:r>
          </w:hyperlink>
        </w:p>
        <w:p>
          <w:pPr>
            <w:pStyle w:val="Contents2"/>
            <w:tabs>
              <w:tab w:val="clear" w:pos="8743"/>
              <w:tab w:val="right" w:pos="9026" w:leader="dot"/>
            </w:tabs>
            <w:rPr/>
          </w:pPr>
          <w:hyperlink w:anchor="__RefHeading___Toc10697011_73709187">
            <w:r>
              <w:rPr>
                <w:webHidden/>
                <w:rStyle w:val="IndexLink"/>
                <w:rtl w:val="true"/>
              </w:rPr>
              <w:t>استحباب الغُسل للإحرام</w:t>
            </w:r>
            <w:r>
              <w:rPr>
                <w:rStyle w:val="IndexLink"/>
                <w:rtl w:val="true"/>
              </w:rPr>
              <w:tab/>
            </w:r>
            <w:r>
              <w:rPr>
                <w:rStyle w:val="IndexLink"/>
              </w:rPr>
              <w:t>164</w:t>
            </w:r>
          </w:hyperlink>
        </w:p>
        <w:p>
          <w:pPr>
            <w:pStyle w:val="Contents2"/>
            <w:tabs>
              <w:tab w:val="clear" w:pos="8743"/>
              <w:tab w:val="right" w:pos="9026" w:leader="dot"/>
            </w:tabs>
            <w:rPr/>
          </w:pPr>
          <w:hyperlink w:anchor="__RefHeading___Toc10697013_73709187">
            <w:r>
              <w:rPr>
                <w:webHidden/>
                <w:rStyle w:val="IndexLink"/>
                <w:rtl w:val="true"/>
              </w:rPr>
              <w:t>موارد استحباب إعادة الغُسل</w:t>
            </w:r>
            <w:r>
              <w:rPr>
                <w:rStyle w:val="IndexLink"/>
                <w:rtl w:val="true"/>
              </w:rPr>
              <w:tab/>
            </w:r>
            <w:r>
              <w:rPr>
                <w:rStyle w:val="IndexLink"/>
              </w:rPr>
              <w:t>168</w:t>
            </w:r>
          </w:hyperlink>
        </w:p>
        <w:p>
          <w:pPr>
            <w:pStyle w:val="Contents2"/>
            <w:tabs>
              <w:tab w:val="clear" w:pos="8743"/>
              <w:tab w:val="right" w:pos="9026" w:leader="dot"/>
            </w:tabs>
            <w:rPr/>
          </w:pPr>
          <w:hyperlink w:anchor="__RefHeading___Toc10697015_73709187">
            <w:r>
              <w:rPr>
                <w:webHidden/>
                <w:rStyle w:val="IndexLink"/>
                <w:rtl w:val="true"/>
              </w:rPr>
              <w:t>لو أحرم بغير الغُسل</w:t>
            </w:r>
            <w:r>
              <w:rPr>
                <w:rStyle w:val="IndexLink"/>
                <w:rtl w:val="true"/>
              </w:rPr>
              <w:tab/>
            </w:r>
            <w:r>
              <w:rPr>
                <w:rStyle w:val="IndexLink"/>
              </w:rPr>
              <w:t>171</w:t>
            </w:r>
          </w:hyperlink>
        </w:p>
        <w:p>
          <w:pPr>
            <w:pStyle w:val="Contents2"/>
            <w:tabs>
              <w:tab w:val="clear" w:pos="8743"/>
              <w:tab w:val="right" w:pos="9026" w:leader="dot"/>
            </w:tabs>
            <w:rPr/>
          </w:pPr>
          <w:hyperlink w:anchor="__RefHeading___Toc10697017_73709187">
            <w:r>
              <w:rPr>
                <w:webHidden/>
                <w:rStyle w:val="IndexLink"/>
                <w:rtl w:val="true"/>
              </w:rPr>
              <w:t>استحباب الإحرام عقيب الصلاة</w:t>
            </w:r>
            <w:r>
              <w:rPr>
                <w:rStyle w:val="IndexLink"/>
                <w:rtl w:val="true"/>
              </w:rPr>
              <w:tab/>
            </w:r>
            <w:r>
              <w:rPr>
                <w:rStyle w:val="IndexLink"/>
              </w:rPr>
              <w:t>176</w:t>
            </w:r>
          </w:hyperlink>
        </w:p>
        <w:p>
          <w:pPr>
            <w:pStyle w:val="Contents2"/>
            <w:tabs>
              <w:tab w:val="clear" w:pos="8743"/>
              <w:tab w:val="right" w:pos="9026" w:leader="dot"/>
            </w:tabs>
            <w:rPr/>
          </w:pPr>
          <w:hyperlink w:anchor="__RefHeading___Toc10697019_73709187">
            <w:r>
              <w:rPr>
                <w:webHidden/>
                <w:rStyle w:val="IndexLink"/>
                <w:rtl w:val="true"/>
              </w:rPr>
              <w:t>الإحرام بعد صلاة الظهر أولى</w:t>
            </w:r>
            <w:r>
              <w:rPr>
                <w:rStyle w:val="IndexLink"/>
                <w:rtl w:val="true"/>
              </w:rPr>
              <w:tab/>
            </w:r>
            <w:r>
              <w:rPr>
                <w:rStyle w:val="IndexLink"/>
              </w:rPr>
              <w:t>182</w:t>
            </w:r>
          </w:hyperlink>
        </w:p>
        <w:p>
          <w:pPr>
            <w:pStyle w:val="Contents2"/>
            <w:tabs>
              <w:tab w:val="clear" w:pos="8743"/>
              <w:tab w:val="right" w:pos="9026" w:leader="dot"/>
            </w:tabs>
            <w:rPr/>
          </w:pPr>
          <w:hyperlink w:anchor="__RefHeading___Toc10697021_73709187">
            <w:r>
              <w:rPr>
                <w:webHidden/>
                <w:rStyle w:val="IndexLink"/>
                <w:rtl w:val="true"/>
              </w:rPr>
              <w:t>باقي مندوبات الإحرام</w:t>
            </w:r>
            <w:r>
              <w:rPr>
                <w:rStyle w:val="IndexLink"/>
                <w:rtl w:val="true"/>
              </w:rPr>
              <w:tab/>
            </w:r>
            <w:r>
              <w:rPr>
                <w:rStyle w:val="IndexLink"/>
              </w:rPr>
              <w:t>186</w:t>
            </w:r>
          </w:hyperlink>
        </w:p>
        <w:p>
          <w:pPr>
            <w:pStyle w:val="Contents2"/>
            <w:tabs>
              <w:tab w:val="clear" w:pos="8743"/>
              <w:tab w:val="right" w:pos="9026" w:leader="dot"/>
            </w:tabs>
            <w:rPr/>
          </w:pPr>
          <w:hyperlink w:anchor="__RefHeading___Toc10697023_73709187">
            <w:r>
              <w:rPr>
                <w:webHidden/>
                <w:rStyle w:val="IndexLink"/>
                <w:rtl w:val="true"/>
              </w:rPr>
              <w:t>بيان موضع قطع التلبية</w:t>
            </w:r>
            <w:r>
              <w:rPr>
                <w:rStyle w:val="IndexLink"/>
                <w:rtl w:val="true"/>
              </w:rPr>
              <w:tab/>
            </w:r>
            <w:r>
              <w:rPr>
                <w:rStyle w:val="IndexLink"/>
              </w:rPr>
              <w:t>186</w:t>
            </w:r>
          </w:hyperlink>
        </w:p>
        <w:p>
          <w:pPr>
            <w:pStyle w:val="Contents2"/>
            <w:tabs>
              <w:tab w:val="clear" w:pos="8743"/>
              <w:tab w:val="right" w:pos="9026" w:leader="dot"/>
            </w:tabs>
            <w:rPr/>
          </w:pPr>
          <w:hyperlink w:anchor="__RefHeading___Toc10697025_73709187">
            <w:r>
              <w:rPr>
                <w:webHidden/>
                <w:rStyle w:val="IndexLink"/>
                <w:rtl w:val="true"/>
              </w:rPr>
              <w:t>تروك الإحرام</w:t>
            </w:r>
            <w:r>
              <w:rPr>
                <w:rStyle w:val="IndexLink"/>
                <w:rtl w:val="true"/>
              </w:rPr>
              <w:tab/>
            </w:r>
            <w:r>
              <w:rPr>
                <w:rStyle w:val="IndexLink"/>
              </w:rPr>
              <w:t>194</w:t>
            </w:r>
          </w:hyperlink>
        </w:p>
        <w:p>
          <w:pPr>
            <w:pStyle w:val="Contents2"/>
            <w:tabs>
              <w:tab w:val="clear" w:pos="8743"/>
              <w:tab w:val="right" w:pos="9026" w:leader="dot"/>
            </w:tabs>
            <w:rPr/>
          </w:pPr>
          <w:hyperlink w:anchor="__RefHeading___Toc10697027_73709187">
            <w:r>
              <w:rPr>
                <w:webHidden/>
                <w:rStyle w:val="IndexLink"/>
                <w:rtl w:val="true"/>
              </w:rPr>
              <w:t>الصيد حرامٌ على المُحرِم</w:t>
            </w:r>
            <w:r>
              <w:rPr>
                <w:rStyle w:val="IndexLink"/>
                <w:rtl w:val="true"/>
              </w:rPr>
              <w:tab/>
            </w:r>
            <w:r>
              <w:rPr>
                <w:rStyle w:val="IndexLink"/>
              </w:rPr>
              <w:t>194</w:t>
            </w:r>
          </w:hyperlink>
        </w:p>
        <w:p>
          <w:pPr>
            <w:pStyle w:val="Contents2"/>
            <w:tabs>
              <w:tab w:val="clear" w:pos="8743"/>
              <w:tab w:val="right" w:pos="9026" w:leader="dot"/>
            </w:tabs>
            <w:rPr/>
          </w:pPr>
          <w:hyperlink w:anchor="__RefHeading___Toc10697029_73709187">
            <w:r>
              <w:rPr>
                <w:webHidden/>
                <w:rStyle w:val="IndexLink"/>
                <w:rtl w:val="true"/>
              </w:rPr>
              <w:t>عدم اختصاص حرمة الصيد بمحلَّل الأكل</w:t>
            </w:r>
            <w:r>
              <w:rPr>
                <w:rStyle w:val="IndexLink"/>
                <w:rtl w:val="true"/>
              </w:rPr>
              <w:tab/>
            </w:r>
            <w:r>
              <w:rPr>
                <w:rStyle w:val="IndexLink"/>
              </w:rPr>
              <w:t>200</w:t>
            </w:r>
          </w:hyperlink>
        </w:p>
        <w:p>
          <w:pPr>
            <w:pStyle w:val="Contents2"/>
            <w:tabs>
              <w:tab w:val="clear" w:pos="8743"/>
              <w:tab w:val="right" w:pos="9026" w:leader="dot"/>
            </w:tabs>
            <w:rPr/>
          </w:pPr>
          <w:hyperlink w:anchor="__RefHeading___Toc10697031_73709187">
            <w:r>
              <w:rPr>
                <w:webHidden/>
                <w:rStyle w:val="IndexLink"/>
                <w:rtl w:val="true"/>
              </w:rPr>
              <w:t>حرمة ذبيحة المُحرِم على المُحلّ والمُحرِم</w:t>
            </w:r>
            <w:r>
              <w:rPr>
                <w:rStyle w:val="IndexLink"/>
                <w:rtl w:val="true"/>
              </w:rPr>
              <w:tab/>
            </w:r>
            <w:r>
              <w:rPr>
                <w:rStyle w:val="IndexLink"/>
              </w:rPr>
              <w:t>207</w:t>
            </w:r>
          </w:hyperlink>
        </w:p>
        <w:p>
          <w:pPr>
            <w:pStyle w:val="Contents2"/>
            <w:tabs>
              <w:tab w:val="clear" w:pos="8743"/>
              <w:tab w:val="right" w:pos="9026" w:leader="dot"/>
            </w:tabs>
            <w:rPr/>
          </w:pPr>
          <w:hyperlink w:anchor="__RefHeading___Toc10697033_73709187">
            <w:r>
              <w:rPr>
                <w:webHidden/>
                <w:rStyle w:val="IndexLink"/>
                <w:rtl w:val="true"/>
              </w:rPr>
              <w:t>الوجوه المؤيّدة للمنع</w:t>
            </w:r>
            <w:r>
              <w:rPr>
                <w:rStyle w:val="IndexLink"/>
                <w:rtl w:val="true"/>
              </w:rPr>
              <w:tab/>
            </w:r>
            <w:r>
              <w:rPr>
                <w:rStyle w:val="IndexLink"/>
              </w:rPr>
              <w:t>213</w:t>
            </w:r>
          </w:hyperlink>
        </w:p>
        <w:p>
          <w:pPr>
            <w:pStyle w:val="Contents2"/>
            <w:tabs>
              <w:tab w:val="clear" w:pos="8743"/>
              <w:tab w:val="right" w:pos="9026" w:leader="dot"/>
            </w:tabs>
            <w:rPr/>
          </w:pPr>
          <w:hyperlink w:anchor="__RefHeading___Toc10697035_73709187">
            <w:r>
              <w:rPr>
                <w:webHidden/>
                <w:rStyle w:val="IndexLink"/>
                <w:rtl w:val="true"/>
              </w:rPr>
              <w:t>هل يترتّب سائر أحكام الميتة على صيد المُحرِم</w:t>
            </w:r>
            <w:r>
              <w:rPr>
                <w:rStyle w:val="IndexLink"/>
                <w:rtl w:val="true"/>
              </w:rPr>
              <w:tab/>
            </w:r>
            <w:r>
              <w:rPr>
                <w:rStyle w:val="IndexLink"/>
              </w:rPr>
              <w:t>218</w:t>
            </w:r>
          </w:hyperlink>
        </w:p>
        <w:p>
          <w:pPr>
            <w:pStyle w:val="Contents2"/>
            <w:tabs>
              <w:tab w:val="clear" w:pos="8743"/>
              <w:tab w:val="right" w:pos="9026" w:leader="dot"/>
            </w:tabs>
            <w:rPr/>
          </w:pPr>
          <w:hyperlink w:anchor="__RefHeading___Toc10697037_73709187">
            <w:r>
              <w:rPr>
                <w:webHidden/>
                <w:rStyle w:val="IndexLink"/>
                <w:rtl w:val="true"/>
              </w:rPr>
              <w:t>حكم ذبح المُحلّ للصيد</w:t>
            </w:r>
            <w:r>
              <w:rPr>
                <w:rStyle w:val="IndexLink"/>
                <w:rtl w:val="true"/>
              </w:rPr>
              <w:tab/>
            </w:r>
            <w:r>
              <w:rPr>
                <w:rStyle w:val="IndexLink"/>
              </w:rPr>
              <w:t>220</w:t>
            </w:r>
          </w:hyperlink>
        </w:p>
        <w:p>
          <w:pPr>
            <w:pStyle w:val="Contents2"/>
            <w:tabs>
              <w:tab w:val="clear" w:pos="8743"/>
              <w:tab w:val="right" w:pos="9026" w:leader="dot"/>
            </w:tabs>
            <w:rPr/>
          </w:pPr>
          <w:hyperlink w:anchor="__RefHeading___Toc10697039_73709187">
            <w:r>
              <w:rPr>
                <w:webHidden/>
                <w:rStyle w:val="IndexLink"/>
                <w:rtl w:val="true"/>
              </w:rPr>
              <w:t>حرمة فرخ الصيد وبيضه</w:t>
            </w:r>
            <w:r>
              <w:rPr>
                <w:rStyle w:val="IndexLink"/>
                <w:rtl w:val="true"/>
              </w:rPr>
              <w:tab/>
            </w:r>
            <w:r>
              <w:rPr>
                <w:rStyle w:val="IndexLink"/>
              </w:rPr>
              <w:t>223</w:t>
            </w:r>
          </w:hyperlink>
        </w:p>
        <w:p>
          <w:pPr>
            <w:pStyle w:val="Contents2"/>
            <w:tabs>
              <w:tab w:val="clear" w:pos="8743"/>
              <w:tab w:val="right" w:pos="9026" w:leader="dot"/>
            </w:tabs>
            <w:rPr/>
          </w:pPr>
          <w:hyperlink w:anchor="__RefHeading___Toc10697041_73709187">
            <w:r>
              <w:rPr>
                <w:webHidden/>
                <w:rStyle w:val="IndexLink"/>
                <w:rtl w:val="true"/>
              </w:rPr>
              <w:t>عن صيد الجراد وحكمه</w:t>
            </w:r>
            <w:r>
              <w:rPr>
                <w:rStyle w:val="IndexLink"/>
                <w:rtl w:val="true"/>
              </w:rPr>
              <w:tab/>
            </w:r>
            <w:r>
              <w:rPr>
                <w:rStyle w:val="IndexLink"/>
              </w:rPr>
              <w:t>224</w:t>
            </w:r>
          </w:hyperlink>
        </w:p>
        <w:p>
          <w:pPr>
            <w:pStyle w:val="Contents2"/>
            <w:tabs>
              <w:tab w:val="clear" w:pos="8743"/>
              <w:tab w:val="right" w:pos="9026" w:leader="dot"/>
            </w:tabs>
            <w:rPr/>
          </w:pPr>
          <w:hyperlink w:anchor="__RefHeading___Toc10697043_73709187">
            <w:r>
              <w:rPr>
                <w:webHidden/>
                <w:rStyle w:val="IndexLink"/>
                <w:rtl w:val="true"/>
              </w:rPr>
              <w:t>عدم حرمة صيد البحر على المُحرِم</w:t>
            </w:r>
            <w:r>
              <w:rPr>
                <w:rStyle w:val="IndexLink"/>
                <w:rtl w:val="true"/>
              </w:rPr>
              <w:tab/>
            </w:r>
            <w:r>
              <w:rPr>
                <w:rStyle w:val="IndexLink"/>
              </w:rPr>
              <w:t>225</w:t>
            </w:r>
          </w:hyperlink>
        </w:p>
        <w:p>
          <w:pPr>
            <w:pStyle w:val="Contents2"/>
            <w:tabs>
              <w:tab w:val="clear" w:pos="8743"/>
              <w:tab w:val="right" w:pos="9026" w:leader="dot"/>
            </w:tabs>
            <w:rPr/>
          </w:pPr>
          <w:hyperlink w:anchor="__RefHeading___Toc10697045_73709187">
            <w:r>
              <w:rPr>
                <w:webHidden/>
                <w:rStyle w:val="IndexLink"/>
                <w:rtl w:val="true"/>
              </w:rPr>
              <w:t>في حكم الصيد المشكوك</w:t>
            </w:r>
            <w:r>
              <w:rPr>
                <w:rStyle w:val="IndexLink"/>
                <w:rtl w:val="true"/>
              </w:rPr>
              <w:tab/>
            </w:r>
            <w:r>
              <w:rPr>
                <w:rStyle w:val="IndexLink"/>
              </w:rPr>
              <w:t>229</w:t>
            </w:r>
          </w:hyperlink>
        </w:p>
        <w:p>
          <w:pPr>
            <w:pStyle w:val="Contents2"/>
            <w:tabs>
              <w:tab w:val="clear" w:pos="8743"/>
              <w:tab w:val="right" w:pos="9026" w:leader="dot"/>
            </w:tabs>
            <w:rPr/>
          </w:pPr>
          <w:hyperlink w:anchor="__RefHeading___Toc10697047_73709187">
            <w:r>
              <w:rPr>
                <w:webHidden/>
                <w:rStyle w:val="IndexLink"/>
                <w:rtl w:val="true"/>
              </w:rPr>
              <w:t>حرمة الجماع على المُحرِم</w:t>
            </w:r>
            <w:r>
              <w:rPr>
                <w:rStyle w:val="IndexLink"/>
                <w:rtl w:val="true"/>
              </w:rPr>
              <w:tab/>
            </w:r>
            <w:r>
              <w:rPr>
                <w:rStyle w:val="IndexLink"/>
              </w:rPr>
              <w:t>233</w:t>
            </w:r>
          </w:hyperlink>
        </w:p>
        <w:p>
          <w:pPr>
            <w:pStyle w:val="Contents2"/>
            <w:tabs>
              <w:tab w:val="clear" w:pos="8743"/>
              <w:tab w:val="right" w:pos="9026" w:leader="dot"/>
            </w:tabs>
            <w:rPr/>
          </w:pPr>
          <w:hyperlink w:anchor="__RefHeading___Toc10697049_73709187">
            <w:r>
              <w:rPr>
                <w:webHidden/>
                <w:rStyle w:val="IndexLink"/>
                <w:rtl w:val="true"/>
              </w:rPr>
              <w:t>حرمة التقبيل على المُحرِم</w:t>
            </w:r>
            <w:r>
              <w:rPr>
                <w:rStyle w:val="IndexLink"/>
                <w:rtl w:val="true"/>
              </w:rPr>
              <w:tab/>
            </w:r>
            <w:r>
              <w:rPr>
                <w:rStyle w:val="IndexLink"/>
              </w:rPr>
              <w:t>237</w:t>
            </w:r>
          </w:hyperlink>
        </w:p>
        <w:p>
          <w:pPr>
            <w:pStyle w:val="Contents2"/>
            <w:tabs>
              <w:tab w:val="clear" w:pos="8743"/>
              <w:tab w:val="right" w:pos="9026" w:leader="dot"/>
            </w:tabs>
            <w:rPr/>
          </w:pPr>
          <w:hyperlink w:anchor="__RefHeading___Toc10697051_73709187">
            <w:r>
              <w:rPr>
                <w:webHidden/>
                <w:rStyle w:val="IndexLink"/>
                <w:rtl w:val="true"/>
              </w:rPr>
              <w:t>فروع</w:t>
            </w:r>
            <w:r>
              <w:rPr>
                <w:rStyle w:val="IndexLink"/>
                <w:rtl w:val="true"/>
              </w:rPr>
              <w:t>:</w:t>
              <w:tab/>
            </w:r>
            <w:r>
              <w:rPr>
                <w:rStyle w:val="IndexLink"/>
              </w:rPr>
              <w:t>238</w:t>
            </w:r>
          </w:hyperlink>
        </w:p>
        <w:p>
          <w:pPr>
            <w:pStyle w:val="Contents2"/>
            <w:tabs>
              <w:tab w:val="clear" w:pos="8743"/>
              <w:tab w:val="right" w:pos="9026" w:leader="dot"/>
            </w:tabs>
            <w:rPr/>
          </w:pPr>
          <w:hyperlink w:anchor="__RefHeading___Toc10697053_73709187">
            <w:r>
              <w:rPr>
                <w:webHidden/>
                <w:rStyle w:val="IndexLink"/>
                <w:rtl w:val="true"/>
              </w:rPr>
              <w:t>حرمة لمس المرأة على المُحرِم</w:t>
            </w:r>
            <w:r>
              <w:rPr>
                <w:rStyle w:val="IndexLink"/>
                <w:rtl w:val="true"/>
              </w:rPr>
              <w:tab/>
            </w:r>
            <w:r>
              <w:rPr>
                <w:rStyle w:val="IndexLink"/>
              </w:rPr>
              <w:t>241</w:t>
            </w:r>
          </w:hyperlink>
        </w:p>
        <w:p>
          <w:pPr>
            <w:pStyle w:val="Contents2"/>
            <w:tabs>
              <w:tab w:val="clear" w:pos="8743"/>
              <w:tab w:val="right" w:pos="9026" w:leader="dot"/>
            </w:tabs>
            <w:rPr/>
          </w:pPr>
          <w:hyperlink w:anchor="__RefHeading___Toc10697055_73709187">
            <w:r>
              <w:rPr>
                <w:webHidden/>
                <w:rStyle w:val="IndexLink"/>
                <w:rtl w:val="true"/>
              </w:rPr>
              <w:t>نظر المُحرِم إلى زوجته</w:t>
            </w:r>
            <w:r>
              <w:rPr>
                <w:rStyle w:val="IndexLink"/>
                <w:rtl w:val="true"/>
              </w:rPr>
              <w:tab/>
            </w:r>
            <w:r>
              <w:rPr>
                <w:rStyle w:val="IndexLink"/>
              </w:rPr>
              <w:t>244</w:t>
            </w:r>
          </w:hyperlink>
        </w:p>
        <w:p>
          <w:pPr>
            <w:pStyle w:val="Contents2"/>
            <w:tabs>
              <w:tab w:val="clear" w:pos="8743"/>
              <w:tab w:val="right" w:pos="9026" w:leader="dot"/>
            </w:tabs>
            <w:rPr/>
          </w:pPr>
          <w:hyperlink w:anchor="__RefHeading___Toc10697057_73709187">
            <w:r>
              <w:rPr>
                <w:webHidden/>
                <w:rStyle w:val="IndexLink"/>
                <w:rtl w:val="true"/>
              </w:rPr>
              <w:t>عقد المُحرِم لنفسه ولغيره</w:t>
            </w:r>
            <w:r>
              <w:rPr>
                <w:rStyle w:val="IndexLink"/>
                <w:rtl w:val="true"/>
              </w:rPr>
              <w:tab/>
            </w:r>
            <w:r>
              <w:rPr>
                <w:rStyle w:val="IndexLink"/>
              </w:rPr>
              <w:t>250</w:t>
            </w:r>
          </w:hyperlink>
        </w:p>
        <w:p>
          <w:pPr>
            <w:pStyle w:val="Contents2"/>
            <w:tabs>
              <w:tab w:val="clear" w:pos="8743"/>
              <w:tab w:val="right" w:pos="9026" w:leader="dot"/>
            </w:tabs>
            <w:rPr/>
          </w:pPr>
          <w:hyperlink w:anchor="__RefHeading___Toc10697059_73709187">
            <w:r>
              <w:rPr>
                <w:webHidden/>
                <w:rStyle w:val="IndexLink"/>
                <w:rtl w:val="true"/>
              </w:rPr>
              <w:t>التزويج في حال الإحرام يوجبُ الحرمة الأبديّة</w:t>
            </w:r>
            <w:r>
              <w:rPr>
                <w:rStyle w:val="IndexLink"/>
                <w:rtl w:val="true"/>
              </w:rPr>
              <w:tab/>
            </w:r>
            <w:r>
              <w:rPr>
                <w:rStyle w:val="IndexLink"/>
              </w:rPr>
              <w:t>253</w:t>
            </w:r>
          </w:hyperlink>
        </w:p>
        <w:p>
          <w:pPr>
            <w:pStyle w:val="Contents2"/>
            <w:tabs>
              <w:tab w:val="clear" w:pos="8743"/>
              <w:tab w:val="right" w:pos="9026" w:leader="dot"/>
            </w:tabs>
            <w:rPr/>
          </w:pPr>
          <w:hyperlink w:anchor="__RefHeading___Toc10697061_73709187">
            <w:r>
              <w:rPr>
                <w:webHidden/>
                <w:rStyle w:val="IndexLink"/>
                <w:rtl w:val="true"/>
              </w:rPr>
              <w:t>إلحاق المُحرِمة بالمُحرِم</w:t>
            </w:r>
            <w:r>
              <w:rPr>
                <w:rStyle w:val="IndexLink"/>
                <w:rtl w:val="true"/>
              </w:rPr>
              <w:tab/>
            </w:r>
            <w:r>
              <w:rPr>
                <w:rStyle w:val="IndexLink"/>
              </w:rPr>
              <w:t>256</w:t>
            </w:r>
          </w:hyperlink>
        </w:p>
        <w:p>
          <w:pPr>
            <w:pStyle w:val="Contents2"/>
            <w:tabs>
              <w:tab w:val="clear" w:pos="8743"/>
              <w:tab w:val="right" w:pos="9026" w:leader="dot"/>
            </w:tabs>
            <w:rPr/>
          </w:pPr>
          <w:hyperlink w:anchor="__RefHeading___Toc10697063_73709187">
            <w:r>
              <w:rPr>
                <w:webHidden/>
                <w:rStyle w:val="IndexLink"/>
                <w:rtl w:val="true"/>
              </w:rPr>
              <w:t>اختلاف الزوجين في العقد</w:t>
            </w:r>
            <w:r>
              <w:rPr>
                <w:rStyle w:val="IndexLink"/>
                <w:rtl w:val="true"/>
              </w:rPr>
              <w:tab/>
            </w:r>
            <w:r>
              <w:rPr>
                <w:rStyle w:val="IndexLink"/>
              </w:rPr>
              <w:t>260</w:t>
            </w:r>
          </w:hyperlink>
        </w:p>
        <w:p>
          <w:pPr>
            <w:pStyle w:val="Contents2"/>
            <w:tabs>
              <w:tab w:val="clear" w:pos="8743"/>
              <w:tab w:val="right" w:pos="9026" w:leader="dot"/>
            </w:tabs>
            <w:rPr/>
          </w:pPr>
          <w:hyperlink w:anchor="__RefHeading___Toc10697065_73709187">
            <w:r>
              <w:rPr>
                <w:webHidden/>
                <w:rStyle w:val="IndexLink"/>
                <w:rtl w:val="true"/>
              </w:rPr>
              <w:t>شهادة المُحرِم على العقد</w:t>
            </w:r>
            <w:r>
              <w:rPr>
                <w:rStyle w:val="IndexLink"/>
                <w:rtl w:val="true"/>
              </w:rPr>
              <w:tab/>
            </w:r>
            <w:r>
              <w:rPr>
                <w:rStyle w:val="IndexLink"/>
              </w:rPr>
              <w:t>269</w:t>
            </w:r>
          </w:hyperlink>
        </w:p>
        <w:p>
          <w:pPr>
            <w:pStyle w:val="Contents2"/>
            <w:tabs>
              <w:tab w:val="clear" w:pos="8743"/>
              <w:tab w:val="right" w:pos="9026" w:leader="dot"/>
            </w:tabs>
            <w:rPr/>
          </w:pPr>
          <w:hyperlink w:anchor="__RefHeading___Toc10697067_73709187">
            <w:r>
              <w:rPr>
                <w:webHidden/>
                <w:rStyle w:val="IndexLink"/>
                <w:rtl w:val="true"/>
              </w:rPr>
              <w:t>حكم الخطبة</w:t>
            </w:r>
            <w:r>
              <w:rPr>
                <w:rStyle w:val="IndexLink"/>
                <w:rtl w:val="true"/>
              </w:rPr>
              <w:tab/>
            </w:r>
            <w:r>
              <w:rPr>
                <w:rStyle w:val="IndexLink"/>
              </w:rPr>
              <w:t>277</w:t>
            </w:r>
          </w:hyperlink>
        </w:p>
        <w:p>
          <w:pPr>
            <w:pStyle w:val="Contents2"/>
            <w:tabs>
              <w:tab w:val="clear" w:pos="8743"/>
              <w:tab w:val="right" w:pos="9026" w:leader="dot"/>
            </w:tabs>
            <w:rPr/>
          </w:pPr>
          <w:hyperlink w:anchor="__RefHeading___Toc10697069_73709187">
            <w:r>
              <w:rPr>
                <w:webHidden/>
                <w:rStyle w:val="IndexLink"/>
                <w:rtl w:val="true"/>
              </w:rPr>
              <w:t>حُرمة الإستمناء</w:t>
            </w:r>
            <w:r>
              <w:rPr>
                <w:rStyle w:val="IndexLink"/>
                <w:rtl w:val="true"/>
              </w:rPr>
              <w:tab/>
            </w:r>
            <w:r>
              <w:rPr>
                <w:rStyle w:val="IndexLink"/>
              </w:rPr>
              <w:t>280</w:t>
            </w:r>
          </w:hyperlink>
        </w:p>
        <w:p>
          <w:pPr>
            <w:pStyle w:val="Contents2"/>
            <w:tabs>
              <w:tab w:val="clear" w:pos="8743"/>
              <w:tab w:val="right" w:pos="9026" w:leader="dot"/>
            </w:tabs>
            <w:rPr/>
          </w:pPr>
          <w:hyperlink w:anchor="__RefHeading___Toc10697071_73709187">
            <w:r>
              <w:rPr>
                <w:webHidden/>
                <w:rStyle w:val="IndexLink"/>
                <w:rtl w:val="true"/>
              </w:rPr>
              <w:t>حرمة الطيب</w:t>
            </w:r>
            <w:r>
              <w:rPr>
                <w:rStyle w:val="IndexLink"/>
                <w:rtl w:val="true"/>
              </w:rPr>
              <w:tab/>
            </w:r>
            <w:r>
              <w:rPr>
                <w:rStyle w:val="IndexLink"/>
              </w:rPr>
              <w:t>284</w:t>
            </w:r>
          </w:hyperlink>
        </w:p>
        <w:p>
          <w:pPr>
            <w:pStyle w:val="Contents2"/>
            <w:tabs>
              <w:tab w:val="clear" w:pos="8743"/>
              <w:tab w:val="right" w:pos="9026" w:leader="dot"/>
            </w:tabs>
            <w:rPr/>
          </w:pPr>
          <w:hyperlink w:anchor="__RefHeading___Toc10697073_73709187">
            <w:r>
              <w:rPr>
                <w:webHidden/>
                <w:rStyle w:val="IndexLink"/>
                <w:rtl w:val="true"/>
              </w:rPr>
              <w:t>في حكم الطيب</w:t>
            </w:r>
            <w:r>
              <w:rPr>
                <w:rStyle w:val="IndexLink"/>
                <w:rtl w:val="true"/>
              </w:rPr>
              <w:tab/>
            </w:r>
            <w:r>
              <w:rPr>
                <w:rStyle w:val="IndexLink"/>
              </w:rPr>
              <w:t>287</w:t>
            </w:r>
          </w:hyperlink>
        </w:p>
        <w:p>
          <w:pPr>
            <w:pStyle w:val="Contents2"/>
            <w:tabs>
              <w:tab w:val="clear" w:pos="8743"/>
              <w:tab w:val="right" w:pos="9026" w:leader="dot"/>
            </w:tabs>
            <w:rPr/>
          </w:pPr>
          <w:hyperlink w:anchor="__RefHeading___Toc10697075_73709187">
            <w:r>
              <w:rPr>
                <w:webHidden/>
                <w:rStyle w:val="IndexLink"/>
                <w:rtl w:val="true"/>
              </w:rPr>
              <w:t>تنبيهات</w:t>
            </w:r>
            <w:r>
              <w:rPr>
                <w:rStyle w:val="IndexLink"/>
                <w:rtl w:val="true"/>
              </w:rPr>
              <w:t>:</w:t>
              <w:tab/>
            </w:r>
            <w:r>
              <w:rPr>
                <w:rStyle w:val="IndexLink"/>
              </w:rPr>
              <w:t>293</w:t>
            </w:r>
          </w:hyperlink>
        </w:p>
        <w:p>
          <w:pPr>
            <w:pStyle w:val="Contents2"/>
            <w:tabs>
              <w:tab w:val="clear" w:pos="8743"/>
              <w:tab w:val="right" w:pos="9026" w:leader="dot"/>
            </w:tabs>
            <w:rPr/>
          </w:pPr>
          <w:hyperlink w:anchor="__RefHeading___Toc10697077_73709187">
            <w:r>
              <w:rPr>
                <w:webHidden/>
                <w:rStyle w:val="IndexLink"/>
                <w:rtl w:val="true"/>
              </w:rPr>
              <w:t>بيان ما يحرم من الطيب على المُحرِم</w:t>
            </w:r>
            <w:r>
              <w:rPr>
                <w:rStyle w:val="IndexLink"/>
                <w:rtl w:val="true"/>
              </w:rPr>
              <w:tab/>
            </w:r>
            <w:r>
              <w:rPr>
                <w:rStyle w:val="IndexLink"/>
              </w:rPr>
              <w:t>299</w:t>
            </w:r>
          </w:hyperlink>
        </w:p>
        <w:p>
          <w:pPr>
            <w:pStyle w:val="Contents2"/>
            <w:tabs>
              <w:tab w:val="clear" w:pos="8743"/>
              <w:tab w:val="right" w:pos="9026" w:leader="dot"/>
            </w:tabs>
            <w:rPr/>
          </w:pPr>
          <w:hyperlink w:anchor="__RefHeading___Toc10697079_73709187">
            <w:r>
              <w:rPr>
                <w:webHidden/>
                <w:rStyle w:val="IndexLink"/>
                <w:rtl w:val="true"/>
              </w:rPr>
              <w:t>حكم الريحان والأدهان الطيّبة</w:t>
            </w:r>
            <w:r>
              <w:rPr>
                <w:rStyle w:val="IndexLink"/>
                <w:rtl w:val="true"/>
              </w:rPr>
              <w:tab/>
            </w:r>
            <w:r>
              <w:rPr>
                <w:rStyle w:val="IndexLink"/>
              </w:rPr>
              <w:t>302</w:t>
            </w:r>
          </w:hyperlink>
        </w:p>
        <w:p>
          <w:pPr>
            <w:pStyle w:val="Contents2"/>
            <w:tabs>
              <w:tab w:val="clear" w:pos="8743"/>
              <w:tab w:val="right" w:pos="9026" w:leader="dot"/>
            </w:tabs>
            <w:rPr/>
          </w:pPr>
          <w:hyperlink w:anchor="__RefHeading___Toc10697081_73709187">
            <w:r>
              <w:rPr>
                <w:webHidden/>
                <w:rStyle w:val="IndexLink"/>
                <w:rtl w:val="true"/>
              </w:rPr>
              <w:t>بحثٌ حول الطيب</w:t>
            </w:r>
            <w:r>
              <w:rPr>
                <w:rStyle w:val="IndexLink"/>
                <w:rtl w:val="true"/>
              </w:rPr>
              <w:tab/>
            </w:r>
            <w:r>
              <w:rPr>
                <w:rStyle w:val="IndexLink"/>
              </w:rPr>
              <w:t>308</w:t>
            </w:r>
          </w:hyperlink>
        </w:p>
        <w:p>
          <w:pPr>
            <w:pStyle w:val="Contents2"/>
            <w:tabs>
              <w:tab w:val="clear" w:pos="8743"/>
              <w:tab w:val="right" w:pos="9026" w:leader="dot"/>
            </w:tabs>
            <w:rPr/>
          </w:pPr>
          <w:hyperlink w:anchor="__RefHeading___Toc10697083_73709187">
            <w:r>
              <w:rPr>
                <w:webHidden/>
                <w:rStyle w:val="IndexLink"/>
                <w:rtl w:val="true"/>
              </w:rPr>
              <w:t>عدم حرمة خَلُوق الكعبة وزعفرانها على المُحرِم</w:t>
            </w:r>
            <w:r>
              <w:rPr>
                <w:rStyle w:val="IndexLink"/>
                <w:rtl w:val="true"/>
              </w:rPr>
              <w:tab/>
            </w:r>
            <w:r>
              <w:rPr>
                <w:rStyle w:val="IndexLink"/>
              </w:rPr>
              <w:t>310</w:t>
            </w:r>
          </w:hyperlink>
        </w:p>
        <w:p>
          <w:pPr>
            <w:pStyle w:val="Contents2"/>
            <w:tabs>
              <w:tab w:val="clear" w:pos="8743"/>
              <w:tab w:val="right" w:pos="9026" w:leader="dot"/>
            </w:tabs>
            <w:rPr/>
          </w:pPr>
          <w:hyperlink w:anchor="__RefHeading___Toc10697085_73709187">
            <w:r>
              <w:rPr>
                <w:webHidden/>
                <w:rStyle w:val="IndexLink"/>
                <w:rtl w:val="true"/>
              </w:rPr>
              <w:t>التطيّب حال الإضطرار</w:t>
            </w:r>
            <w:r>
              <w:rPr>
                <w:rStyle w:val="IndexLink"/>
                <w:rtl w:val="true"/>
              </w:rPr>
              <w:tab/>
            </w:r>
            <w:r>
              <w:rPr>
                <w:rStyle w:val="IndexLink"/>
              </w:rPr>
              <w:t>312</w:t>
            </w:r>
          </w:hyperlink>
        </w:p>
        <w:p>
          <w:pPr>
            <w:pStyle w:val="Contents2"/>
            <w:tabs>
              <w:tab w:val="clear" w:pos="8743"/>
              <w:tab w:val="right" w:pos="9026" w:leader="dot"/>
            </w:tabs>
            <w:rPr/>
          </w:pPr>
          <w:hyperlink w:anchor="__RefHeading___Toc10697087_73709187">
            <w:r>
              <w:rPr>
                <w:webHidden/>
                <w:rStyle w:val="IndexLink"/>
                <w:rtl w:val="true"/>
              </w:rPr>
              <w:t>اجتياز المُحرِم في موضعٍ يُباع فيه الطيب</w:t>
            </w:r>
            <w:r>
              <w:rPr>
                <w:rStyle w:val="IndexLink"/>
                <w:rtl w:val="true"/>
              </w:rPr>
              <w:tab/>
            </w:r>
            <w:r>
              <w:rPr>
                <w:rStyle w:val="IndexLink"/>
              </w:rPr>
              <w:t>315</w:t>
            </w:r>
          </w:hyperlink>
        </w:p>
        <w:p>
          <w:pPr>
            <w:pStyle w:val="Contents2"/>
            <w:tabs>
              <w:tab w:val="clear" w:pos="8743"/>
              <w:tab w:val="right" w:pos="9026" w:leader="dot"/>
            </w:tabs>
            <w:rPr/>
          </w:pPr>
          <w:hyperlink w:anchor="__RefHeading___Toc10697089_73709187">
            <w:r>
              <w:rPr>
                <w:webHidden/>
                <w:rStyle w:val="IndexLink"/>
                <w:rtl w:val="true"/>
              </w:rPr>
              <w:t>الاكتحال بما فيه الطيب</w:t>
            </w:r>
            <w:r>
              <w:rPr>
                <w:rStyle w:val="IndexLink"/>
                <w:rtl w:val="true"/>
              </w:rPr>
              <w:tab/>
            </w:r>
            <w:r>
              <w:rPr>
                <w:rStyle w:val="IndexLink"/>
              </w:rPr>
              <w:t>322</w:t>
            </w:r>
          </w:hyperlink>
        </w:p>
        <w:p>
          <w:pPr>
            <w:pStyle w:val="Contents2"/>
            <w:tabs>
              <w:tab w:val="clear" w:pos="8743"/>
              <w:tab w:val="right" w:pos="9026" w:leader="dot"/>
            </w:tabs>
            <w:rPr/>
          </w:pPr>
          <w:hyperlink w:anchor="__RefHeading___Toc10697091_73709187">
            <w:r>
              <w:rPr>
                <w:webHidden/>
                <w:rStyle w:val="IndexLink"/>
                <w:rtl w:val="true"/>
              </w:rPr>
              <w:t>حرمة لبس المخيط على الرجال</w:t>
            </w:r>
            <w:r>
              <w:rPr>
                <w:rStyle w:val="IndexLink"/>
                <w:rtl w:val="true"/>
              </w:rPr>
              <w:tab/>
            </w:r>
            <w:r>
              <w:rPr>
                <w:rStyle w:val="IndexLink"/>
              </w:rPr>
              <w:t>326</w:t>
            </w:r>
          </w:hyperlink>
        </w:p>
        <w:p>
          <w:pPr>
            <w:pStyle w:val="Contents2"/>
            <w:tabs>
              <w:tab w:val="clear" w:pos="8743"/>
              <w:tab w:val="right" w:pos="9026" w:leader="dot"/>
            </w:tabs>
            <w:rPr/>
          </w:pPr>
          <w:hyperlink w:anchor="__RefHeading___Toc10697093_73709187">
            <w:r>
              <w:rPr>
                <w:webHidden/>
                <w:rStyle w:val="IndexLink"/>
                <w:rtl w:val="true"/>
              </w:rPr>
              <w:t>لبس المنطقة وشَدّ الهميان</w:t>
            </w:r>
            <w:r>
              <w:rPr>
                <w:rStyle w:val="IndexLink"/>
                <w:rtl w:val="true"/>
              </w:rPr>
              <w:tab/>
            </w:r>
            <w:r>
              <w:rPr>
                <w:rStyle w:val="IndexLink"/>
              </w:rPr>
              <w:t>332</w:t>
            </w:r>
          </w:hyperlink>
        </w:p>
        <w:p>
          <w:pPr>
            <w:pStyle w:val="Contents2"/>
            <w:tabs>
              <w:tab w:val="clear" w:pos="8743"/>
              <w:tab w:val="right" w:pos="9026" w:leader="dot"/>
            </w:tabs>
            <w:rPr/>
          </w:pPr>
          <w:hyperlink w:anchor="__RefHeading___Toc10697095_73709187">
            <w:r>
              <w:rPr>
                <w:webHidden/>
                <w:rStyle w:val="IndexLink"/>
                <w:rtl w:val="true"/>
              </w:rPr>
              <w:t>جواز لبس المخيط للنساء</w:t>
            </w:r>
            <w:r>
              <w:rPr>
                <w:rStyle w:val="IndexLink"/>
                <w:rtl w:val="true"/>
              </w:rPr>
              <w:tab/>
            </w:r>
            <w:r>
              <w:rPr>
                <w:rStyle w:val="IndexLink"/>
              </w:rPr>
              <w:t>335</w:t>
            </w:r>
          </w:hyperlink>
        </w:p>
        <w:p>
          <w:pPr>
            <w:pStyle w:val="Contents2"/>
            <w:tabs>
              <w:tab w:val="clear" w:pos="8743"/>
              <w:tab w:val="right" w:pos="9026" w:leader="dot"/>
            </w:tabs>
            <w:rPr/>
          </w:pPr>
          <w:hyperlink w:anchor="__RefHeading___Toc10697097_73709187">
            <w:r>
              <w:rPr>
                <w:webHidden/>
                <w:rStyle w:val="IndexLink"/>
                <w:rtl w:val="true"/>
              </w:rPr>
              <w:t>حرمة لبس القفازين على النساء</w:t>
            </w:r>
            <w:r>
              <w:rPr>
                <w:rStyle w:val="IndexLink"/>
                <w:rtl w:val="true"/>
              </w:rPr>
              <w:tab/>
            </w:r>
            <w:r>
              <w:rPr>
                <w:rStyle w:val="IndexLink"/>
              </w:rPr>
              <w:t>336</w:t>
            </w:r>
          </w:hyperlink>
        </w:p>
        <w:p>
          <w:pPr>
            <w:pStyle w:val="Contents2"/>
            <w:tabs>
              <w:tab w:val="clear" w:pos="8743"/>
              <w:tab w:val="right" w:pos="9026" w:leader="dot"/>
            </w:tabs>
            <w:rPr/>
          </w:pPr>
          <w:hyperlink w:anchor="__RefHeading___Toc10697099_73709187">
            <w:r>
              <w:rPr>
                <w:webHidden/>
                <w:rStyle w:val="IndexLink"/>
                <w:rtl w:val="true"/>
              </w:rPr>
              <w:t>جواز لبس الغلالة والسَّراويل للنساء</w:t>
            </w:r>
            <w:r>
              <w:rPr>
                <w:rStyle w:val="IndexLink"/>
                <w:rtl w:val="true"/>
              </w:rPr>
              <w:tab/>
            </w:r>
            <w:r>
              <w:rPr>
                <w:rStyle w:val="IndexLink"/>
              </w:rPr>
              <w:t>339</w:t>
            </w:r>
          </w:hyperlink>
        </w:p>
        <w:p>
          <w:pPr>
            <w:pStyle w:val="Contents2"/>
            <w:tabs>
              <w:tab w:val="clear" w:pos="8743"/>
              <w:tab w:val="right" w:pos="9026" w:leader="dot"/>
            </w:tabs>
            <w:rPr/>
          </w:pPr>
          <w:hyperlink w:anchor="__RefHeading___Toc10697101_73709187">
            <w:r>
              <w:rPr>
                <w:webHidden/>
                <w:rStyle w:val="IndexLink"/>
                <w:rtl w:val="true"/>
              </w:rPr>
              <w:t>حكم الخُنثى</w:t>
            </w:r>
            <w:r>
              <w:rPr>
                <w:rStyle w:val="IndexLink"/>
                <w:rtl w:val="true"/>
              </w:rPr>
              <w:tab/>
            </w:r>
            <w:r>
              <w:rPr>
                <w:rStyle w:val="IndexLink"/>
              </w:rPr>
              <w:t>342</w:t>
            </w:r>
          </w:hyperlink>
        </w:p>
        <w:p>
          <w:pPr>
            <w:pStyle w:val="Contents2"/>
            <w:tabs>
              <w:tab w:val="clear" w:pos="8743"/>
              <w:tab w:val="right" w:pos="9026" w:leader="dot"/>
            </w:tabs>
            <w:rPr/>
          </w:pPr>
          <w:hyperlink w:anchor="__RefHeading___Toc10697103_73709187">
            <w:r>
              <w:rPr>
                <w:webHidden/>
                <w:rStyle w:val="IndexLink"/>
                <w:rtl w:val="true"/>
              </w:rPr>
              <w:t>حرمة لبس ما يَستُر ظهر القدم</w:t>
            </w:r>
            <w:r>
              <w:rPr>
                <w:rStyle w:val="IndexLink"/>
                <w:rtl w:val="true"/>
              </w:rPr>
              <w:tab/>
            </w:r>
            <w:r>
              <w:rPr>
                <w:rStyle w:val="IndexLink"/>
              </w:rPr>
              <w:t>344</w:t>
            </w:r>
          </w:hyperlink>
        </w:p>
        <w:p>
          <w:pPr>
            <w:pStyle w:val="Contents2"/>
            <w:tabs>
              <w:tab w:val="clear" w:pos="8743"/>
              <w:tab w:val="right" w:pos="9026" w:leader="dot"/>
            </w:tabs>
            <w:rPr/>
          </w:pPr>
          <w:hyperlink w:anchor="__RefHeading___Toc10697105_73709187">
            <w:r>
              <w:rPr>
                <w:webHidden/>
                <w:rStyle w:val="IndexLink"/>
                <w:rtl w:val="true"/>
              </w:rPr>
              <w:t>تنبيهات</w:t>
            </w:r>
            <w:r>
              <w:rPr>
                <w:rStyle w:val="IndexLink"/>
                <w:rtl w:val="true"/>
              </w:rPr>
              <w:t>:</w:t>
              <w:tab/>
            </w:r>
            <w:r>
              <w:rPr>
                <w:rStyle w:val="IndexLink"/>
              </w:rPr>
              <w:t>347</w:t>
            </w:r>
          </w:hyperlink>
        </w:p>
        <w:p>
          <w:pPr>
            <w:pStyle w:val="Contents2"/>
            <w:tabs>
              <w:tab w:val="clear" w:pos="8743"/>
              <w:tab w:val="right" w:pos="9026" w:leader="dot"/>
            </w:tabs>
            <w:rPr/>
          </w:pPr>
          <w:hyperlink w:anchor="__RefHeading___Toc10697107_73709187">
            <w:r>
              <w:rPr>
                <w:webHidden/>
                <w:rStyle w:val="IndexLink"/>
                <w:rtl w:val="true"/>
              </w:rPr>
              <w:t>لبس الخُفّين في حال الاضطرار</w:t>
            </w:r>
            <w:r>
              <w:rPr>
                <w:rStyle w:val="IndexLink"/>
                <w:rtl w:val="true"/>
              </w:rPr>
              <w:tab/>
            </w:r>
            <w:r>
              <w:rPr>
                <w:rStyle w:val="IndexLink"/>
              </w:rPr>
              <w:t>350</w:t>
            </w:r>
          </w:hyperlink>
        </w:p>
        <w:p>
          <w:pPr>
            <w:pStyle w:val="Contents2"/>
            <w:tabs>
              <w:tab w:val="clear" w:pos="8743"/>
              <w:tab w:val="right" w:pos="9026" w:leader="dot"/>
            </w:tabs>
            <w:rPr/>
          </w:pPr>
          <w:hyperlink w:anchor="__RefHeading___Toc10697109_73709187">
            <w:r>
              <w:rPr>
                <w:webHidden/>
                <w:rStyle w:val="IndexLink"/>
                <w:rtl w:val="true"/>
              </w:rPr>
              <w:t>حرمة الفسوق على المُحرِم</w:t>
            </w:r>
            <w:r>
              <w:rPr>
                <w:rStyle w:val="IndexLink"/>
                <w:rtl w:val="true"/>
              </w:rPr>
              <w:tab/>
            </w:r>
            <w:r>
              <w:rPr>
                <w:rStyle w:val="IndexLink"/>
              </w:rPr>
              <w:t>356</w:t>
            </w:r>
          </w:hyperlink>
        </w:p>
        <w:p>
          <w:pPr>
            <w:pStyle w:val="Contents2"/>
            <w:tabs>
              <w:tab w:val="clear" w:pos="8743"/>
              <w:tab w:val="right" w:pos="9026" w:leader="dot"/>
            </w:tabs>
            <w:rPr/>
          </w:pPr>
          <w:hyperlink w:anchor="__RefHeading___Toc10697111_73709187">
            <w:r>
              <w:rPr>
                <w:webHidden/>
                <w:rStyle w:val="IndexLink"/>
                <w:rtl w:val="true"/>
              </w:rPr>
              <w:t>حرمة الجدال على المُحرِم</w:t>
            </w:r>
            <w:r>
              <w:rPr>
                <w:rStyle w:val="IndexLink"/>
                <w:rtl w:val="true"/>
              </w:rPr>
              <w:tab/>
            </w:r>
            <w:r>
              <w:rPr>
                <w:rStyle w:val="IndexLink"/>
              </w:rPr>
              <w:t>363</w:t>
            </w:r>
          </w:hyperlink>
        </w:p>
        <w:p>
          <w:pPr>
            <w:pStyle w:val="Contents2"/>
            <w:tabs>
              <w:tab w:val="clear" w:pos="8743"/>
              <w:tab w:val="right" w:pos="9026" w:leader="dot"/>
            </w:tabs>
            <w:rPr/>
          </w:pPr>
          <w:hyperlink w:anchor="__RefHeading___Toc10697113_73709187">
            <w:r>
              <w:rPr>
                <w:webHidden/>
                <w:rStyle w:val="IndexLink"/>
                <w:rtl w:val="true"/>
              </w:rPr>
              <w:t>يحرم قتل هَوامّ الجسد</w:t>
            </w:r>
            <w:r>
              <w:rPr>
                <w:rStyle w:val="IndexLink"/>
                <w:rtl w:val="true"/>
              </w:rPr>
              <w:tab/>
            </w:r>
            <w:r>
              <w:rPr>
                <w:rStyle w:val="IndexLink"/>
              </w:rPr>
              <w:t>373</w:t>
            </w:r>
          </w:hyperlink>
        </w:p>
        <w:p>
          <w:pPr>
            <w:pStyle w:val="Contents2"/>
            <w:tabs>
              <w:tab w:val="clear" w:pos="8743"/>
              <w:tab w:val="right" w:pos="9026" w:leader="dot"/>
            </w:tabs>
            <w:rPr/>
          </w:pPr>
          <w:hyperlink w:anchor="__RefHeading___Toc10697115_73709187">
            <w:r>
              <w:rPr>
                <w:webHidden/>
                <w:rStyle w:val="IndexLink"/>
                <w:rtl w:val="true"/>
              </w:rPr>
              <w:t>إلقاء هَوامّ الجَسد</w:t>
            </w:r>
            <w:r>
              <w:rPr>
                <w:rStyle w:val="IndexLink"/>
                <w:rtl w:val="true"/>
              </w:rPr>
              <w:tab/>
            </w:r>
            <w:r>
              <w:rPr>
                <w:rStyle w:val="IndexLink"/>
              </w:rPr>
              <w:t>376</w:t>
            </w:r>
          </w:hyperlink>
        </w:p>
        <w:p>
          <w:pPr>
            <w:pStyle w:val="Contents2"/>
            <w:tabs>
              <w:tab w:val="clear" w:pos="8743"/>
              <w:tab w:val="right" w:pos="9026" w:leader="dot"/>
            </w:tabs>
            <w:rPr/>
          </w:pPr>
          <w:hyperlink w:anchor="__RefHeading___Toc10697117_73709187">
            <w:r>
              <w:rPr>
                <w:webHidden/>
                <w:rStyle w:val="IndexLink"/>
                <w:rtl w:val="true"/>
              </w:rPr>
              <w:t>نقل هَوامّ الجَسد</w:t>
            </w:r>
            <w:r>
              <w:rPr>
                <w:rStyle w:val="IndexLink"/>
                <w:rtl w:val="true"/>
              </w:rPr>
              <w:tab/>
            </w:r>
            <w:r>
              <w:rPr>
                <w:rStyle w:val="IndexLink"/>
              </w:rPr>
              <w:t>380</w:t>
            </w:r>
          </w:hyperlink>
        </w:p>
        <w:p>
          <w:pPr>
            <w:pStyle w:val="Contents2"/>
            <w:tabs>
              <w:tab w:val="clear" w:pos="8743"/>
              <w:tab w:val="right" w:pos="9026" w:leader="dot"/>
            </w:tabs>
            <w:rPr/>
          </w:pPr>
          <w:hyperlink w:anchor="__RefHeading___Toc10697119_73709187">
            <w:r>
              <w:rPr>
                <w:webHidden/>
                <w:rStyle w:val="IndexLink"/>
                <w:rtl w:val="true"/>
              </w:rPr>
              <w:t>فهرس الموضوعات</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08_108840"/>
      <w:bookmarkStart w:id="1" w:name="pg11808_108840"/>
      <w:bookmarkEnd w:id="1"/>
    </w:p>
    <w:p>
      <w:pPr>
        <w:pStyle w:val="Heading2"/>
        <w:numPr>
          <w:ilvl w:val="1"/>
          <w:numId w:val="1"/>
        </w:numPr>
        <w:rPr/>
      </w:pPr>
      <w:bookmarkStart w:id="2" w:name="pg11808_108840"/>
      <w:bookmarkStart w:id="3" w:name="__RefHeading___Toc1069692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96923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الذي أوجب الحَجّ تشيّيداً للدِّين، وجَعَله من القواعد التي عليها بناء الإسلام، والصّلاة على محمّدٍ المبعوث إلى كافّة الأنام، وعلى آله هُداة الخلق، وأعلام الحَقّ‌، واللّعن الدائم على أعدائهم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هو الجزء الخامس عشر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وفّقني اللّه سبحانه لطبعه، راجياً منه تعالى التوفيق لنشر بقيّة الأجزاء،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08_108846"/>
      <w:bookmarkStart w:id="8" w:name="pg11808_108846"/>
      <w:bookmarkEnd w:id="8"/>
    </w:p>
    <w:p>
      <w:pPr>
        <w:pStyle w:val="BookText"/>
        <w:rPr/>
      </w:pPr>
      <w:bookmarkStart w:id="9" w:name="pg11808_108846"/>
      <w:bookmarkEnd w:id="9"/>
      <w:r>
        <w:rPr>
          <w:rFonts w:ascii="Amiri" w:hAnsi="Amiri" w:eastAsia="Amiri" w:cs="Amiri"/>
          <w:color w:val="111111"/>
          <w:sz w:val="28"/>
          <w:sz w:val="28"/>
          <w:szCs w:val="28"/>
          <w:rtl w:val="true"/>
          <w:lang w:bidi="ar-SA"/>
        </w:rPr>
        <w:t>ولا يجوز الإحرام قبل هذه المواقيت</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696925_73709187"/>
      <w:bookmarkStart w:id="11" w:name="_Toc3"/>
      <w:bookmarkEnd w:id="10"/>
      <w:r>
        <w:rPr>
          <w:rtl w:val="true"/>
        </w:rPr>
        <w:t>أحكام المواقيت</w:t>
      </w:r>
      <w:bookmarkEnd w:id="11"/>
    </w:p>
    <w:p>
      <w:pPr>
        <w:pStyle w:val="BookText"/>
        <w:rPr/>
      </w:pPr>
      <w:r>
        <w:rPr>
          <w:rFonts w:ascii="Amiri" w:hAnsi="Amiri" w:eastAsia="Amiri" w:cs="Amiri"/>
          <w:color w:val="111111"/>
          <w:sz w:val="28"/>
          <w:sz w:val="28"/>
          <w:szCs w:val="28"/>
          <w:rtl w:val="true"/>
          <w:lang w:bidi="ar-SA"/>
        </w:rPr>
        <w:t xml:space="preserve">ثمّ إنّه يقع الكلام في أحكام المواقيت،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القول فيها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الإحرام قبل هذه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 أجمع إلّاما نستثنيه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ابن اُذنية، 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أحرم بالحجّ في غير أشهر الحَجّ فلا حجّ له، ومن أحرم دون الميقات فلا إحرام له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ميسر،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عبداللّه عليه السلام وأنا متغيّر اللّون،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أحرمتَ؟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طالب خير يزلّ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يسرّك إنْ صلّيتَ الظهر في السفر أربعاً؟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واللّه ذاك</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الإحرام من مواقيت خمسة وقّتها رسول اللّه صلى الله عليه و آله، لا ينبغي لحاجٍّ ولا معتمرٍ أن يحرم قبلها ولا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المواقيث،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لأحدٍ أن يرغب عن مواقيت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أبي جعفر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لأحدٍ أن يحرم دون الوقت الذي وقّته رسول اللّه صلى الله عليه و آله، فإنّما مثل ذلك من صَلّى في السفر أربعاً وترك الثنتين</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على بطلان الإحرام قبل الميقات وعدم انعقاده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يكون حراماً ذاتاً أيضاً أم لا؟ وقبل بيان أدلّة الطرفين لابدَّ من بيان موضوع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أنّ موضوع الحرمة الذاتيّة، ليس نفس العمل الخارجي مع قطع النظر عن قصد التقرّب، أو عنوانٍ آخر، إذ لا خلاف عندهم في عدم حرمته عليه بقصد التعليم، مضافاً إلى عدم دلالة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الموضع هو ذلك العمل بقصد التقرّب جزماً أو احتمالاً، إذ مع إمكانهما لا يعقل النهي عنهما، لأنّ حُسن الإطاعة ذاتي لا يعقل النهي عنها، ومع عدم إمكانهما لا يعقل النهي، لأنّه كالأمر لا يتعلّق بغير المقدور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الموضوع إمّا العمل الخاصّ تشريعاً، فيكون التشريع الخاصّ محرّماً من حيث كونه تشريعاً، ومن حيث كونه تشريعاً خاصّاً أو العمل الخاصّ المجعول بعنوان التذلّل وإظهار العبوديّة، الذي لا يتوقّف صدق العبادة عليه إلّاعلى العلم بكونه أدباً يليق الخضوع به، وقد كشف الشارع عن ذلك بالأمر فيما ليس للعرف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2" w:name="pg11808_108848"/>
    </w:p>
    <w:p>
      <w:pPr>
        <w:pStyle w:val="BookText"/>
        <w:rPr/>
      </w:pPr>
      <w:bookmarkEnd w:id="12"/>
      <w:r>
        <w:rPr>
          <w:rFonts w:ascii="Amiri" w:hAnsi="Amiri" w:eastAsia="Amiri" w:cs="Amiri"/>
          <w:color w:val="111111"/>
          <w:sz w:val="28"/>
          <w:sz w:val="28"/>
          <w:szCs w:val="28"/>
          <w:rtl w:val="true"/>
          <w:lang w:bidi="ar-SA"/>
        </w:rPr>
        <w:t>طريق إلى كشفه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 المشهور، حيث نُسب إليهم القول بالعبادة الذاتيّة في قبال ما يكون عبادة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 الإحرام قبل الميقات حرامٌ تشريعاً، لعدم الأمر به، إنّما الكلام في حرمته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لها بالنهي عنه الظاهر في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ظاهرٌ في الإرشاد إلى الحكم الوضعي، وأنّه لا ينعقد كما صرّح به في جملة من النصوص فتدبّر، ويترتّب على ما ذكرناه أنّه مع اشتباه الميقات يمكن الإحتياط، فتأمّل</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0696927_73709187"/>
      <w:bookmarkStart w:id="14" w:name="_Toc4"/>
      <w:bookmarkEnd w:id="13"/>
      <w:r>
        <w:rPr>
          <w:rtl w:val="true"/>
        </w:rPr>
        <w:t>نذر الإحرام قبل الميقات</w:t>
      </w:r>
      <w:bookmarkEnd w:id="14"/>
    </w:p>
    <w:p>
      <w:pPr>
        <w:pStyle w:val="BookText"/>
        <w:rPr/>
      </w:pPr>
      <w:r>
        <w:rPr>
          <w:rFonts w:ascii="Amiri" w:hAnsi="Amiri" w:eastAsia="Amiri" w:cs="Amiri"/>
          <w:color w:val="111111"/>
          <w:sz w:val="28"/>
          <w:sz w:val="28"/>
          <w:szCs w:val="28"/>
          <w:rtl w:val="true"/>
          <w:lang w:bidi="ar-SA"/>
        </w:rPr>
        <w:t>استثنى الأصحاب من عدم جواز الإحرام قبل الميقات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الإحرام قبل الميقات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وفاقاً للشيخ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2"/>
      </w:r>
      <w:r>
        <w:rPr>
          <w:rFonts w:ascii="Amiri" w:hAnsi="Amiri" w:eastAsia="Amiri" w:cs="Amiri"/>
          <w:color w:val="111111"/>
          <w:sz w:val="28"/>
          <w:sz w:val="28"/>
          <w:szCs w:val="28"/>
          <w:rtl w:val="true"/>
          <w:lang w:bidi="ar-SA"/>
        </w:rPr>
        <w:t>، والتهذيبين</w:t>
      </w:r>
      <w:r>
        <w:rPr>
          <w:rStyle w:val="FootnoteAnchor"/>
          <w:rtl w:val="true"/>
        </w:rPr>
        <w:footnoteReference w:id="13"/>
      </w:r>
      <w:r>
        <w:rPr>
          <w:rFonts w:ascii="Amiri" w:hAnsi="Amiri" w:eastAsia="Amiri" w:cs="Amiri"/>
          <w:color w:val="111111"/>
          <w:sz w:val="28"/>
          <w:sz w:val="28"/>
          <w:szCs w:val="28"/>
          <w:rtl w:val="true"/>
          <w:lang w:bidi="ar-SA"/>
        </w:rPr>
        <w:t>، والديلمي</w:t>
      </w:r>
      <w:r>
        <w:rPr>
          <w:rStyle w:val="FootnoteAnchor"/>
          <w:rtl w:val="true"/>
        </w:rPr>
        <w:footnoteReference w:id="14"/>
      </w:r>
      <w:r>
        <w:rPr>
          <w:rFonts w:ascii="Amiri" w:hAnsi="Amiri" w:eastAsia="Amiri" w:cs="Amiri"/>
          <w:color w:val="111111"/>
          <w:sz w:val="28"/>
          <w:sz w:val="28"/>
          <w:szCs w:val="28"/>
          <w:rtl w:val="true"/>
          <w:lang w:bidi="ar-SA"/>
        </w:rPr>
        <w:t>، والقاضي</w:t>
      </w:r>
      <w:r>
        <w:rPr>
          <w:rStyle w:val="FootnoteAnchor"/>
          <w:rtl w:val="true"/>
        </w:rPr>
        <w:footnoteReference w:id="15"/>
      </w:r>
      <w:r>
        <w:rPr>
          <w:rFonts w:ascii="Amiri" w:hAnsi="Amiri" w:eastAsia="Amiri" w:cs="Amiri"/>
          <w:color w:val="111111"/>
          <w:sz w:val="28"/>
          <w:sz w:val="28"/>
          <w:szCs w:val="28"/>
          <w:rtl w:val="true"/>
          <w:lang w:bidi="ar-SA"/>
        </w:rPr>
        <w:t>، وابن حمزة</w:t>
      </w:r>
      <w:r>
        <w:rPr>
          <w:rStyle w:val="FootnoteAnchor"/>
          <w:rtl w:val="true"/>
        </w:rPr>
        <w:footnoteReference w:id="16"/>
      </w:r>
      <w:r>
        <w:rPr>
          <w:rFonts w:ascii="Amiri" w:hAnsi="Amiri" w:eastAsia="Amiri" w:cs="Amiri"/>
          <w:color w:val="111111"/>
          <w:sz w:val="28"/>
          <w:sz w:val="28"/>
          <w:szCs w:val="28"/>
          <w:rtl w:val="true"/>
          <w:lang w:bidi="ar-SA"/>
        </w:rPr>
        <w:t>والمفيد</w:t>
      </w:r>
      <w:r>
        <w:rPr>
          <w:rStyle w:val="FootnoteAnchor"/>
          <w:rtl w:val="true"/>
        </w:rPr>
        <w:footnoteReference w:id="17"/>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حُكي، وعليه أكثرالمتأخّرين عليما أجده، أو مطلقاً علي مايستفاد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وغيرها،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وغيره أنّه المشهور بين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المشهور نقلاً إن لم يكن تحصيلاً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صحّته وانعقاده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الحسين بن سعيد، عن حمّاد، عن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جعل للّه عليه شكراً أن يحرم من 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فليحرم من الكوفة وليف للّه بما قال</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على الاستدلال به بإيرادات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في الحلبي مطلقاً أنّه عبيداللّه وأخوه محمّد وحمّاد إنْ كان ابن عيسى فيبعد روايته عن عبيداللّه بلا واسطة، وإنْ كان ابن عثمان فتبعد رواية الحسين بن سعيد عنه بلا واسطة، وتبعد أيضاً إرادة عمران من الحلبي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استبعاد رواية ابن عيسى عن عبيداللّه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من جهة عدم ملاقاتهما، بمعنى موت المرويّ عنه قبل قابليّة الراوي، فهذا غير ظاهر، فإنّ ابن عيسى لاقى الإمام الصادق عليه السلام وروى عنه، فلعلّه لاقى عبيداللّه أيضاً، لعدم معلوميّة تاريخ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جهة الكبرى الكليّة التي ذهب إليها جمعٌ من الرجاليّين،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أنّهم إذا رأوا في جملةٍ من الروايات توسّط راويين، ثمّ وجدوا رواية أحد الإثنين من الآخر من دون توسّط الواسطة المذكورة، حكموا بالسهو وسقوط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مردودٌ بأنّه لا وجه لذلك سوى الغلبة، وهي ليست بحجّة، خصوصاً بالنسبة إلى ما هو ظاهر نقل الثقه من 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نسب الرواية إلى علي بن أبي حمزة وطعن فيها بأنّه واقفي لا يُعتمد عليه، بل المحكيّ عن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أنّ الراوي هو علي، وإنّما الحلبي بدله مذكورٌ في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المقام خبرين أحدهما روايه علي، والآخر روايه الحلبي، ونصّهما واحد، فلو كان الراوي هو عليّ فهذا يعني أنّحمّاد الراوي عنه هو حمّادبن عيسى‌، وهو من أصحاب الإجماع، فيصبح الخبر صحيحاً كما وصفه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بالصحّة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الغريب أنّ المصنّف رحمه الله مع تصريحه في الكتابين بالصحّة، وأنّ الراوي هو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الحلبي،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وطرحه للضعف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كلّه، أنّ عمل المشهور عليه، فلو كان ضعيفاً في نفسه، فهو مجبور بالعمل،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المحتمل إرادة المسير للإحرام من الكوفة دون الإحرام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الظاهر، لو لم يكن خلاف ما نصّ عليه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قبل الميقات كما تقدّم مرجوحٌ‌، والمعتبر في النذر رجحان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الرجحان حين العمل، ولو للنذر غير الصحيح، لكنّه ممنوعٌ لأنّ انعقاد النذر متوقّفٌ على الرجحان، فالرجحان الآتي من قبل النذر إنْ كان كافياً لزم الدور،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الممكن ثبوتاً أن يكون نذر الإحرام قبل الميقات ملازماً واقعاً لجهة موجبة للرجحان، أو يكون النذر الجامع لشرائط الصحّة سوى شرط الرجحان موجباً لرجحان المتعلّق في ظرفه، وعليه فلا مانع عن الأخذ بالدليل في مقام الإثبات الدالّ على صحّة نذره، هذا فضلاً عن أنّه يمكن أن يقال بكون الدليل مقيّداً لإطلاق ما دلّ على اعتبار الرجحان في متعلّق النذر، وكم له نظيرٌ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الخبر سنداً ودلالةً‌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أحمد بن محمّد بن عيسى‌، عن محمّد بن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5" w:name="pg11808_108852"/>
    </w:p>
    <w:p>
      <w:pPr>
        <w:pStyle w:val="BookText"/>
        <w:rPr/>
      </w:pPr>
      <w:bookmarkEnd w:id="15"/>
      <w:r>
        <w:rPr>
          <w:rFonts w:ascii="Amiri" w:hAnsi="Amiri" w:eastAsia="Amiri" w:cs="Amiri"/>
          <w:color w:val="111111"/>
          <w:sz w:val="28"/>
          <w:sz w:val="28"/>
          <w:szCs w:val="28"/>
          <w:rtl w:val="true"/>
          <w:lang w:bidi="ar-SA"/>
        </w:rPr>
        <w:t>إسماعيل، عن صفوان، عن عليّ بن أبي حمزة،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عبداللّه عليه السلام أسأله عن رجلٍ جعل للّه عليه أن يحرم من 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الكوفة</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محمّد بن الحسن الصفّار، عن محمّد بن الحسين، عن أحمد بن محمّد بن أبي نصر، عن عبد الكريم، عن سماعة،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لو أنّ عبداً أنعم اللّه عليه نعمة، أو ابتلاه ببليّة فعافاه من تلك البلية، فجعل على نفسه أن يحرم بخراسان كان عليه أن يُتمّ‌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دلالته تأمّل، وفي الأولين كفاية</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0696929_73709187"/>
      <w:bookmarkStart w:id="17" w:name="_Toc5"/>
      <w:bookmarkEnd w:id="16"/>
      <w:r>
        <w:rPr>
          <w:rtl w:val="true"/>
        </w:rPr>
        <w:t>فروع</w:t>
      </w:r>
      <w:r>
        <w:rPr>
          <w:rtl w:val="true"/>
        </w:rPr>
        <w:t>:</w:t>
      </w:r>
      <w:bookmarkEnd w:id="17"/>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الإحرام قبل الميقات، فأحرم قبله لا يجبُ عليه تجديد الإحرام من الميقات، ولا المرور عليه، لفرض صحّة إحرامه قبل الميقات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والراوندي</w:t>
      </w:r>
      <w:r>
        <w:rPr>
          <w:rStyle w:val="FootnoteAnchor"/>
          <w:rtl w:val="true"/>
        </w:rPr>
        <w:footnoteReference w:id="36"/>
      </w:r>
      <w:r>
        <w:rPr>
          <w:rFonts w:ascii="Amiri" w:hAnsi="Amiri" w:eastAsia="Amiri" w:cs="Amiri"/>
          <w:color w:val="111111"/>
          <w:sz w:val="28"/>
          <w:sz w:val="28"/>
          <w:szCs w:val="28"/>
          <w:rtl w:val="true"/>
          <w:lang w:bidi="ar-SA"/>
        </w:rPr>
        <w:t>من الإحرام مرّتين في المنذور وفي الميقات، لعلّ وجهه توقّفهما في انعقاد النذر وعدمه، وما ذكراه طريق الاحتياط، كما أفاده كاشف اللّثام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عن بعضٍ من أنّه إذا نذر إحراماً واجباً، وجب تجديده في الميقات وإلّا استحبّ‌، غير ظاهر الوجه، بل معلومٌ فساده،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النصوص النذر من المكان المعيّن، فلو نذر مطلقاً، كان مخيّراً بينهما، وأمّا لو نذر مع الترديد بين المكانين،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أحرم إمّا من الكوفة أو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نذره ولم ينعقد، لأنّه بعدما لا إطلاق للنصوص، والتعدّي عن موردها لا دليل عليه، لا مخرج عمّا يقتضيه القاعدة من البطلان، فالقول بالصحّة فيهما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من التفصيل والحكم بالبطلان في الأوّل، وعدم استبعاد الانعقاد في الثاني، إذ مع فرض عدم الإطلاق للنصوص، لم يظهر وجه صحّته في الثاني، ولو بنى على إلغاء الخصوصيّة لابدّ من البناء على الانعقاد في الصورة الاُولى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الإحرام للحجّ الواجب أو المندوب، وللعمرة المفردة، نعم لو كان للحجّ أو عُمرة التمتّع، فإنّه يشترط أن يكون في أشهر الحَجّ كما صرّح به الأساطين، فإنّ نصوص الباب متعرّضة لإيقاع الإحرام قبل الوقت، ولا تعرّض لها لسائر الشروط، وقد تقدّم أنّه يعتبر أن يكون الإحرام للحجّ والعُمرة في أشهر الحَجّ‌</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استظهار إلحاق العهد واليمين بالنذر، ولم يستبعده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 وظاهر كلّ من اقتصر على النذر، الإختصاص به وعدم إلحاقهما به،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يحتمل التفصيل بين العهد واليمين، وإلحاق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شاملة لهما، فإنّها مفروضة فيمن نذره على نفسه، وبإطلاق قوله 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على نفسه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الجعل على النفس كما يحصل بسبب النذر، كذلك يحصل بسبب العهد واليمين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العهد واليمين لا يكون تمليك شيء للّه تعالى بخلافه في النذر، وعليه فظاهر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للّه عليه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التأمّل في دلالته، فإنّ ظاهره مجرّد جعل الإحرام من المواضع البعيدة على نفسه من باب تحمّل الزحمة، فهو بظاهره غير 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المعاهدة مع اللّه سبحانه على فعل شيء، ترجع إلى جعل ذلك له وتمليكه إيّاه تعالى‌، فيشمله صحيح الحلبي، وكذا خبر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المعاهدة مع اللّه على فعل شيء كالمعاهدة مع غيره على ذلك، فكما أنّه في المعاهدة مع غيره لا يكون هنا ما يملّكه، كذلك في المعاهدة مع اللّه سبحانه، فالمتعيّن الاقتصار على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ولم يحرم من المكان المعيّن عمداً أو نسياناً، وأحرم من الميقات صحّ إحرامه، لأنّ غاية الأمر كون الإحرام من الميقات ضدّ الإحرام من ذلك المكان، والأمر بالضدّين معاً غير ممكن، لكنّه لا يوجبُ عدم الأمر به بنحو الترتّب، فهو مأمور به فيصحّ‌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أفاده بعض الأعاظم</w:t>
      </w:r>
      <w:r>
        <w:rPr>
          <w:rStyle w:val="FootnoteAnchor"/>
          <w:rtl w:val="true"/>
        </w:rPr>
        <w:footnoteReference w:id="42"/>
      </w:r>
      <w:r>
        <w:rPr>
          <w:rFonts w:ascii="Amiri" w:hAnsi="Amiri" w:eastAsia="Amiri" w:cs="Amiri"/>
          <w:color w:val="111111"/>
          <w:sz w:val="28"/>
          <w:sz w:val="28"/>
          <w:szCs w:val="28"/>
          <w:rtl w:val="true"/>
          <w:lang w:bidi="ar-SA"/>
        </w:rPr>
        <w:t>من أنّ الإحرام من الميقات حيثُ إنّه يكون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صورة العمد تفويتاً للواجب المملوك، فيكون حراماً، فيبطل إذا كان عبادة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بما أنّ له أن لا يحرم من الميقات، ولا يحرم من ذلك المكان أيضاً، فالإحرام من الميقات لا يعدّ تفويتاً له، بل المفوّت اختيار المكلّف، وعليه فلا يكون الإحرام من الميقات حراماً، فيصحّ كما مرّ</w:t>
      </w:r>
      <w:r>
        <w:rPr>
          <w:rFonts w:eastAsia="Amiri" w:cs="Amiri" w:ascii="Amiri" w:hAnsi="Amiri"/>
          <w:color w:val="111111"/>
          <w:sz w:val="28"/>
          <w:szCs w:val="28"/>
          <w:rtl w:val="true"/>
          <w:lang w:bidi="ar-SA"/>
        </w:rPr>
        <w:t>.</w:t>
      </w:r>
      <w:bookmarkStart w:id="18" w:name="pg11808_108856"/>
    </w:p>
    <w:p>
      <w:pPr>
        <w:pStyle w:val="Heading2"/>
        <w:numPr>
          <w:ilvl w:val="1"/>
          <w:numId w:val="1"/>
        </w:numPr>
        <w:rPr/>
      </w:pPr>
      <w:bookmarkStart w:id="19" w:name="__RefHeading___Toc10696931_73709187"/>
      <w:bookmarkStart w:id="20" w:name="_Toc6"/>
      <w:bookmarkEnd w:id="18"/>
      <w:bookmarkEnd w:id="19"/>
      <w:r>
        <w:rPr>
          <w:rtl w:val="true"/>
        </w:rPr>
        <w:t>الإحرام قبل الميقات لإدراك عُمرة رجب</w:t>
      </w:r>
      <w:bookmarkEnd w:id="20"/>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استثناه الأصحاب من كليّة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المشهور بين الأصحاب أنّه إذا أراد المعتمر إدراك عُمرة رجب، وخَشي فوتها إن أخّر الإحرام إلى الميقات، فإنّه يجوز له الإحرام قبل الميقات، وتُحسَب له عُمرة رجبيّة، وإنْ أتى ببقيّة الأعمال في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ذلك فتوى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فيه يُعرف واتّفاقهم عليه منقولٌفي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موضع نصّ ووفاق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اتّفاق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مخالفة القوم وأنّه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يجيء معتمراً ينوي عُمرة رجب، فيدخل عليه الهلال قبل أن يبلغ العقيق، فيحرمُ قبل الوقت، ويجعلها لرجب، أم يؤخّر الإحرام إلى العقيق ويجعلها لشعبان‌؟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قبل الوقت لرجب، فإنّ لرجب فضلاً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ينبغي أن يحرم دون الوقت الذي وقّته رسول اللّه صلى الله عليه و آله، إلّاأن يخاف فوت الشهر في العُمرة</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الثاني وإنْ كان جواز ذلك لعمرة غير رجب أيضاً، حيث أنّ لكلّ شهرٍ عُمرة، إلّاأنّه لعدم إفتاء أحدٍ من الأصحاب بذلك في غير رجب، وللتعليل في الصحيح الأوّل، فإنّه يختصّ الحكم بعمرة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التأخير إلى آخر الوقت اقتصاراً في تخصيص العمومات على موضع الضرورة، أم لايجب ذلك، بل يجوز الإحرام قبل الضيق إذا علم عدم الإدراك إذا أخّر إلى الميقات، لإطلاق النص وإطلاق المقيّد مقدّم على إطلاق المطلق‌؟</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مختصٌّ بعُمرة رجب، الظاهر في العُمرة المندوبة، فإسراء الحكم إلى العُمرة الواجبة بالأصل، يحتاج إلى دليلٍ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بعدم الإدراك، فأحرم ثمّ انكشف الإدراك، فالظاهر بطلان إحرامه، لأنّ الحكم الظاهري لا يقتضي الإجزاء، وموضوع جواز الإحرام قبل الميقات، هو عدم الإدراك، والمفروض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وغيره بأنّ كثيراً من الأصحاب لم يتعرّضوا له، ولعلّ ذلك منهم خلاف فيه، فالأولى والأحوط تجديد الإحرام في الميقات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1" w:name="pg11808_108858"/>
    </w:p>
    <w:p>
      <w:pPr>
        <w:pStyle w:val="Heading2"/>
        <w:numPr>
          <w:ilvl w:val="1"/>
          <w:numId w:val="1"/>
        </w:numPr>
        <w:rPr/>
      </w:pPr>
      <w:bookmarkStart w:id="22" w:name="__RefHeading___Toc10696933_73709187"/>
      <w:bookmarkStart w:id="23" w:name="_Toc7"/>
      <w:bookmarkEnd w:id="21"/>
      <w:bookmarkEnd w:id="22"/>
      <w:r>
        <w:rPr>
          <w:rtl w:val="true"/>
        </w:rPr>
        <w:t>التجاوز عن الميقات بلا إحرام</w:t>
      </w:r>
      <w:bookmarkEnd w:id="23"/>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يجوز تقديم الإحرام على الميقات، كذلك لا يجوز التأخير عنه، فلا يجوز لمن أراد النسك أو دخول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ممّن يتكرّر منه دخولها كالسائق، ولم يدخلها 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يتجاوز الميقات إلّامُحرِماً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العلماء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لعدم جواز التجاوزعن الميقات بغير إحرامٍ‌، لمريد النُسك نصوص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بن يحيى‌،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مواليك يحرمون ببطن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أنّ رسول اللّه صلى الله عليه و آله وقّت المواقيت لأهلها، ومن أتى عليها من غير أهلها، وفيها رخصة لمن كانت به علّة، فلا تجاوز الميقات إلّامن علّة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تمام الحَجّ والعُمرة أن تحرم من المواقيت التي وقّتها رسول اللّه صلى الله عليه و آله لا تجاوزها إلّاوأنت محرم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تجاوز الجُحفة إلّامحرماً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النصوص تدلّ على عدم جواز التجاوز عن الميقات بغير الإحرام لمريد النسك، ولمن يجبُ عليه الإحرام، وقد دلّت النصوص المستفيضة على أنّه لا يجوز دخول مكّة بغير إحرام إلّافي الموردين المتقدّمين،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يتكرّر دخوله كالحطّاب، ومُريد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ادّعى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الإجماع من العلماء على عدم وجوب الإحرام عليهما، وعلى من يتجاوز الميقات ولا يريد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الإحرام لمن لا يريد أداء المناسك، ولا دخول مكّة، بل كان له عمله خارجها إذا أراد دخول الحرم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الحرم أحد إلّا محرماً؟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إلّامريض أو مبطون</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عنه هل يدخل الرّجل الحرم بغير إحرام‌؟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إلّاأن يكون مريضاً أو به بطن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المشهور لم يعملوا بها، بل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أجمع العلماء على أنّ من مرّ على ميقات وهو لا يريد دخول مكّة، بل يريد حاجةً فيما سواها لا يلزمه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الفتوى بمضمون النصوص عن جمعٍ‌، إلّا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4" w:name="pg11808_108860"/>
    </w:p>
    <w:p>
      <w:pPr>
        <w:pStyle w:val="BookText"/>
        <w:rPr/>
      </w:pPr>
      <w:bookmarkEnd w:id="24"/>
      <w:r>
        <w:rPr>
          <w:rFonts w:ascii="Amiri" w:hAnsi="Amiri" w:eastAsia="Amiri" w:cs="Amiri"/>
          <w:color w:val="111111"/>
          <w:sz w:val="28"/>
          <w:sz w:val="28"/>
          <w:szCs w:val="28"/>
          <w:rtl w:val="true"/>
          <w:lang w:bidi="ar-SA"/>
        </w:rPr>
        <w:t>أنّه لا يخرجها عن الشذوذ، فتُحمل النصوص على الفضل أو على صورة إرادة دخول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يختصّ عدم جواز التجاوز إلّامُحرِماً بالميقات، أم يعمّ محاذاته فلا يجوز اجتياز محاذاة الميقات إلّامُحرِماً، وإنْ كان أمامه ميقاتٌ آخر؟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أحد صحيحي ابن سنان المتقدّمين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إحرامه من مسيرة ستّة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 في الصحيح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فليحرم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لكنّهما مختصّان بمن يريد الحَجّ‌، والأمر بالإحرام منها إنّما يكون إرشاديّاً إلى الشرطيّة، ولا حكماً مولويّاً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الثاني</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0696935_73709187"/>
      <w:bookmarkStart w:id="26" w:name="_Toc8"/>
      <w:bookmarkEnd w:id="25"/>
      <w:r>
        <w:rPr>
          <w:rtl w:val="true"/>
        </w:rPr>
        <w:t>لو تعذّر الإحرام من الميقات</w:t>
      </w:r>
      <w:bookmarkEnd w:id="26"/>
    </w:p>
    <w:p>
      <w:pPr>
        <w:pStyle w:val="BookText"/>
        <w:rPr/>
      </w:pPr>
      <w:r>
        <w:rPr>
          <w:rFonts w:ascii="Amiri" w:hAnsi="Amiri" w:eastAsia="Amiri" w:cs="Amiri"/>
          <w:color w:val="111111"/>
          <w:sz w:val="28"/>
          <w:sz w:val="28"/>
          <w:szCs w:val="28"/>
          <w:rtl w:val="true"/>
          <w:lang w:bidi="ar-SA"/>
        </w:rPr>
        <w:t>ولو تعذّر الإحرام الجامع لجميع القيود من الميقات، لمانعٍ من المرض ونحوه، ففيه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له أن يؤخّره عن الميقات، فإذا زال المانع أحرم من الموضع الذي انتهى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وخالفه من تأخّر عنه من جهتين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إدريس</w:t>
      </w:r>
      <w:r>
        <w:rPr>
          <w:rStyle w:val="FootnoteAnchor"/>
          <w:rtl w:val="true"/>
        </w:rPr>
        <w:footnoteReference w:id="62"/>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من أنّه إذا كان مانع عنه يؤخّر كيفيّة الإحرام الظاهرة، من نزع الثياب، وكشف الرأس، والإرتداء والتوشيح والائتزار، فأمّا النيّة والتلبية مع القدرة عليهما، فلا يجوز له ذلك، إذ لا مانع له يمنع ذلك ولا ضرورة ولا تقية، وإن تركهما فقد ترك الإحرام متعمّداً من موضعه فيؤدّي إلى إبطال 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المانع إذا زال يجبُ العود إلى الميقات، فإنْ تعذّر جدّد الإحرام حيث زال، ومثله 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 كما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غير واحدمرسلين له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قطع النظر عن الأخبار الخاصّة، فإنّ ما أفاده الحِلّي ومن تبعه متين بناءً على ما سيأتي من أنّ لبس الثوبين ونزع المخيط ليسا من شرائط الإحرام، بل واجبان حينه، فإنّه حينئذٍ متمكّناً من الإحرام فلا يجوز له التأخير، ولو أحرم كذلك ثمّ زال المانع، لبس الثوبين ونزع المخيط من موضعه، لفرض صحّة إحرامه وكونه معذوراً في تركهما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المقام خبرين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أبي شعيب المحاملي، عن بعض أصحابنا، عن احدهما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 الرّجل على نفسه، أخّر إحرامه إلى الحرم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المتقدّم في سؤاله عن تأخير الإحرام من الميقات،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رخصة لمن كانت به علّة، فلا تجاوز الميقات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وإنْ كان مرسلاً، إلّاأنّ الثاني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من أنّه لم يصرّح في الصحيح، بخلاف ما قاله ابن إدريس الموافق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يصرّح بخلافه، إلّاأنّه ظاهر فيه، والظهور حجّة عندنا وعنده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يحمل الصحيح على العلّة المانعة من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ذلك خلاف الإطلاق، سيّما مع ندرة العلّة الكذائيّة، بل معها خلاف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الاحتجاج المتقدّم في الميقات السابع، الذي جَعَله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لما أفاده الحِلّي، فهو غير ما نحن فيه، لتضمّنه إيقاع الإحرام بجميع واجباته، حتّى نزع الخيط ولبس الثوبين، فلا يصحّ الاستشهاد به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الشيخ رحمه الله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فالمنسبق إلى الذهن من الصحيح أنّه يحرم من الموضع الذي زال المانع، إذ الواجب هو قطع المسافة المعيّنة مُحرِماً، وقد رخّص الشارع ترك الإحرام لمن به علّة، فمع ارتفاعها يجب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أفاده الشيخ رحمه الله متين، وإنْ أبيت عن استفادة ذلك من النصّ‌، فسيأتي حكم من ترك الإحرام من الميقات لعُذرٍ، فانتظر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7" w:name="pg11808_108863"/>
    </w:p>
    <w:p>
      <w:pPr>
        <w:pStyle w:val="BookText"/>
        <w:rPr/>
      </w:pPr>
      <w:bookmarkEnd w:id="27"/>
      <w:r>
        <w:rPr>
          <w:rFonts w:ascii="Amiri" w:hAnsi="Amiri" w:eastAsia="Amiri" w:cs="Amiri"/>
          <w:color w:val="111111"/>
          <w:sz w:val="28"/>
          <w:sz w:val="28"/>
          <w:szCs w:val="28"/>
          <w:rtl w:val="true"/>
          <w:lang w:bidi="ar-SA"/>
        </w:rPr>
        <w:t>ولو تجاوزها متعمّداً، رجع وأحرم منها، وإنْ لم يتمكّن بَطَل حجّه</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0696937_73709187"/>
      <w:bookmarkStart w:id="29" w:name="_Toc9"/>
      <w:bookmarkEnd w:id="28"/>
      <w:r>
        <w:rPr>
          <w:rtl w:val="true"/>
        </w:rPr>
        <w:t>في حكم تأخير الإحرام من الميقات</w:t>
      </w:r>
      <w:bookmarkEnd w:id="29"/>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 الإحرام من الميقات، ففيه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يؤخّره عالماً عامداً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تأخيره ناسياً أو جاهلاً بالحكم أو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معذوراً في تركه، ولم يكن جاهلاً أو ناسياً، كما لو لم يقصد أداء المناسك ولا دخول مكّة، أو كان ممّن لا يجب عليه الإحرام لدخولها، ثمّ أراد النسك وقد تجاوز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تجاوزها متعمّداً رجع وأحرم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تمكّن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يتمكّن بطل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يفهم من غير واحد عدم الخلاف فيه بيننا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مشعرٌ بذلك، فإنّه بعد حكمه ببطلان حجّه، نقل الخلاف عن بعض العامّة، لكنّه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ومختصره وجماعة من متأخّري المتأخّرين</w:t>
      </w:r>
      <w:r>
        <w:rPr>
          <w:rStyle w:val="FootnoteAnchor"/>
          <w:rtl w:val="true"/>
        </w:rPr>
        <w:footnoteReference w:id="78"/>
      </w:r>
      <w:r>
        <w:rPr>
          <w:rFonts w:ascii="Amiri" w:hAnsi="Amiri" w:eastAsia="Amiri" w:cs="Amiri"/>
          <w:color w:val="111111"/>
          <w:sz w:val="28"/>
          <w:sz w:val="28"/>
          <w:szCs w:val="28"/>
          <w:rtl w:val="true"/>
          <w:lang w:bidi="ar-SA"/>
        </w:rPr>
        <w:t xml:space="preserve">، أنّه </w:t>
      </w:r>
    </w:p>
    <w:p>
      <w:pPr>
        <w:pStyle w:val="BookText"/>
        <w:rPr/>
      </w:pPr>
      <w:r>
        <w:rPr>
          <w:rFonts w:ascii="Amiri" w:hAnsi="Amiri" w:eastAsia="Amiri" w:cs="Amiri"/>
          <w:color w:val="111111"/>
          <w:sz w:val="28"/>
          <w:sz w:val="28"/>
          <w:szCs w:val="28"/>
          <w:rtl w:val="true"/>
          <w:lang w:bidi="ar-SA"/>
        </w:rPr>
        <w:t>إن أمكن له خرج من الحرم وأحرم منه، وإلّا أحرم من موضعه، وصحَّ حجّه، وهذا اختياره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اقتصار جماعةٍ من الفقهاء كالمحقّق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وغيرهما في غيرهما على ذكر بطلان الإحرام، من جهة إمكان صحّة الحَجّ بأن يحرم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القواعد وإنْ كان هو القول الأوّل، لأنّ بانتفاء الجزء والشرط ينتفي الكلّ والمشروط، لكن الوارد في 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ترك الإحرام حتّى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أهل بلاده الذي يحرمون منه فيحرم، فإنْ خشي أن يفوته الحَجّ‌، فليحرم من مكانه، فإنْ استطاع أن يخرج عن الحرم فليخرج</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فهذا الخبر بإطلاقه يشمل التارك عن علمٍ وعمد، ويدلّ على صحّة إحرامه وحجّه إنْ أحرم من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تقيّيد إطلاق دليل التوقيت، الدالّ على بطلان الحَجّ بدون الإحرام من الميقات بإطلاق الصحيح، ليس بأولى من تنزيل إطلاق صحيح الحلبي على غير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غير العامد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أولى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المرجّحات إنّما هو في غير المطلق والعام والخاصّ‌، وأمّا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فيهما فيقدّم إطلاق المقيّد والخاصّ على إطلاق المطلق والعام بلا كلام، ونسبة صحيح الحلبي مع أدلّة التوقيت هي نسبة العام والخاصّ والمطلق والمقيّد، فلا وجه لملاحظة المرجّحات، بل يقدّم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على الصحّة يقتضي اختصاص الخبر بغير العامد، فإنّ حمل الترك على الأعمّ من العمد، خلاف حمل فعل المسلم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محطّ نظر المورد أنّ الحمل على الصحّة يقتضي انصراف الصحيح عن العامد، فيرد عليه أنّه لو سُلّم فهو بدوي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أنّ ذلك يوجب تقيّيد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كفاية الخروج من الحرم، والإحرام من خارجه، ومع عدم إمكانه فالإحرام من موضعه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صحيح الحلبي مختصٌّ بالعُمرة المتمتّع بها والحَجّ‌، ولا يشمل العُمرة المفردة، فالإكتفاء فيها بالإحرام من موضعه يتوقّف على العلم بعدم الخصوصيّة وهو مشكلٌ‌، فعلى هذا لو ترك الإحرام من الميقات متعمّداً، وأمكنه الإحرام من أدنى الحِلّ‌، فهل يجوز له الإحرام منه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3"/>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وغيرهما، أم لا؟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بطلان الإحرام منه ولو للعمرة المفردة، وحينئذٍ لا يباح له دخول مكّة حتّى يحرم من الميقات، بل عن بعض الأصحاب التصريح بذلك،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بطلانه للإحرام للحجّ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للعمرة المفردة التي أدنى الحِلّ ميقاتٌ لها اختياري، وإنْ أثِم بتركه الإحرام عند مروره بالميقات، بل قيل إنّ الأصحاب إنّما صرّحوا بذلك لا بطلانه مطلقاً، ويمكن صرف ظاهر المتن وغيره إليه، ولعلّه الأقوى‌</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تصحيحه بأنّ المراد من العُمرة المفردة العُمرة بعد حَجّ القِران والإفراد، لما تقدّم أنّه قدس سره ادّعى الإجماع على أنّ أدنى الحِلّ ميقاتٌ لخصوص تلك العُمرة دون كلّ عُمرةٍ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مرّ أنّ أدنى الحِلّ إنّما هو ميقاتها إذا كان المُعتمر في مكّة، وإلّا فيتعيّن عليه الإحرام من أحد المواقيت الخمسة، وليس من أدنى الحِلّ الذي يعدّ ميقاتاً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ما لو خرج المُعتمر من مكّة وتجاوز الميقات ثمّ رجع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توقيت أدنى الحِلّ لا يشمل مثل ذلك، وعليه فالمتعيّن هو الرجوع الى إطلاق أدلّة التوقيت الشامل للعمرة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الاكتفاء بالإحرام من أدنى الحِلّ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بأنّ من أخّر الإحرام من الميقات عالماً عامداً ولم يتمكّن من العود إليه بَطَل حجّه وإحرامه، لا إشكال في وجوب قضاء الحَجّ عليه إذا كان مستطيعاً في السنة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مستطيعاً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رجع بعد تجاوز الميقات، دون أن يدخل الحرم، فلا قضاء عليه، بلا خلافٍ نعلمه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0" w:name="pg11808_108867"/>
    </w:p>
    <w:p>
      <w:pPr>
        <w:pStyle w:val="BookText"/>
        <w:rPr/>
      </w:pPr>
      <w:bookmarkEnd w:id="30"/>
      <w:r>
        <w:rPr>
          <w:rFonts w:ascii="Amiri" w:hAnsi="Amiri" w:eastAsia="Amiri" w:cs="Amiri"/>
          <w:color w:val="111111"/>
          <w:sz w:val="28"/>
          <w:sz w:val="28"/>
          <w:szCs w:val="28"/>
          <w:rtl w:val="true"/>
          <w:lang w:bidi="ar-SA"/>
        </w:rPr>
        <w:t>وإنْ كان ناسياً أو جاهلاً رجع مع المكنة</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10696939_73709187"/>
      <w:bookmarkStart w:id="32" w:name="_Toc10"/>
      <w:bookmarkEnd w:id="31"/>
      <w:r>
        <w:rPr>
          <w:rtl w:val="true"/>
        </w:rPr>
        <w:t>لو ترك الإحرام من الميقات ناسياً أو جاهلاً</w:t>
      </w:r>
      <w:bookmarkEnd w:id="32"/>
    </w:p>
    <w:p>
      <w:pPr>
        <w:pStyle w:val="BookText"/>
        <w:rPr/>
      </w:pPr>
      <w:r>
        <w:rPr>
          <w:rFonts w:ascii="Amiri" w:hAnsi="Amiri" w:eastAsia="Amiri" w:cs="Amiri"/>
          <w:color w:val="111111"/>
          <w:sz w:val="28"/>
          <w:sz w:val="28"/>
          <w:szCs w:val="28"/>
          <w:rtl w:val="true"/>
          <w:lang w:bidi="ar-SA"/>
        </w:rPr>
        <w:t>وأمّا إنْ دخل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وجوب القضاء عليه لوجوب الإحرام عليه، فإذا لم يأت به وجب قضاءه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سبطه السيّد السند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بأنّ الإحرام مشروع لتحيّة البقعة، فإذا لم يأت به سقط، وحيث أنّ القضاء فرض مستأنف، فثبوته يتوقّف على الدليل، وهو منتفٍ هنا، لأصالة البراءة من القضاء، وهو 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وجّه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كلام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لعلّ مراده ما لو دخل مكّة حاجّاً ولو بإحرامٍ من دونه، وعليه فيكون القضاء للحجّ لا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ظاهر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قضاء الحَجّ في الفرض، لاختصاص ما دلّ على وجوب قضاء لمن أفسد حجّه بغير ذلك، ومقتضى الأصل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ترك الإحرام عن علم وعمد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من الميقات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ناسياً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أو الموضوع وهي الصورة الثانية، فلا خلافٍ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مع المكنة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اتّفقوا على وجوب الرجوع إلى الميقات للناسي والجاهل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مضافاً إلى كونه على وفق القاعدة، 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ترك الإحرام حتّى دخل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ميقات أهل بلاده الذي يحرمون منه فيحرم، فإنْ خشي أن يفوته الحَجّ‌، فليحرم من مكانه، فإنْ‌استطاع أن يخرج من الحرم فليخرج</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كانت مع قوم فطمثت فأرسلت إليهم فسألتهم،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أعليكِ إحرامٌ أم لا وأنتِ حائض، فتركوها حتّى دخلت الحرم‌؟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عليها مهلة فترجع إلى الوقت فلتحرم منه، فإنْ لم يكن عليها وقت، فلترجع إلى ما قدرت عليه بعدما تخرج من الحرم بقدر ما لا يفوتها</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أن يحرم حتّى دخل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 يخرج إلى ميقات أهل أرضه، فإنْ خشي أن يفوته الحَجّ أحرم من مكانه، فإنْ استطاع أن يخرج من الحرم فليخرج ثمّ ليحرم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الثالث وإنْ كان مختصّاً بالناسي، والثاني مختصّاً بالجاهل بالحكم،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الأوّل عام شاملٌ لهما وللجاهل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أنّ بعض الأعاظم</w:t>
      </w:r>
      <w:r>
        <w:rPr>
          <w:rStyle w:val="FootnoteAnchor"/>
          <w:rtl w:val="true"/>
        </w:rPr>
        <w:footnoteReference w:id="95"/>
      </w:r>
      <w:r>
        <w:rPr>
          <w:rFonts w:ascii="Amiri" w:hAnsi="Amiri" w:eastAsia="Amiri" w:cs="Amiri"/>
          <w:color w:val="111111"/>
          <w:sz w:val="28"/>
          <w:sz w:val="28"/>
          <w:szCs w:val="28"/>
          <w:rtl w:val="true"/>
          <w:lang w:bidi="ar-SA"/>
        </w:rPr>
        <w:t>سَلّم شمول ذلك للعالم العامد، وبرغم ذلك ادّعى في المقام أنّه ليس في النصوص تعرّض لحكم الجاهل بالموضوع،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يمكن استفادته من النصوص الواردة في غيره، لا سيّما وكون الحكم إجماعيّاً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النصوص يقيّد إطلاق ما دلّ على أنّه يخرج من الحرم ويهلّ بالحجّ‌، كخبر أبي الصباح الكناني،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جهل أن يحرم حتّى دخل الحرم كيف يصنع‌؟ قال عليه السلام يخرج من الحرم ثمّ يهلّ بالحجّ‌</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ويُحمل على صورة عدم إمكان الرجوع إلى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بها يقيّد إطلاق ما دلّ من النصوص على أنّه يحرم من مكانه، كخبر سورة بن كُليب،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معنا امرأة من أهلنا، فجهلت الإحرام فلم تحرم حتّى دخلنا مكّة، ونسينا أن نأمرها بذلك‌؟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فمروها فلتحرم من مكانها من مكّة أو من المسجد</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ويُحمل على صورة تعذّر الرجوع إلى الميقات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ترك الإحرام حتّى انتهى إلى الحرم، فأحرم قبل أن يدخله‌؟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 ذلك جاهلاً فليبنِ مكانه ليقضي، فإنّ ذلك يُجزيه إنْ شاء اللّه تعالى‌، وإنْ رجع إلى الميقات الذي يحرم منه أهل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بلده فإنّه أفضل</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الخبر صريح في عدم وجوب الرجوع إلى الميقات مع التمكّن منه، فلضعفه في نفسه، لأنّ عبداللّه بن الحسن لم يوثّق، ولإعراض المشهور عنه، بل لا قائل 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لابدّ من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تعذّر رجوع الناسي أو الجاهل إلى الميقات، فليرجع إلى قرب الميقات بقدر الإمكان وفاقاً للشهيد</w:t>
      </w:r>
      <w:r>
        <w:rPr>
          <w:rStyle w:val="FootnoteAnchor"/>
          <w:rtl w:val="true"/>
        </w:rPr>
        <w:footnoteReference w:id="101"/>
      </w:r>
      <w:r>
        <w:rPr>
          <w:rFonts w:ascii="IRNazanin" w:hAnsi="IRNazanin" w:eastAsia="IRNazanin"/>
          <w:color w:val="111111"/>
          <w:sz w:val="28"/>
          <w:sz w:val="28"/>
          <w:szCs w:val="28"/>
          <w:rtl w:val="true"/>
          <w:lang w:bidi="fa-IR"/>
        </w:rPr>
        <w:t>وبعض آخر</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الشهيد قدس سره الاستدلال له بقاعدة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تامّة في أجزاء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تمّت، رفعنا اليد عنها بإطلاق النصوص المتضمّنة أنّه يحرم من مكانه أو بعدما يخرج من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 بصحيح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فلترجع إلى ما قدرت عليه بعدما تخرج من الحرم بقدر ما لا يفوتها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بعد نقل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يمكن حمله على الاستحباب، لعدم وجوب ذلك على الناسي والجاهل مع الاشتراك في العذر، ولموثّق زرارة في المرأة المذكورة الحاكم بأنّها من مكانها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وجوبه عليها أوّل الكلام، والاشتراك في العُذر قياسٌ مستنبط، والموثّق مطلق يحمل على المقيّد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عنه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جملةٍ من النصوص كصحيحي الحلبي المتقدّمين، وخبر أبي الصباح المتقدّم، وصحيح عبد اللّه بن سنان،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مرّ على الوقت الذي يحرم الناس منه فنسي أو جهل، فلم يحرم حتّى أتى مكّة، فخاف إنْ رجع إلى الوقت أن يفوته 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الحرم ويحرم ويجزيه ذلك</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حيث أنّ هذه الأخبار تدلّ على أنّه إنْ لم يتمكّن من الرجوع إلى الميقات، خرج من الحرم إن قدر ويحرم منه ويجزيه، وبها يقيّد إطلاق صحيح معاوية الدالّ على أنّ المرأة إن تقدر على الرجوع إلى الميقات فلترجع إلى ما قدرت بقدر ما لا يفوتها الحَجّ‌، فإنّه مطلق من حيث الرجوع إلى خارج الحرم أو أزيد منه، فيقيّد إطلاقه بالنصوص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مثبتان، فكيف يُحمل المطلق على المقيّد؟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لزوم الإحرام من ما فوق ذلك وإن قدر عليه، مع أنّ حمل هذه النصوص على ما إذا لم يقدر على الرجوع في الجمله إلى ما فوق الحرم، حملٌ على الفرد النادر جدّاً، وهو بعيدٌ غير صحيح</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كلّه أنّ الصحيح واردٌ في خصوص الجاهل بالحكم، والتعدّي عنه يحتاج إلى دليل 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الجاهل أو الناسي إذا ترك الإحرام من الميقات، يرجع إلى الوقت مع المكنة، وإلّا فإنْ دخل الحرم يخرج منه ويحرم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يتمكّن من الرجوع إلى الوقت، ولم يدخل الحرم، ولكن أمامه ميقاتٌ آخر فهل يحرم من مكانه، أو يؤخّر الإحرام إلى ذلك الميقات‌؟</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لعموم دليل ذلك الميقات، فإنّه وإن لم يكن ميقاتاً مع عدم العذر، لكن لا كلام في أنّه ميقاتٌ معه، ونصوص الباب الدالّة على أنّه يحرم من موضعه إذا لم يتمكّن من الرجوع إلى الميقات، موردها ما لو علم وتذكّر وهو في الحرم، وهو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وسبطه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إمكان العود إلى ميقات أهل بلاده لا يجب العود إنْ كان أمامه ميقاتٌ آخر، واستدلّ له بأنّه أيضاً ميقاتٌ لمن مرَّ به عند وصوله، وبأنّه يجتزي بالإحرام منه مع الاختيار فضلاً عن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ظاهر أكثر نصوص الباب، تعيّن العود إلى ميقات أهل بلاده، وبها يقيّد إطلاق صحيح معاوية المتقدّم المتضمّن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فلترجع إلى الوقت فلتحرم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لم يكن المراد منها الميقات الذي عبّروا عليه حين سألتهم المرأة، وكذا يقيّد به إطلاق دليل ذلك الوقت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3" w:name="pg11808_108873"/>
    </w:p>
    <w:p>
      <w:pPr>
        <w:pStyle w:val="BookText"/>
        <w:rPr/>
      </w:pPr>
      <w:bookmarkEnd w:id="33"/>
      <w:r>
        <w:rPr>
          <w:rFonts w:ascii="Amiri" w:hAnsi="Amiri" w:eastAsia="Amiri" w:cs="Amiri"/>
          <w:color w:val="111111"/>
          <w:sz w:val="28"/>
          <w:sz w:val="28"/>
          <w:szCs w:val="28"/>
          <w:rtl w:val="true"/>
          <w:lang w:bidi="ar-SA"/>
        </w:rPr>
        <w:t>وأحرَمَ من موضعه إنْ لم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تمكّن من الرجوع إلى الميقات، أو إلى خارج الحرم، فقد عرفت أنّه يرجع إليه ويخرج من الحرم مع التمكّن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يتمكّن من ذلك، فقد طفحت كلماتهم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من موضعه إنْ لم يتمكّن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كثيرٍ من الكلمات دعوى نفي الخلاف فيه، أو الإجماع عليه، والنصوص المتقدّمة شاهدة به</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0696941_73709187"/>
      <w:bookmarkStart w:id="35" w:name="_Toc11"/>
      <w:bookmarkEnd w:id="34"/>
      <w:r>
        <w:rPr>
          <w:rtl w:val="true"/>
        </w:rPr>
        <w:t>لو ترك الإحرام عن عُذر</w:t>
      </w:r>
      <w:bookmarkEnd w:id="35"/>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ترك الإحرام عن عذر غير النسيان والجهل، فالظاهر إجراء حكم الناسي فيها، لا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من فحوى النصوص الواردة فيه وفي الجاهل، بل هو أعذر من الناسي وأنسب بالتخفيف، فإنّ ذلك قياسٌ مستنبط، بل لإطلاق صحيح الحلبي المتقدّم بالتقريب الذي مرّ في العالِم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من كان مغمىً عليه ورد خبرٌ دالٌّ على أنّه يُحرِمه رجلٌ‌، وهو مرسل جميل، عن أحدهما عليه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مريضٍ اُغمي عليه فلم يعقل حتّى أتى الوقت‌؟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عنه رجل</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به أنّه يتولّى رجلٌ آخر إحرامه، ويتولّى النيّة النائب، ويُجنّبه محرّمات الإحرام، لا أنّه ينوب عنه في الإحرام، ولازم ذلك عدم وجوب العود إلى الميقات بعد إفاقته وإنْ كان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برغم أنّه مرسلٌ‌، إلّاأنّ جمعاً من الأعيان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والأحمدي</w:t>
      </w:r>
      <w:r>
        <w:rPr>
          <w:rStyle w:val="FootnoteAnchor"/>
          <w:rtl w:val="true"/>
        </w:rPr>
        <w:footnoteReference w:id="1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وغيرهم في غيرها، عملوا به، وعليه فضعفه منجبرٌ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لم يَحرم به أحدٌ، يلحقه حكم غيره من ذوي الأعذار، كما أنّ في غير مريد النسك إذا لم يتمكّن من العود إلى الميقات إشكالاً، فإنّ شمول إطلاق صحيح الحلبي له لا يخلو عن إشكال، فإنّ دعوى انصرافه إلى مَنْ ترك الإحرام وهو يريد النسك، من جهة ظهور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تركه لما لا ينبغي تركه، فإنّه المحتاج إلى السؤال،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فالصحيح لا يشمله، ومقتضى القاعدة عدم صحّة حجّه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6" w:name="pg11808_108875"/>
    </w:p>
    <w:p>
      <w:pPr>
        <w:pStyle w:val="Heading2"/>
        <w:numPr>
          <w:ilvl w:val="1"/>
          <w:numId w:val="1"/>
        </w:numPr>
        <w:rPr/>
      </w:pPr>
      <w:bookmarkStart w:id="37" w:name="__RefHeading___Toc10696943_73709187"/>
      <w:bookmarkStart w:id="38" w:name="_Toc12"/>
      <w:bookmarkEnd w:id="36"/>
      <w:bookmarkEnd w:id="37"/>
      <w:r>
        <w:rPr>
          <w:rtl w:val="true"/>
        </w:rPr>
        <w:t>لو نسي المتمتّع الإحرام للحجّ‌</w:t>
      </w:r>
      <w:bookmarkEnd w:id="38"/>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المتمتّع الإحرام للحجّ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 وهو في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 وهو في المشعر، أو بعد الإفاضة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يتذكّر وقد أتى بجميع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أنّه إذا تمكن من العود وجب، لوجوب الإتيان بالمأمور 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الإحرام بالحجّ فذكر وهو بعرفات ما حاله‌؟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وسُنّة نبيّك صلى الله عليه و آله فقد تمَّ إحرامه، فإنْ جهل أن يحرم يوم التروية بالحجّ حتّى رجع إلى بلده إنْ كان قضى مناسكه كلّها فقد تمَّ حجّه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بإطلاقه على عدم وجوب العود إلى الميقات، وصحّة حجّه وإحرامه لو أحرم من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وأفاد بعض الأعاظم</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النصوص المتقدّمة الدالّة على لزوم الإحرام من الميقات مع المكنة تقيّده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نسيان إحرام العُمرة من ميقاتها، والصحيح في نسيان إحرام الحَجّ من مكّة، فلا يكونان في موردٍ واحد، كي يقيّد إطلاق الصحيح بها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من أنّه لو نسي </w:t>
      </w:r>
    </w:p>
    <w:p>
      <w:pPr>
        <w:pStyle w:val="BookText"/>
        <w:rPr/>
      </w:pPr>
      <w:r>
        <w:rPr>
          <w:rFonts w:ascii="Amiri" w:hAnsi="Amiri" w:eastAsia="Amiri" w:cs="Amiri"/>
          <w:color w:val="111111"/>
          <w:sz w:val="28"/>
          <w:sz w:val="28"/>
          <w:szCs w:val="28"/>
          <w:rtl w:val="true"/>
          <w:lang w:bidi="ar-SA"/>
        </w:rPr>
        <w:t>الإحرام بالحجّ حتّى حصل بعرفات، أحرم من موضعه، وصحَّ حجّه، هو الظاهر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يتمكّن من العود إلى مكّة، أحرم من موضعه بلا كلام، وعليه اتّفاق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جماعةٍ منهم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أنّه يصحّ حجّه، لكن تردّد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 رفع النسيان بتقريب أنّ الحديث واردٌ في مقام الامتنان، ومقتضى الامتنان رفع قيدية الإحرام من مكّة في الفرض بالخصوص، فيصحّ حجّه حينئذٍ، لإتيان المأمور 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 الرفع إنّما يرفع الحكم ولا يصلح للوضع، وحيث أنّ رفع الجزئيّة والشرطيّة إنّما يكون برفع الأمر بالكلّ‌، فهو رافعٌ له، ولا يصلح لإثبات الأمر بالباقي، فما أتى به غير مأمورٍ به، 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أنّ من نَسي الإحرام حتّى قضى المناسك كلّها صَحَّ حجّه، حيث إنّه يدلّ على حكم نسيان الإحرام في البعض بالأولويّة، وهو حسنٌ سيّما بملاحظة ما ورد في نسيانه ثمّ تذكّر وهو في عرفات، الدالّ على الصحّة، فإنّ أهل العرف يفهمون من ضمّ أحدهمابالآخر أنّ حكم التذكّر في المشعر وبعده أيضاً كذلك</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نسي الإحرام حتّى أكمل مناسكه، صَحَّ حجّه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نَسي الإحرام حتّى أكمل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أنّه يُجزيه نيّته إذا كان قد نوى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مرسل جميل، عن بعض أصحابنا،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نسي أن يحرم أو جهل، وقد شهد المناسك كلّها، وطاف وسعى؟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نيّته، إذا كان قد نوى ذلك فقد تمّ حجّه وإن لم يهلّ‌</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أنّه ضعيف 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إفتاء المشهور به،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فتوى الأصحاب إلّا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ينجبر ضعفه، سيّما وأنّ الرواي عن جميل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يدلّ على الصحّة فيما لو كان المنسيّ التلبية لا النيّة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قد نوى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نوى الحَجّ بجميع أجزائه جملةً‌، لا نوى الإحرام، بقرينة ذكر الجاهل مع الناسي والجاهل، لا يتأتّى منه نيّة الإحرام، وهو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الاستدلال له بما يأتي في الجاهل، إمّا بأنّ الناسي أعذر من الجاهل، أو لشمول الجهل للنسيان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فغير صحيح، لمنع الثاني، وكون الأوّل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نسيان الإحرام من الميقات للعمرة أيضاً كذلك، كما هو المشهور بين الأصحاب،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المرسل لنسيان عُمرة التمتّع، لكونها جزءاً للحجّ‌، فيشملها إطلاق المرسل، ويثبت في العُمرة المفردة بعدم الفصل أو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المرسل وارد في خصوص نسيان إحرام الحَجّ‌، والتعدّي منه إلى العُمرة لا يخرج عن القياس، كما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لكن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نسيان المتمتّع الإحرام للحجّ‌، ولو جهله، فإنْ كان فعل المناسك كلّها صَحَّ حجّه بلا خلاف، ويشهد به ذيل صحيح عليّ بن جعفر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جهل أن يحرم يوم التروية بالحَجّ حتّى رجع إلى بلده إنْ كان قضى مناسكه كلّها فقد تَمّ حجّه وإلّا فحكمه حكم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صدر صحيح علي بن جعفر المتضمّن لحكم التذكّر في عرفات في الناسي، وذيله المتضمّن للتوجّه بعد قضاء المناسك كلّها في الجاهل، وهذا كاشفٌ عن اتّحاد حكمهما كما فهمه الأصحاب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39" w:name="pg11808_108879"/>
    </w:p>
    <w:p>
      <w:pPr>
        <w:pStyle w:val="Heading2"/>
        <w:numPr>
          <w:ilvl w:val="1"/>
          <w:numId w:val="1"/>
        </w:numPr>
        <w:rPr/>
      </w:pPr>
      <w:bookmarkStart w:id="40" w:name="__RefHeading___Toc10696945_73709187"/>
      <w:bookmarkStart w:id="41" w:name="_Toc13"/>
      <w:bookmarkEnd w:id="39"/>
      <w:bookmarkEnd w:id="40"/>
      <w:r>
        <w:rPr>
          <w:rtl w:val="true"/>
        </w:rPr>
        <w:t>حقيقة الإحرام</w:t>
      </w:r>
      <w:bookmarkEnd w:id="41"/>
    </w:p>
    <w:p>
      <w:pPr>
        <w:pStyle w:val="BookText"/>
        <w:rPr/>
      </w:pPr>
      <w:r>
        <w:rPr>
          <w:rFonts w:ascii="Amiri" w:hAnsi="Amiri" w:eastAsia="Amiri" w:cs="Amiri"/>
          <w:color w:val="111111"/>
          <w:sz w:val="28"/>
          <w:sz w:val="28"/>
          <w:szCs w:val="28"/>
          <w:rtl w:val="true"/>
          <w:lang w:bidi="ar-SA"/>
        </w:rPr>
        <w:t>ثمّ إنّه يقع الكلام في الإحرام، والكلام فيه في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واجباته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ما يستحبّ فيه وقبله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تروكه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 القوم في حقيقة الإحرام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الإحرام عبارة عن إيقاع التلبية المقارنة لنيّة الحَجّ أو العُمرة في الموضع المعيّن، وقد نسب ذلك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بل إلى الأكثر، بل نُقل عليه الإجماع في كثير من الكتب كالانتصار</w:t>
      </w:r>
      <w:r>
        <w:rPr>
          <w:rStyle w:val="FootnoteAnchor"/>
          <w:rtl w:val="true"/>
        </w:rPr>
        <w:footnoteReference w:id="1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وغيرها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النيّة والتلبية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ابن إدريس رحمه الله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مركّبٌ من النيّة والتلبية ولبس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عبارة عن توطين النفس على ترك المنهيّات المعهودة إلى أن يأتي بالمُحِلّ‌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ذهب إليه الشهيد رحمه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الحالة الحاصلة للشخص من التزام ترك المحرّمات أو نيّة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وجوهٌ اُخر لم أظفر بقائلها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يقول بأنّه عبارة عن النيّة، ليس مراده نيّة الإحرام، كي يرد عليه ما أورده بعض الأعاظم</w:t>
      </w:r>
      <w:r>
        <w:rPr>
          <w:rStyle w:val="FootnoteAnchor"/>
          <w:rtl w:val="true"/>
        </w:rPr>
        <w:footnoteReference w:id="143"/>
      </w:r>
      <w:r>
        <w:rPr>
          <w:rFonts w:ascii="Amiri" w:hAnsi="Amiri" w:eastAsia="Amiri" w:cs="Amiri"/>
          <w:color w:val="111111"/>
          <w:sz w:val="28"/>
          <w:sz w:val="28"/>
          <w:szCs w:val="28"/>
          <w:rtl w:val="true"/>
          <w:lang w:bidi="ar-SA"/>
        </w:rPr>
        <w:t>بأنّ الإحرام فعلٌ اختياري يقع تارةً عن نيّة، واُخرى لا عنها، ومن المعلوم أنّ النيّة لا تكون موضوعة للنيّة، بل المراد نيّة ترك المحرّمات أو نية الأعمال أو نيّتهما معاً، فإشكال عدم المعقوليّة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مختلفة وعلى طوائف</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منها دخل التلبية في الإحرام، أو كونه هو التلبية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وهب،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التهيّؤ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الشجرة، فقد صلّى فيه رسول اللّه صلى الله عليه و آله، وقد ترى اُناساً يحرمون فلا تفعل حتّى تنتهي إلى البيداء، حيث الميل فتحرمون، كما أنتم في محاملكم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لأهل المدينة ذا الحُليفة وهو مسجد الشجرة، كان يُصلّي فيه، ويفرض الحَجّ‌، فإذا خرج من المساجد وسار واستوت به البيداء حين يُحاذي الميل الأوّل أحرم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ما يُفعل في المسجد هو النيّة والعزم على الحَجّ‌، وما يُفعل في البيداء هو التلبية، وأطلق عليها اسم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متمتّع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العُمرة ويحرم بالحجّ‌</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المراد بالإحرام التلبية، كما يشهد به صحيح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أردتُ أن أتمتّع‌؟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بالحجّ وأنو المتعة، الحديث</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والإشعار والتقليد، فإذا فعل شيئاً من هذه الثلاثة فقد أحرم</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يُستظهر ذلك من النصوص الآتية في محلّها، المتضمّنة أنّه يجوز كلّ فعلٍ يحرم على المُحرم قبل التلبّي الموافقة لعمل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بإزاء تلك جملة من الأخبار، صريحة أو ظاهرة في كون الإحرام غير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المكتوبة ثمّ أحرم بالحجّ أو بالمتعة، واخرج بغير تلبية حتّى تصعد إلى البيداء إلى أوّل ميلٍ من يسارك، فإذا استوت بك الأرض، راكباً كنتَ أو ماشياً، فلبّ‌</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صحيحاه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المفيد،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من مسجد الشجرة فلا تُلبّ حتّى تنتهي إلى البيداء</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الحكم،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أحرمتَ من غمرة ومن بريد البعث صلّيت، وقلت كما يقول المحرم في دَبر صلاتك، وإنْ شئتَ لبّيت من موضعك، والفضل أن تمشي قليلاً ثمّ تُلبّي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الرّجل في دَبر المكتوبة، أيلبّي حين ينهض به بعيره أو جالساً في دَبر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ذلك شاء صنع</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تكون بهذا المضمون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الدالّة على لزوم الإحرام من الميقات، وعدم جواز</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تأخير الإحرام، المتّفق بين الأصحاب على العمل بها إذا انضمّ إليها نصوص مستفيضة اُخرى دالّة على جواز تأخير التلبية عنه المختلف فيه بينهم، جميعها تكون ظاهرة بل صريحة في عدم كون التلبية من الإحرام، بل هي واجبة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يُناسب جزئيّة التلبية للإحرام، ولا كونه هي، قولُ كثيرٍ منهم بأنّه لو عقد الإحرام ولم يلبّ لم يلزمه كفّارة بما فَعَله، بل نصوصٌ كثيرة تدلّ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يقع على أهله بعدما يعقد الإحرام ولم يلبّ؟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صَلّى ركعتين في مسجد الشجرة، وعقدالإحرام، ثم خرج فأتى بخبيصٍ فيه زعفران فأكل منه</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ابن الحجّاج، إلّاأنّه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فأكل قبل أن يُلبّي منه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دُرّاج، عن بعض أصحابنا،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رجلٍ صَلّى في مسجد الشجرة، وعقد الإحرام وأهلَّ بالحجّ ثمّ مَسّ الطيب، وأصاب أو وقع على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حتّى يُلبّي</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حفص بن البُختري،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عقد الإحرام في مسجد الشجرة، ثمّ وقع على أهله قبل أن يُلبّي‌؟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غير ذلك من النصوص الكثيرة، وكذا عَدّهم التلبية أحد واجبات الإحرام، إلى غير ذلك من النصوص والفتاوى غير المنطبقة على كون الإحرام هو التلبية، أو كونها داخلة في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المتنافيّين إنّما يكون بأحد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بأن يقال إنّ ما يجوز تأخيره هو الإجهار بالتلبية دون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بحمل ما دلّ على عدم انعقاد الإحرام إلّابالتلبية، وتضمّن إطلاق الإحرام عليها على أنّه ما لم يُلبّ له ارتكاب المحرّمات، ولا كفّارة عليه، وإنْ لم يجز له فسخ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الجمع الأوّل لا يقبله أكثر أخبار جواز تأخير التلبية إلّابتكليفٍ بعيد، فالمتعيّن هو الثاني، وعلى ذلك فالتلبية غير داخلة في حقيقة الإحرام، وبذلك يسقط القول الأوّل والثالث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لبس الثوبين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خبرٌ موهم بدخله في حقيقته، بل الأخبار الدالّة على جواز تبديل ثوبي الإحرام وغسلهما وما شاكل كالصريحة في عدم دخله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تروك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كذلك، وإنْ كان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 الرّجل في رأسه، وإحرام المرأة في وجهها</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وهو يوهم دخلها فيه، ولكن بعد ملاحظة النصوص، سيّما ما دلّ على عدم بطلان الإحرام بعدم تحقّق تلك التروك، يقطع الفقيه بعدم دخلها فيه، كيف والمُحرم إذا فعل جميع المحرّمات من ابتداء إحرامه إلى أن يَحلّ لا يخرج عن كونه مُحرِماً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فساد مقايسته بالصوم، فإنّ الصائم إذا استعمل المُفطّر خرج عن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كونه صائماً بخلاف المُحرِم، فإنّه لا ينتقض الإحرام بفعلها، بل الإحرام بمجرّد حصوله يبقى للمكلّف إلى أن يَحلّ بالمُحلّ‌، فهو باقٍ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كونها هي الإحرام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الإحرام إلّا في دَبر صلاة مكتوبةٍ أو نافلةٍ‌، فإنْ كانت مكتوبة أحرمت في دَبرها بعد التسليم، وإنْ كانت نافلةً صلّيت ركعتين وأحرمت في دَبرهما، فإذا انفتلت من صلاتك، فأحمِدِ اللّه وأثنِ عليه، وصلِّ على النبيّ صلى الله عليه و آله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تجعلني ممّن استجاب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شَعري وبَشَري ولحمِي ودَمي وعظامي ومُخّي وعَصَبي من النساء وثياب والطيب</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الإحرام والتمتّع،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أردتُ ما أمرتَ به من المتمتّع بالعُمرة إلى الحَجّ‌، فيسّر ذلك لي وتقبّله منّي، وأعنّي عليه، وحلّني حيث حبستني بقَدَرك الذي قَدَرت عَليّ‌، أحرم لك شعري وبشري من النساء والطيب والثياب</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مولى بسّام الصيرفي،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الإحرام بالمتعة، فقلت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اُريد التمتّع بالعُمرة إلى الحَجّ على كتابك وسُنّة نبيّك، وإنْ شئتَ أضمرتَ التي تريد</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وغيرها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 هذه النصوص، تحقّق الإحرام في تلك الحال،</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كونه عبارةً عن النيّة، فليس في شيء منها ذلك، بل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لكَ شعري وبشري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عبارة عمّا هو المتفاهم عرفاً من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توطين النفس على ترك المنهيّات، وإنشاء الالتزام بالتروك، فالإحرام عبارة عن الحالة النفسانيّة، وهي الالتزام النفساني الذي هو فعل اختياري، نظير الالتزام بصحّة ما جاء به النبيّ صلى الله عليه و آله الذي هو الإسلام، والالتزام في باب العقود والإيقاعات، وعلى ذلك ينطبق الأخبار، وهو المنسبق إلى الذهن من لفظ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هو الحالة النفسانيّة الحاصلة من هذا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تلك الحالة بما أنّها ليست من الموجودات العينيّة، فلا محالة تكون من الاُمور الاعتباريّة، فيسئل عن دليلة وهو مفقود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الإحرام عبارة عن الالتزام والبناء النفساني على ترك المحرّمات، وقد جعل الشارع الأقدس لذلك قيوداً وحدوداً، وحكم بعدم الخروج عنه بعد تحقّقه إلّابالمُحلّ‌، وهذا هو الذي بنى عليه الشهيد قدس سره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وأظنّ أنّ القائلين بأنّه عبارة عن النيّة هذا مرادهم دون غيره، واللّه تعالى أعلم</w:t>
      </w:r>
      <w:r>
        <w:rPr>
          <w:rFonts w:eastAsia="Amiri" w:cs="Amiri" w:ascii="Amiri" w:hAnsi="Amiri"/>
          <w:color w:val="111111"/>
          <w:sz w:val="28"/>
          <w:szCs w:val="28"/>
          <w:rtl w:val="true"/>
          <w:lang w:bidi="ar-SA"/>
        </w:rPr>
        <w:t>.</w:t>
      </w:r>
      <w:bookmarkStart w:id="42" w:name="pg11808_108887"/>
    </w:p>
    <w:p>
      <w:pPr>
        <w:pStyle w:val="BookText"/>
        <w:rPr/>
      </w:pPr>
      <w:bookmarkEnd w:id="42"/>
      <w:r>
        <w:rPr>
          <w:rFonts w:ascii="Amiri" w:hAnsi="Amiri" w:eastAsia="Amiri" w:cs="Amiri"/>
          <w:color w:val="111111"/>
          <w:sz w:val="28"/>
          <w:sz w:val="28"/>
          <w:szCs w:val="28"/>
          <w:rtl w:val="true"/>
          <w:lang w:bidi="ar-SA"/>
        </w:rPr>
        <w:t>والواجب في الإحرام النيّة</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0696947_73709187"/>
      <w:bookmarkStart w:id="44" w:name="_Toc14"/>
      <w:bookmarkEnd w:id="43"/>
      <w:r>
        <w:rPr>
          <w:rtl w:val="true"/>
        </w:rPr>
        <w:t>من واجبات الإحرام النيّة</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في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بل الإجماع بقسميه عليه، بل المحكيّ منه مستفيضٌ‌،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بها القصد إليه،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الفعل غير الصادر عن القصد والإرادة لايكاد يُتّصف بالوجوب، لقبح التكليف بما هو خارجٌ‌عن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ومضافاً إلى ما سيأتي من النصوص، وإلى الأخبار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الإحرام من العناوين القصديّة، فلا يُعقل تحقّقه بدون القصد، وهو نظير العقود والإيقاعات لا يتحقّق بدونه، فهذا ممّا لا ينبغي الكلام فيه، إنّما الكلام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الإحرام بما أنّه من أجزاء الحَجّ أو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دلالة الآية الشريفة والنصوص على أنّ الحَجّ والعُمرة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العبادات، ودخل القُربة والخلوص فيها من القضايا التي قياساتها معها، فيعتبر فيه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الأفضل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للإحرام، فإنْ فاتت جاز تجديدها إلى وقت التحلّل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نظر، فإنّ الأولى إبطال ما لم </w:t>
      </w:r>
    </w:p>
    <w:p>
      <w:pPr>
        <w:pStyle w:val="BookText"/>
        <w:rPr/>
      </w:pPr>
      <w:r>
        <w:rPr>
          <w:rFonts w:ascii="Amiri" w:hAnsi="Amiri" w:eastAsia="Amiri" w:cs="Amiri"/>
          <w:color w:val="111111"/>
          <w:sz w:val="28"/>
          <w:sz w:val="28"/>
          <w:szCs w:val="28"/>
          <w:rtl w:val="true"/>
          <w:lang w:bidi="ar-SA"/>
        </w:rPr>
        <w:t>يقع بنيّته، لفوات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توجيه كلام الشيخ بأنّ نظره إلى أن التروك لا تفتقر إلى النيّة، ولما أجمع على اشتراطه بها كالصوم قلنا بها في الجملة، ولو قبل التحلّل بلحظة، إذ لا دليل على أزيد من ذلك، وإنّما كان الأفضل المقارنة، لأنّ النيّة شرط في ترتّب الثواب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أفاده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الإحرام عبارة عن الالتزام والبناء النفساني على ترك المحرّمات، لا أنّه التروك بنفسه، والفرق بينه وبين الصوم هو عبارة عن ترك المفطّرات في غاية الوضوح، ولذا لو أتى بأحد المفطّرات نقض صومه، بخلاف الإحرام الذي لا ينقض لو أتي بجميع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لا يعقل تحقّق الإحرام لا يعقل بلا نيّة، وحيث إنّه من العبادات فيعتبر فيه الخلوص والقربة من أوّل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اُغمض عن جميع ما ذكرناه وسُلّم كون التروك هو الإحرام، فلا محالة تكون التلبية ولبس الثوبين أيضاً داخلين فيه، وهما من الأفعال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يظهر منه من أنّ التروك لا تحتاج الى النيّة، غير ظاهر الوجه، إذ لو كان الترك واجباً، كيف لا يكون محتاجاً إليها؟ نعم في خصوص باب الصوم دلّ دليلٌ على عدم اعتبار نيّة القربة، فلو لم يشرب لعدم التمكّن منه، لا يكون الصوم باطلاً، بل يصحّ وإن لم يكن تركه الشرب عباديّاً وقُربيّاً حينئذٍ، ولذا قالوا إنّ عباديّة الصوم فاعليّة لا 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5" w:name="pg11808_108889"/>
    </w:p>
    <w:p>
      <w:pPr>
        <w:pStyle w:val="BookText"/>
        <w:rPr/>
      </w:pPr>
      <w:bookmarkEnd w:id="45"/>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 المقارنة للشروع، فلا يكفي حصولها في الأثناء، فلو تركها وجب تجديده</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10696949_73709187"/>
      <w:bookmarkStart w:id="47" w:name="_Toc15"/>
      <w:bookmarkEnd w:id="46"/>
      <w:r>
        <w:rPr>
          <w:rtl w:val="true"/>
        </w:rPr>
        <w:t>تعيين الإحرام في النيّة</w:t>
      </w:r>
      <w:bookmarkEnd w:id="47"/>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الإحرام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النيّة تعيين كون الإحرام للحجّ أو للعُمرة، وأنّ الحَجّ تمتّعٌ أو قِران أو إفراد، وأنّه حجّة الإسلام أو الحَجّ النذري أو الندبي، فلو نوى الإحرام من غير تعيين، وأوكله إلى ما بعد ذلك بطل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نوى الإحرام مطلقاً، ولم يذكر لا حَجّاً ولا عُمرة انعقد إحرامه، وكان له أن يصرفه إلى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الاستشهاد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من أجزاء النُسكين، وحيث أنّ عنوان المتعة وأخويه من العناوين القصديّة المعتبرة، ولذلك بنينا على لزوم قصد المتعة في حَجّ التمتّع، فلابدَّ من قصد العنوان القصدي المأخوذ في المأمور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الإحرام إذا كان صالحاً لوقوعه امتثالاً لأوامر متعدّدة، فلو لم </w:t>
      </w:r>
    </w:p>
    <w:p>
      <w:pPr>
        <w:pStyle w:val="BookText"/>
        <w:rPr/>
      </w:pPr>
      <w:r>
        <w:rPr>
          <w:rFonts w:ascii="Amiri" w:hAnsi="Amiri" w:eastAsia="Amiri" w:cs="Amiri"/>
          <w:color w:val="111111"/>
          <w:sz w:val="28"/>
          <w:sz w:val="28"/>
          <w:szCs w:val="28"/>
          <w:rtl w:val="true"/>
          <w:lang w:bidi="ar-SA"/>
        </w:rPr>
        <w:t>يقصد أحدها المعيّن، لا يقع امتثالاً لشيء منها، إذ وقوعه امتثالاً للجميع غير ممكن، ولأحدها دون غيره ترجيحٌ بلا مرجّح، فلا محالة لا يقع امتثالاً لشيء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الدالّة على لزوم قصد المتعة حين الإحرام، المُسرية إلى سائر الأنواع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متمتّع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العُمرة ويحرم بالحجّ‌</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تغلب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أهلّ؟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تُسمّ حَجّاً ولا عُمرة، وأضمر في نفسك المتعة، وإن أدركت كنتَ متمتّعاً وإلّا كنت حاجّاً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إذا أردت أن أتمتّع‌؟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بالحجّ وأنو المتعة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 المعتضدة بأخبار الدّعاء حال الإحرام، المتضمّنة لتعيينه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من أنّ النسكين في الحقيقة غايتان للإحرام غير داخلين في حقيقته، ولا يختلف حقيقة الإحرام نوعاً ولا صنفاً باختلاف غاياته، فالأصل عدم وجوب التعيّين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من أجزاء النسكين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كونهما غايتين له، يرد هذا الوجه الوجه الثاني الذي ذكرناه، وليس من قبيل الوضوء بالنسبة إلى الصلاة، فإنّه مشروعٌ لنفسه، فيمكن أن يتعبّد به لنفسه من دون نيّة الغاية، بخلاف الإحرام فإنّه لو سُلّم كون النسكين غايتين له، لا إشكال في أنّه لا يتعبّد به لنفسه، وإنّما يتعبّد به في ضمن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الإحرام بالحجّ يخالف غيره من إحرام سائر العبادات، لأنّه لا يخرج عنه بالفساد، وإذا عقد عن غيره باُجرةٍ أو تطوّعاً وعليه فرضه، وقع عن فرضه، فجاز أن ينعقد مطلقاً، وإذا ثبت أنّه ينعقد مطلقاً، فإن صَرفَه إلى الحَجّ صار حجّاً، وإن صَرَفه إلى العُمرة صار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الخروج عنه بالفساد، لما دلّ على أنّه لا يخرج عنه إلّابالمحلّ‌، لا ينافي كونه لازم التعيّين قبل تحقّقه والإتيان به، ووقوع ما أتى به تطوّعاً عن فرضه للدليل من قبيل العدول من صلاةٍ إلى اُخرى‌، لا يدلّ على عدم لزوم التعيّين، مع أنّه قد عرفت عدم إجزائه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خَرج من المدينة لا سَمّى حجّاً ولا عُمرةً ينتظر القضاء، فنزل عليه القضاء وهو بين الصفا والمروة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عامّي لم يثبت، بل النصوص دالّة على أنّه صلى الله عليه و آله وأصحابه قصدوا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الفرض أنّه لو كان هناك قصور في التشريع، إلّاأنّهم قصدوا ما هو المشروع بخصوصيّاته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 التعيّين، نعم يكفي التعيّين الإجمالى كما لو نوى ما هو واجب عليه فعلاً، وكان الواجب عليه حَجّ التمتّع، فإنّ الأمر يدعو إلى ما تعلّق به، فقَصْدُ ما يجب عليه، قصدٌ لذلك العنوان المأخوذ في المتعلّق ويعدّ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تكون نيّة الإحرام لما سيعيّنه من حَجّ أو عُمرة كافياً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بدعوى أنّه نوع تعيين، وفرق بينه وبين ما لو نوى مردّداً مع إيكال التعيّين إلى ما بعد،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أظهرهما الثاني؛ لأنّ ذلك لا يُخرجه عن عدم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نوى الحَجّ بعد ذلك، فقد نوى الحَجّ من الأوّل، وإذا كان ما يعيّنه العُمرة فقد نوى العُمرة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ما يشير إليه في النيّة متحقّقاً خارجاً حين النيّة، كما لو نوى ما يجبُ عليه فعلاً 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غير متحقّق، وتحقّقه إنّما يكون باختياره وتعيينه، وأنّ له أن يعيّن الحَجّ مثلاً أو العُمرة، وله أن لا يعيّن شيئاً، فلا يكون ذلك تعييناً له من الأوّل، بل هو تعيين له من حينه وهو غير كافٍ‌</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المتقدّم، فقد سأل الإمام عن كيفيّة النيّة فيما لو كان متردّداً في أن يتمتّع أو يحجّ‌، وأمره عليه السلام بأن ينوي المتعة، وأنّه إنْ أدرك يكون متمتّعاً وإلّا ينقلب ويصبح حجّاً، ولو كان ذلك كافياً لأشار عليه السلام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8" w:name="pg11808_108893"/>
    </w:p>
    <w:p>
      <w:pPr>
        <w:pStyle w:val="BookText"/>
        <w:rPr/>
      </w:pPr>
      <w:bookmarkEnd w:id="48"/>
      <w:r>
        <w:rPr>
          <w:rFonts w:ascii="Amiri" w:hAnsi="Amiri" w:eastAsia="Amiri" w:cs="Amiri"/>
          <w:color w:val="111111"/>
          <w:sz w:val="28"/>
          <w:sz w:val="28"/>
          <w:szCs w:val="28"/>
          <w:rtl w:val="true"/>
          <w:lang w:bidi="ar-SA"/>
        </w:rPr>
        <w:t>واستدامتها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كفاية ذلك، مع أنّه لم يظهر فرقٌ بين ما لو نوى مردّداً مع إيكال التعيّين إلى ما بعد، وبين ما لو نوى مطلقاً مع إيكال التعيّين إلى ما بعد</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0696951_73709187"/>
      <w:bookmarkStart w:id="50" w:name="_Toc16"/>
      <w:bookmarkEnd w:id="49"/>
      <w:r>
        <w:rPr>
          <w:rtl w:val="true"/>
        </w:rPr>
        <w:t>استدامة النيّة</w:t>
      </w:r>
      <w:bookmarkEnd w:id="50"/>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النيّة قصد الوجه من الوجوب أو الندب، لما حُقّق في محلّه وأشرنا إليه في مبحث نيّة الصلاة في هذا الشرح</w:t>
      </w:r>
      <w:r>
        <w:rPr>
          <w:rStyle w:val="FootnoteAnchor"/>
          <w:rtl w:val="true"/>
        </w:rPr>
        <w:footnoteReference w:id="179"/>
      </w:r>
      <w:r>
        <w:rPr>
          <w:rFonts w:ascii="Amiri" w:hAnsi="Amiri" w:eastAsia="Amiri" w:cs="Amiri"/>
          <w:color w:val="111111"/>
          <w:sz w:val="28"/>
          <w:sz w:val="28"/>
          <w:szCs w:val="28"/>
          <w:rtl w:val="true"/>
          <w:lang w:bidi="ar-SA"/>
        </w:rPr>
        <w:t>، كما لا خلاف في أنه لا يعتبر فيها التلفّظ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أتمتّع بالعُمرة إلى الحَجّ فكيف أقول‌؟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اُريد أن أتمتّع بالعُمرة إلى الحَجّ على كتابك وسُنّة نبيّك، وإنْ شئت أضمرت الذي تريد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الصباح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إرادة الإسرار في التلفّظ من الإضمار،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وبهما يُرفع اليد عن ظهور الأمر في جملة من النصوص بالتلفّظ في الوجوب، ويُحمل على الاستحباب، وبذلك يمتاز الحَجّ عن سائر العبادات، فإنّه لا يستحبّ التلفّظ بما ينوي ويعزم عليه في غير الحَجّ من العبادات، وسيأتي زيادة توضيح لذلك، كما لا يعتبر الإخطار بالبال، بل يكفي الداعي المُحرّك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يعتبر استدامه النيّة، كما في المتن، حيث قال بعد أن ذكر أنّ الواجب في الإحرام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واستدامتها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bookmarkStart w:id="51" w:name="pg11808_108894"/>
    </w:p>
    <w:p>
      <w:pPr>
        <w:pStyle w:val="BookText"/>
        <w:rPr/>
      </w:pPr>
      <w:bookmarkEnd w:id="5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مطلقاً ومنها الحَجّ‌، كما يعتبر النيّة حدوثاً كذلك تعتبر بقاءً واستدامة، غاية الأمر أنّ من فسّر النيّة بالإرادة التفصيليّة يرى أنّه يعتبر استدامة النيّة حُكماً، ومن يفسّرها بالداعي المحرّك نحو الفعل يقول باعتبار استدامتها حقيقةً‌، وسِرّه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فبالنسبة إلى الحَجّ أو العُمرة يعتبر استدامة النيّة، لأنّهما عبادتان، فلابدّ وأن يقع كلّ جزء منه عن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الإحرام فقد مرّ أنّه عبارة عن الالتزام بترك المحرّمات، فحين النيّة لابدّ وأن ينوي ترك المحرّمات إلى آخر إحرامه، ويلتزم بذلك، ولكن بعد تحقّقه حيث حكم الشارع ببقائه، وأنّه لا يخرج من الإحرام إلّابالمحلّ‌، بل لو فعل جميع المحرّمات لا ينتقض إحرامه، فلا يعتبر فيها استدامة العزم على ترك محرماته، بل لو عزم على الفعل وفَعَل، يبقى على إحرامه، فاستدامة النيّة بهذا المعنى غير معتبرة</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0696953_73709187"/>
      <w:bookmarkStart w:id="53" w:name="_Toc17"/>
      <w:bookmarkEnd w:id="52"/>
      <w:r>
        <w:rPr>
          <w:rtl w:val="true"/>
        </w:rPr>
        <w:t>لو أحرم بنُسُكٍ ثمّ نَسيه</w:t>
      </w:r>
      <w:bookmarkEnd w:id="53"/>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أحرم بنُسُكٍ ثمّ نسيه تخيّر بين الحَجّ والعُمرة إذا لم يتعيّن عليه أحدهما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قبل الإحرام يجوز ابتداء أيّ النسكين شاء، فمع عدم علم التعيّين، يستمرّ هذا الجواز عملاً باستصحاب الحال، ولأنّه لو أحرم بالحَجّ جاز له فسخه إلى العُمرة على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يجعله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تعيّن أحدهما عليه فالوجه انصرافه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أفتى به في الكتابين أفتى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والشهيدان</w:t>
      </w:r>
      <w:r>
        <w:rPr>
          <w:rStyle w:val="FootnoteAnchor"/>
          <w:rtl w:val="true"/>
        </w:rPr>
        <w:footnoteReference w:id="18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ما ذكروه في وجه التخيّير في صورة عدم تعيين أحدهما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قبل الإحرام كان له الإحرام بأيّ النسكين شاء، ويستمرّ هذا الجواز عملاً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بالإحرام بكلّ منهما معيّناً يتعيّن ذلك، ويتبدّل الموضوع، وهو مانعٌ عن إجراء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أحرم بالحَجّ جاز له فسخه إلى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المدّعى، فإنّه لا يستلزم جواز الصَّرف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الرجحان، وعدم جواز الإحلال بدون النُسك، إلّاإذا صُدّ أو أحصر، ولا جمع بين النسكين في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الرجحان، وعدم جواز الإحلال بدون النسك، لا يقتضيان تعلّق الخطاب بخصوص ما يختاره وصحّته على ما أختاره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العقل التخيّير، لإجمال المكلّف به، وعدم طريقٍ إلى امتثاله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العلم الإجمالي بوجوب إتمام إحداهما، حيث إنّه يتمكّن من الموافقة القطعيّة بالامتثال الإجمالي، مثلاً لو تردّد المنوي بين العُمرة المفردة والحَجّ الإفرادي، عليه أن يقوم بأعمال الحَجّ أوّلاً ثمّ يأتي مكّة فيأتي بأعمالها بنيّته المردّدة بين الحَجّ والعُمرة، ولو تردّد بين العُمرة المفردة والعُمرة المتمتّع بها ينحلّ العلم الإجمالي إلى علمٍ تفصيلي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إتيان أعمال العُمرة بقصد ما 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بدوي في وجوب الحَجّ بعدها، فيأتي بأعمال العُمرة بنيّة مردّدة بينهما، ولا يجبُ بعده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الامتثال الإجمالي موجودٌ، فيجب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لايجزي ذلك عقلاً ولا تفرغ به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فربما يُدّعى أنّ المُسلّم عندهم أنّه إذا لم يكن العمل ممّا يجتزئ به في مقام الامتثال، جاز رفع اليد عنه وإبطاله، ولذا من شكّ في أنّه نوى الظهر أو العصر إنْ كان يتمكّن من إتمام ما بيده بقصد ما دخل فيه، ولكن من جهة عدم الاجتزاء به في مقام الامتثال بنوا على جواز رفع اليد عنه وإبطاله، فإنْ ثبت ذلك في المقام، يحكم بجواز رفع اليد عنه،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يمكن تحصيل العلم بالامتثال وإحرازه، يسقط الخطاب ولا مجال للحكم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التحليل متوقّفٌ على اختيار أحدهما ليحصل به الطواف المقتضي للتحليل، وإلّا كان محرماً أبداً، فهو ليس من التخيّير على نحو الابتداء، لعدم خطاب به، بل هو طريق لتحليله وافق أو خالف</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في وجه تعيّن الصرف إلى ما يجب عليه، إذا كان الواجب أحدهما، بأنّه الظاهر من حلّ المكلّف الإتيان بما هو فرضه، خصوصاً مع العزم المتقدّم على </w:t>
      </w:r>
    </w:p>
    <w:p>
      <w:pPr>
        <w:pStyle w:val="BookText"/>
        <w:rPr/>
      </w:pPr>
      <w:r>
        <w:rPr>
          <w:rFonts w:ascii="Amiri" w:hAnsi="Amiri" w:eastAsia="Amiri" w:cs="Amiri"/>
          <w:color w:val="111111"/>
          <w:sz w:val="28"/>
          <w:sz w:val="28"/>
          <w:szCs w:val="28"/>
          <w:rtl w:val="true"/>
          <w:lang w:bidi="ar-SA"/>
        </w:rPr>
        <w:t>الإتيان بذلك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حجيّة هذا الظهور وكاشفيّته عن قصد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للصرف إلى ما يتعيّن عليه، إنْ كان يصحّ منه أحدهما دون الآخر،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سُلّم جريان أصالة الصحّة في فعل الإنسان نفسه، فإنّه يتوقّف جريانها على إحراز العنوان الذي يكون موضوعاً للصحّة والفساد، ولا تجزي مع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يصحان معاً، ولكن يجب عليه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يصحّان معاً ولا يجب قبل الإحرام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 في أنّ ما أتى به الى الآن هل وقع صحيحاً أم لا؟ فإنّه إنْ كان قَصَد به العنوان الذي يصحّ منه، فقد صحَّ وإلّا بطل، فيجري قاعدة التجاوز، للشكّ في الصحّة والفساد، ويحكم بصحّة ماأتى به، وينوي بعد ذلك مايصحّ منه، وبضمّ الوجدان إلى القاعدة يُحرز الموضوع، وعلى هذا بنينا على أنّ من شكّ في أنّ ما بيده ظهرٌ أو عصر، وكان قد صَلّى الظهر يبني على أنّه عصر ويتمّ ما بيده كذلك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بأنّه مع تعيّن أحدهما عليه لا يصحّ الآخر، فالحكم كما في الصورة الاُولى‌، وإنْ قلنا بأنّه يصحّ وإنْ عَصى بترك الواجب، فإنْ كان الواجب ممّا يجوز العدول إليه، كما لو كان هو العُمرة المتمتّع بها، واحتمال الإتيان </w:t>
      </w:r>
    </w:p>
    <w:p>
      <w:pPr>
        <w:pStyle w:val="BookText"/>
        <w:rPr/>
      </w:pPr>
      <w:r>
        <w:rPr>
          <w:rFonts w:ascii="Amiri" w:hAnsi="Amiri" w:eastAsia="Amiri" w:cs="Amiri"/>
          <w:color w:val="111111"/>
          <w:sz w:val="28"/>
          <w:sz w:val="28"/>
          <w:szCs w:val="28"/>
          <w:rtl w:val="true"/>
          <w:lang w:bidi="ar-SA"/>
        </w:rPr>
        <w:t>بحجّ الإفراد، يعدل بنيّته إلى ما وجب عليه، فإنّه إنْ كان متمتّعاً فقد وافق، وإنْ كان حاجّاً فالعدول منه إلى غيره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ممّا لا يجوز العدول إليه، فلا يكون مورداً لقاعدة التجاوز ولا أصالة الصحّة، لأنّهما من القواعد التي نرجع إليها عند الشكّ في الصحّة والفساد، وأمّا إذا كان صحيحاً على التقديرين، فلا تكونان جاريتين، وظهور حال المسلم 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له علمٌ إجمالي بوجوب الإتيان ببقيّة الأعمال بالعنوان الذي قصده المردّد بين عنوانين، فإنّ المستحبّ أيضاً مع الشروع فيه يجب إتمامه، وحيثُ أنّ أحد طرفي العلم الإجمالي وهو خصوص الواجب عليه بالأصالة كان واجباً من الأوّل، فيجري فيه الاستصحاب، فلا مانع من جريان أصالة البراءة عن وجوب الإتمام بالعنوان الآخر، فيتمّه بقصد ما يجبُ عليه، ولكنّه لايجتزي به، إذ الأعمال السابقة مشكوكٌ عنوانها، ولو أراد الاحتياط بالنحو المتقدّم لا مانع منه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ظهر حكم ما إذا كانا معاً قبل الشروع مستحبّين، وهي الصورة الثالثة، فإنّه بعد الشروع يجب إتمامه، فإذا تردّد بين عنوانين، فإن كان العدول من أحدهما إلى الآخر جائزاً، كما في الرجوع من حَجّ الإفراد الى العُمرة المتمتّع بها يعدل إليه، ويجعل ما بيده عُمرة يتمتع بها إلى الحَجّ كما مرّ، وإلّا فيحصل له العلم الإجمالي بوجوب أحد العنوانين، وأصالة البراءة عن وجوب كلّ منهما تعارض أصالة البراءة عن وجوب الآخر فتتساقطان، فلابدّ له من الاحتياط بالنحو المتقدّم، حتّى إذا ثبت قاعدة جواز رفع اليد عن العمل الذي لايجتزي به في </w:t>
      </w:r>
      <w:bookmarkStart w:id="54" w:name="pg11808_108899"/>
    </w:p>
    <w:p>
      <w:pPr>
        <w:pStyle w:val="BookText"/>
        <w:rPr/>
      </w:pPr>
      <w:bookmarkEnd w:id="54"/>
      <w:r>
        <w:rPr>
          <w:rFonts w:ascii="Amiri" w:hAnsi="Amiri" w:eastAsia="Amiri" w:cs="Amiri"/>
          <w:color w:val="111111"/>
          <w:sz w:val="28"/>
          <w:sz w:val="28"/>
          <w:szCs w:val="28"/>
          <w:rtl w:val="true"/>
          <w:lang w:bidi="ar-SA"/>
        </w:rPr>
        <w:t>مقام الامتثال، فإنّها لا تشمل المقام الذي لو احتاط يكون امتثالاً لأمر ندبي، وإنّما هي في الواجب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ظهر حكم ما لو كانا واجبين، كما لو كان عليه حَجّ التمتّع، ونذر الإتيان بحَجّ الإفراد أيضاً، بناءً على ما تقدّم من أنّه لو ترك حَجّة الإسلام وأتى بالمنذور صحّ بالترتيب</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10696955_73709187"/>
      <w:bookmarkStart w:id="56" w:name="_Toc18"/>
      <w:bookmarkEnd w:id="55"/>
      <w:r>
        <w:rPr>
          <w:rtl w:val="true"/>
        </w:rPr>
        <w:t>عدم كفاية نيّة واحدة للعمرة والحَجّ‌</w:t>
      </w:r>
      <w:bookmarkEnd w:id="56"/>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أحرم للحَجّ والعُمرة،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يقع لشيء منهما ويكون باطلاً، ذهب إليه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 xml:space="preserve">، 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9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وأنّه يجب عليه العُمرة أوّلاً ثمّ الحَجّ‌، وأنّه لا يحلّ من العُمرة بعد الإتيان بأفعالها، وإنّما يحلّ بعد الإتيان بأفعال الحَجّ‌، نُسب ذلك إلى ابن أبي عقيل</w:t>
      </w:r>
      <w:r>
        <w:rPr>
          <w:rStyle w:val="FootnoteAnchor"/>
          <w:rtl w:val="true"/>
        </w:rPr>
        <w:footnoteReference w:id="193"/>
      </w:r>
      <w:r>
        <w:rPr>
          <w:rFonts w:ascii="Amiri" w:hAnsi="Amiri" w:eastAsia="Amiri" w:cs="Amiri"/>
          <w:color w:val="111111"/>
          <w:sz w:val="28"/>
          <w:sz w:val="28"/>
          <w:szCs w:val="28"/>
          <w:rtl w:val="true"/>
          <w:lang w:bidi="ar-SA"/>
        </w:rPr>
        <w:t>وجماعة</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من أنّه لو كان في أشهر الحَجّ بطل، ولزم </w:t>
      </w:r>
    </w:p>
    <w:p>
      <w:pPr>
        <w:pStyle w:val="BookText"/>
        <w:rPr/>
      </w:pPr>
      <w:r>
        <w:rPr>
          <w:rFonts w:ascii="Amiri" w:hAnsi="Amiri" w:eastAsia="Amiri" w:cs="Amiri"/>
          <w:color w:val="111111"/>
          <w:sz w:val="28"/>
          <w:sz w:val="28"/>
          <w:szCs w:val="28"/>
          <w:rtl w:val="true"/>
          <w:lang w:bidi="ar-SA"/>
        </w:rPr>
        <w:t>التجديد، وإنْ كان في غيرها صَحَّ عُمرة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يصحّ فإن كان في أشهر الحَجّ‌، كان مخيّراً بين الحَجّ والعُمرة إذا لم يتعيّن أحدهما، وإلّا كان للمتعيّن، وإنْ كان في غير أشهر الحَجّ تعيّن للعمرة المفردة، نُسب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القول الأوّل ظاهرٌ، فإنّ الإحرام جزءٌ لكلٍّ من النسكين، فإذا أحرم ونوى بإحرامه الحَجّ والعُمرة، بأن يكون إحرامه الشخصي لكلّ منهما، فهو يكون قد نوى لغير المشروع، فلا يصحّ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إذا كان فردين، يكون الإتيان بفردٍ واحد لهما واضح البطلان، نظير ما لو كَبّر 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للصحّة والتخيّير بينهما إذا كان في أشهر الحَجّ ولم يتعيّن أحدهما، والصرف إلى العُمرة المفردة لو كان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بأنّهما إذا لم يدخلان في حقيقة الإحرام، فكأنّه نوى أن يحرم ليوقع بعد ذلك النسكين، وليس فيه شيء، وإن عزم على إيقاعهما في هذا الإحرام، وإنْ لم يكن في أشهر الحَجّ‌، هكذا يحكي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حقيقة واحدة، فإذا وقع على وجه العبادة صَحَّ وترتّب عليه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دخوله في كلّ من النُسكين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النسكين غايتين له، الذي دلّ الدليل على مشروعيّة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الإحرام لغاية الحَجّ خاصّة، ولغاية العُمرة كذلك، والإحرام لهما معاً لم يدلّ دليلٌ على مشروعيّته،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يرجع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العبادات توقيفيّة، ولم يثبت عن الشارع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للصحّة عُمرةً إذا كان في غير أشهر الحَجّ‌، بأنّ الحَجّ لمّا لم يمكن في غيرها، لم يكن التعرّض له إلّالغواً محضاً، بل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اللّغوية والخطئيّة لا تنافي البطلان، لعدم الإتيان بالمأمور به على وجهه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أبي عقيل وتابعيه، فقد استدلّ له بنصوصٍ‌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لي أن أهلّ؟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سمّيت وإنْ شئت لم تُسمّ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أجمعهما فأقول لبّيك بحَجّة وعُمرة معاً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عثمان خرج حاجّاً، فلمّا صار إلى الأبواء أمر مُنادياً ينادي في الناس اجعلوها حَجّة ولا 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المنادي في النّاس اجعلوها حَجّة ولا تمتّعوا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المنادي إلى عليّ عليه السلام وكان عند ركائبه يلقمها خبط ودقيقاً، فلمّا سمع النداء تركها ومضى إلى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أمرتَ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أمرتَ بخلاف رسول صلى الله عليه و آله، ثمّ أدبر موليّاً رافعاً صوته لبّيك بحَجّة وعُمرة معاً، الحديث</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النصوص لا علاقة لها بما هو محلّ الكلام، بل موردها حجّ التمتّع الذي دخل العُمرة فيه الى يوم القيامة، والمقصود الإحرام بعُمرةٍ وقصد إنشاء الحَجّ بعدها فإنّهما عبارة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طائفتان أُخريان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نيّة العُمرة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البزنطي المتقدّم،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متمتّعٍ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العُمرة ويحرم بالحَجّ‌</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إسماعيل الجُعفي،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أنا وميسر واُناسٍ من أصحابنا، فقال لنا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على أبي جعفر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إنّا نُريد الحَجّ ونحن قوم صرورة، أو كلنّا صرورة، فكيف نصنع‌؟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قَدِم عبد الملك بن أعين،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 من زرارة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بالحَجّ‌، وإنّ أبا جعفر عليه السلام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بالعُمرة‌؟</w:t>
      </w:r>
    </w:p>
    <w:p>
      <w:pPr>
        <w:pStyle w:val="BookText"/>
        <w:rPr/>
      </w:pPr>
      <w:r>
        <w:rPr>
          <w:rFonts w:ascii="Amiri" w:hAnsi="Amiri" w:eastAsia="Amiri" w:cs="Amiri"/>
          <w:color w:val="111111"/>
          <w:sz w:val="28"/>
          <w:sz w:val="28"/>
          <w:szCs w:val="28"/>
          <w:rtl w:val="true"/>
          <w:lang w:bidi="ar-SA"/>
        </w:rPr>
        <w:t>فدخل عليه عبد الملك بن أعين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اُناساً من مواليك أمرهم زرارة أن يلبّوا بالحجّ عنك، وإنّهم دخلوا عليك فأمرتهم أن يلبّوا بالعُمرة‌؟</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كلّ إنسانٍ منهم أن يسمع على حِدة، أعدهم عَليّ‌، فدخلنا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بالحجّ‌، فإنّ رسول اللّه صلى الله عليه و آله لبّى بالحَجّ‌</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الأمر بنية الحَجّ‌، منها ذيل خبر الجعفي، ومنها غير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الشهيد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2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المتمتّع يهلّ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7" w:name="pg11808_108903"/>
    </w:p>
    <w:p>
      <w:pPr>
        <w:pStyle w:val="BookText"/>
        <w:rPr/>
      </w:pPr>
      <w:bookmarkEnd w:id="57"/>
      <w:r>
        <w:rPr>
          <w:rFonts w:ascii="Amiri" w:hAnsi="Amiri" w:eastAsia="Amiri" w:cs="Amiri"/>
          <w:color w:val="111111"/>
          <w:sz w:val="28"/>
          <w:sz w:val="28"/>
          <w:szCs w:val="28"/>
          <w:rtl w:val="true"/>
          <w:lang w:bidi="ar-SA"/>
        </w:rPr>
        <w:t>بالحجّ‌، فإذا طاف وسعى وقصّر، أهلَّ بالحجّ‌، وفي صحيح الحلبي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العُمرة في الحَجّ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إسحاق بن عمّار بنيّة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الحلبي 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بحجّة وعُمرة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ببعيد إجزاء الجميع، إذ الحَجّ المنويّ هو الذي دخلت فيه العُمرة، فهو دالٌّ عليه بالتضمّن، ونيّتهما معاً باعتبار دخول الحَجّ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قدس سره بالغ في الاقتصار على نيّة المتعة، والإهلال بها، وتأويل الأخبار المعارضة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أنّ المتّجه جواز الجميع عملاً بجميع النصوص، المراد منها جميعاً الإشارة إلى نيّة حَجّ التمتّع، ولكن بعبارات متعدّدة، منها الإهلال بالحَجّ مضمراً التمتّع، ومنها الإهلال بعُمرة التمتّع، ومنها الإهلال بحجّة وعُمرة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هذه النصوص عمّا هو محلّ الكلام، والأظهر فيما نحن هو البطلان، كما أفتى به الأساطين</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0696957_73709187"/>
      <w:bookmarkStart w:id="59" w:name="_Toc19"/>
      <w:bookmarkEnd w:id="58"/>
      <w:r>
        <w:rPr>
          <w:rtl w:val="true"/>
        </w:rPr>
        <w:t>حكم النيّة المُبهمة</w:t>
      </w:r>
      <w:bookmarkEnd w:id="59"/>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إبهام الإحرام، وهو أن يحرم بما أحرم به فلان، فإنْ علم ما أحرم به فلان انعقد إحرامه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وهو المحكيّ عن الشيخ</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ما إذا لم يعلم حين النيّة أنّ فلاناً بماذا أحرم، وإلّا فلا خلاف ولا إشكال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محلّ الكلام 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أو حسنه،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حَجّة الوداع، أنّه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بأيّ شيء أهللت‌؟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أهللتُ بما أهل به النبيّ صلى الله عليه و آله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معاوية، إلّاأنّ فيه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إهلالاً كإهلال النبيّ صلى الله عليه و آله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مرسل الفقيه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الاستدلال بها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التمتّع إنّما شرّع في حَجّة الوداع، وبعد وصول النبيّ صلى الله عليه و آله إلى مكّة، وقبله كان المشروع خصوص حَجّ الإفراد والقِران اللّذين هما حقيقة واحدة، والفرق إنّما هو في سياق الهدي، فلم يكن إجمالٌ في إحرامه، كما أنّ المسلمين بأجمعهم أحرموا كإحرام رسول صلى الله عليه و آله، فالمقصود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إهلالاً كإهلال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إهلال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لعلّه كان عالماً بإهلال النبيّ صلى الله عليه و آله، وكان قد ساق الهدي وأهلّ بالقِران، كما يشهد به صحيح معاوية المتضمّن أنّ النبيّ صلى الله عليه و آله ساق أربعاً وستّين أو ستّاً وستّين بدنة، وأنّ عليّاً عليه السلام جاء بأربع وثلاثين أو ست وثلاثين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صحيح الحلبي أنّ النبيّ صلى الله عليه و آله ساق مائة بدنة، وبعد أن جاء عليٌّ من اليمن،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أهللتُ كإهلال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أشركه في 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0" w:name="pg11808_108905"/>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كونه مخالفاً لما تضمّنه حديث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تصحيحه إلّابالالتزام بأنّ ذلك من مختصّاته، فإنّه مع عدم سياق الهدي كيف يشترك في الهدي، وكيف يصير حَجّه قِراناً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نوع تعيين ولا بأس به، إنْ لم يكن إحرام فلان متأخّراً، بل كان متقدّماً أو مقارناً، فإنّه لما أحرم واقعاً معيناً، وهذا ينوي ذلك المعنون بعنوانٍ خاص، فيكون ذلك تعييناً إجماليّاً، وهذا بخلاف ما إذا لم يحرم فلان، فإنّه حينئذٍ من قبيل ما لو أحرم ونوى ما يعينه فيما بعد، الذي عرفت أنّ الأقوى فيه عدم الكفاية، وأمّا إذا كان إحرامه مقدّماً أو مقارناً، فله واقع محفوظ وهوناً ولذلك العنوان إجمالاً، ولعلّ إحرام أكثر العوام على هذا النحو، فإنّهم يحرمون كما يحرم غيرهم ممّن يعرفونه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علم بعد ذلك بما أحرم به فلانٌ فلا كلام، وإنْ بقي على تردّده فإنْ علم أنّه قد أتى بما هو وظيفته الفعليّة اجتزأ به، وإن لم يحرز ذلك، فالأظهر عدم الاجتزاء به في مقام الامتثال</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0696959_73709187"/>
      <w:bookmarkStart w:id="62" w:name="_Toc20"/>
      <w:bookmarkEnd w:id="61"/>
      <w:r>
        <w:rPr>
          <w:rtl w:val="true"/>
        </w:rPr>
        <w:t>اشتراط الإحلال</w:t>
      </w:r>
      <w:bookmarkEnd w:id="62"/>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للمُحرِم أن يشترط على رَبّه حالة الإحرام، فإذا اشترط في ابتداء إحرامه أن يحلّ متى مَرِض أو ضاعت نفقته، أو نفدت، أو منعه ظالم أو غير ذلك، فإنّه يحلّ متى وجد ذلك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في استحبابه، أي استحباب أن يشترط حين إحرامه أن يحلّه من إحرامه حيث منعه مانعٌ من الإتمام، وأن يتمّه عُمرة إنْ لم يتيسّر </w:t>
      </w:r>
    </w:p>
    <w:p>
      <w:pPr>
        <w:pStyle w:val="BookText"/>
        <w:rPr/>
      </w:pPr>
      <w:r>
        <w:rPr>
          <w:rFonts w:ascii="Amiri" w:hAnsi="Amiri" w:eastAsia="Amiri" w:cs="Amiri"/>
          <w:color w:val="111111"/>
          <w:sz w:val="28"/>
          <w:sz w:val="28"/>
          <w:szCs w:val="28"/>
          <w:rtl w:val="true"/>
          <w:lang w:bidi="ar-SA"/>
        </w:rPr>
        <w:t>له حَجّة، كما صرّح به غير واحدٍ، بل صرّح جماعة بالإجماع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للجواز والاستحباب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فضيل بن يسار،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المعتمر عُمرة مفردة يشترط على ربّه أن يحلّه حيث حبسه، ومُفرِد الحَجّ يشترط على ربّه إن لم تكن حَجّة فعُمرة</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الكناني،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يشترط في الحَجّ كيف يشترط؟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حين يريد أن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حَلّني حيث حبستني، فإنْ حبستني فهي عُمرة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وصحيحي ابن سنان ومعاوية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فائدة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الاتّفاق على أنّه حَلّ إذا حبس، اشترط أو لم يشترط، كما نطقت به جملة من النصوص كصحيح زرارة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حَلّ إذا حبسه اشترط أو لم يشترط</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المرتضى</w:t>
      </w:r>
      <w:r>
        <w:rPr>
          <w:rStyle w:val="FootnoteAnchor"/>
          <w:rtl w:val="true"/>
        </w:rPr>
        <w:footnoteReference w:id="215"/>
      </w:r>
      <w:r>
        <w:rPr>
          <w:rFonts w:ascii="Amiri" w:hAnsi="Amiri" w:eastAsia="Amiri" w:cs="Amiri"/>
          <w:color w:val="111111"/>
          <w:sz w:val="28"/>
          <w:sz w:val="28"/>
          <w:szCs w:val="28"/>
          <w:rtl w:val="true"/>
          <w:lang w:bidi="ar-SA"/>
        </w:rPr>
        <w:t>، والحِلّي</w:t>
      </w:r>
      <w:r>
        <w:rPr>
          <w:rStyle w:val="FootnoteAnchor"/>
          <w:rtl w:val="true"/>
        </w:rPr>
        <w:footnoteReference w:id="216"/>
      </w:r>
      <w:r>
        <w:rPr>
          <w:rFonts w:ascii="Amiri" w:hAnsi="Amiri" w:eastAsia="Amiri" w:cs="Amiri"/>
          <w:color w:val="111111"/>
          <w:sz w:val="28"/>
          <w:sz w:val="28"/>
          <w:szCs w:val="28"/>
          <w:rtl w:val="true"/>
          <w:lang w:bidi="ar-SA"/>
        </w:rPr>
        <w:t>، ويحيى بن سعيد</w:t>
      </w:r>
      <w:r>
        <w:rPr>
          <w:rStyle w:val="FootnoteAnchor"/>
          <w:rtl w:val="true"/>
        </w:rPr>
        <w:footnoteReference w:id="217"/>
      </w:r>
      <w:r>
        <w:rPr>
          <w:rFonts w:ascii="Amiri" w:hAnsi="Amiri" w:eastAsia="Amiri" w:cs="Amiri"/>
          <w:color w:val="111111"/>
          <w:sz w:val="28"/>
          <w:sz w:val="28"/>
          <w:szCs w:val="28"/>
          <w:rtl w:val="true"/>
          <w:lang w:bidi="ar-SA"/>
        </w:rPr>
        <w:t xml:space="preserve">، والمصنّف في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 وغيرهم، من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سقوط الْهَدْي، بل عن انتصار الأوّل</w:t>
      </w:r>
      <w:r>
        <w:rPr>
          <w:rStyle w:val="FootnoteAnchor"/>
          <w:rtl w:val="true"/>
        </w:rPr>
        <w:footnoteReference w:id="222"/>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في المحصور،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في المصدود، 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28"/>
      </w:r>
      <w:r>
        <w:rPr>
          <w:rFonts w:ascii="Amiri" w:hAnsi="Amiri" w:eastAsia="Amiri" w:cs="Amiri"/>
          <w:color w:val="111111"/>
          <w:sz w:val="28"/>
          <w:sz w:val="28"/>
          <w:szCs w:val="28"/>
          <w:rtl w:val="true"/>
          <w:lang w:bidi="ar-SA"/>
        </w:rPr>
        <w:t>، من تعجيل التحلّل وعدم انتظار بلوغ الْهَدْي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من سقوط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الشهيد الثاني</w:t>
      </w:r>
      <w:r>
        <w:rPr>
          <w:rStyle w:val="FootnoteAnchor"/>
          <w:rtl w:val="true"/>
        </w:rPr>
        <w:footnoteReference w:id="230"/>
      </w:r>
      <w:r>
        <w:rPr>
          <w:rFonts w:ascii="Amiri" w:hAnsi="Amiri" w:eastAsia="Amiri" w:cs="Amiri"/>
          <w:color w:val="111111"/>
          <w:sz w:val="28"/>
          <w:sz w:val="28"/>
          <w:szCs w:val="28"/>
          <w:rtl w:val="true"/>
          <w:lang w:bidi="ar-SA"/>
        </w:rPr>
        <w:t xml:space="preserve">في جملةٍ من مصنّفاته،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من أنّ فائدته إدراك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من أنّ فائدته لزوم التحلّل، إذ بدونه يعدّ التحلّل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فالكلام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يسقط الهَدي به أم لا؟ وقد استدلّ للسقوط بوجوه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ثبوته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ثبوته لعدم كونه تعبّديّاً لا يُعتنى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له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وكذا جزؤها لا يعتبر في الأمر بها ترتّب فائدة دنيويّة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ذريح المحاربي،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متمتّع بالعُمرة إلى الحَجّ‌، وأُحصر بعدما أحرم،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اشترط على رَبّه قبل أن يحلّه من إحرامه عند عارضٍ عرض له من أمر اللّه تعالى؟</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اشترط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فليرجع إلى أهله حلالاً لا إحرام عليه، إنّ اللّه تعالى أحقّ من وفّى بما اشترط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أفعليه الحَجّ من قابل‌؟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أحمد بن محمّد 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محرمٍ انكسرت ساقه، أيّ شيء تكون حاله، وأيّ شيء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حلال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والثياب والطيب‌؟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جميع ما يحرم على المُحرِم،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بلغك قول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حَلّني حيث حبستني لقدرك الذي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المحصور والمصدور هما سواء؟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السكوت في الصحيحين عن الهَدي ظاهرٌ في سقوطه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من الأخير يستفاد الاستدلال بكلّ ما دلّ على مشروعيّة الشرط المزبور، بناءً على إفادته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أيّد ذلك رحمه الله بأنّ الشرط ظاهر في ذلك، فإنّ مضمونه فسخ الإحرام وجعله كأن لم يكن، فلا يتحقّق اقتضاء للهَدي كي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على هذا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عدم بيان وجوب الهَدي لعلّه من جهة الاتّكال على الآية وغيرها، وبأنّ الشرط ليس ظاهراً في تحليل خاص لا يحتاج معه إلى هَدي ولا غيره، بل المراد به التحلّل من إحرامه بمحلّله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صحيح معاوية بن عمّار،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بن عليّ عليهما السلام خرج معتمراً فمرض في الطريق، فبلغ عليّاً عليه السلام وهو بالمدينة، فخرج في طلبه فأدركه في السُقيا وهو مريض، فقال عليه السلام يابُنيّ ما تشتكي‌؟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رأسي، فدعا عليّ عليه السلام ببدنةٍ فنحرها، وحَلَق رأسه، وردّه إلى المدينه، فلمّا برأ من وجعه اعتمر، الحديث</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أنّه عليه السلام اشترط باعتبار كونه مستحبّاً فلا يتركه الحسين عليه السلام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رفاعة،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الحسين معتمراً وقد ساق بدنةً حتّى انتهى إلى السُقيا، فبرسم فحلق شعر رأسه ونحرها مكانه، ثمّ أقبل حتّى جاء فضرب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ورَبّ الكعبة، افتحوا له الباب وكان قد حموه الماء فأكبّ عليه فشرب ثمّ اعتمر بعد</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سوقها لا على كونه حجّ قِران، وإلّا كان الواجب البعث للنحر لا النحر في محلّه، والخبران يدلّان على عدم سقوط الهَدي، فإنّه متى شرع النحر تحليلاً، فقد نافى السقوط إذ احتمال سقوط الواجب خاصّة لم نعرفه قولاً لأحدٍ، بل يمكن تحصيل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عدم بيان وجوب الهَدي اتّكالا على الآية بعيدٌ جدّاً، إذ معه لما كان مورداً للسؤال، مع أنّ حكم المحصور المذكور في الآية الكريمة قرينة على أنّ السؤال إنّما هو عن وظيفته، وظاهر الجواب بيان تمام تلك، ويؤكّد ذلك سؤاله في الصحيح الثاني عن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الصحيحين أخصّ من مورد الآية الكريمة، فإنّ الآية تدلّ على أنّ المحصور لا يحلّ ما لم يبلغ الهَدي محلّه، والصحيحان يدلّان على أنّه في مورد الشرط خاصّة يحلّ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الشرط فسخ الإحرام، وجعله كأن لم يكن كما مرّ، لا التحليل بالمحلّل الشرعي، فإنّه لا يحتاج إلى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الصحيحان المذكوران في كلامه، فيرد على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غير ظاهرين في صورة الاشتراط، وتركه عليه السلام للمستحبّ لا مانع عنه، ولا يكون منافياً لمقدمه، مع أنّ ظاهر الثاني منهما كون مورده السائق للهدي، ومحلّ الكلام من لم يسق الهدي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السائق فقد قال عنه فخر المحقّقين رحمه الله</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يسقط عنه بإجماع الاُمّة، وعليه فإنْ كان موردهما واقعة واحدة فهما غير ما نحن فيه، وإلّا فخصوص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ذكرناه ظهر مدرك القول الثاني، فإنّه استدلّ له بالصحيحين، أي صحيح معاوية، وصحيح رفاعة، بدعوى أنّ موردهما الاشتراط وغير سياق الهدي، وقد نحر عليه السلام في ذلك المكان وأحَلّ‌، فيدلّان على أنّ فائدة الشرط تعجيل التحلّل، وعدم انتظار بلوغ الهدي محلّه، وقد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له مضافاً إلى ذلك، بما عن جامع ابن سعيد</w:t>
      </w:r>
      <w:r>
        <w:rPr>
          <w:rStyle w:val="FootnoteAnchor"/>
          <w:rtl w:val="true"/>
        </w:rPr>
        <w:footnoteReference w:id="238"/>
      </w:r>
      <w:r>
        <w:rPr>
          <w:rFonts w:ascii="Amiri" w:hAnsi="Amiri" w:eastAsia="Amiri" w:cs="Amiri"/>
          <w:color w:val="111111"/>
          <w:sz w:val="28"/>
          <w:sz w:val="28"/>
          <w:szCs w:val="28"/>
          <w:rtl w:val="true"/>
          <w:lang w:bidi="ar-SA"/>
        </w:rPr>
        <w:t>، عن كتاب المشيخة لابن محبوب،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خرج معتمراً فاعتلّ في بعض الطريق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بدنة ويحلق رأسه ويرجع إلى رحله، ولا يقرب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صام ثمانية عشر يوماً، فإذا برئ من وجعه اعتمر إنْ كان لم يشترط على رَبّه في إحرامه، وإنْ كان قد اشترط فليس عليه أن يعتمر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سعيد الذي هو الراوي الوحيد له لم يعمل به، وقد نُسب إليه القول الأوّل، وعليه فهو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السقوط، لصحيحي البزنطي والمحاربي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أنّه هل عليه الحَجّ من قابل أم لا؟ فقد استدلّ للسقوط</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ضُريس بن أعين،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رجل خرج متمتّعاً بالعُمرة إلى الحَجّ‌، فلم يبلغ مكّة إلّايوم النحر؟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على إحرامه، ويقطع التلبية حين يدخل مكّة، فيطوف ويسعى بين الصفا والمروة، ويحلق رأسه وينصرف إلى أهله إنْ شاء،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اشترط على رَبّه عند إحرامه، فإنْ لم يكن اشترط فإنّ عليه الحَجّ من قابل</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في ذيل صحيح ذُريح المحاربي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الحَجّ من قابل‌؟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من أنّ الحَجّ الفائت إنْ كان واجباً لم يسقط فرضه في العام القابل بمجرّد الاشتراط بلا خلافٍ‌، وإنْ لم يكن واجباً لم يجب بترك الاشتراط بلا خلافٍ أيضاً، فالصحيح معرض عنه عند الأصحاب، أضف إليه أنّ مورده المتمتّع الذي لم يدرك الوقوفين، فلا وجه للتعدّي منه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فيقابله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رفاعة،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يشترط وهو ينوي المتعة فيحصر، هل يُجزيه أن لا يحجّ من قابل‌؟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من قابل، والحاجُّ مثل ذلك إذا اُحصر</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حمزة بن حمران،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الذي يقول حَلّني حيث حبستني‌؟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حِلّ حيث حبسه قال أو لم يقل، ولا يسقط الاشتراط عنه الحَجّ من قابل</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يشترط في الحَجّ أن يحلّه حيث حبسه، أعليه الحَجّ من قابل‌؟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الكناني، عنه عليه السلام بعد بيان كيفيّة الاشتراط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فعليه الحَجّ من قابل‌؟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63" w:name="pg11808_108913"/>
    </w:p>
    <w:p>
      <w:pPr>
        <w:pStyle w:val="BookText"/>
        <w:rPr/>
      </w:pPr>
      <w:bookmarkEnd w:id="63"/>
      <w:r>
        <w:rPr>
          <w:rFonts w:ascii="Amiri" w:hAnsi="Amiri" w:eastAsia="Amiri" w:cs="Amiri"/>
          <w:color w:val="111111"/>
          <w:sz w:val="28"/>
          <w:sz w:val="28"/>
          <w:szCs w:val="28"/>
          <w:rtl w:val="true"/>
          <w:lang w:bidi="ar-SA"/>
        </w:rPr>
        <w:t>وقال صفوان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هذا الحديث عدّة من أصحابنا، 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الحَجّ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الجمع بين هذه النصوص، وبين صحيح المحاربي، أنّ الاشتراط لا يوجبُ سقوط الحَجّ الواجب، والمحصوريّة المانعة من إتمام الحَجّ بنفسها لا توجب وجوب الحَجّ عليه من قابل، كما على ذلك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فيدفعه النصوص الدالّة على عدم الفرق بين الاشتراط وعدمه في الحِلّ‌، مثل مصحّح زرارة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حِلّ إذا حبسه، اشترط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ابن حمران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حِلٌّ حيث حُبس قال أو 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فائدة الاشتراط زائداً على الثواب وكونه مستحبّاً بنفسه، وهو سقوط الهدي، وأنّه يتحلّل بلا هدي، إلّاإذا كان سائق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كفاية النيّة في حصول الاشتراط،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لفظٌ مخصوص لإطلاق النصوص، لاحظ صحيح المحاربي، وما تضمّن منها لفظ مخصوص وصيغة خاصّة لا مفهوم له، كي يوجب تقيّيد إطلاق المطلق منها</w:t>
      </w:r>
      <w:r>
        <w:rPr>
          <w:rFonts w:eastAsia="Amiri" w:cs="Amiri" w:ascii="Amiri" w:hAnsi="Amiri"/>
          <w:color w:val="111111"/>
          <w:sz w:val="28"/>
          <w:szCs w:val="28"/>
          <w:rtl w:val="true"/>
          <w:lang w:bidi="ar-SA"/>
        </w:rPr>
        <w:t>.</w:t>
      </w:r>
    </w:p>
    <w:p>
      <w:pPr>
        <w:pStyle w:val="Heading2"/>
        <w:numPr>
          <w:ilvl w:val="1"/>
          <w:numId w:val="1"/>
        </w:numPr>
        <w:rPr/>
      </w:pPr>
      <w:bookmarkStart w:id="64" w:name="__RefHeading___Toc10696961_73709187"/>
      <w:bookmarkStart w:id="65" w:name="_Toc21"/>
      <w:bookmarkEnd w:id="64"/>
      <w:r>
        <w:rPr>
          <w:rtl w:val="true"/>
        </w:rPr>
        <w:t>استحباب التلفّظ بالنيّة</w:t>
      </w:r>
      <w:bookmarkEnd w:id="65"/>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أن يتلفّظ الُمحرِم بالنيّة، وقد صرّح به غير واحد، ويشهد به جملة من النصوص</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الصّاح</w:t>
      </w:r>
      <w:r>
        <w:rPr>
          <w:rStyle w:val="FootnoteAnchor"/>
          <w:rtl w:val="true"/>
        </w:rPr>
        <w:footnoteReference w:id="245"/>
      </w:r>
      <w:r>
        <w:rPr>
          <w:rFonts w:ascii="Amiri" w:hAnsi="Amiri" w:eastAsia="Amiri" w:cs="Amiri"/>
          <w:color w:val="111111"/>
          <w:sz w:val="28"/>
          <w:sz w:val="28"/>
          <w:szCs w:val="28"/>
          <w:rtl w:val="true"/>
          <w:lang w:bidi="ar-SA"/>
        </w:rPr>
        <w:t>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أردتُ الإحرام بالمتعة، فقلت لأبي </w:t>
      </w:r>
    </w:p>
    <w:p>
      <w:pPr>
        <w:pStyle w:val="BookText"/>
        <w:rPr/>
      </w:pPr>
      <w:r>
        <w:rPr>
          <w:rFonts w:ascii="Amiri" w:hAnsi="Amiri" w:eastAsia="Amiri" w:cs="Amiri"/>
          <w:color w:val="111111"/>
          <w:sz w:val="28"/>
          <w:sz w:val="28"/>
          <w:szCs w:val="28"/>
          <w:rtl w:val="true"/>
          <w:lang w:bidi="ar-SA"/>
        </w:rPr>
        <w:t>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 عليه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اُريد التمتّع بالعُمرة إلى الحَجّ على كتابك وسُنّة نبيّك، وإنْ شئت أضمرت الذي تريد</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صحيح حمّاد بن عثمان المتقدّم في مسألة استدامة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الإحرام والتمتّع،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اُريد ما أمرتَ به من التمتّع بالعُمرة إلى الحَجّ‌، فيسّر ذلك لي وتقبّله منّي وأعنّي عليه، وحِلّني حيث حبستني بقدرك الذي قدرت عَليَّ‌، أحرمَ لكَ شَعري وبَشَري من النساء والطيب والثياب</w:t>
      </w:r>
      <w:r>
        <w:rPr>
          <w:rFonts w:eastAsia="Amiri" w:cs="Amiri" w:ascii="Amiri" w:hAnsi="Amiri"/>
          <w:color w:val="111111"/>
          <w:sz w:val="28"/>
          <w:szCs w:val="28"/>
          <w:rtl w:val="true"/>
          <w:lang w:bidi="ar-SA"/>
        </w:rPr>
        <w:t>»</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هذه النصوص من الأمر بالتلفّظ، يدلّ على الاستحباب، بقرينة ما في ذيل صحيح حمّاد بعد الأمر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شئت أضمرتَ الذي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ومثله ما في خبر أبي 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اتّقى كان الأفضل الإضمار، روى الشيخ في الصحيح عن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أهلّ؟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تُسمّ حَجّاً ولا عُمرة، وأضمر في نفسك المتعة، فإنْ أدركتَ كنت متمتّعاً وإلّا كنت حاجّاً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أبو عبداللّه عليه السلام أن نُلبّي ولا نُسمّي شيئاً،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الإضمار أحبّ إلي</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الإضمار أحبّ إليّ فلبِّ ولا تُسمّ‌</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قلنا إنّ ذلك على سبيل التقيّة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ولابأس به، والأولى أن يكون بما تضمّنته النصوص كصحيح ابن سنان المتقدّم وغيره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66" w:name="pg11808_108916"/>
    </w:p>
    <w:p>
      <w:pPr>
        <w:pStyle w:val="BookText"/>
        <w:rPr/>
      </w:pPr>
      <w:bookmarkEnd w:id="66"/>
      <w:r>
        <w:rPr>
          <w:rFonts w:ascii="Amiri" w:hAnsi="Amiri" w:eastAsia="Amiri" w:cs="Amiri"/>
          <w:color w:val="111111"/>
          <w:sz w:val="28"/>
          <w:sz w:val="28"/>
          <w:szCs w:val="28"/>
          <w:rtl w:val="true"/>
          <w:lang w:bidi="ar-SA"/>
        </w:rPr>
        <w:t>والتلبيات الأربع للمتمتّع والمفرِد، وهي والإشعار والتقليد للقارن</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10696963_73709187"/>
      <w:bookmarkStart w:id="68" w:name="_Toc22"/>
      <w:bookmarkEnd w:id="67"/>
      <w:r>
        <w:rPr>
          <w:rtl w:val="true"/>
        </w:rPr>
        <w:t>التلبيات الأربع</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واجبات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التلبيات الأربع للمتمتّع والمفرِد، وهي والإشعار والتقليد للقارن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ينعقد الإحرام لمتمتّعٍ ولا لمُفردٍ إلّابها، وهو ممّا وقع عليه الاحماع نصّاً وفتوى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التلبيات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نيّة الإحرام للمعتمر والحاجّ إجماعي محقّقاً ومحكيّاً مستفيضاً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يتحقّق من خلال عدّة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لزوم الخَمس من التلبيات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والأحوطا لخمس</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w:t>
      </w:r>
      <w:r>
        <w:rPr>
          <w:rStyle w:val="FootnoteAnchor"/>
          <w:rtl w:val="true"/>
        </w:rPr>
        <w:footnoteReference w:id="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فيها قولاً آخر وهو الست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وستعرف في بيان صورة التلبيات تنقيح القول في ذلك، وأنّ الزائد على الأربع مستحبٌّ لا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طفحت كلماتهم بأنّه لا ينعقد الإحرام إلّابالتلبية،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وغيرها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عدم حصول الإحرام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عدم الإثم والكفّارة في ارتكاب المحرّمات عليه قبلها، لا أنّه لا يكون مُحْرِماً إلّابالتلبية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انعقاد الإحرام قبلها، وأنّه يتحقّق بالنيّة، والجواب عمّا استدلّ به على عدم تحقّق الإحرام إلّابها، قد تقدّما في أوّل مبحث الإحرام عند بيان حقيقته، فراجع</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قد تقدّم هناك ذكر النصوص الدالّة على عدم حرمة المحرّمات قبلها، وأنّه لا كفّارة على ارتكابها، ومقتضى إطلاق تلك النصوص عدم الفرق بين إحرام العُمرة وإحرام الحَجّ‌، وبين عُمرة التمتّع والعُمرة المفردة، وفي الحَجّ بين حجّ التمتّع والقِران والإفراد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عن أحمد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يقول في رجلٍ يلبس ثيابه ويتهيّأ للإحرام ثمّ يواقع أهله قبل أن يهلّ بالإحرام‌؟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فلعدم معلوميّة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استناده إلى الإمام عليه السلام، وإعراض الأصحاب عنه، ومعارضته بما هو أشهر وأوضح سنداً وأكثر عدداً يتعيّن طرحه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يبطل الإحرام بفعل شيء من المحرّمات، أو لايبطل‌؟ وعلى الثاني فهل يجوز أن يبطل إحرامه قبلها بأن يرفع اليد عنه أم لا، بل يكون باقياً؟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 الأوّل إلى المرتضى قدس سره</w:t>
      </w:r>
      <w:r>
        <w:rPr>
          <w:rStyle w:val="FootnoteAnchor"/>
          <w:rtl w:val="true"/>
        </w:rPr>
        <w:footnoteReference w:id="264"/>
      </w:r>
      <w:r>
        <w:rPr>
          <w:rFonts w:ascii="Amiri" w:hAnsi="Amiri" w:eastAsia="Amiri" w:cs="Amiri"/>
          <w:color w:val="111111"/>
          <w:sz w:val="28"/>
          <w:sz w:val="28"/>
          <w:szCs w:val="28"/>
          <w:rtl w:val="true"/>
          <w:lang w:bidi="ar-SA"/>
        </w:rPr>
        <w:t>، واستدلّ له بما رواه النضر بن سويد، عن بعض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مسجد الشجرة فصلّى وأحرم وخرج من المسجد فبدا له قبل أن يُلبّي أن ينقض ذلك بمواقعة النساء، ألَهُ ذلك‌؟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لا بأس به</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مرسلٌ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فعل المنافي لا يقتضي النقض، كما لو فعله بعد التلبية،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سند الخبر تامّاً، كان هو الدليل عليه، وعلى الفرق بين قبل التلبية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الإحرام وإنْ عدل عنه، وعليه فالمتعيّن هو الثالث</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له ارتكاب جميع المحرّمات ما لم يُلبّ‌، وأثر بقائه حينئذٍ أنّه لو اتّفق وقوع التلبية منه لزمه الإحرام، ولم يحلّ عنه إلّابالمحلّل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9" w:name="pg11808_108919"/>
    </w:p>
    <w:p>
      <w:pPr>
        <w:pStyle w:val="Heading2"/>
        <w:numPr>
          <w:ilvl w:val="1"/>
          <w:numId w:val="1"/>
        </w:numPr>
        <w:rPr/>
      </w:pPr>
      <w:bookmarkStart w:id="70" w:name="__RefHeading___Toc10696965_73709187"/>
      <w:bookmarkStart w:id="71" w:name="_Toc23"/>
      <w:bookmarkEnd w:id="69"/>
      <w:bookmarkEnd w:id="70"/>
      <w:r>
        <w:rPr>
          <w:rtl w:val="true"/>
        </w:rPr>
        <w:t>ما ينعقد به إحرام القارن</w:t>
      </w:r>
      <w:bookmarkEnd w:id="7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تعيين التلبية لانعقاد الإحرام، إنّما هو في المتمتّع والمُفرِد، وأمّا القارن فهو مخيّرٌ بينها وبين الإشعار أو التقليد، فإن شاء لبّى وعقد إحرامه بها، وإنْ شاء أشعر أو قلّد وعقده به، 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والإشعار والتقليد، فإذا فعل شيئاً من هذه الثلاثة فقد أحرم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أشعر بدنةً فقد أحرم، وإن لم يتكلّم بقليلٍ ولا كثير</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آخر لمعاوية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والإشعار والتقليد بمنزلة التلبية</w:t>
      </w:r>
      <w:r>
        <w:rPr>
          <w:rFonts w:eastAsia="Amiri" w:cs="Amiri" w:ascii="Amiri" w:hAnsi="Amiri"/>
          <w:color w:val="111111"/>
          <w:sz w:val="28"/>
          <w:szCs w:val="28"/>
          <w:rtl w:val="true"/>
          <w:lang w:bidi="ar-SA"/>
        </w:rPr>
        <w:t>»</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قولان آخران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السيّد</w:t>
      </w:r>
      <w:r>
        <w:rPr>
          <w:rStyle w:val="FootnoteAnchor"/>
          <w:rtl w:val="true"/>
        </w:rPr>
        <w:footnoteReference w:id="274"/>
      </w:r>
      <w:r>
        <w:rPr>
          <w:rFonts w:ascii="Amiri" w:hAnsi="Amiri" w:eastAsia="Amiri" w:cs="Amiri"/>
          <w:color w:val="111111"/>
          <w:sz w:val="28"/>
          <w:sz w:val="28"/>
          <w:szCs w:val="28"/>
          <w:rtl w:val="true"/>
          <w:lang w:bidi="ar-SA"/>
        </w:rPr>
        <w:t>والحِلّي</w:t>
      </w:r>
      <w:r>
        <w:rPr>
          <w:rStyle w:val="FootnoteAnchor"/>
          <w:rtl w:val="true"/>
        </w:rPr>
        <w:footnoteReference w:id="275"/>
      </w:r>
      <w:r>
        <w:rPr>
          <w:rFonts w:ascii="Amiri" w:hAnsi="Amiri" w:eastAsia="Amiri" w:cs="Amiri"/>
          <w:color w:val="111111"/>
          <w:sz w:val="28"/>
          <w:sz w:val="28"/>
          <w:szCs w:val="28"/>
          <w:rtl w:val="true"/>
          <w:lang w:bidi="ar-SA"/>
        </w:rPr>
        <w:t xml:space="preserve">من عدم انعقاد الإحرام بغير التلبية، واستدلّ له بأنّ الإنعقاد بها متّفقٌ عليه، ولا دليل على انعقاده بغيرها، والأصل </w:t>
      </w:r>
    </w:p>
    <w:p>
      <w:pPr>
        <w:pStyle w:val="BookText"/>
        <w:rPr/>
      </w:pP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المتقدّمة تردّه حتّى على مسلكهما من عدم حجيّة خبر الواحد،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السيّد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وابني حمزة</w:t>
      </w:r>
      <w:r>
        <w:rPr>
          <w:rStyle w:val="FootnoteAnchor"/>
          <w:rtl w:val="true"/>
        </w:rPr>
        <w:footnoteReference w:id="277"/>
      </w:r>
      <w:r>
        <w:rPr>
          <w:rFonts w:ascii="Amiri" w:hAnsi="Amiri" w:eastAsia="Amiri" w:cs="Amiri"/>
          <w:color w:val="111111"/>
          <w:sz w:val="28"/>
          <w:sz w:val="28"/>
          <w:szCs w:val="28"/>
          <w:rtl w:val="true"/>
          <w:lang w:bidi="ar-SA"/>
        </w:rPr>
        <w:t>والبرّاج</w:t>
      </w:r>
      <w:r>
        <w:rPr>
          <w:rStyle w:val="FootnoteAnchor"/>
          <w:rtl w:val="true"/>
        </w:rPr>
        <w:footnoteReference w:id="278"/>
      </w:r>
      <w:r>
        <w:rPr>
          <w:rFonts w:ascii="Amiri" w:hAnsi="Amiri" w:eastAsia="Amiri" w:cs="Amiri"/>
          <w:color w:val="111111"/>
          <w:sz w:val="28"/>
          <w:sz w:val="28"/>
          <w:szCs w:val="28"/>
          <w:rtl w:val="true"/>
          <w:lang w:bidi="ar-SA"/>
        </w:rPr>
        <w:t>من أنّه يعتبر في انعقاد الإحرام بغير التلبية العَجزُ عنها، واستدلّ له بأنّه مقتضى الجمع بين هذه النصوص ونصوص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جمعٌ تبرّعي لا شاهد له، بل الجمع العرفي، سيّما بملاحظة الصحيح الأخير يقتضي البناء على 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النصوص المتقدّمة على العاجز عن التلبية حملٌ‌على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لاخلاف بينهم في أنّ الإشعار مختصٌّ بالبدن، والتقليد مشتركٌ بينها وبين سائر أنواع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الحكم المذكور متّفقٌ عليه بينهم، لا أعلم فيه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غير واحدٍ التصريح بذلك مرسلين له إرسال المسلّمات،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وغيرها من كتب الأساطين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بضعف البقر والغنم عن الإشعار، وبأنّ ما ورد في كيفيّة الإشعار لم يُذكر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في البدن، بل أكثر نصوص مشروعيّة الإشعار وانعقاد الإحرام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ذينك بضميمة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مشروعيّة إشعار البقر والغنم مع العلم بكفاية تقليدهما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في البناء على ذلك، واللّه تعالى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الأولى في البُدن الجمع بين الإشعار والتقليد، لحسن 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 تُشعِر من الجانب الأيمن، ويقوم الرّجل في الجانب الأيسر، ثمّ يقلّدها بنعلٍ خَلِق قد صلّى فيها</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غيره، المحمول ما فيها من الأمر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لصراحة ماتقدّم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والإشعارُ أن يشقّ سنام البعير من الجانب الأيمن، ويلطخ صفحته بالدم، ليعلم أنّه صدقة، وهو مختصٌّ بالإبل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أن يجعل في رقبة الهَدْي نعلاً قد صلّى فيه، أو يجعل في رقبة الهَدي خيطاً أو سيراً أو ما أشبههما ليعلم أنّه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ويلطخ بالدّم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وافقه الأصحاب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الأخبار لا تساعد على ما ذكروه من اللّطخ</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لكون الإشعار شَقّ سِنام البعير من الجانب الأيمن، جملةٌ من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البُدن تُشعر من الجانب الأيمن، ويقوم الرّجل في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الكناني،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البُدن كيف تشعر؟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وهي باركة، ويشقّ سنامها الأيمن، وتُنحَر وهي قائمة من قِبل الأيمن</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اللّطخ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يدلّ عليه دليل ممّا بأيدينا، وما علّله به المصنّف رحمه الله عليل، لأنّه لا يصلح لأنْ يكون مدركاً للاستحباب، مع أنّه يُعلّم بشقّ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في الأخبار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يُعلّق في رقبة الهَدي نعلاً خَلِقاً قد صَلّى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ما أفاده المصنّف رحمه الله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في رقبة الهَدي خيطا أو 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يرد 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يقلّدون الغنم والبقر، وإنّما تركه الناس حديثاً ويقلّدون بخيط وسير</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يدلّ على المطلوب، لاحتمال أن يكون المراد بالناس المخالفين، فالأحوط الاقتصار على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البُدنة التي ساقها القارن متعدّدة دلّت النصوص على أنّ عليه أن يقف بينها، ويُشعر ما عن يمينه من الجانب الأيمن، وما عن يساره من الجانب الأيسر، كما ذكره الأصحاب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البُدن كثيرة، قام فيما بين ثنتين ثم أشعر اليمنى ثمّ اليسرى‌</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72" w:name="pg11808_108923"/>
    </w:p>
    <w:p>
      <w:pPr>
        <w:pStyle w:val="BookText"/>
        <w:rPr/>
      </w:pPr>
      <w:bookmarkEnd w:id="72"/>
      <w:r>
        <w:rPr>
          <w:rFonts w:ascii="Amiri" w:hAnsi="Amiri" w:eastAsia="Amiri" w:cs="Amiri"/>
          <w:color w:val="111111"/>
          <w:sz w:val="28"/>
          <w:sz w:val="28"/>
          <w:szCs w:val="28"/>
          <w:rtl w:val="true"/>
          <w:lang w:bidi="ar-SA"/>
        </w:rPr>
        <w:t>وفي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بدنٌ كثيرة، فأردت أن تُشعرها، دَخَل الرّجل ليلاً بدنتين فيُشعر هذه من الشِقّ الأيمن وهذه من الشِقّ الأيسر</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10696967_73709187"/>
      <w:bookmarkStart w:id="74" w:name="_Toc24"/>
      <w:bookmarkEnd w:id="73"/>
      <w:r>
        <w:rPr>
          <w:rtl w:val="true"/>
        </w:rPr>
        <w:t>وجوب التلبية على نفس القارن</w:t>
      </w:r>
      <w:bookmarkEnd w:id="74"/>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القارن إحرامه بالإشعار أو التقليد، فهل تجب عليه التلبية في نفسها كما هو المنسوب إلى قدماء الأصحاب إلى زمان الفاضلين، أم تكون مستحبّة كما هو المشهور من زمانهما إلى هذا الزمان‌؟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للوجوب بموثّق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اشتريتُ بدنةً فكيف أصنع بها؟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مسجد الشجرة، فأفض عليك من الماء، والبس ثوبيك ثمّ انخها مستقبل القبلة، ثمّ أدخل المسجد فصلِّ‌، ثمّ افرض بعد صلاتك ثمّ اخرج إليها فأشعرها من الجانب الأيمن من سنامها،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منك وإليك، اللّهُمَّ تقبَّل منّي، ثمّ انطلق حتّى تأتي البيداء فلبّه</w:t>
      </w:r>
      <w:r>
        <w:rPr>
          <w:rFonts w:eastAsia="Amiri" w:cs="Amiri" w:ascii="Amiri" w:hAnsi="Amiri"/>
          <w:color w:val="111111"/>
          <w:sz w:val="28"/>
          <w:szCs w:val="28"/>
          <w:rtl w:val="true"/>
          <w:lang w:bidi="ar-SA"/>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الأمر الوارد فيه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جهة السؤال عمّا يصنع بالبُدنة غير معلومة من حيث الواجب أو الاستحباب أو هما معاً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أكثر المذكورات آداب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الأمر إنّما كان بالتلبية في البيداء، وسيأتي أنّ في كونها مستحبّة أو واجبة إشكالاً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صحيح معاوية المتقدّم الدالّ على أنّ الإشعار والتقليد بمنزلة التلبية، حاكمٌ على دليل الوجوب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السؤال وإنْ كانت مجهولة، إلّاأنّ مورد الاستدلال هو الأمر بالتلبية لا ما هو المسؤل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خروج الوجوب والاستحباب عن حريم الموضوع له والمستعمل فيه، فإنّ العقل حاكم بلزوم الإتيان إذا لم يرخّص المولى في ترك المأمور به، وإلّا فبالاستحباب، وإلّا فالمستعمل فيه فيهما شيء واحد، وعلى هذا فإذا أمر المولى بعدّة اُمور، ورخّص في ترك جميعها إلّافي ترك واحد منها، حكم العقل بوجوبه خاصّة، والمقام من هذا القبيل، فإن بقيّة ما تضمّنه الحديث والذي ورد الترخيص في تركها، فهي آداب، ولم يرد في ترك التلبية فهي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في القيد وإجماله لا يوجب رفع اليد عن ظهور الأمر بالمقيّد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التنزيل إنّما هو في خصوص انعقاد الإحرام، كما يفصح عن ذلك قوله عليه السلام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أشعرها وقلّدها، وجب عليه الإحرام، وهو بمنزلة التلبية</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لازم كون التنزيل حتّى بلحاظ الحكم التكليفي، هو وجوب الإشعار والتقليد كالتلبية لا عدم وجوبها، فإذاً الأظهر وجوب التلبية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ظاهر كلمات جمعٍ من الأساطين، استحباب الإشعار أو التقليد لو عقد القارن إحرامه بالتلبية، بل استحباب كلّ منهما لو عقد إحرامه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بعد حكمه بأنّ القارن يكون بالخيار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عقد إحرامه بالتلبية، وإنْ شاء عقده بالإشعار أو التقليد، وبأيّهما بدأ كان الآخر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فعل انعقد إحرامه به وكان الباقي مستحبّاً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المفروغيّة عن الاستحباب، ولكن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لم يقف على دليل على ذلك صريحاً،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الأمر بكلّ من الثلاثة كافٍ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باستحباب الإشعار بعد التلبية؛ خبر جابر عن أبي عبداللّه عليه السلام</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استحسنوا إشعار البُدن لأنّ أوّل قطرة تقطر من دمها يغفر اللّه عزّ وجلّ له على ذلك</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إطلاقه استحبابه في نفسه، وبعدم القول بالفصل يثبت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يستدلّ له فيهما بخبر الفضيل بن يسار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أحرم من الوقت ومضى‌، ثمّ اشترى بدنة بعد ذلك بيوم أو يومين فأشعرها وقلّدها وساقها؟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ابتاعها قبل أن يدخل الحرم فلا بأس</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5" w:name="pg11808_108926"/>
    </w:p>
    <w:p>
      <w:pPr>
        <w:pStyle w:val="BookText"/>
        <w:rPr/>
      </w:pPr>
      <w:bookmarkEnd w:id="75"/>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لاستحباب الإشعار بعد التقليد، والتقليد بعد الإشعار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في ذيل خبر الفضيل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إذا انتهى إلى الوقت، فليحرم ثمّ يشعرها ويقلّدها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 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إذا انتهى إلى الوقت، فليحرم ثم يشعرها ويقلّدها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في صحيح معاوية المتقدّم من الأمر بالتقليد بعد الإشعار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ومافي خبرالسكوني من الأمربالتقليدمع الإشعار، إذ من الواضح أنّه لايجب الجمع بينهما لا على الترتيب ولا مطلقاً، فلا محالة يحمل الأمر على الاستحباب</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0696969_73709187"/>
      <w:bookmarkStart w:id="77" w:name="_Toc25"/>
      <w:bookmarkEnd w:id="76"/>
      <w:r>
        <w:rPr>
          <w:rtl w:val="true"/>
        </w:rPr>
        <w:t>مقارنة التلبية لنيّة الإحرام</w:t>
      </w:r>
      <w:bookmarkEnd w:id="77"/>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 بعدم وجوب مقارنة التلبية لنيّة الإحرام، ويجوز التأخير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الأظهر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مفروغ عنه في محلّه، وظاهر المعظم بل إلّامن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ابناء إدريس</w:t>
      </w:r>
      <w:r>
        <w:rPr>
          <w:rStyle w:val="FootnoteAnchor"/>
          <w:rtl w:val="true"/>
        </w:rPr>
        <w:footnoteReference w:id="302"/>
      </w:r>
      <w:r>
        <w:rPr>
          <w:rFonts w:ascii="Amiri" w:hAnsi="Amiri" w:eastAsia="Amiri" w:cs="Amiri"/>
          <w:color w:val="111111"/>
          <w:sz w:val="28"/>
          <w:sz w:val="28"/>
          <w:szCs w:val="28"/>
          <w:rtl w:val="true"/>
          <w:lang w:bidi="ar-SA"/>
        </w:rPr>
        <w:t>وحمزة</w:t>
      </w:r>
      <w:r>
        <w:rPr>
          <w:rStyle w:val="FootnoteAnchor"/>
          <w:rtl w:val="true"/>
        </w:rPr>
        <w:footnoteReference w:id="303"/>
      </w:r>
      <w:r>
        <w:rPr>
          <w:rFonts w:ascii="Amiri" w:hAnsi="Amiri" w:eastAsia="Amiri" w:cs="Amiri"/>
          <w:color w:val="111111"/>
          <w:sz w:val="28"/>
          <w:sz w:val="28"/>
          <w:szCs w:val="28"/>
          <w:rtl w:val="true"/>
          <w:lang w:bidi="ar-SA"/>
        </w:rPr>
        <w:t>وسعيد</w:t>
      </w:r>
      <w:r>
        <w:rPr>
          <w:rStyle w:val="FootnoteAnchor"/>
          <w:rtl w:val="true"/>
        </w:rPr>
        <w:footnoteReference w:id="3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307"/>
      </w:r>
      <w:r>
        <w:rPr>
          <w:rFonts w:ascii="Amiri" w:hAnsi="Amiri" w:eastAsia="Amiri" w:cs="Amiri"/>
          <w:color w:val="111111"/>
          <w:sz w:val="28"/>
          <w:sz w:val="28"/>
          <w:szCs w:val="28"/>
          <w:rtl w:val="true"/>
          <w:lang w:bidi="ar-SA"/>
        </w:rPr>
        <w:t>اعتبار المقارنة، لكن أنكر بعض الأعاظم</w:t>
      </w:r>
      <w:r>
        <w:rPr>
          <w:rStyle w:val="FootnoteAnchor"/>
          <w:rtl w:val="true"/>
        </w:rPr>
        <w:footnoteReference w:id="308"/>
      </w:r>
      <w:r>
        <w:rPr>
          <w:rFonts w:ascii="Amiri" w:hAnsi="Amiri" w:eastAsia="Amiri" w:cs="Amiri"/>
          <w:color w:val="111111"/>
          <w:sz w:val="28"/>
          <w:sz w:val="28"/>
          <w:szCs w:val="28"/>
          <w:rtl w:val="true"/>
          <w:lang w:bidi="ar-SA"/>
        </w:rPr>
        <w:t>التزامهم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للمشهور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وإطلاق دليل تشريع الإحرام بناءً على ما عرفت من عدم دخل التلبية في حقيقة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الرّجل في دَبر المكتوبة أيُلبّي حين ينهض به بعيره أو جالساً في دَبر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شاء صنع</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 ابن سنان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عند الشجرة، فلا تلبّ حتّى تأتي البيداء، حيث يقول الناس يخسف بالجيش</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أو حسنه،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المكتوبة ثمّ أحرم بالحجّ أو بالمتعة، وأخرج بغير تلبية حتّى تصعد إلى أوّل البيداء، إلى أوّل ميلٍ عن يسارك، فإذا استوت بك الأرض، راكباً كنت أو ماشياً فلبّ‌</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أعقد الإحرام في دَبر الفريضة، حتّى إذا استوت بك البيداء فلبّ‌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كنت مُحرِماً من طريق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إذا استوى بك بعيرك</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صحاح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8" w:name="pg11808_108928"/>
    </w:p>
    <w:p>
      <w:pPr>
        <w:pStyle w:val="BookText"/>
        <w:rPr/>
      </w:pPr>
      <w:bookmarkEnd w:id="78"/>
      <w:r>
        <w:rPr>
          <w:rFonts w:ascii="IRNazanin" w:hAnsi="IRNazanin" w:eastAsia="IRNazanin"/>
          <w:color w:val="111111"/>
          <w:sz w:val="28"/>
          <w:sz w:val="28"/>
          <w:szCs w:val="28"/>
          <w:rtl w:val="true"/>
          <w:lang w:bidi="fa-IR"/>
        </w:rPr>
        <w:t>واستدلّ للقول الآخر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دلّ على عدم انعقاد الإحرام إلّابالتلبية، وعدم جواز المرور على الميقات إلّامُحرِماً، فإنّه إذا انضمّ أحد الدليلين بالآخر تكون النتيجة لزوم المقارنة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 الإحرام هو التلبية، أو كونها جزءً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وبأصالة عدم ترتّب الأثر بدون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انعقاد الإحرام بدونها، وإنّما لا يحرم المحرّمات بدونها، ولا كفّارة على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حقيقة الإحرام من عدم دخولها في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إطلاق دليل التشريع والنصوص الخاصّة، وحمل تلك النصوص على إرادة رفع الصوت بالتلبية والإجهار بها، ممّا لا يقبله كثيرٌ منها، مع أنّه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وجوبها، ولكن ليس لازم ذلك جواز التأخير مطلقاً، فإنّ وقتها معيّن سيمرّ عليك، ولو أخّرت عن وقتها نسياناً وجب العود إليه لتداركه مع المكنة</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10696971_73709187"/>
      <w:bookmarkStart w:id="80" w:name="_Toc26"/>
      <w:bookmarkEnd w:id="79"/>
      <w:r>
        <w:rPr>
          <w:rtl w:val="true"/>
        </w:rPr>
        <w:t>وقت التلبية</w:t>
      </w:r>
      <w:bookmarkEnd w:id="8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الفقهاء في وقت التلبية، وهو عند من يرى دخلها في الإحرام أوّل الميقات للإحرام وهو واضح، وأمّا بناءً على ما هو الحقّ من عدم دخلها فيه، فالظاهر من جملة من النصوص لزوم المبادرة إليها من أوّل الإحرام، </w:t>
      </w:r>
    </w:p>
    <w:p>
      <w:pPr>
        <w:pStyle w:val="BookText"/>
        <w:rPr/>
      </w:pPr>
      <w:r>
        <w:rPr>
          <w:rFonts w:ascii="Amiri" w:hAnsi="Amiri" w:eastAsia="Amiri" w:cs="Amiri"/>
          <w:color w:val="111111"/>
          <w:sz w:val="28"/>
          <w:sz w:val="28"/>
          <w:szCs w:val="28"/>
          <w:rtl w:val="true"/>
          <w:lang w:bidi="ar-SA"/>
        </w:rPr>
        <w:t>ولازم ذلك عدم التأخير عن ميقات الإحرام، ففي خبر سليمان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التلبية وعلّتها؟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أحرموا ناداهم اللّه تعالى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وإمائي لأُحرمنّكم على النار كما أحرمتم لي، فقولهم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للّه عزّ وجلّ على ندائه لهم</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المقام روايات اُخر دالّة على جواز التأخير إلى مواضع، بل أفضليّته، وتنقيح القول في ذلك في ضمن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المحكيّ عن ابني حمزة</w:t>
      </w:r>
      <w:r>
        <w:rPr>
          <w:rStyle w:val="FootnoteAnchor"/>
          <w:rtl w:val="true"/>
        </w:rPr>
        <w:footnoteReference w:id="315"/>
      </w:r>
      <w:r>
        <w:rPr>
          <w:rFonts w:ascii="Amiri" w:hAnsi="Amiri" w:eastAsia="Amiri" w:cs="Amiri"/>
          <w:color w:val="111111"/>
          <w:sz w:val="28"/>
          <w:sz w:val="28"/>
          <w:szCs w:val="28"/>
          <w:rtl w:val="true"/>
          <w:lang w:bidi="ar-SA"/>
        </w:rPr>
        <w:t>والبرّاج</w:t>
      </w:r>
      <w:r>
        <w:rPr>
          <w:rStyle w:val="FootnoteAnchor"/>
          <w:rtl w:val="true"/>
        </w:rPr>
        <w:footnoteReference w:id="316"/>
      </w:r>
      <w:r>
        <w:rPr>
          <w:rFonts w:ascii="Amiri" w:hAnsi="Amiri" w:eastAsia="Amiri" w:cs="Amiri"/>
          <w:color w:val="111111"/>
          <w:sz w:val="28"/>
          <w:sz w:val="28"/>
          <w:szCs w:val="28"/>
          <w:rtl w:val="true"/>
          <w:lang w:bidi="ar-SA"/>
        </w:rPr>
        <w:t>أنّ الأفضل لمن حَجّ على طريق المدينة تأخير التلبية إلى البيداء</w:t>
      </w:r>
      <w:r>
        <w:rPr>
          <w:rStyle w:val="FootnoteAnchor"/>
          <w:rtl w:val="true"/>
        </w:rPr>
        <w:footnoteReference w:id="317"/>
      </w:r>
      <w:r>
        <w:rPr>
          <w:rFonts w:ascii="Amiri" w:hAnsi="Amiri" w:eastAsia="Amiri" w:cs="Amiri"/>
          <w:color w:val="111111"/>
          <w:sz w:val="28"/>
          <w:sz w:val="28"/>
          <w:szCs w:val="28"/>
          <w:rtl w:val="true"/>
          <w:lang w:bidi="ar-SA"/>
        </w:rPr>
        <w:t>مطلقاً، ووافقهما الشيخ</w:t>
      </w:r>
      <w:r>
        <w:rPr>
          <w:rStyle w:val="FootnoteAnchor"/>
          <w:rtl w:val="true"/>
        </w:rPr>
        <w:footnoteReference w:id="318"/>
      </w:r>
      <w:r>
        <w:rPr>
          <w:rFonts w:ascii="Amiri" w:hAnsi="Amiri" w:eastAsia="Amiri" w:cs="Amiri"/>
          <w:color w:val="111111"/>
          <w:sz w:val="28"/>
          <w:sz w:val="28"/>
          <w:szCs w:val="28"/>
          <w:rtl w:val="true"/>
          <w:lang w:bidi="ar-SA"/>
        </w:rPr>
        <w:t>وابن سعيد</w:t>
      </w:r>
      <w:r>
        <w:rPr>
          <w:rStyle w:val="FootnoteAnchor"/>
          <w:rtl w:val="true"/>
        </w:rPr>
        <w:footnoteReference w:id="319"/>
      </w:r>
      <w:r>
        <w:rPr>
          <w:rFonts w:ascii="Amiri" w:hAnsi="Amiri" w:eastAsia="Amiri" w:cs="Amiri"/>
          <w:color w:val="111111"/>
          <w:sz w:val="28"/>
          <w:sz w:val="28"/>
          <w:szCs w:val="28"/>
          <w:rtl w:val="true"/>
          <w:lang w:bidi="ar-SA"/>
        </w:rPr>
        <w:t>في خصوص الراكب، وتبعهم جمعٌ من متأخّري المتأخّرين، بل لم يستبعد بعض الفقهاء وجوب التأخير لو لا ذهاب قدماء الأصحاب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الواردة في المقام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بالتأخير إلى البيداء، وقد تقدّمت تلك النصوص في مسألة مقارنة التلبية للنيّة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وجوب الفرق في ذلك بين الراكب والماشي، لاحظ صحيح معاوية أو حسنه المتقدّم في تلك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وجوب التأخير وجواز الإتيان بها بعد الإحرام بلا فصل، كموثّق إسحاق المتقدّم، وخبر عبداللّه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للمتمتّع بالعُمرة إلى الحَجّ أن يظهر التلبية في مسجد الشجرة‌؟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لَبّى النبيّ صلى الله عليه و آله في البيداء، لأنّ الناس لم يعرفوا التلبية، فأحبّ أن يعلّمهم كيف التلبية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الفرق بين الماشي والراكب، كصحيح عمر بن يزيد،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ماشياً فاجهر بإهلالك وتلبيتك من المسجد، وإنْ كنت راكباً فإذا عَلَت بك راحلتك البيداء</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جواز التقديم على البيداء، كخبر علي بن جعفر، عن أخيه الإمام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الإحرام عند الشجرة هل يحلّ لمن أحرم عندها أن لا يُلبّي حتّى يعلو البيداء؟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يُلبّي حتّى يأتي البيداء عند أوّل ميلٍ‌، فأمّا عند الشجرة فلا يجوز التلبية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الطوائف الثلاث الاُولى يقتضي البناء على جواز التقديم وأفضليّة التأخير من غير فرقٍ بين الماشي والراكب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الرابعة، وهي صحيح عمر، فقد حمله المُحدِّث الكاشاني</w:t>
      </w:r>
      <w:r>
        <w:rPr>
          <w:rStyle w:val="FootnoteAnchor"/>
          <w:rtl w:val="true"/>
        </w:rPr>
        <w:footnoteReference w:id="323"/>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التقيّة، واستحسنه المُحدِّث البحراني رحمه الله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بينه وبين ما تقدّم بالالتزام بالفرق بينهما في تأكّد الفضيلة لا في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 ليس في مقام بيان جواز التأخير أو التقديم، بل إنّما يدلّ على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الماشي يجهر بها والراكب لا يجهر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خبر عليّ بن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فلضعفها في نفسها، وعدم عمل الأصحاب بها، ومعارضتها لما تقدّم لابدّ من 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تأخير التلبية إلى البيداء، بل الأفضل ذلك، من غير فرق بين الراكب والماشى، ويجوز الإتيان بها من حين الإحرام، ولكن لا يجوز تأخيرها عن البيداء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 من طريقٍ آخر غير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تأخيرها إلى أن يمشي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رواية واحدة مختصّة بمن يحجّ من طريق العراق، وهي صحيحة هشام بن الحكم، عن أبي عبداللّه عليه السلام،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أحرمتَ من غمرة، ومن بريد البعث، صلّيت وقلت كما يقول المُحرِم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دَبر صلاتك، وإنْ شئتَ لبّيت في موضع، والفضل أن تمشي قليلاً ثمّ تُلبّي</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مختصّة بمن يحجّ من طريق العراق، والتعدّي إلى غيره يتوقّف على إحراز كون ذكر بريد البعث وغمرة من باب المثال، أو إحراز المناط، ولم يُحرز شيء منهما، فالمتعيّن هو الاقتصار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تقدّم من أنّ بريد البعث ليس ميقاتاً، بل الميقات بعده من المسلخ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يستحبّ تأخير التلبية إلى الرقطاء</w:t>
      </w:r>
      <w:r>
        <w:rPr>
          <w:rStyle w:val="FootnoteAnchor"/>
          <w:rtl w:val="true"/>
        </w:rPr>
        <w:footnoteReference w:id="331"/>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3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33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تلبية الُمحرِم من مكّة من موضعه، إنْ كان ماشياً، وإذا نهض به بعيره إنْ كان راكباً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التأخير إلى أن يُشرف على الأبطح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والنصوص الواردة فيه مختلفة من حيث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أفضليّة تأخير التلبية إلى الرقطاء، كصحيح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ابن البختري، ومعاوية بن عمّار، وعبد الرحمن بن الحجّاج، كلّهم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أهللتَ من المسجد الحرام للحجّ‌، فإنْ شئت لبّيتَ خلف المقام، وأفضل ذلك أن تمضي حتّى تأتي الرقطاء وتُلبّي قبل أن تصير إلى الأبطح</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الأمر بالتلبية عند الرقطاء، ورفع الصوت بها عند الإشراف على الأبطح، كحسن معاوية أو صحيحه،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انتهيت إلى الرّقطاء دون الرّدم فلبّ‌، فإذا انتهيت إلى الرّدم وأشرفتَ على الأبطح، فارفع صوتك بالتلبية حتّى تأتي منى</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 الماشي يُلبّي عند المقام، والراكب يُلبّي إذا نهض به بعيره، لاحظ صحيح عمر بن يزيد،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ماشياً فلبّ عند المقام، وإنْ كنت راكباً فإذا نهض بك بعيرك</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يُلبّي من المسجد الحرام مطلقاً، كخبر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تلبّي من المسجد الحرام كما لبّيتَ حين أحرمت</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هذه النصوص يقتضي البناء على أنّ وقت التلبية من حين الإحرام إلى أن ينتهي إلى الرقطاء، والأفضل التأخير خصوصاً للراكب، والأفضل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1" w:name="pg11808_108934"/>
    </w:p>
    <w:p>
      <w:pPr>
        <w:pStyle w:val="BookText"/>
        <w:rPr/>
      </w:pPr>
      <w:bookmarkEnd w:id="81"/>
      <w:r>
        <w:rPr>
          <w:rFonts w:ascii="Amiri" w:hAnsi="Amiri" w:eastAsia="Amiri" w:cs="Amiri"/>
          <w:color w:val="111111"/>
          <w:sz w:val="28"/>
          <w:sz w:val="28"/>
          <w:szCs w:val="28"/>
          <w:rtl w:val="true"/>
          <w:lang w:bidi="ar-SA"/>
        </w:rPr>
        <w:t>أن يكون رفع الصوت بها إذا انتهى إلى الرّدم وأشرفت على الأبطح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والرقطاء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دون الرّدم يُسمّى مُدعى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 يمنع السيل عن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خارجان عن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فتّشنا تواريخ مكّة فلم نجد الرقطاء اسم موضعٍ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وادي مكّة، وهو مسيلٌ واسعٌ فيه دقائق الحصى‌، أوّله منقطع الشعب بين وادي منى‌، وآخره متّصلٌ بالمقبرة الّتي تُسمّى بالمَعْلى عند أهل مكّة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10696973_73709187"/>
      <w:bookmarkStart w:id="83" w:name="_Toc27"/>
      <w:bookmarkEnd w:id="82"/>
      <w:r>
        <w:rPr>
          <w:rtl w:val="true"/>
        </w:rPr>
        <w:t>الواجب من التلبية مرّة واحدة</w:t>
      </w:r>
      <w:bookmarkEnd w:id="83"/>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التلبية مرّة واحدة بلا خلاف، ويقتضيه إطلاق الأدلّة، ويستحبّ الإكثار بها، وتكريرها ما استطاع، خصوصاً في دَبر كلّ صلاة فريضة أو نافلة، وعند صعود شرف أو هبوط وادٍ، وعند اليقظة، وعند الركوب، وعند النزول، وعند ملاقاة راكبٍ‌، وفي الأسحار، كما نطقت بذلك كلّه النصوص، ففي صحيح معاوية بن عمّار، عن الإمام الصادق عليه السلام بعد الأمر بالتلبية، وبيان كيفيّتها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ذلك في دَبر كلّ صلاةٍ مكتوبة ونافلة، وحين ينهض بك بعيرك، وإذا علوت شرفاً أو هبطت وادياً، أو لقيت راكباً أو استيقظت من منامك، وبالأسحار، وأكثر ما استطعت واجهر بها، وإنْ تركت بعض التلبية، فلا يضرّك غير أنّ تمامها </w:t>
      </w:r>
    </w:p>
    <w:p>
      <w:pPr>
        <w:pStyle w:val="BookText"/>
        <w:rPr/>
      </w:pP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ذي المعارج، فإنّ رسول اللّه صلى الله عليه و آله كان يُكثر منها، الحديث</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الروايات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المقنعة</w:t>
      </w:r>
      <w:r>
        <w:rPr>
          <w:rStyle w:val="FootnoteAnchor"/>
          <w:rtl w:val="true"/>
        </w:rPr>
        <w:footnoteReference w:id="34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3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استحبابها عند صعود الدابّة وعند النزول منها، والشاهد به صحيح عمر بن يزيد،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أحرمتَ من مسجد الشجرة، فإنْ كنتَ ماشياً لبّيتَ من مكانك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وأجهر بها كلّما ركبت وكلّما نزلت، الحديث</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وكفى به مدركاً للاستحباب بعد 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استحبابها عند المنام، ولم يدلّ عليه دليل خاص، كما اعترف 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يتعرّض له قبل الفاضلين أحد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يكون وجهه ما يظهر من النصوص من استحبابها عند كلّ حادثٍ‌، والأحوال المذكورة في النصوص من باب المثال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84" w:name="pg11808_108936"/>
    </w:p>
    <w:p>
      <w:pPr>
        <w:pStyle w:val="BookText"/>
        <w:rPr/>
      </w:pPr>
      <w:bookmarkEnd w:id="84"/>
      <w:r>
        <w:rPr>
          <w:rFonts w:ascii="Amiri" w:hAnsi="Amiri" w:eastAsia="Amiri" w:cs="Amiri"/>
          <w:color w:val="111111"/>
          <w:sz w:val="28"/>
          <w:sz w:val="28"/>
          <w:szCs w:val="28"/>
          <w:rtl w:val="true"/>
          <w:lang w:bidi="ar-SA"/>
        </w:rPr>
        <w:t>وكيف كان، فاستحباب الإكثار منها خالٍ عن الإشكال، لدلالة النصوص الكثيرة عليه، وفي خبر ابن فضّال، عن رجالٍ شتّى‌،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لَبّى في إحرامه سبعين مرّة إيماناً واحتساباً، أشهد اللّه له ألف ألف ملك براءة من النار وبراءة من النفاق</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0696975_73709187"/>
      <w:bookmarkStart w:id="86" w:name="_Toc28"/>
      <w:bookmarkEnd w:id="85"/>
      <w:r>
        <w:rPr>
          <w:rtl w:val="true"/>
        </w:rPr>
        <w:t>الجهر بالتلبية</w:t>
      </w:r>
      <w:bookmarkEnd w:id="86"/>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استحباب الجهر بالتلبية للرِّجال،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والكليني وجوبه،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الطرفين النصوص الكثيرة الآمرة به كصحيح معاوية المتقدّم، وكذا صحيح عمر بن يزيد المتقدّم، وصحيح حريز وغيره عن أبي جعفر عليه السلام وأبي عبداللّه عليه السلام أنّهما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أحرمَ رسول اللّه صلى الله عليه و آله أتاه جبرائيل،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أصحابك بالعجّ والثّج، فالعجّ‌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والثَّج نحر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مشى الرّوحاء حتّى بَحّت أصواتنا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بظهور الأمر به في الوجوب القائلون به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القول بالاستحباب، بأنّ النصوص المذكورة ظاهرة في </w:t>
      </w:r>
    </w:p>
    <w:p>
      <w:pPr>
        <w:pStyle w:val="BookText"/>
        <w:rPr/>
      </w:pPr>
      <w:r>
        <w:rPr>
          <w:rFonts w:ascii="Amiri" w:hAnsi="Amiri" w:eastAsia="Amiri" w:cs="Amiri"/>
          <w:color w:val="111111"/>
          <w:sz w:val="28"/>
          <w:sz w:val="28"/>
          <w:szCs w:val="28"/>
          <w:rtl w:val="true"/>
          <w:lang w:bidi="ar-SA"/>
        </w:rPr>
        <w:t>الحكم الأدبي، بقرينة بحّة الصوت الذي حكاه جابر، إذ لا قائل بوجوبه، وبذكره في سياق الاُمور التي لا شبهه في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بحّة الصوت ليس مأموراً به في الحديث، بل الذي أمر به هو رفع الصوت والإجهار بها، راجع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مراراً من أنّه لو أمر بأُمور، ورخَّص في ترك بعضها دون آخر، يحكم بوجوب خصوص ما لم يُرخّص في تركه، وليس المورد من موارد وحدة السياق، لعدم كون الوجوب والاستحباب داخلين في المستعمل فيه، بل المستعمل فيه واحدٌ اُريد به الاستحباب أو الوجوب، وهما أمران انتزاعيّان من الترخيص في الترك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تقدّم دلالة جملةٍ من النصوص على أنّ من يحرم من مسجد الشجرة إذا لَبّى بعد الإحرام، قبل أن يصل البيداء، لا يجهر بها، أي لا يستحبّ الإجهار حينئذٍ، وكذا من أحرم من مكّة يكون رفع صوته بالتلبية إذا أشرف على الأبطح، فإذا انضمّ إلى ذلك أنّه لا يجب التلبية إلّامرّة واحدة، يظهر أن التلبية الواجبة لا يجبُ الجهر بها إذا أتى بها قبل الموضعين، وبعدم القول بالفصل يُحكم بعدم وجوبه في غيرهما، ولعلّ ذلك بضميمة عدم إفتاء الأصحاب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الشيخ بنفسه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التلبية فريضة، ورفع الصوت بها سُنّة، ولم أجد أحداً ذكر كونها فرضاً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الحكم بعدم الوجوب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جهر على النساءبلا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المتعدّدة،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مصحّح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جهر بالتلبية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 فضالة، عمّن حدّثه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وضع عن النساء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بالتلبية</w:t>
      </w:r>
      <w:r>
        <w:rPr>
          <w:rStyle w:val="FootnoteAnchor"/>
          <w:rtl w:val="true"/>
        </w:rPr>
        <w:footnoteReference w:id="359"/>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أبي سعيد المُكاري</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7" w:name="pg11808_108939"/>
    </w:p>
    <w:p>
      <w:pPr>
        <w:pStyle w:val="Heading2"/>
        <w:numPr>
          <w:ilvl w:val="1"/>
          <w:numId w:val="1"/>
        </w:numPr>
        <w:rPr/>
      </w:pPr>
      <w:bookmarkStart w:id="88" w:name="__RefHeading___Toc10696977_73709187"/>
      <w:bookmarkStart w:id="89" w:name="_Toc29"/>
      <w:bookmarkEnd w:id="87"/>
      <w:bookmarkEnd w:id="88"/>
      <w:r>
        <w:rPr>
          <w:rtl w:val="true"/>
        </w:rPr>
        <w:t>صورة التلبيات الأربع</w:t>
      </w:r>
      <w:bookmarkEnd w:id="89"/>
    </w:p>
    <w:p>
      <w:pPr>
        <w:pStyle w:val="BookText"/>
        <w:rPr/>
      </w:pPr>
      <w:r>
        <w:rPr>
          <w:rFonts w:ascii="Amiri" w:hAnsi="Amiri" w:eastAsia="Amiri" w:cs="Amiri"/>
          <w:color w:val="111111"/>
          <w:sz w:val="28"/>
          <w:sz w:val="28"/>
          <w:szCs w:val="28"/>
          <w:rtl w:val="true"/>
          <w:lang w:bidi="ar-SA"/>
        </w:rPr>
        <w:t>اختلف الأصحاب في صورة التلبية الواجبة وكيفيّتها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 xml:space="preserve">وبعض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الكافية</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وغيرها،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3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3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إنَّ الحَمدَ والنعمة والمُلك 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من أن يضاف إلى تلك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جُمل السيّد</w:t>
      </w:r>
      <w:r>
        <w:rPr>
          <w:rStyle w:val="FootnoteAnchor"/>
          <w:rtl w:val="true"/>
        </w:rPr>
        <w:footnoteReference w:id="3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من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إنّ الحمدَ والنِعمَةَ والمُلك لكَ‌،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xml:space="preserve">، وحكي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سعيد</w:t>
      </w:r>
      <w:r>
        <w:rPr>
          <w:rStyle w:val="FootnoteAnchor"/>
          <w:rtl w:val="true"/>
        </w:rPr>
        <w:footnoteReference w:id="3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388"/>
      </w:r>
      <w:r>
        <w:rPr>
          <w:rFonts w:ascii="Amiri" w:hAnsi="Amiri" w:eastAsia="Amiri" w:cs="Amiri"/>
          <w:color w:val="111111"/>
          <w:sz w:val="28"/>
          <w:sz w:val="28"/>
          <w:szCs w:val="28"/>
          <w:rtl w:val="true"/>
          <w:lang w:bidi="ar-SA"/>
        </w:rPr>
        <w:t xml:space="preserve">وهو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الأخيرة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وجعله السيّد الطباطبائي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 من أن يضاف إلى الجملة الأخيرة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بحجّة أو عُمرة تمامها عليك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 واستدلّ به للثاني أيضاً، وهو صحيح معاوية بن عمّار، عن أبي عبداللّه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التلبية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 لبّيك ذا المعارج لبّيك، لبّيك داعياً إلى دار السلام لبّيك، لبّيك غفّار الذّنوب لبّيك، لبّيك أهل التلبية لبّيك، لبّيك ذا الجلال والإكرام لبّيك، لبّيك تبدأ والمعاد إليك لبّيك، لبّيك تستغني ويفتقر إليك لبّيك، لبّيك مرهوباً 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في دَبر كلّ صلاةٍ مكتوبة ونافلة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تركت بعض التلبية فلا يضرّك، غير أنّ تمامها أفضل، واعلم أنّه لابدّ من التلبيات الأربع التي كنّ في أوّل الكلام، وهي الفريضة، وهي التوحيد، وبها لبّى المرسلون</w:t>
      </w:r>
      <w:r>
        <w:rPr>
          <w:rFonts w:eastAsia="Amiri" w:cs="Amiri" w:ascii="Amiri" w:hAnsi="Amiri"/>
          <w:color w:val="111111"/>
          <w:sz w:val="28"/>
          <w:szCs w:val="28"/>
          <w:rtl w:val="true"/>
          <w:lang w:bidi="ar-SA"/>
        </w:rPr>
        <w:t>)</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تقريب الاستدلال به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لابدّ من التلبيات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وجوب ما بعد التلبية الرابعة، فينطبق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بالتلبيات الأربع ما قبل الخمسة، وتكون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للصيغة الواجبة، وتكون التلبيات الأربع من قبيل العلم لذلك، فيدلّ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خلاف الظاهر جداً، فإنّ كون ما ذُكر مسمّى التلبيات الأربع، ليس من باب الحقيقة اللّغوية ولا المتشرّعيّة، وكونه من باب المجاز خلاف الظاهر، مع أنّه على فرض الاحتمال ينفى الزائد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عاصم بن 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 إنّ رسول اللّه صلى الله عليه و آله لمّا انتهى إلى البيداء، حيث الميل، قربت له ناقة فركبها، فلمّا انبعثت به لبّى بالأربع،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والمُلك 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يخسف بالأخابث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زادوا بعد وهو حسن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الأعمش،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وفرائض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والتلبيات الأربع،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دائرٌ بين حمل صحيح معاوية على إرادة ما قبل الخامسة من التلبيات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الأربع، وبين حمل ما في الخبرين على الاستحباب، وتكون حكاية الإمام عليه السلام في الصحيح من باب حكاية ما هو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أرجح، على فرض الإجمال وتساوي الاحتمالين، والأصل ينفي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به صحيح عمر بن يزيد،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من مسجد الشجرة، فإنْ كنت ماشياً لبّيت من مكانك من المسجد،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لبّيك لا شريك لك لبّيك، لبّيك ذا المعارج لبّيك، لبّيك بحجّةٍ تمامها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94"/>
      </w:r>
      <w:r>
        <w:rPr>
          <w:rFonts w:ascii="Amiri" w:hAnsi="Amiri" w:eastAsia="Amiri" w:cs="Amiri"/>
          <w:color w:val="111111"/>
          <w:sz w:val="28"/>
          <w:sz w:val="28"/>
          <w:szCs w:val="28"/>
          <w:rtl w:val="true"/>
          <w:lang w:bidi="ar-SA"/>
        </w:rPr>
        <w:t>، فإنّه يدلّ على عدم وجوب تلك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إليذلك أنّ صحيح عاصم متضمّنٌ لحكاية تلبية الرسول صلى الله عليه و آله، ولا ظهور له في تعيّينها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فقاصر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عبداللّه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لبّى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 لبّيك ذا المعارج، وكان صلى الله عليه و آله يَكِثرُ من ذي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 فهو غير ظاهر ولا مشعرٍ بتعيّن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حكاية فعل النبيّ صلى الله عليه و آله، فإذاً الأظهر عدم وجوب ضمّ تلك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صوراً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يوسف بن محمّد بن زياد، وعلي بن محمّد بن يسار، عن أبويهما، عن الإمام الحسن العسكري، عن آبائه عليهم السلام، عن أمير المؤمنين عليه السلام، قال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حديث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ربّنا عزّ وجلّ يا اُمّة محمّد،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فأجابوه كلّهم وهم في أصلاب آبائهم، وفي أرحام اُمّهاتهم، لبّيك اللّهُمَّ لبّيك، لبّيك لا شريك لك لبّيك، إنّ الحمدَ والنعمة لك والملك لا شريك لك لبّيك، فجعل اللّه عزّوجلّ تلك الإجابة شعار الحَجّ‌</w:t>
      </w:r>
      <w:r>
        <w:rPr>
          <w:rFonts w:eastAsia="Amiri" w:cs="Amiri" w:ascii="Amiri" w:hAnsi="Amiri"/>
          <w:color w:val="111111"/>
          <w:sz w:val="28"/>
          <w:szCs w:val="28"/>
          <w:rtl w:val="true"/>
          <w:lang w:bidi="ar-SA"/>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مرسل الصدوق</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عن كتاب عاصم بن حميد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لمّا انتهى إلى البيداء حيث الميلين، اُنيخت له ناقته فركبها، فلمّا انبعثت به لبّى بأربع،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لا شريك لك لبّيك، إنّ الحمدَ والنعمةَ 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يخسف بالأخابث</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في متنه اختلافٌ مع متن صحيح ابن حميد المتقدّم، ولعلّ ذلك يوجبُ إشكالاً آخر فيه، ولكن هذه النصوص ضعيفة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فلمحمّد بن القاسم الأسترآبادي، فإنّه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الأولين متضمّنان للتلبيات الخمس، وقد دلّ صحيح معاوية على عدم وجوب الزائد عن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حال النصوص الاُخر المتضمّنة لأكثر من الأربع، وعليه فالقول الأوّل أظهر، وتضعيفه بندرة القائل به بين القدماء في غير محلّه، وإنْ كان الأولى والأحوط إضافة الجملة المذكورة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الثالث والرابع والخامس، فقد صرّح غير واحدٍ من الأساطين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0" w:name="pg11808_108945"/>
    </w:p>
    <w:p>
      <w:pPr>
        <w:pStyle w:val="BookText"/>
        <w:rPr/>
      </w:pPr>
      <w:bookmarkEnd w:id="90"/>
      <w:r>
        <w:rPr>
          <w:rFonts w:ascii="Amiri" w:hAnsi="Amiri" w:eastAsia="Amiri" w:cs="Amiri"/>
          <w:color w:val="111111"/>
          <w:sz w:val="28"/>
          <w:sz w:val="28"/>
          <w:szCs w:val="28"/>
          <w:rtl w:val="true"/>
          <w:lang w:bidi="ar-SA"/>
        </w:rPr>
        <w:t>بعدم العثور على ما يدلّ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القول الثالث، فلم نقف له على مستندٍ مع شهرته بين الأصحاب، وقد ذكره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العجب قول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التلبيات الأربع وأتمّها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أضاف إلى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فإن جعلها أتمّ الصور يقتضي قوّة مستندها بالنظر إلى مستند القولين الآخرين، والحال أنّ ما وصل إلينا من الا خبار الصحيحة والضعيفة خالٍ من ذلك رأساً، مع صحّة مستند القولين الآخرين، واستفاضت الروايات بذلك، وهم أعلم بما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1" w:name="__RefHeading___Toc10696979_73709187"/>
      <w:bookmarkStart w:id="92" w:name="_Toc30"/>
      <w:bookmarkEnd w:id="91"/>
      <w:r>
        <w:rPr>
          <w:rtl w:val="true"/>
        </w:rPr>
        <w:t>حُكم من لا يُحسِن التلبية</w:t>
      </w:r>
      <w:bookmarkEnd w:id="9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الإتيان بالتلبية على الوجه الصحيح، بمراعاة أداء الكلمات على القواعد العربيّة، فلا يُجزي الملحون مع التمكّن من الصحيح بالتلقين أو التصحيح بلا خلافٍ‌،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 وهو واضح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لم يحسن ولو بالتلقين، وجب عليه التعلّم، لأنّ وجوب التلبية يستدعي وجوب التعلّم تحصيلاً للواجب، ولما دلّ من النصوص على وجوب التعلّم، وللإجماع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تمكن من التعلّم بعد وجوب الحَجّ عليه، وكذلك إذا قدر على التعلّم قبله مع العلم بعدم التمكّن منه بعده، لما حُقّق في الاُصول</w:t>
      </w:r>
      <w:r>
        <w:rPr>
          <w:rStyle w:val="FootnoteAnchor"/>
          <w:rtl w:val="true"/>
        </w:rPr>
        <w:footnoteReference w:id="403"/>
      </w:r>
      <w:r>
        <w:rPr>
          <w:rFonts w:ascii="Amiri" w:hAnsi="Amiri" w:eastAsia="Amiri" w:cs="Amiri"/>
          <w:color w:val="111111"/>
          <w:sz w:val="28"/>
          <w:sz w:val="28"/>
          <w:szCs w:val="28"/>
          <w:rtl w:val="true"/>
          <w:lang w:bidi="ar-SA"/>
        </w:rPr>
        <w:t>من وجوب ما يترتّب على تركه فوت الواجب في ظرفه، إذا لم يكن القدرة في ظرفه شرطاً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يتمكّن من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ابن سعيد</w:t>
      </w:r>
      <w:r>
        <w:rPr>
          <w:rStyle w:val="FootnoteAnchor"/>
          <w:rtl w:val="true"/>
        </w:rPr>
        <w:footnoteReference w:id="4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يتأتِ له التلبية، لبّى عنه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w:t>
      </w:r>
      <w:r>
        <w:rPr>
          <w:rStyle w:val="FootnoteAnchor"/>
          <w:rtl w:val="true"/>
        </w:rPr>
        <w:footnoteReference w:id="4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ترجمتها نظر، وروي أن غيره يلبّي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عندي وجوب الأمرين، فالترجمة لكونها كإشارة الأخرس وأوضح، والنيابة لمثل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يبعد القول بما استطاع منها، وإلّا اجتزي بالترجمة التي هي أولى من إشارة الأخرس، ويحتمل الإستنابة عملاً بخبر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التلبية الملحونة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للزوم الإتيان بها بقاعدة الميسور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من عدم حجّيتها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والأولى أن يستدلّ له بخبر مسعدة بن صدقة،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جعفر بن محمّد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ترى من المُحرِم من العجم ما لا يراد منه ما يراد من العالم الفصيح، وكذلك الأخرس، في القراءة والصلاة والتشهد وما أشبه ذلك، فهذا بمنزلة العجم، والمُحرِم لا يُراد منه ما يُراد من العاقل المتكلِّم الفصيح</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إطلاقه الاجتزاء بالتلبية الملحونة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إطلاقه الإجتزاء بها حتّى مع التمكّن من تعلّم الصحيحة، فلا يجب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الجائز أن يكون وفاء الناقصة بالمصلحة، وكونها مثل التامّة في صورة عدم إمكان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مقتضى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قدم حاجّاً لا يُحسن أن يُلبّي، فاستفتى له أبا عبداللّه عليه السلام فأمر له أن يُلبّى عنه</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حكاية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حكاية فتوى الإمام عليه السلام في مورد الجواب عن السؤال، لكنّه ضعيف السند، والاعتماد عليه غير ثابت، ولكن يؤيّده، بل يدلّ على هذا الحكم صحيح زرارة،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حَجّ الرّجل بابنه وهو صغير، فإنّه يأمره أن يلبّي ويفرض الحَجّ‌، فإنْ لم يحسن أن يلبّي لبّوا عنه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غيره، من جهة أنّ ظاهر ذيله أنّ هذا حكمُ من لا يُحسن أن يُلبّي،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اختصاص له بالصبي، ويؤيّده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13"/>
      </w:r>
      <w:r>
        <w:rPr>
          <w:rFonts w:ascii="Amiri" w:hAnsi="Amiri" w:eastAsia="Amiri" w:cs="Amiri"/>
          <w:color w:val="111111"/>
          <w:sz w:val="28"/>
          <w:sz w:val="28"/>
          <w:szCs w:val="28"/>
          <w:rtl w:val="true"/>
          <w:lang w:bidi="ar-SA"/>
        </w:rPr>
        <w:t>من قبول أفعال الحَجّ والعُمرة للنيابة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لزوم الاستنابة إنْ أمكن، والأحوط الجمع بينهما وبين الإتيان بالملحونة، بل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حكم الترجمة، فإنّه لا يجري فيها ما ذكرناه في الملحونة، فالمتعيّن هو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أكثر الأصحاب بأنّه يشير إليها بإصابعه مع تحريك لسانه، ويشهد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السكوني،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تلبية الأخرس وتشهّده وقراءته القرآن في الصلاة، تحريك لسانه وإشارته بإصبعه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الاستنابة أيضاً عملاً بالخبرين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السكوني، وخبر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السكوني حاكمٌ على خبر زرارة، لما ورد فيه أنّ تحريك لسانه وإشارته باصبعه تلبية، والموضوع في خبر زرارة لا يشمل الأخرس، لأنّ الأخرس غير قادرٍ لا غير محسن، بل هو عبارة عن الأعجمي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عقد قلبه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ومراده أن يقصد بحركة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اللّسان كونها حركةً للتلبية، أي الألفاظ المحكيّة بها لا معناها، والوجه في اعتباره عدم تأتّي قصد امتثال الأمر المتوجّه إليه إلّابه، لأنّ الحركة بنفسها تصلح لغير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تطبيق الحركة على حروف التلبية جزءً فجزءً بحيث يكون صوته بمنزلة كلام غير متمايزة الحروف في حقّ من سمع ألفاظ التلبية وأتقنها بل تكلّم بها مدّة، ممّا لم يدلّ عليه دليل، وكون ذلك تلبية لا يقتضيه كما لا يخفى‌، كما أنّ الإشكال في وجوب ما ذكرناه للأخرس الذي لم يَعرف أنّ في الوجود كلاماً ولفظاً، في غير محلّه، إذ دعوى عدم إمكان ذلك فيه، مندفعة بتمكّنه من القصد إلى ما يفعله الناطق إجمالاً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فوجوب عقد قلبه بمعنى التلبية لا وجه له</w:t>
      </w:r>
      <w:r>
        <w:rPr>
          <w:rFonts w:eastAsia="Amiri" w:cs="Amiri" w:ascii="Amiri" w:hAnsi="Amiri"/>
          <w:color w:val="111111"/>
          <w:sz w:val="28"/>
          <w:szCs w:val="28"/>
          <w:rtl w:val="true"/>
          <w:lang w:bidi="ar-SA"/>
        </w:rPr>
        <w:t>.</w:t>
      </w:r>
      <w:bookmarkStart w:id="93" w:name="pg11808_108950"/>
    </w:p>
    <w:p>
      <w:pPr>
        <w:pStyle w:val="Heading2"/>
        <w:numPr>
          <w:ilvl w:val="1"/>
          <w:numId w:val="1"/>
        </w:numPr>
        <w:rPr/>
      </w:pPr>
      <w:bookmarkStart w:id="94" w:name="__RefHeading___Toc10696981_73709187"/>
      <w:bookmarkStart w:id="95" w:name="_Toc31"/>
      <w:bookmarkEnd w:id="93"/>
      <w:bookmarkEnd w:id="94"/>
      <w:r>
        <w:rPr>
          <w:rtl w:val="true"/>
        </w:rPr>
        <w:t>مبدأ اشتقاق التلبية</w:t>
      </w:r>
      <w:bookmarkEnd w:id="95"/>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والجوهري</w:t>
      </w:r>
      <w:r>
        <w:rPr>
          <w:rStyle w:val="FootnoteAnchor"/>
          <w:rtl w:val="true"/>
        </w:rPr>
        <w:footnoteReference w:id="418"/>
      </w:r>
      <w:r>
        <w:rPr>
          <w:rFonts w:ascii="Amiri" w:hAnsi="Amiri" w:eastAsia="Amiri" w:cs="Amiri"/>
          <w:color w:val="111111"/>
          <w:sz w:val="28"/>
          <w:sz w:val="28"/>
          <w:szCs w:val="28"/>
          <w:rtl w:val="true"/>
          <w:lang w:bidi="ar-SA"/>
        </w:rPr>
        <w:t>وغيرهما، فحذف اللّام واُضيف إلى الكاف، فحذف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يونس</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مثنّى بل اسمٌ مفردٌ متّصلٌ بالضمير،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اتّصل به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وأنكره سيبويه</w:t>
      </w:r>
      <w:r>
        <w:rPr>
          <w:rStyle w:val="FootnoteAnchor"/>
          <w:rtl w:val="true"/>
        </w:rPr>
        <w:footnoteReference w:id="4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الياء مع الضمير، وبقيت الألف مع الظاهر، وحكى من كلامهم لبّى زيد مع الإضافة إلى الظاهر، فثبوت الياء مع الإضافة إلى الظاهر، يدلّ على أنّه ليس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4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ولبّى بالحَجّ تلبية، أصله لبّيت بغير همزة، قال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أخرجت بهم فصاحتهم إلى أن يهمزوا ما ليس بمهموز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مصدرٌ منصوبٌ بفعل مقدّر، قال سيبويه</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لبّيك كما انتصبَ سُبحان اللّه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4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نُصب على المصدر كقولك حمد اللّه وشكراً، وكان حقّه </w:t>
      </w:r>
    </w:p>
    <w:p>
      <w:pPr>
        <w:pStyle w:val="BookText"/>
        <w:rPr/>
      </w:pP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 لك، فالمعنى حينئذٍ إمّا ألبُّ لكَ البابا بعد الباب، أو لباً بعد لب أي إقامة بعد إقامة من لب بالمكان أو ألب أي أنام، والأنسب بهيئة الثلاثي كونه من 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اللّب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الأثير والجوهري والخليل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لب بمعنى واجه،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 تلب 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تواجهها، فمعناه مواجهتي وقصدي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أن يكون من لب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خالصه، فيكون بمعنى إخلاصي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محكى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محبّتي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صرّح به جماعة من القدماء والمتأخّرين من أهل اللّغة، أنّه بمعنى الإجابة، فمعنى لبّيك إجابتين لك، والنصوص توافق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التلبية إجابةً‌، لأنّ موسى عليه السلام أجاب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أفاده بعض الأعاظم</w:t>
      </w:r>
      <w:r>
        <w:rPr>
          <w:rStyle w:val="FootnoteAnchor"/>
          <w:rtl w:val="true"/>
        </w:rPr>
        <w:footnoteReference w:id="426"/>
      </w:r>
      <w:r>
        <w:rPr>
          <w:rFonts w:ascii="Amiri" w:hAnsi="Amiri" w:eastAsia="Amiri" w:cs="Amiri"/>
          <w:color w:val="111111"/>
          <w:sz w:val="28"/>
          <w:sz w:val="28"/>
          <w:szCs w:val="28"/>
          <w:rtl w:val="true"/>
          <w:lang w:bidi="ar-SA"/>
        </w:rPr>
        <w:t>، قال بعد نقل كلمات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وكلّها بعيدة وتخرّص في العربيّة، ولا طريق إلى إثبات بعضها، ولا يخطر منها شيءٌ في بال المتكلّم أصلاً، والأقرب أن تكون كلمةً برأسها تُستعمل في مقام الجواب للمنادي، مثل سائر كلمات الجواب، لا يختلف حالها في الظاهر والضمير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المصرّح به في كلمات غير واحدٍ، أنّه يجوز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بكسر الهمزة وفتحها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وعلق عليه جمعٌ من المحشّين بأنّه لا يُترك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وجمعٌ منهم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تعيّنه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ولعلّه المتعيّن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ما 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عن بعض أهل العربيّة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 فقد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بالكسر فقد عَمّ‌، وهو واضح، لأنّ الكسر يقتضي تعميم التلبية وإنشاء الحمد مطلقاً، والفتح يقتضي تخصيص التلبية، أي لبّيك بسبب أن الحمد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لا كلام في أنّ المأمور به هو الكلام الصادر عن المعصوم عليه السلام بما له من المادّة والصورة، فلو فرضنا العلم بأنّ النبيّ صلى الله عليه و آله أتى بها مفتوحة، لا يجوز لنا التبديل بقراءتها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إنّ كيفيّة الصدور من المعصوم غير معلومة، فمقتضى القاعدة هو الاحتياط بالجمع بين الكيفيّتين، وقراءتها تارةً مكسورة واُخرى مفتوحة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6" w:name="pg11808_108953"/>
    </w:p>
    <w:p>
      <w:pPr>
        <w:pStyle w:val="BookText"/>
        <w:rPr/>
      </w:pPr>
      <w:bookmarkEnd w:id="96"/>
      <w:r>
        <w:rPr>
          <w:rFonts w:ascii="Amiri" w:hAnsi="Amiri" w:eastAsia="Amiri" w:cs="Amiri"/>
          <w:color w:val="111111"/>
          <w:sz w:val="28"/>
          <w:sz w:val="28"/>
          <w:szCs w:val="28"/>
          <w:rtl w:val="true"/>
          <w:lang w:bidi="ar-SA"/>
        </w:rPr>
        <w:t>ولبس ثوبين</w:t>
      </w:r>
      <w:r>
        <w:rPr>
          <w:rFonts w:eastAsia="Amiri" w:cs="Amiri" w:ascii="Amiri" w:hAnsi="Amiri"/>
          <w:color w:val="111111"/>
          <w:sz w:val="28"/>
          <w:szCs w:val="28"/>
          <w:rtl w:val="true"/>
          <w:lang w:bidi="ar-SA"/>
        </w:rPr>
        <w:t>.</w:t>
      </w:r>
    </w:p>
    <w:p>
      <w:pPr>
        <w:pStyle w:val="Heading2"/>
        <w:numPr>
          <w:ilvl w:val="1"/>
          <w:numId w:val="1"/>
        </w:numPr>
        <w:rPr/>
      </w:pPr>
      <w:bookmarkStart w:id="97" w:name="__RefHeading___Toc10696983_73709187"/>
      <w:bookmarkStart w:id="98" w:name="_Toc32"/>
      <w:bookmarkEnd w:id="97"/>
      <w:r>
        <w:rPr>
          <w:rtl w:val="true"/>
        </w:rPr>
        <w:t>لبس الثوبين</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من واجبات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لبس الثوبين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وهما واجبان بلا خلافٍ يُعلم،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xml:space="preserve">، بل هو مقطوعٌ به في كلام الأصحاب،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 بل إجماعيٌ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وشرحه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إجماعٌ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وهما واجبان بغير خلافٍ أجده، وبه صرّح جماعة، مؤذنين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والتأسّي، وهما كما ترى، فإنّ الإجماع المعلوم مدركه ليس بحجّة، وفعله صلى الله عليه و آله أعمّ من الواجب، سيّما وأن اللّبس من العادات، إلّاأن يثبت كونه من العبادات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يستدلّ له بجملةٍ من النصوص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العقيق من قِبل العراق، أو إلى الوقت من هذه المواقيت وأنت تريدُ الإحرام إنْ شاء اللّه تعالى‌، فانتف إبطيك، وقلّم أظفارك، وأطّل عانتك وخُذ من شاربك، ولا يضرّك بأيّ ذلك بدأت ثمّ استك، واغتسل وألبس ثوبيك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 الوارد في إحرام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 إنْ شاء اللّه تعالى فاغتسل ثمّ البس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هاشم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 إلى أبي عبداللّه عليه السلام ونحن جماعة ونحن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نودّعك، فأرسل إلينا أن اغتسلوا بالمدينة، فإنّي أخاف أن يعزّ الماء عليكم بذي الحُليفة، فاغتسلوا بالمدينة وألبسوا ثيابكم التي تُحرمون فيها، ثمّ تعالوا فُرادى أو مثاني</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امرأةٍ حاضت وهي تريد الإحرام، فتطمث‌؟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وتحتشي بكُرسفٍ وتلبس ثياب الإحرام وتحرم</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يضرّ بذلك ذكر لبس الثوبين في عداد المستحبّات، لما مرّ غير مرّة من أنّه إذا أمر المولى بعدة اُمور، ولو كان ذلك بأمرٍ واحد، فضلاً عن أوامر عديدة، ورخّص في المخالفة بالنسبة إلى بعض تلك الاُمور، حُكم بكون ذلك البعض مستحبّاً، وما 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يرخّص فيه واجباً، وعليه فوجوب لبس الثوبين ممّا لا ينبغي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يخفى ضعف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لبس الثوبين فإنْ كان على وجوبه إجماعٌ كان هو الدليل، وإلّا فالاخبار التي ظفرت بها لا تصلح مستندة له، مع أنّ الأصل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يستبعده بعض الأعاظم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يختصّ وجوب اللّبس بالرجال أم يعمّ المرأة‌؟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42"/>
      </w:r>
      <w:r>
        <w:rPr>
          <w:rFonts w:ascii="Amiri" w:hAnsi="Amiri" w:eastAsia="Amiri" w:cs="Amiri"/>
          <w:color w:val="111111"/>
          <w:sz w:val="28"/>
          <w:sz w:val="28"/>
          <w:szCs w:val="28"/>
          <w:rtl w:val="true"/>
          <w:lang w:bidi="ar-SA"/>
        </w:rPr>
        <w:t>الاختصاص، بعد أن حكى الثاني عن بعض الأفاضل، واستدلّ لما قوّاه بعدم شمول النصوص السابقة للإناث إلّابقاعدة الاشتراك، التي يخرج عنها هنا لظاهر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في أكثر النصوص وإنْ كان هو الرّجل، ولكن هذا الخطاب كسائر خطابات الأحكام المتوجّهة إلى الرّجل، الّتي بناء الأصحاب على التعدّي منه إلى المرأة لا لقاعدة الاشتراك، بل لفهم عدم الخصوصيّة، ويؤكّد ذلك ما يظهر من بعض الأخبار ثبوت الحكم لها، كخبر زيد المتقدّم، ومثله موثّق يونس بن يعقوب،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الحائض تريد الإحرام‌؟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وتستثفر وتحتشي بالكُرسف، وتلبس ثوباً دون ثياب إحرامها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فالأظهر ثبوت الحكم لها أيضاً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99" w:name="pg11808_108956"/>
    </w:p>
    <w:p>
      <w:pPr>
        <w:pStyle w:val="Heading2"/>
        <w:numPr>
          <w:ilvl w:val="1"/>
          <w:numId w:val="1"/>
        </w:numPr>
        <w:rPr/>
      </w:pPr>
      <w:bookmarkStart w:id="100" w:name="__RefHeading___Toc10696985_73709187"/>
      <w:bookmarkStart w:id="101" w:name="_Toc33"/>
      <w:bookmarkEnd w:id="99"/>
      <w:bookmarkEnd w:id="100"/>
      <w:r>
        <w:rPr>
          <w:rtl w:val="true"/>
        </w:rPr>
        <w:t>لبس الثوبين ليس شرطاً للصحّة</w:t>
      </w:r>
      <w:bookmarkEnd w:id="10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عدّة فروع ينبغي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لبس الثوبين من شرائط صحّة الإحرام، بحيث لا يدخل الحاجّ أو المُعتمر في الحَجّ أو العُمرة ما لم يلبسهما؟</w:t>
      </w:r>
    </w:p>
    <w:p>
      <w:pPr>
        <w:pStyle w:val="BookText"/>
        <w:rPr/>
      </w:pPr>
      <w:r>
        <w:rPr>
          <w:rFonts w:ascii="Amiri" w:hAnsi="Amiri" w:eastAsia="Amiri" w:cs="Amiri"/>
          <w:color w:val="111111"/>
          <w:sz w:val="28"/>
          <w:sz w:val="28"/>
          <w:szCs w:val="28"/>
          <w:rtl w:val="true"/>
          <w:lang w:bidi="ar-SA"/>
        </w:rPr>
        <w:t>أو لا تكون التلبية غير المسبوقة به مُحرّمة لما يحرم بالإحرام‌؟</w:t>
      </w:r>
    </w:p>
    <w:p>
      <w:pPr>
        <w:pStyle w:val="BookText"/>
        <w:rPr/>
      </w:pPr>
      <w:r>
        <w:rPr>
          <w:rFonts w:ascii="Amiri" w:hAnsi="Amiri" w:eastAsia="Amiri" w:cs="Amiri"/>
          <w:color w:val="111111"/>
          <w:sz w:val="28"/>
          <w:sz w:val="28"/>
          <w:szCs w:val="28"/>
          <w:rtl w:val="true"/>
          <w:lang w:bidi="ar-SA"/>
        </w:rPr>
        <w:t>أم لا يكون كذلك، بل هو من الواجبات التعبّديّة النفسيّة‌؟</w:t>
      </w:r>
    </w:p>
    <w:p>
      <w:pPr>
        <w:pStyle w:val="BookText"/>
        <w:rPr/>
      </w:pPr>
      <w:r>
        <w:rPr>
          <w:rFonts w:ascii="Amiri" w:hAnsi="Amiri" w:eastAsia="Amiri" w:cs="Amiri"/>
          <w:color w:val="111111"/>
          <w:sz w:val="28"/>
          <w:sz w:val="28"/>
          <w:szCs w:val="28"/>
          <w:rtl w:val="true"/>
          <w:lang w:bidi="ar-SA"/>
        </w:rPr>
        <w:t>نُسب الأوّل إلى ظاهر الإسكافي</w:t>
      </w:r>
      <w:r>
        <w:rPr>
          <w:rStyle w:val="FootnoteAnchor"/>
          <w:rtl w:val="true"/>
        </w:rPr>
        <w:footnoteReference w:id="444"/>
      </w:r>
      <w:r>
        <w:rPr>
          <w:rFonts w:ascii="Amiri" w:hAnsi="Amiri" w:eastAsia="Amiri" w:cs="Amiri"/>
          <w:color w:val="111111"/>
          <w:sz w:val="28"/>
          <w:sz w:val="28"/>
          <w:szCs w:val="28"/>
          <w:rtl w:val="true"/>
          <w:lang w:bidi="ar-SA"/>
        </w:rPr>
        <w:t xml:space="preserve">، وأنكره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وأمّا الثاني فمصرّح به في كلام جماعة كالمقداد</w:t>
      </w:r>
      <w:r>
        <w:rPr>
          <w:rStyle w:val="FootnoteAnchor"/>
          <w:rtl w:val="true"/>
        </w:rPr>
        <w:footnoteReference w:id="446"/>
      </w:r>
      <w:r>
        <w:rPr>
          <w:rFonts w:ascii="Amiri" w:hAnsi="Amiri" w:eastAsia="Amiri" w:cs="Amiri"/>
          <w:color w:val="111111"/>
          <w:sz w:val="28"/>
          <w:sz w:val="28"/>
          <w:szCs w:val="28"/>
          <w:rtl w:val="true"/>
          <w:lang w:bidi="ar-SA"/>
        </w:rPr>
        <w:t>والشهيد الثاني</w:t>
      </w:r>
      <w:r>
        <w:rPr>
          <w:rStyle w:val="FootnoteAnchor"/>
          <w:rtl w:val="true"/>
        </w:rPr>
        <w:footnoteReference w:id="447"/>
      </w:r>
      <w:r>
        <w:rPr>
          <w:rFonts w:ascii="IRNazanin" w:hAnsi="IRNazanin" w:eastAsia="IRNazanin"/>
          <w:color w:val="111111"/>
          <w:sz w:val="28"/>
          <w:sz w:val="28"/>
          <w:szCs w:val="28"/>
          <w:rtl w:val="true"/>
          <w:lang w:bidi="fa-IR"/>
        </w:rPr>
        <w:t>وسبطه</w:t>
      </w:r>
      <w:r>
        <w:rPr>
          <w:rStyle w:val="FootnoteAnchor"/>
          <w:rtl w:val="true"/>
        </w:rPr>
        <w:footnoteReference w:id="448"/>
      </w: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وجماعة ممّن تأخّر عنهم، بل نُسب إلى ظاهر الأصحاب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اللّبس من شرائط الصحّة، حتّى لو أحرم عارياً أو لابساً مخيطاً لم ينعقد؟ نظرٌ، وظاهر الأصحاب انعقاده،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أحرم وعليه قميصٌ نزعه ولا يشقّه، ولو لبسه بعد الإحرام وجب شقّه وإخراجه من تحته كما هو 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أن في المقام مسألتين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التجرّد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لبس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الإسكافي قائلٌ باشتراط التجرّد، وكيف كان فظاهر كلام الأصحاب الذي نقله الشهيد، عدم اشتراط التجرّد، إذ لو كان ذلك شرطاً كان اللّازم تجديد النيّة والتلبية، وظاهرهم عدم الاحتياج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أيضاً شاهدة بذلك،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وغير واحدٍ،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أحرم وعليه قميصه‌؟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ولا يشقّه، وإنْ كان لبسه بعدما أحرم شقّه وأخرجه من ما يلي رجليه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مقتضى إطلاق ذلك عدم الفرق بين العامد والجاهل والناسي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صفوان عن خالد بن محمّد الأصم،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لبس قميصاً؟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أحرمتُ هكذا في قميصي وكسائي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أنزعه من رأسك، ليس يُنزع هذا من رجليه، إنّما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غير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أحرم في قميصه‌؟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من رأسه</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خبر عبد الصمد ابن بشير</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مختصّان بالجاهل، فيقيّد إطلاق صحيح معاوية بهما كما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 الخبر متضمّنٌ لسؤالٍ وجواب آخرين، وهو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لعدم النزع من الرجلين، وأنّه يجوز أن ينزعه من رأسه، فمفهومه أنّ العالم ينزعه من رجليه، ولازم ذلك صحّة إحرامه، فهما أيضاً يدلّان على انعقاد الإحرام في صورة العلم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 ذلك استدلاله قدس سره لعدم الاشتراط بعد ذلك بما دلّ على أنّ الإحرام هو النيّة والتلبية ونزع الثياب، أمّا لبس الثوبين فغير داخلين في حقيقته، فإنّه إذا كان للخبرين مفهوم، وكان مفهومه ما استظهره من البطلان في صورة العلم، كانا هما الدليل على البطلان، وبهما يخرج عن ما ذكر، وإن لم يكن لهما مفهوم، لما كان وجه لتقيّيد إطلاق صحيح معاوية بهما، لعدم حمل المطلق على المقيّد في المتوافقين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مصحّح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لبستَ ثوباً في إحرامك لايصلح لك لبسه، فلبّ وأعِد غسلك، وإنْ لبستَ قميصاً فشقّه وأخرجه من تحت قدميك</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منه غير ما نحن في، وهو اللّبس بعد الإحرام، وصريحه الفرق بين لبس الثياب ولبس القميص، لكن بما أنّه لم يعمل به أحدٌ فيُطرح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عدم اشتراط التجرّد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اشتراط لبس الثوبين فيه، فالأظهر عدمه أيضاً، وذلك لأنّ صحيح معاوية وإن لم يكن مربوطاً بذلك، لوروده في التجرّد، إلّاأنّه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02" w:name="pg11808_108959"/>
    </w:p>
    <w:p>
      <w:pPr>
        <w:pStyle w:val="BookText"/>
        <w:rPr/>
      </w:pPr>
      <w:bookmarkEnd w:id="102"/>
      <w:r>
        <w:rPr>
          <w:rFonts w:ascii="Amiri" w:hAnsi="Amiri" w:eastAsia="Amiri" w:cs="Amiri"/>
          <w:color w:val="111111"/>
          <w:sz w:val="28"/>
          <w:sz w:val="28"/>
          <w:szCs w:val="28"/>
          <w:rtl w:val="true"/>
          <w:lang w:bidi="ar-SA"/>
        </w:rPr>
        <w:t>يمكن الاستدلال لعدم اعتباره فيه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الآخرين وإنْ كان موردهما الجهل، إلّاأنّه من جهة أنّ المفروض فيهما عدم لبس الثوبين، حيث حكم عليه السلام بالصحّة ونزع لباسه من رأسه، وعلّله بما مفهومه أنّه لو فعل ذلك عالماً، نزع لباسه من رجليه، يدلّان على الصحّة مع عدم لبسهما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إطلاق صحيح معاوية،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الإحرام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والإشعار، والتقليد، فإذا فعل شيئاً من هذه الثلاثة فقد أحرم</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إطلاقه عدم اعتبار شيء آخر، فيه ومنه لبس الثوبين، فالأظهر عدم اعتباره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أحرم في قميصه عالماً عامداً، وجب عليه الإعادة لا لشرطيّة لبس الثوبين أو التجرّد عن ثيابه، بل لأنّ الإحرام عبارة عن العزم على ترك المحرّمات التي منها لبس المخيط، فذلك منافٍ للنيّة، فلا ينعقد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ماتقدّم من أنّ‌الإحرام عبارة عن الالتزام والبناء النفساني علي تحريمها على نفسه، وهذا الالتزام لا ينافي وجوده مع فعل المُحرّم فلا يكون باطلاً</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10696987_73709187"/>
      <w:bookmarkStart w:id="104" w:name="_Toc34"/>
      <w:bookmarkEnd w:id="103"/>
      <w:r>
        <w:rPr>
          <w:rtl w:val="true"/>
        </w:rPr>
        <w:t>كيفيّة لبس الثوبين</w:t>
      </w:r>
      <w:bookmarkEnd w:id="10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المراد بالثوبين الرداء والإزار، ويشهد به صحيح ابن سنان، عن أبي عبداللّه عليه السلام،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أمر </w:t>
      </w:r>
    </w:p>
    <w:p>
      <w:pPr>
        <w:pStyle w:val="BookText"/>
        <w:rPr/>
      </w:pPr>
      <w:r>
        <w:rPr>
          <w:rFonts w:ascii="Amiri" w:hAnsi="Amiri" w:eastAsia="Amiri" w:cs="Amiri"/>
          <w:color w:val="111111"/>
          <w:sz w:val="28"/>
          <w:sz w:val="28"/>
          <w:szCs w:val="28"/>
          <w:rtl w:val="true"/>
          <w:lang w:bidi="ar-SA"/>
        </w:rPr>
        <w:t>الناس بنتف الإبط، وحلق العانة والغُسل والتجرّد في إزار ورداء، وعمامة يضعها على عاتقه لمن لم يكن له رداء</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محمّد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ويلبس المُحرِم القباء إذا لم يكن له رداء</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 سراويل إلّاأن لا يكون لك إزار</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في كيفيّة لبسهما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الإتّزار بالارتداء بالرداء والإزار على ما هو المعروف بين الأصحاب ما يستر ما بين السُّرة والركبة، والرداء ما يستر المنكبين، وقد نفى الإشكال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عن ذلك، ولكن صرّح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بأنّ اللّازم فيهما الرجوع إلى العرف، ولعلّ أهل العرف يرون اعتبار ستر أزيد من ما بين المنكبين بالرداء، وعلى هذا فيغطّي بالإزار ما بين السُّرة والرّكبة، وبالرداء ما يستر المنكبين وأزيد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462"/>
      </w:r>
      <w:r>
        <w:rPr>
          <w:rFonts w:ascii="Amiri" w:hAnsi="Amiri" w:eastAsia="Amiri" w:cs="Amiri"/>
          <w:color w:val="111111"/>
          <w:sz w:val="28"/>
          <w:sz w:val="28"/>
          <w:szCs w:val="28"/>
          <w:rtl w:val="true"/>
          <w:lang w:bidi="ar-SA"/>
        </w:rPr>
        <w:t>والحِلّي</w:t>
      </w:r>
      <w:r>
        <w:rPr>
          <w:rStyle w:val="FootnoteAnchor"/>
          <w:rtl w:val="true"/>
        </w:rPr>
        <w:footnoteReference w:id="4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وبعض آخر التخيّير في الرداء بين الإرتداء والتوشّح، وهو تغطية أحد المنكبين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الأزهري</w:t>
      </w:r>
      <w:r>
        <w:rPr>
          <w:rStyle w:val="FootnoteAnchor"/>
          <w:rtl w:val="true"/>
        </w:rPr>
        <w:footnoteReference w:id="466"/>
      </w:r>
      <w:r>
        <w:rPr>
          <w:rFonts w:ascii="Amiri" w:hAnsi="Amiri" w:eastAsia="Amiri" w:cs="Amiri"/>
          <w:color w:val="111111"/>
          <w:sz w:val="28"/>
          <w:sz w:val="28"/>
          <w:szCs w:val="28"/>
          <w:rtl w:val="true"/>
          <w:lang w:bidi="ar-SA"/>
        </w:rPr>
        <w:t>التوشّح أن يدخل طرفه تحت إبطه الأيمن ويُلقيه على عاتقه الأيسر كالتوشّح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التوشّح من غير ذكر للارتداء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4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يتعيّن شيء من الهيئتين، للأصل من غير معارضٍ‌، بل يجوز التوشّح بالعكس أيضاً، أي إدخال طرفه تحت الإبط الأيسر وإلقاؤه على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لبس الرداء الإرتداء به، كما يظهر لمن راجع نظائره، فهل ترى أنّه لو أمر بلبس العمامة أو المنطقة، فهل يتوقّف أحدٌ في أنّ المراد التعمّم والتمنطق،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له دليلٌ وضعفه ظاهر، فالأظهر هو الإرتداء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عقد الرداء أم لا كماعن المصنّف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أظهرهما المنع، فإنّ المنساق من الأمر بالارتداء المستفاد من لبس الرداء، هو لبسه بطريقه المتعارف، وهو الإلقاء دون العقد والشّد، فإنّه غير الإرتداء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يستدلّ له بموثّق سعيد الأعرج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عبداللّه عليه السلام عن المُحرِم يعقد إزاره في عنقه‌؟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يصلح له أن يعقد إزاره على رقبته، ولكن يثنيه على عنقه ولا يعقده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بالإزار الرداء بقرينة السؤال، لأنّه هو الذي يعقد في العنق، لكنّه خلاف الظاهر، وسيجيء الكلام فيه في خبر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جماعة بجواز عقده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للمُحرِم أن يعقد إزاره عليه، لأنّه يحتاج إليه لستر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جواز عقده في العنق، وجواز عقده في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بعدم جوازه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وخبر القداح،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لا يرى بأساً بعقد الثوب إذا قصر، ثمّ يُصلّي فيه وإنْ كان مُحرِماً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سعيد، وخبر عليّ بن جعفر عليه السلام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المحتمل كون السؤال في الموثّق عن وجوب العقد، لمناسبة الستر الذي هو أقرب إلى مقام العبادة، فيكون النفي في الجواب بنفي الوجوب، وخبر عليّ ضعيف السند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السؤال، هو السؤال عن أصل الجواز، فالجواب يكون نفياً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مكاتبة محمّد بن عبداللّه بن جعفر إلى صاحب الأمر أرواحنا فداه،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كتبَ إليه يسأله عن المُحرِم يجوز أن يشدّ المئزر من خلفه على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في السؤال‌؟</w:t>
      </w:r>
    </w:p>
    <w:p>
      <w:p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أن يتّزر الإنسان كيف شاء، إذا لم يحدث في المئزر حدثاً بمقراض ولا إبرة تُخرجه به عن حَدّ المئزر، وغرزه غرزاً، ولم يعقده ولم يشدّ بعضه ببعض، وإذا غطّى سرّته وركبتيه كلاهما فإنّ السنّة الُمجمع عليها بغير خلاف تغطية السرّة والركبتين، والأحبّ إلينا والأفضل لكلّ أحدٍ شدّه على السبيل المألوفة المعروفة للناس جميعاً</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المكاتبة ضعيفة، إذ لم يذكر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سندها، وكذا خبر عليّ‌، وأمّا موثّق سعيد فمختصّ بالعقد في العنق حيث ينهى عنه، وبه يقيّد إطلاق خبر القداح، وعليه فالقول 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خبر القداح جواز عقده الرداء، ولكن في شموله له تأمّلاً، وطريق الاحتياط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النصوص اعتبار تعدّد الثوب، فلا يكفي ثوب طويل يتّزر ببعضه، ويرتدي بالباقي، وعليه فما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من الاكتفاء به ضعيفٌ‌</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05" w:name="pg11808_108964"/>
    </w:p>
    <w:p>
      <w:pPr>
        <w:pStyle w:val="Heading2"/>
        <w:numPr>
          <w:ilvl w:val="1"/>
          <w:numId w:val="1"/>
        </w:numPr>
        <w:rPr/>
      </w:pPr>
      <w:bookmarkStart w:id="106" w:name="__RefHeading___Toc10696989_73709187"/>
      <w:bookmarkStart w:id="107" w:name="_Toc35"/>
      <w:bookmarkEnd w:id="105"/>
      <w:bookmarkEnd w:id="106"/>
      <w:r>
        <w:rPr>
          <w:rtl w:val="true"/>
        </w:rPr>
        <w:t>الإحرام في القميص جاهلاً أو ناسياً</w:t>
      </w:r>
      <w:bookmarkEnd w:id="107"/>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في القميص جاهلاً أو ناسياً نزعه، وصحّ إحرامه كما تقدّم، أمّا لو لبسه بعد الإحرام، فالمشهور أنّ اللّازم شقّه وإخراجه من الأسفل، والشاهد به النصوص المتقدّمة بعضها،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لبست قميصاً وأنتَ محرم فشقّه، وأخرجه من تحت قدميك</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أبي عمير، عن معاوية بن عمّار وغير واحدٍ،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أحرم وعليه قميصه‌؟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 ولا يشقّه، وإنْ كان لَبَسه بعدما أحرم شقّه وأخرجه ممّا يلي رجليه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وخبري عبد الصمد</w:t>
      </w:r>
      <w:r>
        <w:rPr>
          <w:rStyle w:val="FootnoteAnchor"/>
          <w:rtl w:val="true"/>
        </w:rPr>
        <w:footnoteReference w:id="478"/>
      </w:r>
      <w:r>
        <w:rPr>
          <w:rFonts w:ascii="Amiri" w:hAnsi="Amiri" w:eastAsia="Amiri" w:cs="Amiri"/>
          <w:color w:val="111111"/>
          <w:sz w:val="28"/>
          <w:sz w:val="28"/>
          <w:szCs w:val="28"/>
          <w:rtl w:val="true"/>
          <w:lang w:bidi="ar-SA"/>
        </w:rPr>
        <w:t>، وخالد بن محمّد المتقدّمين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خبر خالد من جهة التعليل الوارد فيه بنزع الثوب من الرأس بكونه جاهلاً، أنّ العالم إذا أحرم في قميصه لاينزعه من رأسه، لكنّه ضعيف السند، فتأمّل، ومقتضى إطلاق النصوص أنّ حكمه حكم الجاهل</w:t>
      </w:r>
      <w:r>
        <w:rPr>
          <w:rFonts w:eastAsia="Amiri" w:cs="Amiri" w:ascii="Amiri" w:hAnsi="Amiri"/>
          <w:color w:val="111111"/>
          <w:sz w:val="28"/>
          <w:szCs w:val="28"/>
          <w:rtl w:val="true"/>
          <w:lang w:bidi="ar-SA"/>
        </w:rPr>
        <w:t>.</w:t>
      </w:r>
      <w:bookmarkStart w:id="108" w:name="pg11808_108965"/>
    </w:p>
    <w:p>
      <w:pPr>
        <w:pStyle w:val="Heading2"/>
        <w:numPr>
          <w:ilvl w:val="1"/>
          <w:numId w:val="1"/>
        </w:numPr>
        <w:rPr/>
      </w:pPr>
      <w:bookmarkStart w:id="109" w:name="__RefHeading___Toc10696991_73709187"/>
      <w:bookmarkStart w:id="110" w:name="_Toc36"/>
      <w:bookmarkEnd w:id="108"/>
      <w:bookmarkEnd w:id="109"/>
      <w:r>
        <w:rPr>
          <w:rtl w:val="true"/>
        </w:rPr>
        <w:t>استدامة لبس الثوبين</w:t>
      </w:r>
      <w:bookmarkEnd w:id="110"/>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كما صرّح به جماعة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وغيرهما، عدم وجوب استدامة اللّبس، لصدق الامتثال، وعدم دليل على وجوب الاستمرار، ويدلّ عليه أيضاً مثل رواية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حاضت وهي تريد الإحرام فطمثت‌؟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وتحتشي بكرسفٍ‌، وتلبس ثياب الإحرام وتحرم، فإذا كان اللّيل خلعتها ولبست ثيابها الاُخر حتّى تطهر</w:t>
      </w:r>
      <w:r>
        <w:rPr>
          <w:rFonts w:eastAsia="Amiri" w:cs="Amiri" w:ascii="Amiri" w:hAnsi="Amiri"/>
          <w:color w:val="111111"/>
          <w:sz w:val="28"/>
          <w:szCs w:val="28"/>
          <w:rtl w:val="true"/>
          <w:lang w:bidi="ar-SA"/>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أنّه لايجب استدامة اللّبس كما صرّح به جماعة، لصدق الامتثال وعدم دليل على وجوب 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تجب استدامة اللّبس ما دام مُحرِماً كما قطع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صدق الإمتثال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كلمات غيرهم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 يقال إنّه من الأمر بلبس ثوبين بعد التجرّد عن ثيابه، وحرمة لبسها ما دام محرم، ينسبق إلى الذّهن وجوب لبسهما ما دام محرماً على نحو ما يلبس </w:t>
      </w:r>
    </w:p>
    <w:p>
      <w:pPr>
        <w:pStyle w:val="BookText"/>
        <w:rPr/>
      </w:pPr>
      <w:r>
        <w:rPr>
          <w:rFonts w:ascii="Amiri" w:hAnsi="Amiri" w:eastAsia="Amiri" w:cs="Amiri"/>
          <w:color w:val="111111"/>
          <w:sz w:val="28"/>
          <w:sz w:val="28"/>
          <w:szCs w:val="28"/>
          <w:rtl w:val="true"/>
          <w:lang w:bidi="ar-SA"/>
        </w:rPr>
        <w:t>ثيابه، غير المنافي لنزعهما في حال النوم وما شاكل، وأمّا مجرّد لبسهما ونزعهما، فالظاهر عدم كونه مطلوباً ومأموراً به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تبديلهما وغسلهما إذا احتاج إلى الغَسل، للأصل، وللنصوص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معاوية بن عمّار، 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يغيّر المُحرِم ثيابه، ولكن إذا دخل مكّة لبس ثوبي إحرامه اللّذين أحرم فيهما، وكره أن يبيعهما</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الحلبي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يحوّل المُحرِم ثيابه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إلى أنّه مختصٌّ بالخلع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مورد الضرورة، وللتحفّظ على الطهارة، بل يمكن أن يقال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خلعتها في اللّيل حتّى 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على أنّ الاستدامة 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جواز غَسل ثوبي الإحرام إذا احتاج إليه، كما لا كلام في جواز تبديلهما بثوبين آخرين، ولكن إذا دخل مكّة لبس ثوبي إحرامه اللّذين أحرم فيهما، ويجوز خلعهما في حال النوم والاغتسال، وأمّا جواز خلعهما وستر العورة بشيء آخر، ويُتمّ مناسكه كذلك، ففيه توقّفٌ وإشكالٌ‌، وإنْ كان ظاهر الأساطين المفروغيّة عنه، وطريق الاحتياط معلوم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11" w:name="pg11808_108967"/>
    </w:p>
    <w:p>
      <w:pPr>
        <w:pStyle w:val="Heading2"/>
        <w:numPr>
          <w:ilvl w:val="1"/>
          <w:numId w:val="1"/>
        </w:numPr>
        <w:rPr/>
      </w:pPr>
      <w:bookmarkStart w:id="112" w:name="__RefHeading___Toc10696993_73709187"/>
      <w:bookmarkStart w:id="113" w:name="_Toc37"/>
      <w:bookmarkEnd w:id="111"/>
      <w:bookmarkEnd w:id="112"/>
      <w:r>
        <w:rPr>
          <w:rtl w:val="true"/>
        </w:rPr>
        <w:t>حكم الزيادة على الثوبين</w:t>
      </w:r>
      <w:bookmarkEnd w:id="113"/>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يجوز الزيادة على الثوبين في ابتداء الإحرام، وفي الأثناء للاتّقاء من البرد والحَرّ،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وشرحه دعوى نفي الخلاف في ذلك،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مصحّح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المُحرِم يتردّى بالثوبين‌؟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والثلاثة إنْ شاء يتّقي بها البرد والحَرّ</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جواز ذلك اختياراً، كما صرّح به غير واحدٍ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معاوية،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يقارن بين ثيابه وغيرها التي أحرم فيها؟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كانت طاهرة</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114" w:name="pg11808_108968"/>
    </w:p>
    <w:p>
      <w:pPr>
        <w:pStyle w:val="BookText"/>
        <w:rPr/>
      </w:pPr>
      <w:bookmarkEnd w:id="114"/>
      <w:r>
        <w:rPr>
          <w:rFonts w:ascii="Amiri" w:hAnsi="Amiri" w:eastAsia="Amiri" w:cs="Amiri"/>
          <w:color w:val="111111"/>
          <w:sz w:val="28"/>
          <w:sz w:val="28"/>
          <w:szCs w:val="28"/>
          <w:rtl w:val="true"/>
          <w:lang w:bidi="ar-SA"/>
        </w:rPr>
        <w:t>ممّا يصحّ فيه الصلاة</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10696995_73709187"/>
      <w:bookmarkStart w:id="116" w:name="_Toc38"/>
      <w:bookmarkEnd w:id="115"/>
      <w:r>
        <w:rPr>
          <w:rtl w:val="true"/>
        </w:rPr>
        <w:t>اعتبار كون الثوب ممّا تصحّ فيه الصلاة</w:t>
      </w:r>
      <w:bookmarkEnd w:id="116"/>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غير واحد في كتبهم كالمبسوط</w:t>
      </w:r>
      <w:r>
        <w:rPr>
          <w:rStyle w:val="FootnoteAnchor"/>
          <w:rtl w:val="true"/>
        </w:rPr>
        <w:footnoteReference w:id="49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ومختصره،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4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وفي المتن وغيرها</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يشترط في ثوبي الإحرام 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يصحّ فيه الصلاة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المعروف من مذهب الأصحاب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اتّفقت عليه كلمة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استدلّوا لذلك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غير ثابت، إذ المحكيّ عن كثيرٍ من الأصحاب عدم التعرّض لذلك إمّا بالكليّة كالشيخ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والحِلّي ويحيى بن سعيد، أو لجميع الأفراد كالسيّد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حمزة والمفيد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لعدم كونه تعبّديّاً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رجحان دوام لبسهما والتكفّن بهما، والطواف بهما ونحو ذلك ممّا يدلّ على قابليّتهما للصلاة التي لا ينفكّ المكلّف عنها، فضلاً عن الطواف وصلاته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لو كان على وجه اللّزوم، كان الاستدلال متيناً، وحيث إنّه على غير وجه اللّزوم، فغاية ما يدلّ عليه رجحان كونهما ممّا يصحّ الصلاة فيه لا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أو حسنه،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تُصلّي فيه فلا بأس أن تحرم فيه</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صراحته في الحُرمة، لأنّ البأس أعمٌّ منها ومن الكراهة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البأس الذي هو بمعنى العذاب أو الشدّة، ظاهرٌ في الحرمة، مع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17" w:name="pg11808_108970"/>
    </w:p>
    <w:p>
      <w:pPr>
        <w:pStyle w:val="BookText"/>
        <w:rPr/>
      </w:pPr>
      <w:bookmarkEnd w:id="117"/>
      <w:r>
        <w:rPr>
          <w:rFonts w:ascii="Amiri" w:hAnsi="Amiri" w:eastAsia="Amiri" w:cs="Amiri"/>
          <w:color w:val="111111"/>
          <w:sz w:val="28"/>
          <w:sz w:val="28"/>
          <w:szCs w:val="28"/>
          <w:rtl w:val="true"/>
          <w:lang w:bidi="ar-SA"/>
        </w:rPr>
        <w:t>أنّ الحرمة كالوجوب يكفي في الحكم بها إبراز انزجار المولى وعدم الترخيص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يرد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على ما ذكر إنّما تكون بمفهوم الوصف، وهو غير حجّة كما حُقّق في محلّه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فإنّ رسول اللّه صلى الله عليه و آله أحرم في الثوب الذي كان يُصلّي فيه، كما يفصح عن ذلك خبر معاوية،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ثوبا رسول اللّه صلى الله عليه و آله اللّذين أحرم فيهما يمانيّين عبري وأظفار، وفيهما كُفِّن</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أعمٌّ من الوجوب، ولذ لم يتوهّم أحدٌ لزوم كون الثوب يمانيّاً، فإذاً لا دليل على هذه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ما لا يجوز الصلاة فيه لا يجوز الإحرام، وهو موارد</w:t>
      </w:r>
      <w:r>
        <w:rPr>
          <w:rFonts w:eastAsia="Amiri" w:cs="Amiri" w:ascii="Amiri" w:hAnsi="Amiri"/>
          <w:color w:val="111111"/>
          <w:sz w:val="28"/>
          <w:szCs w:val="28"/>
          <w:rtl w:val="true"/>
          <w:lang w:bidi="ar-SA"/>
        </w:rPr>
        <w:t>:</w:t>
      </w:r>
    </w:p>
    <w:p>
      <w:pPr>
        <w:pStyle w:val="Heading2"/>
        <w:numPr>
          <w:ilvl w:val="1"/>
          <w:numId w:val="1"/>
        </w:numPr>
        <w:rPr/>
      </w:pPr>
      <w:bookmarkStart w:id="118" w:name="__RefHeading___Toc10696997_73709187"/>
      <w:bookmarkStart w:id="119" w:name="_Toc39"/>
      <w:bookmarkEnd w:id="118"/>
      <w:r>
        <w:rPr>
          <w:rtl w:val="true"/>
        </w:rPr>
        <w:t>اعتبار طهارة ثوبي الإحرام</w:t>
      </w:r>
      <w:bookmarkEnd w:id="119"/>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النجس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للزوم طهارة ثوبي الإحرام حسن معاوية أو صحيحه،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يصيب ثوبه الجنابة‌؟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يلبسه حتّى يغسله وإحرامه تامّ‌</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يقارن بين ثيابه الّتي أحرم فيها وبين غيرها؟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طاهرة</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ولنحو هذين الخبرين نصّ ابن حمزة على عدم جواز الإحرام في الثوب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إلّافي ثيابٍ طاهرة نظيفة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يحرم إلّافي ثيابٍ طاهرة نظيفة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ونحوه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ظاهر الخبرين، عدم جواز لبس النجس حال الإحرام مطلقاً، وقد حملهما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على ابتداء اللّبس، لأنّ من المستبعد وجوب الإزالة عن الثوب دون البدن، إلّاأن يقال بوجوب إزالتها عن البدن أيضاً للإحرام، وإنْ لم أقف على مصرّح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خلاف ظاهرهما، لو لم يكن خلاف نصّ الأوّل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ظاهرٌ في اعتبار الطهارة فيهما حال الإحرام ابتداءً واستدامةً‌، ولكن يقتصر على الأوّل لاعتضاده بالفتاوي دون غيره الباقي على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للرجوع إلى الأصل مع إطلاق الدليل، ولم يثبت من الأصحاب اقتصارهم على حال الابتداء</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اعتبار الطهارة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20" w:name="pg11808_108972"/>
    </w:p>
    <w:p>
      <w:pPr>
        <w:pStyle w:val="Heading2"/>
        <w:numPr>
          <w:ilvl w:val="1"/>
          <w:numId w:val="1"/>
        </w:numPr>
        <w:rPr/>
      </w:pPr>
      <w:bookmarkStart w:id="121" w:name="__RefHeading___Toc10696999_73709187"/>
      <w:bookmarkStart w:id="122" w:name="_Toc40"/>
      <w:bookmarkEnd w:id="120"/>
      <w:bookmarkEnd w:id="121"/>
      <w:r>
        <w:rPr>
          <w:rtl w:val="true"/>
        </w:rPr>
        <w:t>الإحرام في الثوب المغصوب والجلد والحرير</w:t>
      </w:r>
      <w:bookmarkEnd w:id="122"/>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المغصوب وما شاكله من الثياب الّتي يحرم لبسها مطلقاً، فإنّ الظاهر عدم جواز الإحرام فيها، واعتبار أن لا يكون ثوبا الإحرام كذلك، والوجه فيه ما ذكرناه في الاُصول</w:t>
      </w:r>
      <w:r>
        <w:rPr>
          <w:rStyle w:val="FootnoteAnchor"/>
          <w:rtl w:val="true"/>
        </w:rPr>
        <w:footnoteReference w:id="518"/>
      </w:r>
      <w:r>
        <w:rPr>
          <w:rFonts w:ascii="Amiri" w:hAnsi="Amiri" w:eastAsia="Amiri" w:cs="Amiri"/>
          <w:color w:val="111111"/>
          <w:sz w:val="28"/>
          <w:sz w:val="28"/>
          <w:szCs w:val="28"/>
          <w:rtl w:val="true"/>
          <w:lang w:bidi="ar-SA"/>
        </w:rPr>
        <w:t>من أنّه في موارد اجتماع الأمر والنهي إنْ كان المأمور به والمنهيّ عنه عنوانين منطبقين على شيء واحد ووجود فارد وكان التركيب اتّحادياً، فلا مناص عن القول بامتناع اجتماع الأمر والنهي، وحينئذٍ يقع التعارض بين إطلاقي دليلي الأمر والنهي، ولابد من تقديم أحدهما، فلو قُدّم إطلاق دليل النهي خرج المجمع عن حيّز الأمر واقعاً، ويصبح متمحّضاً في الحرمة، فلا يقع امتثالاً للأمر، وهذا بخلاف ما إذا كان لكلّ منهما وجودٌ منحازٌ عن الآخر، وكان التركيب بينهما انضماميّاً، فإنّه لابدّ من البناء على الجواز، بناءً على ما هو الصحيح من أنّ الحكم لا يسري عن متعلّقه إلى مقارناته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ففي المقام إذا كان الثوبان مغصوبين، فبما أنّ الإرتداء والاتّزار بالثوبين واجبان، ومعلوم أنّ ذينك يعدّان تصرّفاً في الثوبين فينطبق على الإرتداء والاتّزار عنوان الغصبيّة مثلاً، فيتّحد المأمور به والمنهي عنه وجوداً، وحيث أنّ الإطلاق في طرف الأمر بدلي، وفي طرف النهي شمولي، فيقدّم إطلاق دليل النهي، فلا يقع المأتي به مصداقاً لما أمر به من لبس الثوبين، ولا ينطبق الطبيعة المأمور بها عليه، وتفصيل القول في ذلك موكولٌ إلى محلّه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جماعة من الأصحاب لبس الجلد من الميتة أو ممّا لا يؤكل لحمه في الإحرام، ومنهم من منع عن كلّ جلدٍ حتّى المأكول، واستدلّ له، بصحيح </w:t>
      </w:r>
    </w:p>
    <w:p>
      <w:pPr>
        <w:pStyle w:val="BookText"/>
        <w:rPr/>
      </w:pPr>
      <w:r>
        <w:rPr>
          <w:rFonts w:ascii="Amiri" w:hAnsi="Amiri" w:eastAsia="Amiri" w:cs="Amiri"/>
          <w:color w:val="111111"/>
          <w:sz w:val="28"/>
          <w:sz w:val="28"/>
          <w:szCs w:val="28"/>
          <w:rtl w:val="true"/>
          <w:lang w:bidi="ar-SA"/>
        </w:rPr>
        <w:t>حريز المتقدّم، بتقريب أنّ الثوب لا يصدق على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عدم صدق الثوب على بعض الجلود، لا نُسلّم عدم صدقه على جميعها، مع أنّ دلالة الصحيح على ذلك متوقّفة على القول بمفهوم اللّقب،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فالأولى على فرض تسليم عدم صدق الثوب عليه، أن يستدلّ بالأمر الوارد بلبس الثوبين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 المحض المُحرّم على الرجال لبسه، والظاهر أنّه لا خلاف في اعتبار أن لا يكون ثوب الإحرام حريراً،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ذكرناه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 عليه السلام عن الخميصة سُداها إبريسم، ولُحمتها من غزل‌؟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يحرم فيها، إنّما يُكره الخالص منه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أبي الحسن النهدي</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بقرينة نفي البأس أوّلاً، وحرمة لبس الحرير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الحرمة من الكراهة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عدم جواز الإحرام للرجال في المُذّهب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3" w:name="pg11808_108974"/>
    </w:p>
    <w:p>
      <w:pPr>
        <w:pStyle w:val="Heading2"/>
        <w:numPr>
          <w:ilvl w:val="1"/>
          <w:numId w:val="1"/>
        </w:numPr>
        <w:rPr/>
      </w:pPr>
      <w:bookmarkStart w:id="124" w:name="__RefHeading___Toc10697001_73709187"/>
      <w:bookmarkStart w:id="125" w:name="_Toc41"/>
      <w:bookmarkEnd w:id="123"/>
      <w:bookmarkEnd w:id="124"/>
      <w:r>
        <w:rPr>
          <w:rtl w:val="true"/>
        </w:rPr>
        <w:t>إحرام النساء في الحرير</w:t>
      </w:r>
      <w:bookmarkEnd w:id="125"/>
    </w:p>
    <w:p>
      <w:pPr>
        <w:pStyle w:val="BookText"/>
        <w:rPr/>
      </w:pPr>
      <w:r>
        <w:rPr>
          <w:rFonts w:ascii="Amiri" w:hAnsi="Amiri" w:eastAsia="Amiri" w:cs="Amiri"/>
          <w:color w:val="111111"/>
          <w:sz w:val="28"/>
          <w:sz w:val="28"/>
          <w:szCs w:val="28"/>
          <w:rtl w:val="true"/>
          <w:lang w:bidi="ar-SA"/>
        </w:rPr>
        <w:t>هل يجوز للمرأة أن تحرم في الحرير المحض كما عن المفيد</w:t>
      </w:r>
      <w:r>
        <w:rPr>
          <w:rStyle w:val="FootnoteAnchor"/>
          <w:rtl w:val="true"/>
        </w:rPr>
        <w:footnoteReference w:id="523"/>
      </w:r>
      <w:r>
        <w:rPr>
          <w:rFonts w:ascii="Amiri" w:hAnsi="Amiri" w:eastAsia="Amiri" w:cs="Amiri"/>
          <w:color w:val="111111"/>
          <w:sz w:val="28"/>
          <w:sz w:val="28"/>
          <w:szCs w:val="28"/>
          <w:rtl w:val="true"/>
          <w:lang w:bidi="ar-SA"/>
        </w:rPr>
        <w:t xml:space="preserve">في كتاب أحكام النساء، وابن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xml:space="preserve">،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25"/>
      </w:r>
      <w:r>
        <w:rPr>
          <w:rFonts w:ascii="Amiri" w:hAnsi="Amiri" w:eastAsia="Amiri" w:cs="Amiri"/>
          <w:color w:val="111111"/>
          <w:sz w:val="28"/>
          <w:sz w:val="28"/>
          <w:szCs w:val="28"/>
          <w:rtl w:val="true"/>
          <w:lang w:bidi="ar-SA"/>
        </w:rPr>
        <w:t xml:space="preserve">، وأكثر المتأخّرين، بل هو المشهور بينهم، 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 ومالَ إليه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والفاضل الخراساني</w:t>
      </w:r>
      <w:r>
        <w:rPr>
          <w:rStyle w:val="FootnoteAnchor"/>
          <w:rtl w:val="true"/>
        </w:rPr>
        <w:footnoteReference w:id="52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يجوز، كما عن الصدوق</w:t>
      </w:r>
      <w:r>
        <w:rPr>
          <w:rStyle w:val="FootnoteAnchor"/>
          <w:rtl w:val="true"/>
        </w:rPr>
        <w:footnoteReference w:id="529"/>
      </w:r>
      <w:r>
        <w:rPr>
          <w:rFonts w:ascii="Amiri" w:hAnsi="Amiri" w:eastAsia="Amiri" w:cs="Amiri"/>
          <w:color w:val="111111"/>
          <w:sz w:val="28"/>
          <w:sz w:val="28"/>
          <w:szCs w:val="28"/>
          <w:rtl w:val="true"/>
          <w:lang w:bidi="ar-SA"/>
        </w:rPr>
        <w:t xml:space="preserve">، والشيخ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 xml:space="preserve">، والسيّد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 ونسبه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 xml:space="preserve">إلى أشهر الروايتين، 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وجهان، ومنشأ الخلاف اختلاف النصوص، فإنّها على طوائف</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الجواز بنحو العموم، وهو صحيح حريز المتقدّم </w:t>
      </w:r>
    </w:p>
    <w:p>
      <w:pPr>
        <w:pStyle w:val="BookText"/>
        <w:rPr/>
      </w:pPr>
      <w:r>
        <w:rPr>
          <w:rFonts w:ascii="Amiri" w:hAnsi="Amiri" w:eastAsia="Amiri" w:cs="Amiri"/>
          <w:color w:val="111111"/>
          <w:sz w:val="28"/>
          <w:sz w:val="28"/>
          <w:szCs w:val="28"/>
          <w:rtl w:val="true"/>
          <w:lang w:bidi="ar-SA"/>
        </w:rPr>
        <w:t>الدالّ على أنّه يجوز الإحرام في كلّ ثوبٍ يجوز الصلاة فيه، بناءً على جواز الصلاة للنساء في الحرير المحض،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في خصوص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تلبس القميص تزره عليها وتلبس الحرير والخَزّ والديباج‌؟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وتلبس الخلخالين والمسك</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إنّه جلود دابّة 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المَسَكة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 من الذبل وهي قرون الأوعال</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النضر بن سويد،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المُحرِمة أيّ شيء تلبس من الثياب‌؟ قال عليه السلام تلبس الثياب كلّها إلّاالمصبوغة بالزّعفران والوَرَس، ولا تلبس القفازين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المُحرِمة تلبس ما شاءت من الثياب غير الحرير والقفازين</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عيينة،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ما يحلّ للمرأة أن تلبس وهي مُحرِمة‌؟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كلّها ما خلا القفازين والبرقع والحرير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أتلبس الخَزّ؟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سُداه ابريسم وهو حرير؟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حريراً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خالصاً فلا بأس</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أسماعيل بن الفضيل</w:t>
      </w:r>
      <w:r>
        <w:rPr>
          <w:rStyle w:val="FootnoteAnchor"/>
          <w:rtl w:val="true"/>
        </w:rPr>
        <w:footnoteReference w:id="5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المرأة هل يصلح لها أن تلبس ثوباً حريراً وهي مُحرِمة‌؟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ولها أن تلبسه في غير إحرامها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ابن بكير، عن بعض أصحابنا،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يَلْبَسن الحرير والديباج إلّافي الإحرام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عبداللّه عليه السلام عن المُحرِمة تلبس الحرير؟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أن تلبس حريراً محضاً لا خلط فيه</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لفظ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تحرم المرأة في الذهب والخَزّ، وليس يكره إلّاالحرير المحض</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المرادي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أبا عبداللّه عليه السلام عن القَزّ تلبسه المرأة في الإحرام‌؟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يكره الحرير المبهم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أبي الحسن الأحمسي،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العمامة السابريّة فيها علم حرير تحرم فيها المرأة‌؟ قال عليه السلام نعم، إنّما كره ذلك إذا كان سُداه ولُحمته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جميعاً حريراً، الحديث</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وللأصحاب في مقام الجمع بين النصوص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من حمل نصوص المنع على الكراهة، جمعاً بينها وبين نصوص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كونه جمعاً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الأخيرة المتضمّنة للفظ الكراهة الظاهرة في الكراهة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في الأخبار ليست ظاهرة في الكراهة المصطلحة، بل إطلاقها وإرادة الحرمة منها في النصوص شائعة، بل أكثر من أطلاقها على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لأجل الجمع، فيرده أنّ الجمع العرفي عبارة عن كون أحد الخبرين بنظر العرف قرينةً على الآخر، بحيث لو جمعهما في كلام واحد لا يرى العرف تهافتاً بينهما أصلاً، والمقام ليس كذلك فإنّا إذا جمعنا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وتلبس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صحيح يعقوب، مع قوله عليه السلام 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ما شاءت غير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يكونان متهافتين، ولا يرى العرف أحدهما قرينةً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ذكر ذلك ضابطاً للجمع العرفي، وبرغم ذلك التزم في المقام بالحمل على الكراهة جمعاً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من أنّه تحمل نصوص المنع على الحرير المحض، ونصوص الجواز على الممتزج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جمعٌ تبرّعي لا شاهد له، حتّى بالنسبة إلى صحيح يعقوب، إذ ليس فيه سوى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السؤال عن لبس الحرير، الظاهر في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خبر أبي عيينة الذي جَعله صاحبا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لهذا الجمع، لم يظهر لي وجه شهادته، فإنّه بعد أن نهى عن لبس الحرير في حال الإحرام، وسؤال الراوي أنّ سُداه ابريسم وهو حرير،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حريراً خالصاً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نظرهما إلى أنّ روايات الجواز مطلقة من هذه الجهة، أي شاملة للخالص والممزوج، وروايات المنع مختصّة بالخالص، فيقيّد إطلاق الاُولى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حريراً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جواب السؤال عن لباس الخَزّ الذي يكون سُداه من حرير، وإلّا فالحرير ظاهر في الخالص، وعلى أيّ حال لسان الأدلّة المانعة والمجوّزة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أيضاً من أنّ روايات المنع أكثر، والأكثريّة تُعدّ من موجبات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الكثرة لم تُجعل في أخبار الترجيح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الاُولى الدالّة على جواز الإحرام في كلّ ثوبٍ يصحّ فيه الصلاة مطلقة، يقيّد إطلاقها بنصوص المنع عن إحرام النساء في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الخطاب فيه إلى الرّجل حتماً أو احتمالاً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وتُحرم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ولا مخاطب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الطائفة الثانية فعمدتها صحيح يعقوب، وهو ليس في الإحرام بل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من أنّه لا ريب في ظهوره في حال الإحرام، كما ترى‌، فإنّ وضوح جواز لبس الخلخالين والمِسْك والقميص تزرّه عليها إنّما هو بمثل هذه النصوص، وكيف كان فهو مطلق يقيّد إطلاقه بنصوص المنع، ويختصّ بغير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النضر فهو مطلق من حيث الشمول لثوب الحرير وغيره، فيقيّد إطلاقه بنصوص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اُخرى ضعيفة السند وقاصرة الدلالة، لا نتعرّض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هو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روايات المنع لا تختصّ بثوبي الإحرام، بل تدلّ على عدم جواز لبس الحرير في حال الإحرام مطلقاً، فهي في حال الإحرام كالرجل في حرمة لبسها الحرير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6" w:name="pg11808_108980"/>
    </w:p>
    <w:p>
      <w:pPr>
        <w:pStyle w:val="Heading2"/>
        <w:numPr>
          <w:ilvl w:val="1"/>
          <w:numId w:val="1"/>
        </w:numPr>
        <w:rPr/>
      </w:pPr>
      <w:bookmarkStart w:id="127" w:name="__RefHeading___Toc10697003_73709187"/>
      <w:bookmarkStart w:id="128" w:name="_Toc42"/>
      <w:bookmarkEnd w:id="126"/>
      <w:bookmarkEnd w:id="127"/>
      <w:r>
        <w:rPr>
          <w:rtl w:val="true"/>
        </w:rPr>
        <w:t>الإحرام في القباء</w:t>
      </w:r>
      <w:bookmarkEnd w:id="128"/>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جواز الإحرام في القَباء والسّراويل، بل لبسهما في حال الإحرام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دلّ على لزوم التجرّد عن الثياب، ولبس الإزار والرداء بالتقريب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 سراويل إلّا أن لا يكون لك إزار</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 المُحرِم إلى القباء ولم يجد ثوباً غيره، فليلبسه مقلوباً، ولا يدخل يديه في يدي القَباء</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له رداء طَرَح قميصه على عنقه أو قباء بعد أن ينكسه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الحنّاط،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اضطرّ إلى ثوبٍ وهو مُحرم وليس معه إلّا قباء، فلينكّسه وليجعل أعلاه أسفله ويلبسه</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 في حديثٍ‌</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ويلبس المُحرِم القباء إذا لم يكن له رداء، ويقلب بظهره لباطنه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اضطرّ إلى ثوبٍ وهو مُحرِمٌ وليس له إلّاقباء، فلينكّسه وليجعل أعلاه أسفله وليلبسه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عليّ بن أبي حمزة</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في جواز أن يلبس القباء إذا لم يكن معه ثوبُ الإحرام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الحكم مقطوعٌ به في 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لا شكّ في أنّ الشرط لجواز لبس القباء أحد الأمرين،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ثوب الإحرام، أو الاضطرار إلى اللّبس لبردٍ وشبهه، فإنّ النصوص متضمّنة لكلّ واحدٍ منهما مستقلّاً لا مجتمعاً، وقع الكلام في أنّ الشرط الأوّل هو فقد الثوبين معاً، كما عن نهاية</w:t>
      </w:r>
      <w:r>
        <w:rPr>
          <w:rStyle w:val="FootnoteAnchor"/>
          <w:rtl w:val="true"/>
        </w:rPr>
        <w:footnoteReference w:id="562"/>
      </w:r>
      <w:r>
        <w:rPr>
          <w:rFonts w:ascii="Amiri" w:hAnsi="Amiri" w:eastAsia="Amiri" w:cs="Amiri"/>
          <w:color w:val="111111"/>
          <w:sz w:val="28"/>
          <w:sz w:val="28"/>
          <w:szCs w:val="28"/>
          <w:rtl w:val="true"/>
          <w:lang w:bidi="ar-SA"/>
        </w:rPr>
        <w:t>الشيخ ومبسوطه</w:t>
      </w:r>
      <w:r>
        <w:rPr>
          <w:rStyle w:val="FootnoteAnchor"/>
          <w:rtl w:val="true"/>
        </w:rPr>
        <w:footnoteReference w:id="563"/>
      </w:r>
      <w:r>
        <w:rPr>
          <w:rFonts w:ascii="IRNazanin" w:hAnsi="IRNazanin" w:eastAsia="IRNazanin"/>
          <w:color w:val="111111"/>
          <w:sz w:val="28"/>
          <w:sz w:val="28"/>
          <w:szCs w:val="28"/>
          <w:rtl w:val="true"/>
          <w:lang w:bidi="fa-IR"/>
        </w:rPr>
        <w:t>وسرائر</w:t>
      </w:r>
      <w:r>
        <w:rPr>
          <w:rStyle w:val="FootnoteAnchor"/>
          <w:rtl w:val="true"/>
        </w:rPr>
        <w:footnoteReference w:id="564"/>
      </w:r>
      <w:r>
        <w:rPr>
          <w:rFonts w:ascii="Amiri" w:hAnsi="Amiri" w:eastAsia="Amiri" w:cs="Amiri"/>
          <w:color w:val="111111"/>
          <w:sz w:val="28"/>
          <w:sz w:val="28"/>
          <w:szCs w:val="28"/>
          <w:rtl w:val="true"/>
          <w:lang w:bidi="ar-SA"/>
        </w:rPr>
        <w:t xml:space="preserve">الحِلّي،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5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566"/>
      </w:r>
      <w:r>
        <w:rPr>
          <w:rFonts w:ascii="Amiri" w:hAnsi="Amiri" w:eastAsia="Amiri" w:cs="Amiri"/>
          <w:color w:val="111111"/>
          <w:sz w:val="28"/>
          <w:sz w:val="28"/>
          <w:szCs w:val="28"/>
          <w:rtl w:val="true"/>
          <w:lang w:bidi="ar-SA"/>
        </w:rPr>
        <w:t>، بل قيل إنّه المشهور بين القدماء؟</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فقد الرّداء خاصّة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يكفي فقد أحدهما، ولو كان هو الإزار كما عن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5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وجوه، أظهرها الثاني، لصحيحي عمر بن يزيد ومحمّد، وبهما يقيّد ما ظاهره الإطلاق أو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صحيح عمر طرح القباء أو القميص على العنق، ومقتضي صحيح محمّد لبسه، والأظهر هو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يظهر من صحيح عمر بن يزيد عدم الاختصاص بالقباء، وجريانه في القميص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على وجه الرخصة أو الوجوب‌؟ ظاهر الأمر في بعض النصوص المتقدّمة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لوروده مورد توهّم الحظر، لا يستفاد منه أزيد من الرخصة والجواز، ولكنّه يتمّ في لبس القباء في مورد الإضطرار، لا في مورد فقد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فقد الإزار لبس السراويل بلا خلافٍ‌، ويشهد به صحيح معاوية المتقدّم وغيره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لبس القباء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ابن إدريس</w:t>
      </w:r>
      <w:r>
        <w:rPr>
          <w:rStyle w:val="FootnoteAnchor"/>
          <w:rtl w:val="true"/>
        </w:rPr>
        <w:footnoteReference w:id="5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بقلب القباء، جعل ذيله فوق أكتافه، لئلّا يشبه لبس المخيط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الشيخ</w:t>
      </w:r>
      <w:r>
        <w:rPr>
          <w:rStyle w:val="FootnoteAnchor"/>
          <w:rtl w:val="true"/>
        </w:rPr>
        <w:footnoteReference w:id="571"/>
      </w:r>
      <w:r>
        <w:rPr>
          <w:rFonts w:ascii="IRNazanin" w:hAnsi="IRNazanin" w:eastAsia="IRNazanin"/>
          <w:color w:val="111111"/>
          <w:sz w:val="28"/>
          <w:sz w:val="28"/>
          <w:szCs w:val="28"/>
          <w:rtl w:val="true"/>
          <w:lang w:bidi="fa-IR"/>
        </w:rPr>
        <w:t>وجمعٍ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جعل ظاهره باطنه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واجتزأ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بكلٍّ من الأمرين وتبعه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574"/>
      </w:r>
      <w:r>
        <w:rPr>
          <w:rFonts w:ascii="Amiri" w:hAnsi="Amiri" w:eastAsia="Amiri" w:cs="Amiri"/>
          <w:color w:val="111111"/>
          <w:sz w:val="28"/>
          <w:sz w:val="28"/>
          <w:szCs w:val="28"/>
          <w:rtl w:val="true"/>
          <w:lang w:bidi="ar-SA"/>
        </w:rPr>
        <w:t>يجب كلا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البزنطي، واستأنس له بأنّ المقصود بذلك أنّه لا يشبه لبس المخيط إذا جُعل ذيله على أكتافه، فأمّا إذا قلبه وجَعل باطنه ظاهراً، فهو يشبه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محمّد، واستأنس له بأنّه لو كان المراد جَعل الأعلى منه أسفل، لما كان مورد للنهي عن أدخال اليد في القباء، لعدم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مقتضي الجمع بين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 من الطائفتين مطلقة بالنسبة إلى الاُخرى‌، فيقيّد إطلاق كلّ منهما بالاُخرى‌، فتكون النتيجة لزومهما معاً،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يأمر بالنكس لا نظر له إلى القلب ولا ينفيه، كما أنّ ما يأمر بالقلب كذلك بالنسبة إلى النكس، فمقتضى القاعدة العمل بكلّ منهما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النصوص مشتملة على بيان كيفيّة القلب وتبيّنها على هاتين الصورتين، والإنسان مخيّرٌ بينهما، وما ذكروه صورة ثالثة لا مستند لها، فهي الى خلاف الاحتياط أقرب منها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الطائفتين متضمّن لصورة معيّنة، فالحكم بالتخيّير حكمٌ بغير ما تضمّنه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بينهما ليس صورة اُخرى‌، بل جمعٌ بين الصورتين، فالأظهر هو الجمع، وهو محتمل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لابدّ وأن يعلم أنّه لو لبس القباء كذلك، ليس للبسه حينئذٍ فداء، كما صرّح به جماعة للأصل، إلّاإذا أدخل يده في كُمّه</w:t>
      </w:r>
      <w:r>
        <w:rPr>
          <w:rFonts w:eastAsia="Amiri" w:cs="Amiri" w:ascii="Amiri" w:hAnsi="Amiri"/>
          <w:color w:val="111111"/>
          <w:sz w:val="28"/>
          <w:szCs w:val="28"/>
          <w:rtl w:val="true"/>
          <w:lang w:bidi="ar-SA"/>
        </w:rPr>
        <w:t>.</w:t>
      </w:r>
      <w:bookmarkStart w:id="129" w:name="pg11808_108985"/>
    </w:p>
    <w:p>
      <w:pPr>
        <w:pStyle w:val="Heading2"/>
        <w:numPr>
          <w:ilvl w:val="1"/>
          <w:numId w:val="1"/>
        </w:numPr>
        <w:rPr/>
      </w:pPr>
      <w:bookmarkStart w:id="130" w:name="__RefHeading___Toc10697005_73709187"/>
      <w:bookmarkStart w:id="131" w:name="_Toc43"/>
      <w:bookmarkEnd w:id="129"/>
      <w:bookmarkEnd w:id="130"/>
      <w:r>
        <w:rPr>
          <w:rtl w:val="true"/>
        </w:rPr>
        <w:t>الإحرام في الثياب السود</w:t>
      </w:r>
      <w:bookmarkEnd w:id="131"/>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من كتب الفقهاء كالنهاية</w:t>
      </w:r>
      <w:r>
        <w:rPr>
          <w:rStyle w:val="FootnoteAnchor"/>
          <w:rtl w:val="true"/>
        </w:rPr>
        <w:footnoteReference w:id="5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الإحرام في الثياب السود، لكن المشهور بين الأصحاب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بموثّق الحسين بن المختار،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الرّجل بالثوب الأسود؟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في الثوب الأسود ولا يكفّن به الميّت</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الآخرون على الكراهة،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من أنّ الجملة الخبريّة قاصرة عن إفادة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الجملة الخبريّة أظهر في الدلالة على اللّزوم من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من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لإشعار النهي عن التكفين به، فإنّه فيه له قطعاً، وجمعاً بينه وبين الصحيح المجوّز للتكفين في كلّ ما لا يجوز الصلاة فيه، بناءً على جواز الصلاة فيه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الموثّق أخصّ مطلق من ما دلّ على جواز التكفين في كلّ ما تجوز </w:t>
      </w:r>
    </w:p>
    <w:p>
      <w:pPr>
        <w:pStyle w:val="BookText"/>
        <w:rPr/>
      </w:pPr>
      <w:r>
        <w:rPr>
          <w:rFonts w:ascii="Amiri" w:hAnsi="Amiri" w:eastAsia="Amiri" w:cs="Amiri"/>
          <w:color w:val="111111"/>
          <w:sz w:val="28"/>
          <w:sz w:val="28"/>
          <w:szCs w:val="28"/>
          <w:rtl w:val="true"/>
          <w:lang w:bidi="ar-SA"/>
        </w:rPr>
        <w:t>الصلاة فيه، فالجمع يقتضي البناء على عدم جواز التكفين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أحد النهيّين على الكراهة للدليل، لا يستلزم حمل الآخر الذي لا دليل على جواز فعله عليها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من أنّ الموثّق لا يصلح لتقيّيد ما دلّ عليه جواز الإحرام في كلّ ما يجوز الصلاة فيه، بضميمة الإجماع بقسميه على جواز الصلاة في الثياب السود، المؤيّد بتظافر النصوص بالنهي عن لبس السواد، المحمول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الموثّق خاصٌّ‌، وذلك الدليل عام، والعام بلغ في القوّة ما بلغ يقدّم الخاصّ عليه، وما دلّ على كراهة لبس السواد مطلقاً، لا يصلح لحمل ما دلّ على النهي عن الإحرام فيه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المشهور عن الموثّق، فبذلك يسقط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الإعراض الموهن هو عدم عمل القوم بالخبر رأساً، وأمّا عدم العمل بظاهره وحمله على غير ما هو ظاهر فيه، فلا يسقط الخبر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الموهن هو الإعراض عن السند لا الدلالة، وفي المقام الأصحاب لم يعرضوا عن الخبر رأساً، بل أفتوا بالكراهة، ومدركهم الموثّق، وإنّما حملوه عليها، ولعلّه لبعض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الموثّق المنع عن الإحرام بالسّواد، وبما أنّ مخالفة القوم مشكلة، وأشكل منها مخالفة الدليل المعتبر، فلو لم نفتِ بعدم الجواز، لا نتوقّف في الاحتياط اللّزومي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32" w:name="pg11808_108987"/>
    </w:p>
    <w:p>
      <w:pPr>
        <w:pStyle w:val="BookText"/>
        <w:rPr/>
      </w:pPr>
      <w:bookmarkEnd w:id="132"/>
      <w:r>
        <w:rPr>
          <w:rFonts w:ascii="Amiri" w:hAnsi="Amiri" w:eastAsia="Amiri" w:cs="Amiri"/>
          <w:color w:val="111111"/>
          <w:sz w:val="28"/>
          <w:sz w:val="28"/>
          <w:szCs w:val="28"/>
          <w:rtl w:val="true"/>
          <w:lang w:bidi="ar-SA"/>
        </w:rPr>
        <w:t>والمندوب توفير شعر الرأس للمتمتّع من أوّل ذي القعدة</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10697007_73709187"/>
      <w:bookmarkStart w:id="134" w:name="_Toc44"/>
      <w:bookmarkEnd w:id="133"/>
      <w:r>
        <w:rPr>
          <w:rtl w:val="true"/>
        </w:rPr>
        <w:t>آداب الإحرام</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الموضع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توفير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585"/>
      </w:r>
      <w:r>
        <w:rPr>
          <w:rFonts w:ascii="Amiri" w:hAnsi="Amiri" w:eastAsia="Amiri" w:cs="Amiri"/>
          <w:color w:val="111111"/>
          <w:sz w:val="28"/>
          <w:sz w:val="28"/>
          <w:szCs w:val="28"/>
          <w:rtl w:val="true"/>
          <w:lang w:bidi="ar-SA"/>
        </w:rPr>
        <w:t xml:space="preserve">وغيرها، بل واللّحية،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87"/>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وغيرها، بل لإحرام الحَجّ مطلقاً كما عن جمعٍ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وتوفيرهما شهراً لمن أراد العُمرة، لجملةٍ من النصوص</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مسكان،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 شعرك وأنت تريد الحَجّ في ذي القعدة، ولا في الشهر الذي تريد فيه الخروج إلى العُمرة</w:t>
      </w:r>
      <w:r>
        <w:rPr>
          <w:rFonts w:eastAsia="Amiri" w:cs="Amiri" w:ascii="Amiri" w:hAnsi="Amiri"/>
          <w:color w:val="111111"/>
          <w:sz w:val="28"/>
          <w:szCs w:val="28"/>
          <w:rtl w:val="true"/>
          <w:lang w:bidi="ar-SA"/>
        </w:rPr>
        <w:t>»</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صحيح ابن سنان</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محمّد بن مسلم،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شعرك إذا أزمعت على الحَجّ شوّال كلّه إلى غُرّة ذي القعدة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عبداللّه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اعف شعرك للحجّ إذا رأيت هلال ذي القعدة، وللعُمرة شهراً</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أراد الحَجّ وفّر شعره إذا نظر إلى هلال ذي القعدة، ومن أراد العُمرة وفّر شعره شهراً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العلاء،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يريد الحَجّ أيأخذ من رأسه في شوّال كلّه ما لم يرَ الهلال‌؟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يرَ الهلال</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يريد الحَجّ‌، أيأخذ شعره في أشهر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من لحيته، لكن يأخذ من شاربه ومن أظفاره، وليطل إنْ شاء</w:t>
      </w:r>
      <w:r>
        <w:rPr>
          <w:rFonts w:eastAsia="Amiri" w:cs="Amiri" w:ascii="Amiri" w:hAnsi="Amiri"/>
          <w:color w:val="111111"/>
          <w:sz w:val="28"/>
          <w:szCs w:val="28"/>
          <w:rtl w:val="true"/>
          <w:lang w:bidi="ar-SA"/>
        </w:rPr>
        <w:t>»</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ما هو مفاد هذه النصوص يتحقّق في ضمن فروع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الأخبار يشمل مطلق الحَجّ‌، فالتخصيص بالتمتّع لا وجه له، والاستناد الى خبر جميل الآتي المُثبت للدم على المتمتّع الحالق رأسه، غير تامّ‌، أذ لا يدلّ على عدم الحرمة أو الكراهة في غير المتمتّع، كي يقيّد به إطلاق النصوص، وثبوت حكمٍ آخر في خصوص المتمتّع لا يكون قرينةً على تخصيص هذا لحكم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المأمور به هو السعي في توفير الشعر وكثرته، أو عدم الأخذ منه، أو عدم حلقه خاصّة‌؟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هو الثاني لأنّ جملة من النصوص وإنْ تضمّن الأمر بالتوفير، إلّاأنّ في بعض آخر ذكر عدم الأخذ منه، وهو المراد بالتوفير في النصوص والفتاوي قطعاً، وخبر جميل وإنْ اختصّ بالحلق، لكنّه كما عرفت لا يصلح مقيّداً لإطلاق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جملة من النصوص اختصاص الحكم بالشعر، وصراحة جملة اُخرى منها ثبوت الحكم في اللّحية أيضاً كالرأس، والاستناد إلى خبر جميل المختصّ بحلق الرأس قد مرّ ما فيه، كما أنّ اختصاص صحيح ابن أبي العلاء بالرأس، لا يصلح للتقييد، لعدم حمل المطلق على المقيّد في المتوافقين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أبي الصباح وإنْ كان عامّاً لأشهر الحَجّ‌، إلّاأنّه يقيّد إطلاقه بما تقدّم من النصوص المصرّحة بالجواز وعدم البأس بالأخذ والحلق في شوّال منطوقاً أو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النصوص المتقدّمة وجوب التوفير، كما عن الشيخين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6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ولكن المشهور بين الأصحاب شهرة عظيمة الاستحباب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عن ظهور الأخبار بأجوبة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603"/>
      </w:r>
      <w:r>
        <w:rPr>
          <w:rFonts w:ascii="Amiri" w:hAnsi="Amiri" w:eastAsia="Amiri" w:cs="Amiri"/>
          <w:color w:val="111111"/>
          <w:sz w:val="28"/>
          <w:sz w:val="28"/>
          <w:szCs w:val="28"/>
          <w:rtl w:val="true"/>
          <w:lang w:bidi="ar-SA"/>
        </w:rPr>
        <w:t>من أنّ المستحبّ أيضاً مأمورٌ به كالواجب، وأنّ أصالة البراءة، وخبر سماعة المروي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الحجامة وحلق القفافي أشهرالحَجّ؟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والسواك والنورة</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يقتضيان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المستحبّ وإنْ كان مأموراً به، إلّاأنّ حمل الأمر على الاستحباب يتوقّف على الدليل، لكونه خلاف الظاهر، وأصالة البراءة لا تصلح لذلك، إذ لا مورد لها مع الدليل، وخبر سماعة في غير شعر الرأس واللّحية، مع أنّه مطلق من حيث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 من التوقّف في دلالة الأمر في أخبارنا على الوجوب، فيثبت حكم الاستحباب بانضمام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ظهور الأمر في الوجوب، وإلّا لزم تأسيس فقه جديد إذ أنّ أكثر الواجبات تثبت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يشهد لعدم الوجوب طائفة اُخرى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عبّر عن كتابه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موسى بن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إذا هَمّ بالحجّ‌، يأخذ من شعر رأسه ولحيته وشاربه ما لم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الحكم وإسماعيل بن جابر جميعاً،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يجزي الحاجّ أن يوفّر شعره شهراً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دلالته على عدم الوجوب بعض الأعاظم</w:t>
      </w:r>
      <w:r>
        <w:rPr>
          <w:rStyle w:val="FootnoteAnchor"/>
          <w:rtl w:val="true"/>
        </w:rPr>
        <w:footnoteReference w:id="609"/>
      </w:r>
      <w:r>
        <w:rPr>
          <w:rFonts w:ascii="Amiri" w:hAnsi="Amiri" w:eastAsia="Amiri" w:cs="Amiri"/>
          <w:color w:val="111111"/>
          <w:sz w:val="28"/>
          <w:sz w:val="28"/>
          <w:szCs w:val="28"/>
          <w:rtl w:val="true"/>
          <w:lang w:bidi="ar-SA"/>
        </w:rPr>
        <w:t>بأنّ الإجزاء أعمّ من الجواز، ونُسب إلى بعض آخر من الأعاظم أنّ الإجزاء كما ترى مجملٌ‌، لأنّه لم يدر أنّه مجزٍ عن الواجب أو عن المستحبّ‌، ولكن أظنّ أنّهما لم يتوجّها إلى كيفيّة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هو حينئذٍ أقلّ من التوفير من أوّل ذي القعدة، فيدلّ على عدم الوجوب من أوله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خالد الخزّاز،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فآخذ من شعري حين اُريد الخروج إلى مكّة للإحرام</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لابدّ من توجيهه حتّى على القول المشهور، لاشتماله على شيء لا يمكن الالتزام بظاهره، وهو مواظبة الإمام عليه السلام على ترك المستحبّ‌، مع أنّه ليس كذلك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 ما هو ظاهر في مواظبته على ذلك، ولعلّه ينقل البناء على ذلك في سفره القابل خاصّة، وسره حينئذٍ إعلام الجواز، ولا محذور في ذلك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فالإنصاف أنّ صحيح عليّ وهذا الخبر يدلّان على عدم الوجوب، وأمّا صحيح هشام وإنْ كان دالّاً عليه، إلّاأنّه أعمٌّ من الحَجّ والعُمرة، فيمكن أن يقيّد بالعُمرة بالنصوص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الطائفتين يمكن أن يقيّد نصوص الجواز إلى أوّل ذي القعدة، ونصوص المنع من أوّل ذي القعدة إلى أيّام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خبر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ذلك، وكذا قوله عليه السلام في خبر الخزّاز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أريد الخروج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الجمع بينهما يقتضي البناء على الاستحباب، وهذا مضافاً إلى كونه جمعاً عرفيّاً، يعضده بناء الأصحاب على الاستحباب، إذ مع عموم الابتلاء به، لا يحتمل أن يكون ذلك واجباً قد خُفي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الحَجّ فلا يأخذ من شعره إذا مضت عشرة من شوّال</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 فيُحمل على مرتبة من الندب، فيتمّ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رحمه الله من أنّ الجمع بين النصوص يقتضي البناء على تفاوت مراتب الندب، كما فهمه المشهور، المرتبة الاُولى ما إذا مضت عشرة من شوّال، والمرتبة الثانية من أوّل ذي القعدة، والمرتبة الثالثة إذا بقي شهر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الشيخ المفيد</w:t>
      </w:r>
      <w:r>
        <w:rPr>
          <w:rStyle w:val="FootnoteAnchor"/>
          <w:rtl w:val="true"/>
        </w:rPr>
        <w:footnoteReference w:id="614"/>
      </w:r>
      <w:r>
        <w:rPr>
          <w:rFonts w:ascii="Amiri" w:hAnsi="Amiri" w:eastAsia="Amiri" w:cs="Amiri"/>
          <w:color w:val="111111"/>
          <w:sz w:val="28"/>
          <w:sz w:val="28"/>
          <w:szCs w:val="28"/>
          <w:rtl w:val="true"/>
          <w:lang w:bidi="ar-SA"/>
        </w:rPr>
        <w:t>قدس سره وجوب الدم بالحلق في ذي القعدة، واستدلّ له بخبر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متمتّعٍ حلق رأسه بمكّة‌؟ قال عليه السلام إنْ كان جاهلاً فليس عليه شيء، وإنْ تعمّد ذلك في أوّل الشهور للحجّ بثلاثين يوماً، فليس عليه شيء، وإنْ تعمّد ذلك بعد الثلاثين الّتي يوفّر فيها للحجّ‌، فإنّ عليه دماً يهريقه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لأنّ في سنده عليّ بن حديد الذي صرّح الشيخ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لا يعوّل على ما انفرد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السؤال إنّما وقع عن حلق رأسه بمكّة، والجواب مقيّدٌ بذلك السؤال بعود الضمير الواقع فيه إلى المسؤول عنه، فلا يمكن الاستدلال به على لزوم الدم بذلك على وجه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 تضمّن لزوم الدّم بالحلق بعد الثلاثين التي يوفّر فيها الشعر للحجّ‌، وهو خلاف المدّعى، ذكر ذلك كلّه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وطريقه إليه في المشيخة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السؤال وإنْ كان عن موضوع خاص، إلّاأنّ جوابه عليه السلام عام متضمّن لشقوق المسألة، ولا مانع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دلالته على وجوب الدّم في ذي الحجّة، مجرّد كون ذلك خلاف المدّعى لا يوجبُ رفع اليد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يفهم من الخبر في نفسه مع قطع النظر عن الفتاوى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تعمّد الحلق في أوّل الشهور بثلاثين يوماً، أي بمضيّ ثلاثين فإنّ الثلاثين عين وجودها ومضيّها، لأنّ المفهوم حاكٍ عن نفس الوجود كما قيل لا دم عليه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حلق من أوّل ذي القعدة لا دَم عليه، وإنْ تعمّد بعد مُضيّ الثلاثين التي يوفّر فيها الشعر وهي شهر ذي القعدة بتمامها، أي بعد دخول ذي الحجّة وجب عليه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انضمّ إلى ذلك رجوع الضمير إلى مورد السؤال، يكون مفاد النص أنّ المتمتّع إذا حَلَق رأسه في ذي الحجّة بمكّة، وجب عليه الدم، وحيث لا قائل بوجوبه كذلك، فيُحمل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فيتمّ بذلك ما ذكره بعضهم، من تأكّد استحباب توفيرالشعر من أوّل ذي الحجّة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وعليك بالتأمّل في ما ذكرناه وما ذكره القوم ممّا هو أجنبي عن ظاهر الخبر، واللّه تعالىُ مُقيل العثرات</w:t>
      </w:r>
      <w:r>
        <w:rPr>
          <w:rFonts w:eastAsia="Amiri" w:cs="Amiri" w:ascii="Amiri" w:hAnsi="Amiri"/>
          <w:color w:val="111111"/>
          <w:sz w:val="28"/>
          <w:szCs w:val="28"/>
          <w:rtl w:val="true"/>
          <w:lang w:bidi="ar-SA"/>
        </w:rPr>
        <w:t>.</w:t>
      </w:r>
      <w:bookmarkStart w:id="135" w:name="pg11808_108995"/>
    </w:p>
    <w:p>
      <w:pPr>
        <w:pStyle w:val="BookText"/>
        <w:rPr/>
      </w:pPr>
      <w:bookmarkEnd w:id="135"/>
      <w:r>
        <w:rPr>
          <w:rFonts w:ascii="Amiri" w:hAnsi="Amiri" w:eastAsia="Amiri" w:cs="Amiri"/>
          <w:color w:val="111111"/>
          <w:sz w:val="28"/>
          <w:sz w:val="28"/>
          <w:szCs w:val="28"/>
          <w:rtl w:val="true"/>
          <w:lang w:bidi="ar-SA"/>
        </w:rPr>
        <w:t>وتنظيف الجَسد، وقصّ الأظفار وأخذ الشّارب، وأخذ العانة والإبطين بالنُّورة</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10697009_73709187"/>
      <w:bookmarkStart w:id="137" w:name="_Toc45"/>
      <w:bookmarkEnd w:id="136"/>
      <w:r>
        <w:rPr>
          <w:rtl w:val="true"/>
        </w:rPr>
        <w:t>تنظيف الجسد</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تنظيف الجسد، وقَصّ الأظفار، وأخذ الشّارب، وأخذ العانة والإبطين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الحلق أو النتف، 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المتظافرة شاهدة به، لا 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بعض المواقيت التي وقّت رسول اللّه صلى الله عليه و آله، فانتف إبطيك، واحلق عانتك، وقلم أظفارك، وقصّ شاربك، ولا يضرّك بأيّ ذلك بدأت</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العقيق من قِبل العراق أو إلى الوقت من هذه المواقيت، وأنتَ تريد الإحرام إنْ شاء اللّه، فانتف إبطيك، وقلّم أظفارك، وأطل عانتك، وخُذ من شاربك، ولا يضرّك بأيّ ذلك بدأت</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التهيّؤ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وأخذ الشارب وحلق العانة</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النصوص ذكر في العانة الحلق والإطلاء، وفي الإبط النتف، ولم يذكر في العانة النتف، ولا في الإبط الحلق والإطلاء، وفي نصوص آداب الحمام وإن </w:t>
      </w:r>
    </w:p>
    <w:p>
      <w:pPr>
        <w:pStyle w:val="BookText"/>
        <w:rPr/>
      </w:pPr>
      <w:r>
        <w:rPr>
          <w:rFonts w:ascii="Amiri" w:hAnsi="Amiri" w:eastAsia="Amiri" w:cs="Amiri"/>
          <w:color w:val="111111"/>
          <w:sz w:val="28"/>
          <w:sz w:val="28"/>
          <w:szCs w:val="28"/>
          <w:rtl w:val="true"/>
          <w:lang w:bidi="ar-SA"/>
        </w:rPr>
        <w:t>ذكر في الإبط الإطلاء والحلق، إلّاأنّها غير مربوطة بالمقام، فالجمود على ظاهر النصوص يقتضي الاقتصار على ما ذكر فيها، ولكن الظاهر أنّه كما فهمه المشهور المقصود هو إزالة الشعر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النصوص تنظيف الجسد من الأوساخ، ولكن المصنّف رحمه الله ذكره في المقام، وفي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xml:space="preserve">، كما ذكره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وليس له دليل بالخصوص، نعم يمكن استفادته من هذه النصوص من باب تنقيح المناط، ويؤيّده ما دلّ على رجحان ذلك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هو مطلوبيّة الإطلاء للإحرام، ولو كان أطلى قبل ذلك بأيّام قلائل، وأمّا إذا كان أطلى قبل للإحرام فأخّر إحرامه، فإنْ كان ذلك قبل الإحرام بستّة ليال أو أقلّ أو أكثر إلى خمسة عشر يوماً اجتزأ به كما أفتى به الأساطين، للنصوص الواردة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تطلي قبل الإحرام بخمسة عشر يوماً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يَطلي قبل أن يأتي الوقت بستّة ليال‌؟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عن الرّجل يَطلي قبل أن يأتي مكّة بسبع أو ثمان ليال‌؟ قال عليه السلام لا بأس</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خبر عليّ 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 بصير أبا عبداللّه عليه السلام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أطليت للإحرام الأوّل كيف أصنع في الطلية الأخيرة، وكم بينهما؟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جمعتان خمسة عشر يوماً فأطل</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غير ما نحن فيه، فإنّ مورده الإطلاء للإحرام الأوّل، فيكون الثاني بعد انتهائه أو في أثنائه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38" w:name="pg11808_108998"/>
    </w:p>
    <w:p>
      <w:pPr>
        <w:pStyle w:val="BookText"/>
        <w:rPr/>
      </w:pPr>
      <w:bookmarkEnd w:id="138"/>
      <w:r>
        <w:rPr>
          <w:rFonts w:ascii="IRNazanin" w:hAnsi="IRNazanin" w:eastAsia="IRNazanin"/>
          <w:color w:val="111111"/>
          <w:sz w:val="28"/>
          <w:sz w:val="28"/>
          <w:szCs w:val="28"/>
          <w:rtl w:val="true"/>
          <w:lang w:bidi="fa-IR"/>
        </w:rPr>
        <w:t>والغُسل أمامه</w:t>
      </w:r>
      <w:r>
        <w:rPr>
          <w:rFonts w:eastAsia="IRNazanin" w:cs="IRNazanin"/>
          <w:color w:val="111111"/>
          <w:sz w:val="28"/>
          <w:szCs w:val="28"/>
          <w:rtl w:val="true"/>
          <w:lang w:bidi="fa-IR"/>
        </w:rPr>
        <w:t>.</w:t>
      </w:r>
    </w:p>
    <w:p>
      <w:pPr>
        <w:pStyle w:val="Heading2"/>
        <w:numPr>
          <w:ilvl w:val="1"/>
          <w:numId w:val="1"/>
        </w:numPr>
        <w:rPr/>
      </w:pPr>
      <w:bookmarkStart w:id="139" w:name="__RefHeading___Toc10697011_73709187"/>
      <w:bookmarkStart w:id="140" w:name="_Toc46"/>
      <w:bookmarkEnd w:id="139"/>
      <w:r>
        <w:rPr>
          <w:rtl w:val="true"/>
        </w:rPr>
        <w:t>استحباب الغُسل للإحرام</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ممّا يستحبّ في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627"/>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الواردة في المقام متواترة، وألسنتها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به، كالصحاح الثلاث لابن عمّار</w:t>
      </w:r>
      <w:r>
        <w:rPr>
          <w:rStyle w:val="FootnoteAnchor"/>
          <w:rtl w:val="true"/>
        </w:rPr>
        <w:footnoteReference w:id="629"/>
      </w:r>
      <w:r>
        <w:rPr>
          <w:rFonts w:ascii="Amiri" w:hAnsi="Amiri" w:eastAsia="Amiri" w:cs="Amiri"/>
          <w:color w:val="111111"/>
          <w:sz w:val="28"/>
          <w:sz w:val="28"/>
          <w:szCs w:val="28"/>
          <w:rtl w:val="true"/>
          <w:lang w:bidi="ar-SA"/>
        </w:rPr>
        <w:t>، وصحيحي هشام</w:t>
      </w:r>
      <w:r>
        <w:rPr>
          <w:rStyle w:val="FootnoteAnchor"/>
          <w:rtl w:val="true"/>
        </w:rPr>
        <w:footnoteReference w:id="630"/>
      </w:r>
      <w:r>
        <w:rPr>
          <w:rFonts w:ascii="IRNazanin" w:hAnsi="IRNazanin" w:eastAsia="IRNazanin"/>
          <w:color w:val="111111"/>
          <w:sz w:val="28"/>
          <w:sz w:val="28"/>
          <w:szCs w:val="28"/>
          <w:rtl w:val="true"/>
          <w:lang w:bidi="fa-IR"/>
        </w:rPr>
        <w:t>وابن وهب</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الواجب، كموثّق سماعة</w:t>
      </w:r>
      <w:r>
        <w:rPr>
          <w:rStyle w:val="FootnoteAnchor"/>
          <w:rtl w:val="true"/>
        </w:rPr>
        <w:footnoteReference w:id="632"/>
      </w:r>
      <w:r>
        <w:rPr>
          <w:rFonts w:ascii="Amiri" w:hAnsi="Amiri" w:eastAsia="Amiri" w:cs="Amiri"/>
          <w:color w:val="111111"/>
          <w:sz w:val="28"/>
          <w:sz w:val="28"/>
          <w:szCs w:val="28"/>
          <w:rtl w:val="true"/>
          <w:lang w:bidi="ar-SA"/>
        </w:rPr>
        <w:t>، ومرسل يونس</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بإعادة الغُسل لمن لبس قميصاً بعده، كصحيحي ابن عمّار</w:t>
      </w:r>
      <w:r>
        <w:rPr>
          <w:rStyle w:val="FootnoteAnchor"/>
          <w:rtl w:val="true"/>
        </w:rPr>
        <w:footnoteReference w:id="634"/>
      </w:r>
      <w:r>
        <w:rPr>
          <w:rFonts w:ascii="IRNazanin" w:hAnsi="IRNazanin" w:eastAsia="IRNazanin"/>
          <w:color w:val="111111"/>
          <w:sz w:val="28"/>
          <w:sz w:val="28"/>
          <w:szCs w:val="28"/>
          <w:rtl w:val="true"/>
          <w:lang w:bidi="fa-IR"/>
        </w:rPr>
        <w:t>والنضر</w:t>
      </w:r>
      <w:r>
        <w:rPr>
          <w:rStyle w:val="FootnoteAnchor"/>
          <w:rtl w:val="true"/>
        </w:rPr>
        <w:footnoteReference w:id="635"/>
      </w:r>
      <w:r>
        <w:rPr>
          <w:rFonts w:ascii="Amiri" w:hAnsi="Amiri" w:eastAsia="Amiri" w:cs="Amiri"/>
          <w:color w:val="111111"/>
          <w:sz w:val="28"/>
          <w:sz w:val="28"/>
          <w:szCs w:val="28"/>
          <w:rtl w:val="true"/>
          <w:lang w:bidi="ar-SA"/>
        </w:rPr>
        <w:t>، وخبري محمّد</w:t>
      </w:r>
      <w:r>
        <w:rPr>
          <w:rStyle w:val="FootnoteAnchor"/>
          <w:rtl w:val="true"/>
        </w:rPr>
        <w:footnoteReference w:id="636"/>
      </w:r>
      <w:r>
        <w:rPr>
          <w:rFonts w:ascii="Amiri" w:hAnsi="Amiri" w:eastAsia="Amiri" w:cs="Amiri"/>
          <w:color w:val="111111"/>
          <w:sz w:val="28"/>
          <w:sz w:val="28"/>
          <w:szCs w:val="28"/>
          <w:rtl w:val="true"/>
          <w:lang w:bidi="ar-SA"/>
        </w:rPr>
        <w:t>وعليّ بن أبي حمزة</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اُخر يأتي بعضها في هذه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ظاهر هذه الأخبار جميعاً الوجوب، كما أفتى به القديمان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xml:space="preserve">من أنّ مقتضى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عداد المسنونات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الاستحباب وعدم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البراءة لا مجرى لها مع ظاهر الدليل، وذكره في عداد المندوبات لا يصلح لذلك كما تقدّم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يحمل على الاستحباب، لاتّفاق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إلّاالنادر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مع كون هذه النصوص بمرأى منهم ومنظر، وظهور الأمر في الوجوب من المسلّمات عندهم، ولا معارض لها، فإنّ إفتاءهم بالندب مع ذلك كلّه، سيّما في مثل هذه المسألة العامّة البلوى يوجب القطع بعدم الوجوب، فيحمل النصوص المتقدّمة على الاستحباب، وتمام الكلام في ضمن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جملة من النصوص أنّ محلّ الغُسل الميقات، لاحظ قوله عليه السلام صحيح معاوية المتقدّم في المسألة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انتهيت إلى بعض المواقيت التي وقّت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واغتسل</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في جواز تقديمه مع خوف إعواز الماء، ويشهد به صحيح هشام،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 إلى أبي عبداللّه عليه السلام ونحن جماعة ونحن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نريدُ أن نودّعك، فأرسل إلينا أن اغتسلوا بالمدينة، فإنّي أخافُ أن يعزّ الماء عليكم بذي الحُليفة،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فاغتسلوا بالمدينة، وألبسوا ثيابكم التي تحرمون فيها</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تقديمه مطلقاً كما عن جمعٍ من المحقّقين، أم لا؟ وجهان، ظاهر النصوص الموقّتة والتعليل في صحيح هشام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ونحن بالمدينة عن التهيّؤ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بالمدينة، وتجهّز كلّ ما تريد واغتسل، وإنْ شئت استمتعت بقميصك حتّى تأتي مسجد الشجرة</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الشيخ إيّاه خالياً عن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بعد روايته إيّاه بنفسه بطريق آخر مع ذكر الغُسل، وكذلك الصدوق، سيّما بناءً على ما أسّس في محلّه من أنّه عند دوران الأمر بين الزيادة والنقصان يُبنى على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يغتسل بالمدينة للإحرام، أيجزيه عن غُسل ذي الحُليفة‌؟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أبي بصير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نوقش في الأخيرين بأنّ المسؤول عنه إجزاء الغُسل الواقع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مشروعيّته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الميقات، فلا إطلاق لهما كي يدلّان على مشروعيّة الغُسل حتّى مع عدم إعواز الماء، ففي الأوّل كفاية، وبه يرفع اليد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ظهور النصوص الموقّتة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في صحيح هشام، فهو يصلح أن يكون تعليلا لتعيّن الفرد الأوّل، المستفاد من ظاهر الأمر، وأنّ تعيّنه إنّما يكون لخوف إعواز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بعض الأجلّة</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 xml:space="preserve">من أنّ ما نقله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على عدم المشروعيّة في صورة عدم خوف إعواز الماء، يوجبُ تقيّيد إطلاق النصوص الشاملة لصورة عدم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الإجماع على عدم جواز التقديم اختياراً،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يظهر قائل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الإجماع المنقول، سيّما في مثل هذه المسألة المعلوم مدركهم فيها، لا يكون حجّة، فلا يصلح للتقييد، فالأظهر جواز التقديم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اغتسل قبل الميقات، هل يستحبّ الإعادة لو وجد الماء في الميقات أم لا؟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بذيل صحيح هشام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عليكم أن تغتسلوا إنْ وجدتم ماء إذا بلغتم ذا الحُليفة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نفي البأس غير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بأنّه إذا لم يكن به بأس كان راجحاًلكونه عبادة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كلّه على فرض تقدير البأس، ولا وجه له، بل الظاهر من الخبر نفي أصل الغُسل كما تنبّه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فهو يدلّ على القول الثاني، فهو 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1" w:name="pg11808_109002"/>
    </w:p>
    <w:p>
      <w:pPr>
        <w:pStyle w:val="Heading2"/>
        <w:numPr>
          <w:ilvl w:val="1"/>
          <w:numId w:val="1"/>
        </w:numPr>
        <w:rPr/>
      </w:pPr>
      <w:bookmarkStart w:id="142" w:name="__RefHeading___Toc10697013_73709187"/>
      <w:bookmarkStart w:id="143" w:name="_Toc47"/>
      <w:bookmarkEnd w:id="141"/>
      <w:bookmarkEnd w:id="142"/>
      <w:r>
        <w:rPr>
          <w:rtl w:val="true"/>
        </w:rPr>
        <w:t>موارد استحباب إعادة الغُسل</w:t>
      </w:r>
      <w:bookmarkEnd w:id="143"/>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اغتسل وأحرم فلا كلام، وأمّا لو أخّر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 إلى أن يمضي اليوم إن وقع الغُسل فيه، أو اللّيل إن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 إلى أن يمضي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 بعد الغُسل قبل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بحدثٍ آخر غير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ما لا يجوز أكله، ويلبس ما لا يجوز لبسه، أو يتطيّب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في الإجزاء وعدم استحباب الإعادة، وتشهد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 إمامنا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يومك ليومك وغسل ليلتك لليلتك</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بن مهران،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قبل طلوع الفجر وقد استحمّ قبل ذلك، ثمّ أحرم من يومه أجزأه غُسله، وإنْ اغتسل في أوّل اللّيل ثمّ أحرم في آخر اللّيل أجزاه غُسله</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 بأنّ غُسل اليوم يكفي إلى آخر اللّيل وبالعكس</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وأفتى به جماعة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أفتى به جماعة من متأخّري المتأخّرين تبعاً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ونفي عنه البأس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يومك يجزيك لليلتك، وغُسل ليلتك يجزيك ليومك</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اللّام على معنى إلى‌، بعيدٌ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سماعة المتقدّم، إذ حمله على الغُسل بعد طلوع الفجر بإرادة طلوع الفجر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الظاهر، ولا تهافت بينهما وبين النصوص المتقدّمة كصحيح عمر بن يزيد، لعدم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استحباب الإعادة، ويشهد به صحيح النضر بن سويد،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يغتسل للإحرام ثمّينام قبل أن يحرم‌؟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إعادة الغُسل</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خبر عليّ بن أبي حمزة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على ذلك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w:t>
      </w:r>
      <w:r>
        <w:rPr>
          <w:rStyle w:val="FootnoteAnchor"/>
          <w:rtl w:val="true"/>
        </w:rPr>
        <w:footnoteReference w:id="65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الأخبار عن الأئمّة الأطهار جاءت في أنّ من اغتسل نهاراً كفاه ذلك الغُسل، وكذا من اغتسل ليلاً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في تلك الأخبار إلى الزمان نفسه، وفي الخبرين إلى الحَدَث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يغتسل للإحرام بالمدينة، ويلبس ثوبين، ثمّ ينام قبل أن يحرم‌؟ قال عليه السلام ليس عليه غُسل</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عنه بالحمل على نفي التأكّد جمعاً،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وتبعه غيره، ولكن الإنصاف أنّ ذلك جمعٌ تبرّعي، بل يرى العرف التهافت بين قوله في صحيح النضر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إعادة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فيقدّم صحيح النضر للشهرة، فالأظهر استحباباً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 الحَدَث كذلك، ويستحبّ إعادة الغُسل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بأنّ غير النوم أقوى‌، وجه القوّة الاتّفاق على نقض الحَدَث غيره مطلقاً، والخلاف فيه على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القوّة أنّها تلوث البدن دونه، أو لأنّ الظاهر أنّ النوم إنّما صارت حَدَثاً؛ لأنّ معه مظنّة الأحداث فحقائقها أولى‌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الحقّ أنّ هذه الوجوه كلّها اعتباريّة، لا تصلح مدركاً للحكم الشرعي، وأمّا استفادة عدم الخصوصيّة من النص الوارد في النوم، فغير ظاهرة، وعلى هذا فالأصحّ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الاستحباب، لعدم الدليل، وأمّا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44" w:name="pg11808_109005"/>
    </w:p>
    <w:p>
      <w:pPr>
        <w:pStyle w:val="BookText"/>
        <w:rPr/>
      </w:pPr>
      <w:bookmarkEnd w:id="144"/>
      <w:r>
        <w:rPr>
          <w:rFonts w:ascii="Amiri" w:hAnsi="Amiri" w:eastAsia="Amiri" w:cs="Amiri"/>
          <w:color w:val="111111"/>
          <w:sz w:val="28"/>
          <w:sz w:val="28"/>
          <w:szCs w:val="28"/>
          <w:rtl w:val="true"/>
          <w:lang w:bidi="ar-SA"/>
        </w:rPr>
        <w:t>ورد في غُسل الزيارة ودخول مكّة والطواف، الدالّ على استحباب الإعادة مع تخلّل الحَدَث، فغير مربوط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كلام الأصحاب استحباب إعادة الغُسل فيها،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عمر بن يزيد،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للإحرام، فلا تقنّع ولا تطيّب، ولا تأكل طعاماً في طيب فتُعيد الغُسل</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لبستَ ثوباً لا ينبغي لك لبسه، أو أكلتَ طعاماً لا ينبغي لك أكله، فأعد الغُسل</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الأمر بالإعادة بقاء التكليف السابق، وحيث أنّ الغُسل بنفسه مستحبٌّ فكذلك الإعادة، وعلى فرض القول بالوجوب لابدّ من البناء على وجوبه في المقام ولا يخفى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المذكورة مختصّة بأكل ما لا يجوز أكله، ولبس ما لا يجوز لبسه والتطيّب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والتعدّي الى سائر تروك الإحرام يتوقّف على إحراز المناط، أو الدليل الخاصّ‌، وكلاهما مفقودان، فالأظهر عدم التعدّي</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10697015_73709187"/>
      <w:bookmarkStart w:id="146" w:name="_Toc48"/>
      <w:bookmarkEnd w:id="145"/>
      <w:r>
        <w:rPr>
          <w:rtl w:val="true"/>
        </w:rPr>
        <w:t>لو أحرم بغير الغُسل</w:t>
      </w:r>
      <w:bookmarkEnd w:id="14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بغير غُسلٍ‌، أتى به وأعاد الإحرام، إمّا حقيقةً أو صورة، بلا خلاف ظاهر يعتدّ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الحسين بن سعيد، عن أخيه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العبد الصالح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أحرم بغير الصلاة، أو بغير غُسلٍجاهلاً أو عالماً ماعليه في ذلك، وكيف ينبغي له أن يصنع‌؟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فيه محمولٌ على الاستحباب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 الأمر بإعادة الشيء لا يزيد على الأمر بذلك الشيء، بل الظاهر كونه إرشاداً إلى بقاء ذلك، وإلى ذلك أشار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6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له وجهاً، ضرورة عدم تعقّل وجوب الإعادة مع كون المتروك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حيث يكون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الاستحباب، فيكون المسؤول عنه الوظيفة الاستحبابيّة، فيكون الجواب كذلك، للزوم التطابق بينهما، وإنْ أبيتَ عن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الاستحباب، فلا أقلّ من الإجمال، وعدم ظهوره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تماميّة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لا يرد عليه ما أورد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اختلفت كلماتهم بالنسبة إلى الإحرام الثاني على أقوال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من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الإحرام الثاني مشروعٌ ويبطل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من أنّ المستحبّ صورة الإحرام بلبس الثوبين، والتلبية بلا نيّة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وأكثر محشيها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اختياره في آخر المسألة،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مشروعيّته ثانياً مع البناء على صحّة الإحرام الأوّل، فيكون قد أحرم إحرامين 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إدريس</w:t>
      </w:r>
      <w:r>
        <w:rPr>
          <w:rStyle w:val="FootnoteAnchor"/>
          <w:rtl w:val="true"/>
        </w:rPr>
        <w:footnoteReference w:id="673"/>
      </w:r>
      <w:r>
        <w:rPr>
          <w:rFonts w:ascii="Amiri" w:hAnsi="Amiri" w:eastAsia="Amiri" w:cs="Amiri"/>
          <w:color w:val="111111"/>
          <w:sz w:val="28"/>
          <w:sz w:val="28"/>
          <w:szCs w:val="28"/>
          <w:rtl w:val="true"/>
          <w:lang w:bidi="ar-SA"/>
        </w:rPr>
        <w:t>من أنّ عدم مشروعيّة الإعادة إلّافيما لو كان الواقع أوّلاً صورة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الأخير فهو خارجٌ عن فرض المسألة، لأنّ محلّ الكلام مشروعيّة الإعادة بعد وقوع الإحرام حقيقة، وهو خلاف 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دعى الحِلّي إلى الالتزام بذلك، توهّم عدم معقوليّة الإعادة مع وقوع الإحرام، فإنّه مع انعقاده ووقوعه، أيّ إعادةٍ تكون عليه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الإعادة تكون عليه من جهة النص، واستبعاد إعادة الفرض لأجل النفل في غير محلّه، فإنّ الصلاة المكتوبة لو دخل فيها بغير أذان وإقامة، فإنّه يستحبّ له إعادتها، فليكن المقام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 ذلك الشهيد الثاني بالفرق بين الصلاة والإحرام، فإنّ الصلاة قابلة للإبطال بفعل المنافي، ولو بنية الإبطال، وليس كذلك الإحرام، فإنّه بعد انعقاده لا يخرج عنه إلّابالاتمام أو ما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لا يريد الاستدلال لاستحباب الإعادة قياساً بالصلاة، كي يورد عليه بما اُفيد، بل هو استدلّ له في مقام الإثبات بالرواية، وما ذكره إنّما هو من باب إبداء الاحتمال جواباً عن إشكال عدم معقوليّة ذلك ثبوتاً، وعليه فمن المحتمل أن يكون رفع اليد عن الإحرام الأوّل، والبناء على الإتيان بالثاني، قائماً مقام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الثاني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ظاهر النص، فإنّ الإتيان بصورة الإحرام ليس إعادة للإحرام، فيدور الأمر بين القول الأوّل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يبعد أظهريّة الأوّل، فإنّ الإعادة عبارة عن الإتيان بالمأتي به ثانياً، لعدم وقوعه امتثالاً للأمر، مع أنّ بناء الأصحاب على أنّ الإحرام غير قابل للتكرار والتأكّد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الثاني هو حصول الامتثال بهما معاً، مع أنّ ظاهر النص المعبّر بالإعادة حصوله بالثاني</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يمكن أن يُقال في توجيه الأوّل، ولكن بما أنّ الإحرام الأوّل في الفرض وقع صحيحاً، ومع فرض صحّته، وعدم وقوع المبطل عليه، حكم بالإعادة، ولو كان المراد هو إبطال الأوّل بالنيّة، لكان اللّازم التنبيه عليه، وكون البناء على الإتيان بالإحرام الثاني مبطلاً للأوّل، مع أنّه لا دليل عليه وليس كذلك قطعاً، إذ لو بني عليه ثم انصرف لا إشكال في صحّة إحرامه، فلا محالة تكون </w:t>
      </w:r>
    </w:p>
    <w:p>
      <w:pPr>
        <w:pStyle w:val="BookText"/>
        <w:rPr/>
      </w:pPr>
      <w:r>
        <w:rPr>
          <w:rFonts w:ascii="Amiri" w:hAnsi="Amiri" w:eastAsia="Amiri" w:cs="Amiri"/>
          <w:color w:val="111111"/>
          <w:sz w:val="28"/>
          <w:sz w:val="28"/>
          <w:szCs w:val="28"/>
          <w:rtl w:val="true"/>
          <w:lang w:bidi="ar-SA"/>
        </w:rPr>
        <w:t xml:space="preserve">الإعادة من قبيل إعادة صلاة الفرادى جماعة، والإعادة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ظاهرة في الثاني من جهة أنّها عبارة عن الوجود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ظاهرة فيما اُفيد، والنصّ ليس ظاهراً في حصول الامتثال بالثاني، وبناء الأصحاب على عدم تكرّر الإحرام، ولا تأكّده غير ثابت، فإذاً مقتضى ظاهر النص هو 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فابتداء الإحرام من باب الامتثال بعد الامتثال، واستدامته من قبيل الامتثال في ضمن فردين، ولا مانع من ذلك مع مساعدة الدليل، فإذاً ما 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يعيد ابتداء الإحرام لتدارك المصلحة الفائتة، ولكنّه بقاء فرد واحد لا فردان، وعليه فلا وجه لتوهّم تعدّد الكفّارة ولا تعدّد العقاب لو فعل المُحرِم بعض محرّمات الإحرام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 مختصٌّ بالجاهل والعالم، والناسي المذكور في كلماتهم غير مذكور فيه، فإلحاقه بهما يتوقّف على القول بكونه من مصاديق العالم، أو يلحق بهما بالفحوى‌،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674"/>
      </w:r>
      <w:r>
        <w:rPr>
          <w:rFonts w:ascii="Amiri" w:hAnsi="Amiri" w:eastAsia="Amiri" w:cs="Amiri"/>
          <w:color w:val="111111"/>
          <w:sz w:val="28"/>
          <w:sz w:val="28"/>
          <w:szCs w:val="28"/>
          <w:rtl w:val="true"/>
          <w:lang w:bidi="ar-SA"/>
        </w:rPr>
        <w:t>ولا يبعدان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اخترناه لو أتى بما يوجب الكفّارة بعده، وقبل الإعادة، وجبت عليه الكفّارة، لفرض صحّة إحرامه الأوّل، بل على القول ببطلانه أيضاً لو أتى به قبل تحقّق المبطل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47" w:name="pg11808_109010"/>
    </w:p>
    <w:p>
      <w:pPr>
        <w:pStyle w:val="BookText"/>
        <w:rPr/>
      </w:pPr>
      <w:bookmarkEnd w:id="147"/>
      <w:r>
        <w:rPr>
          <w:rFonts w:ascii="Amiri" w:hAnsi="Amiri" w:eastAsia="Amiri" w:cs="Amiri"/>
          <w:color w:val="111111"/>
          <w:sz w:val="28"/>
          <w:sz w:val="28"/>
          <w:szCs w:val="28"/>
          <w:rtl w:val="true"/>
          <w:lang w:bidi="ar-SA"/>
        </w:rPr>
        <w:t>والإحرام عقيب الظهر أو فريضةٍ‌، أو ستّ ركعات أو ركعتين</w:t>
      </w:r>
      <w:r>
        <w:rPr>
          <w:rFonts w:eastAsia="Amiri" w:cs="Amiri" w:ascii="Amiri" w:hAnsi="Amiri"/>
          <w:color w:val="111111"/>
          <w:sz w:val="28"/>
          <w:szCs w:val="28"/>
          <w:rtl w:val="true"/>
          <w:lang w:bidi="ar-SA"/>
        </w:rPr>
        <w:t>.</w:t>
      </w:r>
    </w:p>
    <w:p>
      <w:pPr>
        <w:pStyle w:val="Heading2"/>
        <w:numPr>
          <w:ilvl w:val="1"/>
          <w:numId w:val="1"/>
        </w:numPr>
        <w:rPr/>
      </w:pPr>
      <w:bookmarkStart w:id="148" w:name="__RefHeading___Toc10697017_73709187"/>
      <w:bookmarkStart w:id="149" w:name="_Toc49"/>
      <w:bookmarkEnd w:id="148"/>
      <w:r>
        <w:rPr>
          <w:rtl w:val="true"/>
        </w:rPr>
        <w:t>استحباب الإحرام عقيب الصلاة</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من مندوبات الإحرام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الإحرام عقيب الظهر أو فريضةٍ‌، أو ستّ ركعات أو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 الإحرام عقيب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التطوّع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بين الفريضة وتطوّع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 شهرة عظيمة استحباب ذلك، وعن الإسكافي</w:t>
      </w:r>
      <w:r>
        <w:rPr>
          <w:rStyle w:val="FootnoteAnchor"/>
          <w:rtl w:val="true"/>
        </w:rPr>
        <w:footnoteReference w:id="675"/>
      </w:r>
      <w:r>
        <w:rPr>
          <w:rFonts w:ascii="Amiri" w:hAnsi="Amiri" w:eastAsia="Amiri" w:cs="Amiri"/>
          <w:color w:val="111111"/>
          <w:sz w:val="28"/>
          <w:sz w:val="28"/>
          <w:szCs w:val="28"/>
          <w:rtl w:val="true"/>
          <w:lang w:bidi="ar-SA"/>
        </w:rPr>
        <w:t xml:space="preserve">وجوبه، وفي حواشي جمعٍ من المحقّقين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عدم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 بعضها الاحتياط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المكتوبة ثمّ احرم بالحجّ أو بالمتعة</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الإحرام في غير وقت صلاة </w:t>
      </w:r>
    </w:p>
    <w:p>
      <w:pPr>
        <w:pStyle w:val="BookText"/>
        <w:rPr/>
      </w:pPr>
      <w:r>
        <w:rPr>
          <w:rFonts w:ascii="Amiri" w:hAnsi="Amiri" w:eastAsia="Amiri" w:cs="Amiri"/>
          <w:color w:val="111111"/>
          <w:sz w:val="28"/>
          <w:sz w:val="28"/>
          <w:szCs w:val="28"/>
          <w:rtl w:val="true"/>
          <w:lang w:bidi="ar-SA"/>
        </w:rPr>
        <w:t>الفريضة، فصلِّ ركعتين ثمّ أحرم في دَبرها</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الثالث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الإحرام إلّافي دَبر صلاةٍ مكتوبة أو نافلة، فإنْ كانت مكتوبة أحرمتَ في دَبرها بعد التسليم، وإنْ كانت نافلةً‌، صلّيت ركعتين وأحرمت في دَبرهما، فإذا انفتلت في صلاتك فأحمد اللّه واثن عليه، وصلِّ على النبيّ صلى الله عليه و آله، الحديث</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تُصلّي للإحرام ستّ ركعات تحرم في دَبرها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إدريس بن عبداللّه،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الرّجل يأتي بعض المواقيت بعد العصر،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 جمّاله أن يقيم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يخالف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أيتطوّع بعد العصر؟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ولكنّي أكرهه للشهرة، وتأخير ذلك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اُصلّي إذا تطوّعت‌؟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ركعات</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هذه النصوص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توجيه حملها على الاستحباب، وجوه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مختلفة، فبعضها أمر بما بعد المكتوبة، وآخر بما بعد ستّ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ركعات، وثالث بالأربع، ورابع باثنتين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إمكان الجمع بين النصوص بالتخيّير من هذه الجهة، وإنّما الواجب هو وقوعه بعد الصلاة، لا يصلح ذلك لرفع اليد عن ظاهر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صرّح في آخر رواية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بأنّه واسعٌ لك أن تحرم في دَبر فريضةٍ أو نافلة أو ليل أو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صرّح بالتوسعة في الخصوصيّات لا في أصل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من اشتمال النصوص على خصوصيّات غير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تقدّم الجواب عن ذلك، وبيّنا أنّ الخبر إذا اشتمل على اُمور مستحبّة، وكان ظاهراً في وجوب أمر واحد، يؤخذ بظاهره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ذلك يستلزم وجوب نافلة الإحرام، إذا لم يتّفق في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 الالتزام بذلك، إذا لم يتمكّن من انتظار الفريضة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أيضاً، وهو الأصل، لكن ذكرنا أنّه عاجز عن مقاومة الدليل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الحكم يعمّ به البلوى‌، والنصوص ظاهرة في وجوبه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دون قرينةٍ صارفة عنه موجودة، ومع ذلك أفتى الأصحاب بعدم الوجوب، وهذا يوجبُ القطع به، كما مرّ في غُسل الإحرام، وعليه فالأظهر 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استحباب صلاة الإحرام في الجملة، والنصوص المتقدّمة ناطقة به، ولكن المتيقّن منها ما لو كان في غير وقت الفريضة، ومقتضى صحيحي معاوية أنّها ركعتان، ومقتضى خبر إدريس أنّها أربع ركعات، ومقتضى خبر أبي بصير هي ستّ ركعات، والمتحصّل من النصوص، هو التخيّير بين الستّ والأربع والإثنتين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كلماتهم فيها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يجمع بين الفريضة والنافلة، ويؤخّر الفريضة إنْ كان في وقت الفريضة، حكي ذلك عن الشيخ المفيد في المقنعة</w:t>
      </w:r>
      <w:r>
        <w:rPr>
          <w:rStyle w:val="FootnoteAnchor"/>
          <w:rtl w:val="true"/>
        </w:rPr>
        <w:footnoteReference w:id="685"/>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90"/>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يجمع بينهما مع تقديم الفريضة على النافلة، اختاره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يجمع بينهما، بل إنْ كان في وقت الفريضة يأتي بالفريضة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خاصّة، وإلّا فبالتطوّع،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 xml:space="preserve">في مبحث مقدّمات الإحرام المستحبّة،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أخبار الباب هو الأخير، لاحظصحاح ابن عمّار، وخبر إدريس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للجمع بينهما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96"/>
      </w:r>
      <w:r>
        <w:rPr>
          <w:rFonts w:ascii="Amiri" w:hAnsi="Amiri" w:eastAsia="Amiri" w:cs="Amiri"/>
          <w:color w:val="111111"/>
          <w:sz w:val="28"/>
          <w:sz w:val="28"/>
          <w:szCs w:val="28"/>
          <w:rtl w:val="true"/>
          <w:lang w:bidi="ar-SA"/>
        </w:rPr>
        <w:t>بإطلاق أدلّة مشروعيّة نافلة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النصوص مفصلة بين الإتيان بالفريضة وعدمه، وبها يقيّد إطلاقها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فرض الجمع وجوازه، قد يستدلّ لتقديم الفريضة بما دلّ على عدم جواز التطوّع في وقت الفريضة،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والعقود</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التطوّع في وقت الفريضة، كما تقدّم في 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هذه الصلاة في الصحيح الآتي من الصلوات التي تصلّى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 أنّه يحرم في دَبر صلاته، فإنّ المتبادر منه التعقيب بلا فاصلة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يعارضه ما تضمّن من الصحاح المتقدّمة، أنّه يحرم في دَبر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وهي أكثر عدداً وأصحّ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إن تقدّم لذلك، أو يحمل الدَبر على المعنى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01"/>
      </w:r>
      <w:r>
        <w:rPr>
          <w:rFonts w:ascii="Amiri" w:hAnsi="Amiri" w:eastAsia="Amiri" w:cs="Amiri"/>
          <w:color w:val="111111"/>
          <w:sz w:val="28"/>
          <w:sz w:val="28"/>
          <w:szCs w:val="28"/>
          <w:rtl w:val="true"/>
          <w:lang w:bidi="ar-SA"/>
        </w:rPr>
        <w:t>لما ذهب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لا تُترك على حال، إذا طفت بالبيت وإذا أردت أن تحرم</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صلواتٍ تُصلّيها في كلّ وقت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الإحرام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تمّت دلالة الروايتين على مشروعيّته صلاة الإحرام في وقت الفريضة، فغايتها مشروعيّة الإحرام في دَبرها حينئذٍ، لا الجمع بينها وبين الفريضة، والإحرام بعد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الإيراد لو تَمّ فإنّما هو في خبر أبي بصير، ولا يتمّ في الصحيح، فإنّ من جملة الحالات الإتيان بصلاة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يدلّ على لزوم كون الإحرام بعد الصلاة، وأمّا أنّها هي الفريضة أو النافلة فلا نظر له إلى ذلك، وعليه فالقول الأخير وهو عدم الجمع هو القول الأظهر، فلو كان في وقت الفريضة يأتي بها، ويحرم دَبرها، وإلّا فيأتي بالنافلة مخيّراً بين السّت والأربع والإثنتين، ويحرم دَبرها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50" w:name="pg11808_109016"/>
    </w:p>
    <w:p>
      <w:pPr>
        <w:pStyle w:val="Heading2"/>
        <w:numPr>
          <w:ilvl w:val="1"/>
          <w:numId w:val="1"/>
        </w:numPr>
        <w:rPr/>
      </w:pPr>
      <w:bookmarkStart w:id="151" w:name="__RefHeading___Toc10697019_73709187"/>
      <w:bookmarkStart w:id="152" w:name="_Toc50"/>
      <w:bookmarkEnd w:id="150"/>
      <w:bookmarkEnd w:id="151"/>
      <w:r>
        <w:rPr>
          <w:rtl w:val="true"/>
        </w:rPr>
        <w:t>الإحرام بعد صلاة الظهر أولى</w:t>
      </w:r>
      <w:bookmarkEnd w:id="152"/>
    </w:p>
    <w:p>
      <w:pPr>
        <w:pStyle w:val="BookText"/>
        <w:rPr/>
      </w:pPr>
      <w:r>
        <w:rPr>
          <w:rFonts w:ascii="Amiri" w:hAnsi="Amiri" w:eastAsia="Amiri" w:cs="Amiri"/>
          <w:color w:val="111111"/>
          <w:sz w:val="28"/>
          <w:sz w:val="28"/>
          <w:szCs w:val="28"/>
          <w:rtl w:val="true"/>
          <w:lang w:bidi="ar-SA"/>
        </w:rPr>
        <w:t xml:space="preserve">ثمّ إنّ المشهور بين الأصحاب أنّ في غير حَجّ التمتّع، الأولى أن يكون الإحرام بعد صلاة الظهر،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اتّفاق الأصحاب عليه، واستدلّ له بنصوص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 والحلبي،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يضرّك بليلٍ أحرمت أو نهاراً إلّاأنّ أفضل ذلك عند زوال الشمس</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فراغك من ذلك أي الغُسل إنْ شاء اللّه تعالى عند زوال الشمس، وإن لم يكن عند زوال الشمس فلا يضرّك ذلك، غير إنّي أحبّ أن يكون ذلك عند زوال الشمس</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أليلاً أحرَمَ رسول اللّه صلى الله عليه و آله أم نهاراً؟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متى ترى أنْ نَحرُم‌؟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عليكم إنّما أحرم رسول اللّه صلى الله عليه و آله صلاة الظهر، لأنّ الماء كان قليلاً، كان في رؤوس الجبال، فيهجر الناس إلى مثل ذلك من الغد، ولا يكاد يقدرون على الماء، وإنّما أحدثت هذه المياه حديثاً</w:t>
      </w:r>
      <w:r>
        <w:rPr>
          <w:rFonts w:eastAsia="Amiri" w:cs="Amiri" w:ascii="Amiri" w:hAnsi="Amiri"/>
          <w:color w:val="111111"/>
          <w:sz w:val="28"/>
          <w:szCs w:val="28"/>
          <w:rtl w:val="true"/>
          <w:lang w:bidi="ar-SA"/>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مرسل المفيد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ظاهرها استحباب كونه عند زوال الشمس، ولو قبل صلاة الظهر أو بعد صلاة العصر، وبأنّ الصحيح الأخير صريحٌ في نفي أفضليّة إحداثه عند الزوال أو بعد صلاة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زوال الشمس لا يصدق على ما بعد صلاة العصر، وأمّا قبل الظهر فإذا انضمّ إلى هذه النصوص صدرُ صحيح معاوية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فراغك من ذلك عند زوال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دلّ على أنّه لو كان في وقت الفريضة يحرم في دبرها، فلا يبقى لدعوى شمول النصوص له مجالٌ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 السؤال الثاني إنّما هو عن اللّزوم، والتعليل إنّما يكون لذلك، ولا أقلّ من احتمال ذلك، فلا يصلح لصرف ظهور غيره، وعليه فالأظهر ما هو المشهور من أولويّة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حَجّ التمتّع ففيه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w:t>
      </w:r>
      <w:r>
        <w:rPr>
          <w:rStyle w:val="FootnoteAnchor"/>
          <w:rtl w:val="true"/>
        </w:rPr>
        <w:footnoteReference w:id="709"/>
      </w:r>
      <w:r>
        <w:rPr>
          <w:rFonts w:ascii="Amiri" w:hAnsi="Amiri" w:eastAsia="Amiri" w:cs="Amiri"/>
          <w:color w:val="111111"/>
          <w:sz w:val="28"/>
          <w:sz w:val="28"/>
          <w:szCs w:val="28"/>
          <w:rtl w:val="true"/>
          <w:lang w:bidi="ar-SA"/>
        </w:rPr>
        <w:t>وتبعهما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فيه أن يُصلّي الظهر بمنى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w:t>
      </w:r>
      <w:r>
        <w:rPr>
          <w:rStyle w:val="FootnoteAnchor"/>
          <w:rtl w:val="true"/>
        </w:rPr>
        <w:footnoteReference w:id="7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714"/>
      </w:r>
      <w:r>
        <w:rPr>
          <w:rFonts w:ascii="Amiri" w:hAnsi="Amiri" w:eastAsia="Amiri" w:cs="Amiri"/>
          <w:color w:val="111111"/>
          <w:sz w:val="28"/>
          <w:sz w:val="28"/>
          <w:szCs w:val="28"/>
          <w:rtl w:val="true"/>
          <w:lang w:bidi="ar-SA"/>
        </w:rPr>
        <w:t>وعن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أن يحرم بعد صلاة الظهرين في مسجد الحرام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7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Style w:val="FootnoteAnchor"/>
          <w:rtl w:val="true"/>
        </w:rPr>
        <w:footnoteReference w:id="717"/>
      </w:r>
      <w:r>
        <w:rPr>
          <w:rFonts w:ascii="IRNazanin" w:hAnsi="IRNazanin" w:eastAsia="IRNazanin"/>
          <w:color w:val="111111"/>
          <w:sz w:val="28"/>
          <w:sz w:val="28"/>
          <w:szCs w:val="28"/>
          <w:rtl w:val="true"/>
          <w:lang w:bidi="fa-IR"/>
        </w:rPr>
        <w:t>ومختصره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الأفضل أن يحرم بعد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الإمام فيصلّي الظهر بمنى‌، وبين غيره فيصلّي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صحيج عمر بن يزيد،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التروية فأهلّ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الظهر إن قدرت بمنى</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بها الظهر والعصر والمغرب والعشاء الآخرة والفجر، والإمام يُصلّي بها الظهر لا يسعه إلّاذلك، وموسّع لك أن تُصلّي بغيرها إن لم تقدر</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تُلبّي من المسجد الحرام،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قدرت أن يكون رواحك إلى مِنى زوال الشمس وإلّا متى ما تيسّر لك من يوم التروية</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يُصلّي المكتوبة في المسجد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التروية إنْ شاء اللّه تعالى فاغتسل، ثمّ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البس ثوبيك، وادخل المسجد حافياً،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اقعد حتّى تزول الشمس، فصلِّ‌المكتوبة، ثمّ قُل في دبر صلاتك كماقلت حين أحرمت من الشجرة، الحديث</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هو الظهران، فهو دليل القول الثاني، وإنْ كان هو الظهر خاصّة، فهو دليل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الإمام أن يُصلّي الظهر يوم التروية بمسجد الخيف، ويُصلّي الظهر يوم النفر في المسجد الحرام</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أن يُصلّي الظهر يوم التروية إلّابمنى‌، ويبيت بها إلى طلوع الشمس</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البناء على أنّه إنْ قدر على أنْ يُصلّي أوّل الوقت بمنى فيُصلّي الظهر هناك، وإلّا ففي مكّة، فإنّ الطائفة الاُولى تقيّد إطلاق الثانية، وأمّا الإمام عليه السلام فليس علينا بيان وظيفته، وإنْ اُريد به أمير الحاجّ فسيأتي حكمه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53" w:name="pg11808_109020"/>
    </w:p>
    <w:p>
      <w:pPr>
        <w:pStyle w:val="BookText"/>
        <w:rPr/>
      </w:pPr>
      <w:bookmarkEnd w:id="153"/>
      <w:r>
        <w:rPr>
          <w:rFonts w:ascii="Amiri" w:hAnsi="Amiri" w:eastAsia="Amiri" w:cs="Amiri"/>
          <w:color w:val="111111"/>
          <w:sz w:val="28"/>
          <w:sz w:val="28"/>
          <w:szCs w:val="28"/>
          <w:rtl w:val="true"/>
          <w:lang w:bidi="ar-SA"/>
        </w:rPr>
        <w:t>ورفع الصوت بالتلبية إذا علت راحلته البيداء إن حجّ على طريق المدينة، والدُّعاء، والتلفّظ بالنوع، والإشتراط، وتكرار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يشاهد بيوت مكّة للمتمتّع، وإلى عند الزوال يوم عرفة للمُفرِد والقارِن، وإذا دخل الحرم للمعتمر</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10697021_73709187"/>
      <w:bookmarkStart w:id="155" w:name="_Toc51"/>
      <w:bookmarkEnd w:id="154"/>
      <w:r>
        <w:rPr>
          <w:rtl w:val="true"/>
        </w:rPr>
        <w:t>باقي مندوبات الإحرام</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من مندوبات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 بالتلبية إذا علت راحلته البيداء إن حَجّ على طريق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القول في ذلك في مبحث التلبية مفصّلاً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المندوبات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والتلفّظ بالنوع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المنويّ مطلقاً، كما مرّ في مبحث النيّة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أيضاً في ذلك المبحث أنّ من المندوبات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اشتراط التحلّل إن مرض، أو ضاغت نفقته، أو منعه ظالم، أو غير ذلك، كما بيّنا هناك فائدة هذا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تكرار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وجهه</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0697023_73709187"/>
      <w:bookmarkStart w:id="157" w:name="_Toc52"/>
      <w:bookmarkEnd w:id="156"/>
      <w:r>
        <w:rPr>
          <w:rtl w:val="true"/>
        </w:rPr>
        <w:t>بيان موضع قطع التلبية</w:t>
      </w:r>
      <w:bookmarkEnd w:id="15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المقام في موضع قطع التلبية، فالمشهور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التلبية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يشاهد بيوت مكّة للمتمتّع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لعمرته،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عند الزوال يوم عرفة للمُفرِد والقارن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للحاجّ متمتّعاً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دخل الحرم للمُعتَمر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مفردة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فالكلام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المتمتّع عُمرة التمتّع يقطع التلبية عند مشاهدة بيوت مكّة، كما هو المشهور، وقيل إنّه إجماعي، والشاهد به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مكّة وأنت متمتّع، فنظرت إلى بيوت مكّة فاقطع التلبية، وحَدّ بيوت مكّة التي كانت قبل اليوم عقبة المدنيّين، فإنّ الناس قد أحدثوا بمكّة ما لم يكن، فاقطع التلبية، وعليك بالتكبير والتحميد والتهليل والثناء على اللّه عزّ وجلّ ما استطعت</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المتمتّع إذا نظر إلى بيوت مكّة قطع التلبية</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المتمتّع متى يقطع التلبيه‌؟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عراش مكّة عقبة ذي طوى‌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 زرارة،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أين يمسك المتمتّع التلبية‌؟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البيوت، بيوت مكّة لا بيوت الأبطح</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زيد الشحّام،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تلبية المتعة متى تقطع‌؟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يدخل الحرم</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فلعدم عمل الأصحاب بهما والإعراض عنهما يُطرحان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عقبة المدنيّين إنْ كانت متّحدة مع عقبة ذي طوى‌، فلا تعارض بين صحيح البزنطي ومصحّح معاوية، وإلّا فيكون الاختلاف من ناحية اختلاف الجهات، فلا تعارض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7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عقبة المدنيّين من جهة أعلى مكّة، وعقبة ذي طوى من جهة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الموضوع هو بيوت مكّة، وما في مصحّح معاوية إنّما هو تحديد لبيوت مكّة في ذلك الزمان لا لموضوع الحكم، فلا حاجة إلى تحديد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بأيّ نوع من الحَجّ يقطعها عند الزوال من يوم عرفة، ويشهد بذلك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يقطع التلبية يوم عرفة زوال الشمس</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يوم عرفة فاقطع التلبية عند زوال الشمس</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 المعتمر عُمرة مفردة يقطعها عند دخول الحرم إذا جاء من خارج الحرم، وعند مشاهدة الكعبة إنْ كان قد خرج من مكّة لإحرامها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النصوص فهي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وقت القطع النظر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 أبي عبداللّه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خرج من مكّة يريد العُمرة، ثمّ دخل معتمراً، لم يقطع التلبية حتّى ينظر إلى الكعبة</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اعتمر من التنعيم، فلا يقطع التلبية حتّى ينظر إلى المسجد</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الخبران كما ترى مختصّان بالخارج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مطلق، ويدلّ على أنّ وقت القطع 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مكّة مفرداً للعمرة، فليقطع التلبية حين تضع الإبل أخفافها في الحرم</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معتمراً فاقطع التلبية إذا دخلت الحرم</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بين الطائفتين من جهة أخصيّة الاُولى‌، يقتضي البناء على ماهو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أنّه يقطع التلبية إذا نظر إلى بيوت مكّة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يعتمر عُمرة مفرد ة، من أين يقطع التلبية‌؟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بيوت ذي طوى فاقطع التلبية</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الفضيل بن يسار،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بعمرة فأين أقطع التلبية‌؟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 العقبة عقبة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عقبة المدنيّين‌؟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بحيال القصّارين</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يعتمر عُمرة المحرم من أين يقطع التلبية‌؟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التلبية إذا نظر إلى بيوت مكّة</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الطائفة الاُولى المختصّة بالخارج من مكّة للإعتمار أخصّ من هذه النصوص، فتخصّصها بالجائي من خارج الحرم، وأمّا الطائفتان الأخيرتان فهما متعارضتان، فإنّ الأُولى منهما تدلّ على القطع عند دخول الحرم، والثانية تدلّ على القطع عند النظر إلى بيوت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الجمع بينهما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الصدوق</w:t>
      </w:r>
      <w:r>
        <w:rPr>
          <w:rStyle w:val="FootnoteAnchor"/>
          <w:rtl w:val="true"/>
        </w:rPr>
        <w:footnoteReference w:id="7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من الحمل على التخيّير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من حمل الأُولى منهما على من لم يجيء من المدينة والعراق، والثانية على من جاء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والإحرام في قطن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بحمل الثانية على تأكّد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الوجوه كلّها ليست من قبيل الجمع العرفي، ولكن الذي يسهّل الخطب أنّه لم يظهر قائلٌ بمضمون الطائفة الأخيرة، فالمعتمد هي الأوليتان، وقد مرّ بيان ما يستفاد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القطع في الموارد المذكورة على الوجوب، وفاقاً في الأوّل لظاهر الأكثر،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الإجماع عليه، وفي الثاني لوالد الصدوق</w:t>
      </w:r>
      <w:r>
        <w:rPr>
          <w:rStyle w:val="FootnoteAnchor"/>
          <w:rtl w:val="true"/>
        </w:rPr>
        <w:footnoteReference w:id="751"/>
      </w:r>
      <w:r>
        <w:rPr>
          <w:rFonts w:ascii="Amiri" w:hAnsi="Amiri" w:eastAsia="Amiri" w:cs="Amiri"/>
          <w:color w:val="111111"/>
          <w:sz w:val="28"/>
          <w:sz w:val="28"/>
          <w:szCs w:val="28"/>
          <w:rtl w:val="true"/>
          <w:lang w:bidi="ar-SA"/>
        </w:rPr>
        <w:t>والشيخ</w:t>
      </w:r>
      <w:r>
        <w:rPr>
          <w:rStyle w:val="FootnoteAnchor"/>
          <w:rtl w:val="true"/>
        </w:rPr>
        <w:footnoteReference w:id="7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وشرحه، واستحسنه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بل هو محتمل الأكثر كما قيل</w:t>
      </w:r>
      <w:r>
        <w:rPr>
          <w:rStyle w:val="FootnoteAnchor"/>
          <w:rtl w:val="true"/>
        </w:rPr>
        <w:footnoteReference w:id="756"/>
      </w:r>
      <w:r>
        <w:rPr>
          <w:rFonts w:ascii="Amiri" w:hAnsi="Amiri" w:eastAsia="Amiri" w:cs="Amiri"/>
          <w:color w:val="111111"/>
          <w:sz w:val="28"/>
          <w:sz w:val="28"/>
          <w:szCs w:val="28"/>
          <w:rtl w:val="true"/>
          <w:lang w:bidi="ar-SA"/>
        </w:rPr>
        <w:t>، وفي الثالث لظاهر الأكثر، وصريح بعضهم</w:t>
      </w:r>
      <w:r>
        <w:rPr>
          <w:rStyle w:val="FootnoteAnchor"/>
          <w:rtl w:val="true"/>
        </w:rPr>
        <w:footnoteReference w:id="757"/>
      </w:r>
      <w:r>
        <w:rPr>
          <w:rFonts w:ascii="Amiri" w:hAnsi="Amiri" w:eastAsia="Amiri" w:cs="Amiri"/>
          <w:color w:val="111111"/>
          <w:sz w:val="28"/>
          <w:sz w:val="28"/>
          <w:szCs w:val="28"/>
          <w:rtl w:val="true"/>
          <w:lang w:bidi="ar-SA"/>
        </w:rPr>
        <w:t xml:space="preserve">، كلّ ذلك لظاهر الأوامر الخالية عن المعارض، كذا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الإحرام في قُطن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قطع به الأصحاب على الظاهر المصرّح به في بعض العبائر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وقد رُوي أنّ النبيّ صلى الله عليه و آله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لبسه في الإحرام، ففي صحيح معاوية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ثوبا رسول اللّه صلى الله عليه و آله، اللّذين أحرم فيهما يمانيّين عبري وأظفار، وفيهما كُفِّن</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قد ورد الأمر بلبس القطن مطلقاً، وفي بعض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لباس رسول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لباسنا ولم يكن يلبس الشعر والصوف إلّامن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 البيض، لتظافر الأخبار بالأمر بلبسه، وكونه خير الثياب وأطيبها وأطهرها، لكن لا بأس بما عداه من الألوان والأجناس، للنصوص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بن أبي العلاء الخفّاف،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جعفر عليه السلام وعليه برد أخضر وهو مُحرِم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الحسن عليه السلام عن المُحرِم يلبس الخَزّ،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تحرم المرأة في الذهب والخَزّ</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عليه السلام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يحرم في كساء خَزّ أم لا؟ فكتب عليه السلام إليه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وقد فعله قوم صالحون</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يكره في الأسود وقد تقدّم وعرفت أنّ الأحوط لزوماً أن لا يحرم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وإحرام المرأة كإحرام الرّجل إلّافي تحريم المخيط، ولا يمنعها الحيض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وإحرام المرأة كاحرام الرّجل إلّافي تحريم المخيط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الاشتراك، وسيأتي الكلام في لبسها المخيط في تروك الإحرام، كما أنّه قد مرّ أنّه لا يستحبّ لها رفع الصوت بالتلبية، وحكم إحرامها في الحرير، وسيأتي حكم التظليل ساتراً وكشف الوجه وستر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يمنعها الحيض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الإحرام بلا خلافٍ‌،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سألتُ‌أباعبداللّه عليه السلام عن الحائض تحرم وهي حائض‌؟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تغتسل وتحتشي وتصنع كما تصنع المُحرِمة، ولاتُصلّي</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الحائض تحرم وهي لا تُصلّي‌؟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بلغت الوقت فلتحرم</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العيص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أتحرم المرأة وهي طامث‌؟ قال عليه السلام نعم تغتسل وتلبّي</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الأوّل والثاني عدم سقوط الغُسل عنها، فما عن بعض من سقوطه ضعيف، وقد مرّ أنّه مستحبٌّ بنفسه لا لحصول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تسقط الصلاة عنها لصحيح معاوية، ولعموم الأدلّة، وقد تقدّم في مبحث المواقيت حكم إحرامها من مسجد الشجرة، فراجع</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58" w:name="pg11808_109028"/>
    </w:p>
    <w:p>
      <w:pPr>
        <w:pStyle w:val="BookText"/>
        <w:rPr/>
      </w:pPr>
      <w:bookmarkEnd w:id="158"/>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تروك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منها أربعة عشر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 البرّ وإمساكه، والإشارة إليه والإغلاق عليه وذبحه</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10697025_73709187"/>
      <w:bookmarkStart w:id="160" w:name="_Toc53"/>
      <w:bookmarkEnd w:id="159"/>
      <w:r>
        <w:rPr>
          <w:rtl w:val="true"/>
        </w:rPr>
        <w:t>تروك الإحرام</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تروك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يجب تركه، ومايكون تركه أفضل، وبعبارة اُخرى مايُحرم فعله ومايُكره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77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7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ثلاثة وعشرون تركاً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تركاً، فالأقوال أربعة، ولكلٍّ وجهٌ سيظهر لك إنْ شاء اللّه تعالى في آخر هذا المبحث</w:t>
      </w:r>
      <w:r>
        <w:rPr>
          <w:rFonts w:eastAsia="Amiri" w:cs="Amiri" w:ascii="Amiri" w:hAnsi="Amiri"/>
          <w:color w:val="111111"/>
          <w:sz w:val="28"/>
          <w:szCs w:val="28"/>
          <w:rtl w:val="true"/>
          <w:lang w:bidi="ar-SA"/>
        </w:rPr>
        <w:t>.</w:t>
      </w:r>
    </w:p>
    <w:p>
      <w:pPr>
        <w:pStyle w:val="Heading2"/>
        <w:numPr>
          <w:ilvl w:val="1"/>
          <w:numId w:val="1"/>
        </w:numPr>
        <w:rPr/>
      </w:pPr>
      <w:bookmarkStart w:id="161" w:name="__RefHeading___Toc10697027_73709187"/>
      <w:bookmarkStart w:id="162" w:name="_Toc54"/>
      <w:bookmarkEnd w:id="161"/>
      <w:r>
        <w:rPr>
          <w:rtl w:val="true"/>
        </w:rPr>
        <w:t>الصيد حرامٌ على المُحرِم</w:t>
      </w:r>
      <w:bookmarkEnd w:id="16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صيد البرّ وإمساكه وأكله والإشارة إليه والإغلاق عليه وذبحه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 شيء من ذلك بيننا، بل الإجماع بقسميه عليه كما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 وادّعى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إجماع المسلمين في الأولين، وإجماعنا المحقَّق والمحكيّ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القول في ذلك يتحقّق في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حرمة تلك ووجوب تركها، ويشهد بها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لَيَبْلُوَنَّكُمُ اَللّهُ بِشَيْ‌ءٍ مِنَ اَلصَّيْدِ تَنالُهُ أَيْدِيكُمْ وَ رِماحُكُمْ لِيَعْلَمَ اَللّهُ مَنْ يَخافُهُ بِالْغَيْبِ فَمَنِ اِعْتَدى بَعْدَ ذلِكَ فَلَهُ عَذابٌ أَلِيمٌ‌</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دلّت هذه الآية الشريفة على أنّ اللّه تعالى يختبر المؤمنين بالصيد، فإنّه على ما قيل كان قد كثر الصيد عندهم بالحُديبيّة وهم مُحرمون، بحيث يدخل في أمتعتهم حتّى كانوا يتمكّنون من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من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الكبار منه، كما هو مرويٌّ عن الإمام الصادق عليه السلام 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الاختبار، أي خالف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إطلاق الآية بقرينة حذف المتعلّق، حرمة كلّ ما يتعلّق بالصيد من القتل والإشارة وغيرهما، والآية مختصّة بحال الإحرام أو هي والحرم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عَلَيْكُمْ صَيْدُ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وهو أيضاً بواسطة حذف متعلّق التحريم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 أَنْتُمْ حُرُمٌ‌</w:t>
      </w:r>
      <w:r>
        <w:rPr>
          <w:rFonts w:eastAsia="Amiri" w:cs="Amiri" w:ascii="Amiri" w:hAnsi="Amiri"/>
          <w:color w:val="111111"/>
          <w:sz w:val="28"/>
          <w:szCs w:val="28"/>
          <w:rtl w:val="true"/>
          <w:lang w:bidi="ar-SA"/>
        </w:rPr>
        <w:t xml:space="preserve">» </w:t>
      </w:r>
      <w:r>
        <w:rPr>
          <w:rStyle w:val="FootnoteAnchor"/>
          <w:rtl w:val="true"/>
        </w:rPr>
        <w:footnoteReference w:id="780"/>
      </w:r>
      <w:r>
        <w:rPr>
          <w:rFonts w:ascii="Amiri" w:hAnsi="Amiri" w:eastAsia="Amiri" w:cs="Amiri"/>
          <w:color w:val="111111"/>
          <w:sz w:val="28"/>
          <w:sz w:val="28"/>
          <w:szCs w:val="28"/>
          <w:rtl w:val="true"/>
          <w:lang w:bidi="ar-SA"/>
        </w:rPr>
        <w:t>هذه الآية الشريفة مختصّة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شيئاً من الصيد وأنتَ حرام، ولا وأنت حلال في الحرم، ولا تدلنّ عليه مُحلّاً ولا مُحرِماً فيصطاده، ولا تشر إليه فيستحلّ من أجلك فإنّ فيه فداء لمن تعمّده</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واجتنب في إحرامك صيد البرّ كلّه، ولا تأكل من ما صاده غيرك، ولا تَشٖر إليه فيصيده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الصيد وأنتَ حرام وإنْ كان أصابه مُحلّ‌</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 الصيد وأنت حرام، وإنْ كان أصابه مُحلّ‌، وليس عليك فداء ما أتيته بجهالةٍ إلّاالصيد، فإنّ عليك فيه الفداء</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الإمام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يصيب الصيد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بجهالة‌؟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أصابه خطأً؟ وأيّ شيء الخطأ عندك‌؟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ترمي هذه النخلة فتُصيب نخلةً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الخطأ وعليه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أخذ طائراً متعمّداً فذبحه وهو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ألستَ قلت إنّ الخطأ والجهالة والعمد ليسوا بسواء، فبأيّ شيء يفضل المتعمّد الجاهل والخاطئ‌؟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أثم ولعب بدينه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يدلّ على الصيد، فإنْ دلّ عليه فقتل فعليه الفداء</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شيئاً من الصيد وأنت محرم، وإن صاده حلال</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الصيد يصاد في الحِلّ ثمّ يُجاء به إلى الحرم وهو حَيّ؟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الحرم وهو حَيّ فقد حَرُم لحمه وإمساكه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 في الحرم إلّامذبوحاً قد ذُبح في الحِلّ ثمّ أُدخل الحرم</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شهاب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ما دخلت به الحرم حيّاً فقد حرم عليك ذبحه وإمساكه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عمر وسليمان بن خالد، قلنا لأبي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أغلق بابه عليطائر؟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أغلق الباب بعدما أحرم فعليه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ونحوها غيرها من النصوص الكثيرة، ودلالتها على حرمة صيد البرّ أكلاً واصطياداً ودلالةً وإشارةً وإمساكاً وإغلاقاً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والمنساق إلى الذهن من النصوص والفتاوى، بل المصرّح به فيها، أنّ الإشارة أو الدلالة المسبّبة للصيد حرام، فلا يحرم دلالة من يرى الصيد ولا يريده أو لا يقدر عليه أو لا يفيده الدلالة والإشارة لأجل علمه به، فإنّ ظاهر قوله في صحيح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يدلّ على الصيد، فإنْ دلّ عليه فقتل فعليه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 في 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تشر إليه فيصيده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أنّ المُحرّم هو الإشارة والدلالة المسبّبتان للصيد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بالتسبيب ليس هو التسبيب التوليدي لتوسّط فعل الصائد المختار بين الدلالة والإشارة والصيد، بل المراد مطلق المدخليّة في اصطياده أو إتلافه ولو على جهة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والتعليل كما يُخصّص كذلك يعمّم، فما في النصوص من العلّة الغائيّة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ترتّب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الالتزام بحرمة كلّ فعلٍ له دخلٌ إعدادي في الاصطياد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إذا قال المولى لعبده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الدار زيداً فيطّلع على أسرار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العرف منه عدم جواز كلّما يترتّب عليه ذلك، وليس ذلك من باب تنقيح المناط كما هو واضح، وفي المقام بما أنّه رتب الشارع النهي على الدلالة والإشارة الاصطياد فيفهم العرف منه كبرى كليّة، وهي حرمة كلّ ما تفرّع عليه الاصطياد كالإغلاق وما شاكل، وعلى هذا فتسرية الحكم لا تحتاج إلى دعوى الإجماع على حرمة مطلق الإعانة على الصيد بكلّ فعلٍ تحقّق به، ولو </w:t>
      </w:r>
    </w:p>
    <w:p>
      <w:pPr>
        <w:pStyle w:val="BookText"/>
        <w:rPr/>
      </w:pPr>
      <w:r>
        <w:rPr>
          <w:rFonts w:ascii="Amiri" w:hAnsi="Amiri" w:eastAsia="Amiri" w:cs="Amiri"/>
          <w:color w:val="111111"/>
          <w:sz w:val="28"/>
          <w:sz w:val="28"/>
          <w:szCs w:val="28"/>
          <w:rtl w:val="true"/>
          <w:lang w:bidi="ar-SA"/>
        </w:rPr>
        <w:t xml:space="preserve">بالإغلاق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كي يورد عليه بعدم ثبوت الاتّفاق أوّلاً، وعدم كونه تعبّديّاً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أنّه لا حاجة إلى البحث في بيان النسبة بين الدلالة والإشارة، وأنّه هل تصدق الدلالة على الكتابة أم لا؟ فإنّ المُحرّم مطلق الإعانة على الصيد، صدق عليه الدلالة أو الإشارة أم لم 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 هو الدلالة أو الإشارة سواءٌ أكان المعان مُحرِماً أو محلّاً، لإطلاق بعض النصوص، وللتصريح في بعض آخر بذلك، لاحظ صحيح معاوية المتقدّم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63" w:name="pg11808_109034"/>
    </w:p>
    <w:p>
      <w:pPr>
        <w:pStyle w:val="Heading2"/>
        <w:numPr>
          <w:ilvl w:val="1"/>
          <w:numId w:val="1"/>
        </w:numPr>
        <w:rPr/>
      </w:pPr>
      <w:bookmarkStart w:id="164" w:name="__RefHeading___Toc10697029_73709187"/>
      <w:bookmarkStart w:id="165" w:name="_Toc55"/>
      <w:bookmarkEnd w:id="163"/>
      <w:bookmarkEnd w:id="164"/>
      <w:r>
        <w:rPr>
          <w:rtl w:val="true"/>
        </w:rPr>
        <w:t>عدم اختصاص حرمة الصيد بمحلَّل الأكل</w:t>
      </w:r>
      <w:bookmarkEnd w:id="16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كلماتهم في أنّ المراد بالصيد في المقام، هل هو خصوص الصيد المحلَّل أو يعمّ محرّم الأكل‌؟ بعد اتّفاقها على أنّ المراد به الممتنع أصالة، وأنّ الإنسيّ المتوحّش خارجٌ‌، والوحشي المستأنس داخلٌ‌،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الصيد المحرّم يشمل كلّ حيوان ممتنع بالأصالة، سواءٌ كان ممّا يؤكل أو لا، وفاقاًللشرائع</w:t>
      </w:r>
      <w:r>
        <w:rPr>
          <w:rStyle w:val="FootnoteAnchor"/>
          <w:rtl w:val="true"/>
        </w:rPr>
        <w:footnoteReference w:id="7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 بل جملة من كتب الفاضل، وجمعٌ من المتأخّرين، وعن الراوندي</w:t>
      </w:r>
      <w:r>
        <w:rPr>
          <w:rStyle w:val="FootnoteAnchor"/>
          <w:rtl w:val="true"/>
        </w:rPr>
        <w:footnoteReference w:id="795"/>
      </w:r>
      <w:r>
        <w:rPr>
          <w:rFonts w:ascii="IRNazanin" w:hAnsi="IRNazanin" w:eastAsia="IRNazanin"/>
          <w:color w:val="111111"/>
          <w:sz w:val="28"/>
          <w:sz w:val="28"/>
          <w:szCs w:val="28"/>
          <w:rtl w:val="true"/>
          <w:lang w:bidi="fa-IR"/>
        </w:rPr>
        <w:t>أنّه مذهبنا، معرباً عن دعوى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الحيوان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نسبة ذلك إلى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استثنى كلّ من الطائفتين عن المحرّم أصنافاً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فالأوّلون استثنوا منه العقرب والأفعى والفأرة، بل كلّ ما خيف منه، وإن اختلفوا في بعض الأقسام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والآخرون استثنوا الأسد والثعلب والأرنب والضبّ والقُنفذ واليربوع، وألحقوا هذه بمحلّل الأكل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على أنّ المراد ما يعمّ المُحرم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الصيد المنهيّ عنه كتاباًوسُنّة له لغةًوعرفاً، فيشمله 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صحيح ابن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قتل الدّواب كلّها إلّاالأفعى والعقرب والفأرة، الحديث</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صحيح معاوية وغيره من النهي عن قتل ما لم يرده من الحيوانات المحرّمة المذكورة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حرمة قتل الوحش والطير مطلقاً، والنهي عن قتل غير الإبل والبقر والغنم والدجاج في الحرم، وحُرمة كلّ ما اُدخل الحرم حَيّاً، الآتي كلّها في باب مسائل الحرم، فإنّها بضميمة الإجماع وصحيح حريز الآتي الدالّ على اتّحاد حكم الحرم والإحرام في تحريم الصيد تدلّ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للاختصاص بمحلّل الأكل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غير ثابت، كيف وقد عرفت دعوى الإجماع عن بعضٍ على التعميم، وعلى فرض ثبوته لعدم كونه تعبّديّاً 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صدق الصيد على المُحرِم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صدقه عليه عرفاً ولغةً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استعمل في الأخبار في صيد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المُحرِم، وكفاك ما نسب إلى سيّد البلغاء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الملوك ثعالب وأرانب وإذا ركبتُ فصيدي الأبطال</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عَلَيْكُمْ صَيْدُ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بالصيد الحيوان المُصطاد، وبديهي أنّ التحريم إذا تعلّق بالعين الخارجيّة دون الفعل، كان ظاهراً في إرادة أظهر أفراده، مثلاً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ظاهرٌ في حرمة نكاحهن، ففي المقام يكون ظاهراً في إرادة حرمة الأكل، وحيث أنّ المحرّم على كلّ أحدٍ في حال إحرامه وغير إحرامه، والحرمة في الآية الكريمة قيّدت بحال الإحرام، فيعلم أنّ الحكم في الآية مختصّ بالمحلّل، فإنّه الذي يصلح تقيّيد حرمته بحال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بالصيد في الآية الشريفة الاصطياد، بل هو الظاهر منها دون المصيد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حذف المتعلّق يفيد العموم، وأنّ المقدّر هو جميع الآثار، إلّا مع قيام القرينة على إرادة أثر خاص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ذلك اختصاص الآيه الكريمة بالمحلّل، ولا مفهوم لها كي يقيّد به إطلاق سائر الأدلّة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الأدلّة عن المُحرّم أكله،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تقريبه بدعوى تبادر المحلّل، وأيّده بأصالة الحِلّ والبراءة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منشأ لشيءٍ منهما، وأصالة الحلّ والبراءة لا مجرى لهما مع 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تجب الكفّارة في قتل غير المأكول غير الثمانية،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الأسد والأرنب والثعلب واليربوع والقُنفذ والضبّ والذئب والزنبور، التي دلّت النصوص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 أبي سعيد</w:t>
      </w:r>
      <w:r>
        <w:rPr>
          <w:rStyle w:val="FootnoteAnchor"/>
          <w:rtl w:val="true"/>
        </w:rPr>
        <w:footnoteReference w:id="804"/>
      </w:r>
      <w:r>
        <w:rPr>
          <w:rFonts w:ascii="Amiri" w:hAnsi="Amiri" w:eastAsia="Amiri" w:cs="Amiri"/>
          <w:color w:val="111111"/>
          <w:sz w:val="28"/>
          <w:sz w:val="28"/>
          <w:szCs w:val="28"/>
          <w:rtl w:val="true"/>
          <w:lang w:bidi="ar-SA"/>
        </w:rPr>
        <w:t>وصحاح البزنطي</w:t>
      </w:r>
      <w:r>
        <w:rPr>
          <w:rStyle w:val="FootnoteAnchor"/>
          <w:rtl w:val="true"/>
        </w:rPr>
        <w:footnoteReference w:id="805"/>
      </w:r>
      <w:r>
        <w:rPr>
          <w:rFonts w:ascii="Amiri" w:hAnsi="Amiri" w:eastAsia="Amiri" w:cs="Amiri"/>
          <w:color w:val="111111"/>
          <w:sz w:val="28"/>
          <w:sz w:val="28"/>
          <w:szCs w:val="28"/>
          <w:rtl w:val="true"/>
          <w:lang w:bidi="ar-SA"/>
        </w:rPr>
        <w:t>والحلبي</w:t>
      </w:r>
      <w:r>
        <w:rPr>
          <w:rStyle w:val="FootnoteAnchor"/>
          <w:rtl w:val="true"/>
        </w:rPr>
        <w:footnoteReference w:id="806"/>
      </w:r>
      <w:r>
        <w:rPr>
          <w:rFonts w:ascii="Amiri" w:hAnsi="Amiri" w:eastAsia="Amiri" w:cs="Amiri"/>
          <w:color w:val="111111"/>
          <w:sz w:val="28"/>
          <w:sz w:val="28"/>
          <w:szCs w:val="28"/>
          <w:rtl w:val="true"/>
          <w:lang w:bidi="ar-SA"/>
        </w:rPr>
        <w:t>ومعاوية</w:t>
      </w:r>
      <w:r>
        <w:rPr>
          <w:rStyle w:val="FootnoteAnchor"/>
          <w:rtl w:val="true"/>
        </w:rPr>
        <w:footnoteReference w:id="807"/>
      </w:r>
      <w:r>
        <w:rPr>
          <w:rFonts w:ascii="IRNazanin" w:hAnsi="IRNazanin" w:eastAsia="IRNazanin"/>
          <w:color w:val="111111"/>
          <w:sz w:val="28"/>
          <w:sz w:val="28"/>
          <w:szCs w:val="28"/>
          <w:rtl w:val="true"/>
          <w:lang w:bidi="fa-IR"/>
        </w:rPr>
        <w:t>ومسمع</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الكفّارة في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التلازم بين عدم لزوم الكفّارة وعدم التحريم، لعدم نهوض دليل على كون الكفّارة من لوازم الحرمة، كي يكون دليل عدم وجوب الكفّارة دليلاً لعدم الحرمة، كما يشهد له سقوط الكفّارة في الصيد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استفادة التلازم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قَتَلَهُ مِنْكُمْ مُتَعَمِّداً فَجَزاءٌ مِثْلُ ما قَتَلَ مِنَ اَلنَّعَمِ‌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 فداءٌ لمَن تعمّده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عليه السلام في صحيح ابن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الفداء على المُحرم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لا يدلّ على الصيد، فإنْ دلّ فعليه الفداء، فإنّ المستفاد منها ثبوت الفداء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كلّ ما تعلّق به النهي، وهذا التلازم لا يتمّ إلّاعلى تقدير تخصيص الصيد بالمحلّل منه، وأمّا غيره فلا تلازم فيه، بل صرّح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بأنّه لا خلاف بين العلماء في عدم وجوب الجزاء في قتل الحيّة والعقرب والفأرة والغراب والحداة والكلب والذئب، وأنّه لا يجبُ الجزاء عندنا في الجوارح من الطير كالبازي والصقر والشاهين والعقاب ونحو ذلك، والسّباع من البهائم، فلو كان صيد هذه الأنواع حراماً، كان الواجب ثبوت الفداء، للتلازم المستفاد من الآية والنصوص، والتالي باطلٌ‌، لما عرفت من الإجماع، فيتعيّن أنّ المراد خصوص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الآية والروايات ثبوت الفداء في كلّ ما تعلّق به النهي، فلابدّ من أحد التخصيصين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تخصيص الصيد بالمحلّل، أو الفداء ببعض ما يحرم صيده، فلا يعلم عموم حرمة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 بذلك اختصاص حرمة الصيد بما فيه الفداء، وهذا لا يفيد فيما نهي فيه عن قتل الدّواب والسّباع ونحوها من الأخبار بالمنطوق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الصيد، والآخر قتل الدّواب، والتلازم لو ثبت فإنّما هو في الأوّل دون الثاني، والمثبت للتعميم حقيقةً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للمُحرِم قتل الحيوان، سواءٌ أكان مأكول اللّحم أو غير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استثني عن ذلك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خيف منه، فإنّه يجوز قتله إذا أراده، إجماعاً كما قيل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لصحيح ابن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أحرمت فاتّق قتل الدّواب كلّها إلّاالأفعى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والعقرب والفأرة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والحيّة إن ارادتك فاقتلها، فإنْ لم تردك فلا تردها، والكلب العقور والسَّبع إذا أراداك فاقتلهما، وإنْ لم يكن تردك فلا تردها، والأُسود الغدر فاقتله على كلّ حال، وارم الغُراب والحُدأة 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حسين بن أبي العلاء،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المُحرِم الأسود الغدر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كلّ واحدٍ منهنّ يريدك</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يخاف المُحرِم على نفسه من السّباع والحيّات وغيرهما فليقتله، وإنْ لم يردك فلا ترده</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عبد الرحمن العزرمي، عن الإمام الصادق،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المُحرِم كلّ ما خشيه على نفسه</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آخر لمعاوية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قتل زنبوراً؟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يُطعم شيئاً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كلّ شيء أرادك فاقتله</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الأفعي والعقرب والفأرة، استثناهاالمحقّق</w:t>
      </w:r>
      <w:r>
        <w:rPr>
          <w:rStyle w:val="FootnoteAnchor"/>
          <w:rtl w:val="true"/>
        </w:rPr>
        <w:footnoteReference w:id="816"/>
      </w:r>
      <w:r>
        <w:rPr>
          <w:rFonts w:ascii="Amiri" w:hAnsi="Amiri" w:eastAsia="Amiri" w:cs="Amiri"/>
          <w:color w:val="111111"/>
          <w:sz w:val="28"/>
          <w:sz w:val="28"/>
          <w:szCs w:val="28"/>
          <w:rtl w:val="true"/>
          <w:lang w:bidi="ar-SA"/>
        </w:rPr>
        <w:t>وجماعة</w:t>
      </w:r>
      <w:r>
        <w:rPr>
          <w:rStyle w:val="FootnoteAnchor"/>
          <w:rtl w:val="true"/>
        </w:rPr>
        <w:footnoteReference w:id="817"/>
      </w:r>
      <w:r>
        <w:rPr>
          <w:rFonts w:ascii="Amiri" w:hAnsi="Amiri" w:eastAsia="Amiri" w:cs="Amiri"/>
          <w:color w:val="111111"/>
          <w:sz w:val="28"/>
          <w:sz w:val="28"/>
          <w:szCs w:val="28"/>
          <w:rtl w:val="true"/>
          <w:lang w:bidi="ar-SA"/>
        </w:rPr>
        <w:t>، ويشهدبه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الفضيل،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وما يقتل من الدّواب‌؟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الأسود والأفعى والفأرة والعقرب، وكلّ حيّة، وإن أرادك السبع فاقتله، وإنْ لم يردك فلا تقتله، والكلب العقور إنْ أرادك فاقتله، الحديث</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في الحرم والإحرام الأفعى والأسود الغدر، وكلّ حيّة سوء، والعقرب والفأرة وهي الفويسقه، ويرجم الغُراب والحدأة رجماً، الحديث</w:t>
      </w:r>
      <w:r>
        <w:rPr>
          <w:rFonts w:eastAsia="Amiri" w:cs="Amiri" w:ascii="Amiri" w:hAnsi="Amiri"/>
          <w:color w:val="111111"/>
          <w:sz w:val="28"/>
          <w:szCs w:val="28"/>
          <w:rtl w:val="true"/>
          <w:lang w:bidi="ar-SA"/>
        </w:rPr>
        <w:t>»</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حسن ابن أبي العلاء،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 كلّ واحدٍ منهنّ يريدك</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ونحوه غيره، لا يصلح مقيّداً لإطلاق هذه النصوص، إذ لا مفهوم له، ومنطوقه لاينافي الإطلاق كي يقيّده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وأصل جواز قتلها في الجملة محلّ وفاق، والنصوص ناطقة به، إنّما الخلاف في أنّه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يجوز مطلقاً كما هو الأشهر،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6" w:name="pg11808_109041"/>
    </w:p>
    <w:p>
      <w:pPr>
        <w:pStyle w:val="BookText"/>
        <w:rPr/>
      </w:pPr>
      <w:bookmarkEnd w:id="16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يختصّ بصورة الخوف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24"/>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ما تقدّم، كصحيح الحلبي، وخبر ابن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وحيث إنّه أخصّ فيخصَّص الإطلاق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الزنبور والنسر والأسود، ويجوز قتل هؤلاء أيضاً، لخبر غياث ابن إبراهيم، عن أبيه،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المُحرِم الزنبور والنسر والأسود الغدر والذئب، وما خاف أن يعدو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العقور هو الذئب</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وهب بن وهب</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العقور، والظاهر اختصاص الجواز بما إذا أراده، لخبر ابن الفضيل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والبقّ والقُمّلة والبرغوث والذَّر، ويشهد به النصوص الدالّة على جواز قتلها في الحرم،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تروك الإحرام،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دلّ على أنّ ما يجوز قتله في الحرم، يجوز للمحرم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بالجواز، وفي خصوص البقّ والبرغوث بحثٌ سيأتي في مبحث هوام الجسد</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10697031_73709187"/>
      <w:bookmarkStart w:id="168" w:name="_Toc56"/>
      <w:bookmarkEnd w:id="167"/>
      <w:r>
        <w:rPr>
          <w:rtl w:val="true"/>
        </w:rPr>
        <w:t>حرمة ذبيحة المُحرِم على المُحلّ والمُحرِم</w:t>
      </w:r>
      <w:bookmarkEnd w:id="16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صاد المُحرِم صيداً وقتله، حرُم عليه وعلى من مثله في كونه مُحرِماً إجماعاً ونصّاً، وهذا متّفقٌ عليه لا نقاش فيه، إنّما الكلام في أنّه هل يحرم </w:t>
      </w:r>
    </w:p>
    <w:p>
      <w:pPr>
        <w:pStyle w:val="BookText"/>
        <w:rPr/>
      </w:pPr>
      <w:r>
        <w:rPr>
          <w:rFonts w:ascii="Amiri" w:hAnsi="Amiri" w:eastAsia="Amiri" w:cs="Amiri"/>
          <w:color w:val="111111"/>
          <w:sz w:val="28"/>
          <w:sz w:val="28"/>
          <w:szCs w:val="28"/>
          <w:rtl w:val="true"/>
          <w:lang w:bidi="ar-SA"/>
        </w:rPr>
        <w:t>على كلّ أحدٍ وإنْ كان مُحلّاً أم لا؟ 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أكثر كتب الشيخ</w:t>
      </w:r>
      <w:r>
        <w:rPr>
          <w:rStyle w:val="FootnoteAnchor"/>
          <w:rtl w:val="true"/>
        </w:rPr>
        <w:footnoteReference w:id="8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8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8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836"/>
      </w:r>
      <w:r>
        <w:rPr>
          <w:rFonts w:ascii="Amiri" w:hAnsi="Amiri" w:eastAsia="Amiri" w:cs="Amiri"/>
          <w:color w:val="111111"/>
          <w:sz w:val="28"/>
          <w:sz w:val="28"/>
          <w:szCs w:val="28"/>
          <w:rtl w:val="true"/>
          <w:lang w:bidi="ar-SA"/>
        </w:rPr>
        <w:t>وغيرها، وهو أنّه ميتة وحرامٌ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هوالمشهور شهرة عظيمة، بل لم يحك الخلاف مَنْ عادته نقله وإنْ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ذبحه المحرم كان حراماً لا يَحلّ أكله للمحرم ولا للمُحلّ‌، يصير ميتة يحرم أكله على جميع الناس،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يحلّ أكله له إنْ ذبحه في الحِلّ‌، نُسب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Pr>
        <w:footnoteReference w:id="840"/>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والفقيه</w:t>
      </w:r>
      <w:r>
        <w:rPr>
          <w:rStyle w:val="FootnoteAnchor"/>
          <w:rtl w:val="true"/>
        </w:rPr>
        <w:footnoteReference w:id="841"/>
      </w:r>
      <w:r>
        <w:rPr>
          <w:rFonts w:ascii="Amiri" w:hAnsi="Amiri" w:eastAsia="Amiri" w:cs="Amiri"/>
          <w:color w:val="111111"/>
          <w:sz w:val="28"/>
          <w:sz w:val="28"/>
          <w:szCs w:val="28"/>
          <w:rtl w:val="true"/>
          <w:lang w:bidi="ar-SA"/>
        </w:rPr>
        <w:t>، والإسكافي</w:t>
      </w:r>
      <w:r>
        <w:rPr>
          <w:rStyle w:val="FootnoteAnchor"/>
          <w:rtl w:val="true"/>
        </w:rPr>
        <w:footnoteReference w:id="842"/>
      </w:r>
      <w:r>
        <w:rPr>
          <w:rFonts w:ascii="Amiri" w:hAnsi="Amiri" w:eastAsia="Amiri" w:cs="Amiri"/>
          <w:color w:val="111111"/>
          <w:sz w:val="28"/>
          <w:sz w:val="28"/>
          <w:szCs w:val="28"/>
          <w:rtl w:val="true"/>
          <w:lang w:bidi="ar-SA"/>
        </w:rPr>
        <w:t>والمفيد</w:t>
      </w:r>
      <w:r>
        <w:rPr>
          <w:rStyle w:val="FootnoteAnchor"/>
          <w:rtl w:val="true"/>
        </w:rPr>
        <w:footnoteReference w:id="843"/>
      </w:r>
      <w:r>
        <w:rPr>
          <w:rFonts w:ascii="Amiri" w:hAnsi="Amiri" w:eastAsia="Amiri" w:cs="Amiri"/>
          <w:color w:val="111111"/>
          <w:sz w:val="28"/>
          <w:sz w:val="28"/>
          <w:szCs w:val="28"/>
          <w:rtl w:val="true"/>
          <w:lang w:bidi="ar-SA"/>
        </w:rPr>
        <w:t>والسيّد</w:t>
      </w:r>
      <w:r>
        <w:rPr>
          <w:rStyle w:val="FootnoteAnchor"/>
          <w:rtl w:val="true"/>
        </w:rPr>
        <w:footnoteReference w:id="844"/>
      </w:r>
      <w:r>
        <w:rPr>
          <w:rFonts w:ascii="Amiri" w:hAnsi="Amiri" w:eastAsia="Amiri" w:cs="Amiri"/>
          <w:color w:val="111111"/>
          <w:sz w:val="28"/>
          <w:sz w:val="28"/>
          <w:szCs w:val="28"/>
          <w:rtl w:val="true"/>
          <w:lang w:bidi="ar-SA"/>
        </w:rPr>
        <w:t>والكُليني</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مقتول المُحرِم ومذبوحه، فالحكم بالحليّة للمحلّ في الأوّل، والحرمة له في الثاني، حُكي ذلك عن الشيخين</w:t>
      </w:r>
      <w:r>
        <w:rPr>
          <w:rStyle w:val="FootnoteAnchor"/>
          <w:rtl w:val="true"/>
        </w:rPr>
        <w:footnoteReference w:id="846"/>
      </w:r>
      <w:r>
        <w:rPr>
          <w:rFonts w:ascii="Amiri" w:hAnsi="Amiri" w:eastAsia="Amiri" w:cs="Amiri"/>
          <w:color w:val="111111"/>
          <w:sz w:val="28"/>
          <w:sz w:val="28"/>
          <w:szCs w:val="28"/>
          <w:rtl w:val="true"/>
          <w:lang w:bidi="ar-SA"/>
        </w:rPr>
        <w:t xml:space="preserve">وعن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وبعض من تأخّر</w:t>
      </w:r>
      <w:r>
        <w:rPr>
          <w:rStyle w:val="FootnoteAnchor"/>
          <w:rtl w:val="true"/>
        </w:rPr>
        <w:footnoteReference w:id="848"/>
      </w:r>
      <w:r>
        <w:rPr>
          <w:rFonts w:ascii="Amiri" w:hAnsi="Amiri" w:eastAsia="Amiri" w:cs="Amiri"/>
          <w:color w:val="111111"/>
          <w:sz w:val="28"/>
          <w:sz w:val="28"/>
          <w:szCs w:val="28"/>
          <w:rtl w:val="true"/>
          <w:lang w:bidi="ar-SA"/>
        </w:rPr>
        <w:t xml:space="preserve">عنه الميل إليه، 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إنّه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الوجوه المذكورة دليلاً أو تأييداً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الخاصّة الواردة في المقام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وهب، عن جعفر، عن أبيه،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ذبح المُحرِم الصيد لم يأكله الحلال والحرام، وهو كالميتة، وإذا ذبح الصيد في الحرم فهو ميتة، حلالٌ ذبحه أو حرام</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الحسن بن موسي الخشّاب، عن إسحاق، عن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أنّ‌عليّاً عليه السلام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المُحرِم الصيد في غير الحرم، فهو ميتة لايأكله مُحلّ ولا محرم</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قاصران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فلاشتراك وهب بين الضعيف والقوي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جملة رجاله الخشّاب، وهو غير ممدوح مدحاً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الخشّاب ممدوحٌ بمدحٍ يعتدّ به، قال النجاشي</w:t>
      </w:r>
      <w:r>
        <w:rPr>
          <w:rStyle w:val="FootnoteAnchor"/>
          <w:rtl w:val="true"/>
        </w:rPr>
        <w:footnoteReference w:id="8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وجوه أصحابنا، مشهور، كثير العلم والحديث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عن القسم الأوّل من الخلاصة</w:t>
      </w:r>
      <w:r>
        <w:rPr>
          <w:rStyle w:val="FootnoteAnchor"/>
          <w:rtl w:val="true"/>
        </w:rPr>
        <w:footnoteReference w:id="853"/>
      </w:r>
      <w:r>
        <w:rPr>
          <w:rFonts w:ascii="Amiri" w:hAnsi="Amiri" w:eastAsia="Amiri" w:cs="Amiri"/>
          <w:color w:val="111111"/>
          <w:sz w:val="28"/>
          <w:sz w:val="28"/>
          <w:szCs w:val="28"/>
          <w:rtl w:val="true"/>
          <w:lang w:bidi="ar-SA"/>
        </w:rPr>
        <w:t>، وذكره ابن داود</w:t>
      </w:r>
      <w:r>
        <w:rPr>
          <w:rStyle w:val="FootnoteAnchor"/>
          <w:rtl w:val="true"/>
        </w:rPr>
        <w:footnoteReference w:id="854"/>
      </w:r>
      <w:r>
        <w:rPr>
          <w:rFonts w:ascii="Amiri" w:hAnsi="Amiri" w:eastAsia="Amiri" w:cs="Amiri"/>
          <w:color w:val="111111"/>
          <w:sz w:val="28"/>
          <w:sz w:val="28"/>
          <w:szCs w:val="28"/>
          <w:rtl w:val="true"/>
          <w:lang w:bidi="ar-SA"/>
        </w:rPr>
        <w:t xml:space="preserve">في القسم الأوّل، وأشار إلى ما في رجال الشيخ والنجاشي،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ممدوح، واستشهد الوحيد لوثاقته بأُمورٍ، وعليه فحديث الرّجل إمّا صحيحٌ أو حسن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لا يعتمد إلّاعلى التوثيق الصريح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 الشهيدين، لا يعتمد على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عمل من تقدّم من الأساطين والفقهاء بهما ينجبر ضعف سندهما لو كان به، فلا إشكال فيهما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البأس بأكل المُحلّ ما صاده المُحرِم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مُحرمٍ أصابَ صيداً أيأكل منه الُمحلّ؟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الُمحلّ شيء، إنّما الفداء على المُحرِم</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أصاب صيداً وهو مُحرم، أيأكل منه الحلال‌؟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الفداء على المُحرِم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منصور بن حازم،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أصاب صيداً وهو مُحرم، آكل منه وأنا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أصاب مالاً حراماً؟ فقال عليه السلام ليس هذا مثل هذا يرحمك اللّه، إنّ ذلك عليه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الحلبي أو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قَتَل الصيد فعليه جزاؤه، ويتصدّق بالصيد على مسكين</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في الحرم وهو مُحرم، فإنّه ينبغي له أن يدفنه ولا يأكله أحد، وإذا أصاب في الحِلّ فإنّ الحلال يأكله وعليه الفداء</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وللقوم في الجمع بين الطائفتين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أصحاب القول الثالث،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المجوّزة للأكل مطلقٌ من حيث كون التذكية بالذبح بعد الصيد، أو كونها بغيره كما لو رماه ولم يدركه حَيّاً، والأخبار المانعة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الخبران المتقدّمان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بالذبح، فيقيّد إطلاق المجوّزة بها، فيختصّ المنع بما إذا ذبحه المُحرم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لو تَمّ في جملة من أخبار الجواز المتضمّنة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 في جميعها حتّى مثل حسن الحلبي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يبقى حينئذٍ فرقٌ بين الذبح والقتل، كي يُحمل الأوّل على ما لو ذبحه بعد الصيد، والقتل على ما لو قتله بالصيد؟ وهل هذا إلّاجمعٌ تبرّعي لا شاهد له‌؟</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أصحاب ذلك القول من أنّ الأخبار المجوّزة مطلقة من حيث إدراك الصيد وبه رمق، بأن يحتاج إلى الذّبح فيذبحه المُحلّ‌، وعدم إدراكه الا وليس به رمق، والأخبار المانعة مختصّة بالثاني، فيقيّد إطلاق المجوّزة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 الحلبي يأبى عن ذلك، كما لا يخفى على من لاحظه، والغريب أنّ المنسوب إلى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حمل خصوص حسن الحلبي وحسن معاوية على ما إذا أدرك الصيد وبه رمق، بحيث يحتاج إلى الذبح، مع التصريح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قتل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الحلبي، مع أنّ قوله عليه السلام في حسن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ينبغي له أن يدفنه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 من وجوه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المجوّزة كلّها متضمّنة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إلّاحسن الحلبي، والإصابة بنفسها ظاهرة في الأخذ والاستيلاء، فمفادها حينئذٍ أن مجرّد استيلاء المُحرِم على الصيد لا يوجبُ حرمته على الحلال، حتّى لو ذكّاه مُحلّ‌، بل للمحلّ أن يذكّيه ويأكله، وما ورد في ذيل حسن معاوية 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ينبغي له أن يدفنه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مرويٌ بطريق آخر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حسن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قتل الصيد فعليه جزاؤه، ويتصدّق بالصيد على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فكونه من الأخبار المجوّزة، إنّما هو بلحاظ ذيله الآمر بالتصدّق به على المسكين، إذ لو كان حراماً لما كان وجه لذلك، كما هو واضح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9" w:name="pg11808_109047"/>
    </w:p>
    <w:p>
      <w:pPr>
        <w:pStyle w:val="BookText"/>
        <w:rPr/>
      </w:pPr>
      <w:bookmarkEnd w:id="169"/>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الصيد للسببيّة، والمراد من مدخولها المعنى المصدري، فمفاد الخبر حينئذٍ هو أنّه يتصدّق على المسكين بسب ارتكابه الصيد، ويحتمل أن يقدّر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فمفاده أنّه يتصدّق على المسكين بمثل الصيد، وعلى التقديرين ليس الخبر من النصوص المجوّزة للأكل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الإصابة على خصوص الأخذ والاستيلاء خلاف الظاهر، سيّما مع فرض السؤال عن أكله من دون تقيّيد بالتذكية، فتأمّل، مع 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السببيّة، أو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خلاف الظاهر جدّاً لا يُصار إليه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الأخبار المانعة على الكراهة للنصوص المصرّحة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جهة التعبير فيها بأنّها ميتة، تأبى عن الحمل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تمّت دعوى إعراض الأصحاب عن النصوص المجوّزة فهي ساقطة عن الحجيّة، وإلّا وقع التعارض والترجيح مع الأخبار المانعة، لأن أوّل المرجّحات هي الشهرة وهي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المنع مطلقاً</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10697033_73709187"/>
      <w:bookmarkStart w:id="171" w:name="_Toc57"/>
      <w:bookmarkEnd w:id="170"/>
      <w:r>
        <w:rPr>
          <w:rtl w:val="true"/>
        </w:rPr>
        <w:t>الوجوه المؤيّدة للمنع</w:t>
      </w:r>
      <w:bookmarkEnd w:id="171"/>
    </w:p>
    <w:p>
      <w:p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لتأييد الأخبار المانعة والقول بالمنع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الآمرة بدفنه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خلّاد السِّري، عن إمامنا الصادق عليه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ذبح حمامة من حمام الحرم‌؟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فيأكله‌؟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طرحه فعليه فداءٌ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يصنع به‌؟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المُحرم الصيد في الحرم وهو محرم، فإنّه ينبغي له أن يدفنه ولا يأكله أحد، وإذا أصاب في الحِلّ فإنّ الحلال يأكله وعليه الفداء</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أبي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لغلامٍ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 لنا غداءنا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لنا أطياراً فذبحها وطبخها، فدخلتُ على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ادفنهن، وافد عن كلّ طير منهنّ‌</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خبر ابن أبي عمير فهو للدلالة أو الإشعار بالجواز أولى‌، فلأنّ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طرحه فعليه فداءٌ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طرحه أو أطعمه الغير يثبت عليه فداء آخر، فهو مشعرٌ بجواز الإطعام مع الالتزام بفداء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حسن معاوية فقد مرّ أنّه من نصوص الجواز، وعرفت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محمّد فليس فيه ما يدلّ على كون الغلام مُحرِماً، بل الظاهر أنّه في طير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يحلّ المذبوح إلّاإذا ذكر اسم اللّه تعالى عليه، والمُحرِم لا يتمكّن من ذلك، إذ مع حرمته عليه كيف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بتذكية المغصوب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بأن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اسمه تعالى حين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مع كون الفعل حراماً تكليفاً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تعارض الميتة والصيد للمُحرِم المضطرّ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سيّدنا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يضطرّ فيجد الميتة والصيد أيّهما يأكل‌؟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الصيد، أليس هو بالخيار أن يأكل‌؟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الفداء، فليأكل وليفده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المضطرّ إلى الميتة وهو يجد الصيد؟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أحلَّ له الميتة إذا اضطرّ إليها، ولم يحلّ له الصيد؟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من مالك أحبّ إليك أو ميتة‌؟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مالك، لأنّ عليك فداءه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عندي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تقضيه إذا رجعت إلى مالك</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أخبار زرارة، وابن بكير</w:t>
      </w:r>
      <w:r>
        <w:rPr>
          <w:rStyle w:val="FootnoteAnchor"/>
          <w:rtl w:val="true"/>
        </w:rPr>
        <w:footnoteReference w:id="867"/>
      </w:r>
      <w:r>
        <w:rPr>
          <w:rFonts w:ascii="Amiri" w:hAnsi="Amiri" w:eastAsia="Amiri" w:cs="Amiri"/>
          <w:color w:val="111111"/>
          <w:sz w:val="28"/>
          <w:sz w:val="28"/>
          <w:szCs w:val="28"/>
          <w:rtl w:val="true"/>
          <w:lang w:bidi="ar-SA"/>
        </w:rPr>
        <w:t>، وعليّ بن جعفر عليه السلام</w:t>
      </w:r>
      <w:r>
        <w:rPr>
          <w:rStyle w:val="FootnoteAnchor"/>
          <w:rtl w:val="true"/>
        </w:rPr>
        <w:footnoteReference w:id="868"/>
      </w:r>
      <w:r>
        <w:rPr>
          <w:rFonts w:ascii="Amiri" w:hAnsi="Amiri" w:eastAsia="Amiri" w:cs="Amiri"/>
          <w:color w:val="111111"/>
          <w:sz w:val="28"/>
          <w:sz w:val="28"/>
          <w:szCs w:val="28"/>
          <w:rtl w:val="true"/>
          <w:lang w:bidi="ar-SA"/>
        </w:rPr>
        <w:t>، وأبي أيّوب</w:t>
      </w:r>
      <w:r>
        <w:rPr>
          <w:rStyle w:val="FootnoteAnchor"/>
          <w:rtl w:val="true"/>
        </w:rPr>
        <w:footnoteReference w:id="869"/>
      </w:r>
      <w:r>
        <w:rPr>
          <w:rFonts w:ascii="IRNazanin" w:hAnsi="IRNazanin" w:eastAsia="IRNazanin"/>
          <w:color w:val="111111"/>
          <w:sz w:val="28"/>
          <w:sz w:val="28"/>
          <w:szCs w:val="28"/>
          <w:rtl w:val="true"/>
          <w:lang w:bidi="fa-IR"/>
        </w:rPr>
        <w:t>، ومنصور بن حازم</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عن جعفر،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المُحرِم إلى الصيد وإلى الميتة، فليأكل الميتة التي أحلَّ اللّه له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خبر عبد الغفار الجازي</w:t>
      </w:r>
      <w:r>
        <w:rPr>
          <w:rStyle w:val="FootnoteAnchor"/>
          <w:rtl w:val="true"/>
        </w:rPr>
        <w:footnoteReference w:id="872"/>
      </w:r>
      <w:r>
        <w:rPr>
          <w:rFonts w:ascii="IRNazanin" w:hAnsi="IRNazanin" w:eastAsia="IRNazanin"/>
          <w:color w:val="111111"/>
          <w:sz w:val="28"/>
          <w:sz w:val="28"/>
          <w:szCs w:val="28"/>
          <w:rtl w:val="true"/>
          <w:lang w:bidi="fa-IR"/>
        </w:rPr>
        <w:t>والمرسل</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الأخيرة المقدّمة للميتة، فسيأتي أنّه لابدّ من طرحها، وأمّا الطائفة المقدّمة للصيد، فمن جهة تضمّنها تقديم الصيد والتعليل في بعضها لذلك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وليس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الدلالة على الجواز أولى‌، وعلى أيّ تقدير لا تصلح تأييداً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فالعمدة في وجه المنع ما ذكرناه وكفى به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 الى أكل الميتة أو الصيد، فقد مرّ أنّ طائفةً من النصوص تدلّ على تقديم الصيد، وطائفةً اُخرى تدلّ على تقديم الميتة، وقد جمع الصدوق</w:t>
      </w:r>
      <w:r>
        <w:rPr>
          <w:rStyle w:val="FootnoteAnchor"/>
          <w:rtl w:val="true"/>
        </w:rPr>
        <w:footnoteReference w:id="874"/>
      </w:r>
      <w:r>
        <w:rPr>
          <w:rFonts w:ascii="Amiri" w:hAnsi="Amiri" w:eastAsia="Amiri" w:cs="Amiri"/>
          <w:color w:val="111111"/>
          <w:sz w:val="28"/>
          <w:sz w:val="28"/>
          <w:szCs w:val="28"/>
          <w:rtl w:val="true"/>
          <w:lang w:bidi="ar-SA"/>
        </w:rPr>
        <w:t>رحمه الله بينهما بالبناء على التخيّير مع رجحان الصيد، استناداً إلى خبر يونس المصرّح بكون الصيد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الحلبي آبٍ عن هذا الحمل، والفاضل النراقي</w:t>
      </w:r>
      <w:r>
        <w:rPr>
          <w:rStyle w:val="FootnoteAnchor"/>
          <w:rtl w:val="true"/>
        </w:rPr>
        <w:footnoteReference w:id="875"/>
      </w:r>
      <w:r>
        <w:rPr>
          <w:rFonts w:ascii="Amiri" w:hAnsi="Amiri" w:eastAsia="Amiri" w:cs="Amiri"/>
          <w:color w:val="111111"/>
          <w:sz w:val="28"/>
          <w:sz w:val="28"/>
          <w:szCs w:val="28"/>
          <w:rtl w:val="true"/>
          <w:lang w:bidi="ar-SA"/>
        </w:rPr>
        <w:t>رحمه الله قدّم الأولى لموافقتها للاستصحاب، أي استصحاب حليّة الصيد وحُرمة الميتة، ومخالفتها لما عليه 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حليّة الصيد قبل الاضطرار غير ثابتة كي تُستصحب، مع أنّ الاستصحاب ليس من المرجّحات، إذ لا مورد له مع الدليل، ومخالفة العامّة من المرجّحات، إلّاأنّه بعد فقد جملةٍ من المرجّحات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تقديم الميتة لابدّ من طرحها؛ إمّا لعدم العمل بها إلّا من شاذٍّ، أو لمعارضتها مع ما هو أشهر منها، والشهرة أولى المرجّحات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أكل الصيد، لابدّ من الاقتصار على ما يسدّ به الرمق، كما 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مقتضى الاضطرار المجوّز له، والنصوص لا إطلاق لها من هذه الجهة، لتدلّ على جواز الأكل بمجرّد الاضطرار مطلقاً، بل موضوع الجواز الاضطرار،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أكل وجب عليه الفداء، ويشهد به النصوص المتقدّمة، ولو لم يتمكّن من الفداء يقضيه إذا رجع من ماله، كما صرّح به في موثّق يونس، ولو لم يتمكّن منه إذا رجع أيضاً يأتي ببدله الآتي في بحث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 بدلٌ‌، أو عجز عنه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8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8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881"/>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الميتة، واستدلّ له باختصاص أخبار تقديم الصيد بما إذا تمكّن من الفداء للأمر به، فيبقى أخبار تقديم الميتة في هذا المورد خالية عن المعارض، فيجب العمل بها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تقديم الميتة بعد طرحها للإعراض أو لأرجحيّة المعارض، لا معنى للرجوع إليها، ونصوص تقديم الصيد أيضاً غير شاملة للمقام كما اُفيد، فالمتعيّن هو الرجوع الى القواعد، وهي تقتضي التخيّير كما هو واضح</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72" w:name="pg11808_109052"/>
    </w:p>
    <w:p>
      <w:pPr>
        <w:pStyle w:val="Heading2"/>
        <w:numPr>
          <w:ilvl w:val="1"/>
          <w:numId w:val="1"/>
        </w:numPr>
        <w:rPr/>
      </w:pPr>
      <w:bookmarkStart w:id="173" w:name="__RefHeading___Toc10697035_73709187"/>
      <w:bookmarkStart w:id="174" w:name="_Toc58"/>
      <w:bookmarkEnd w:id="172"/>
      <w:bookmarkEnd w:id="173"/>
      <w:r>
        <w:rPr>
          <w:rtl w:val="true"/>
        </w:rPr>
        <w:t>هل يترتّب سائر أحكام الميتة على صيد المُحرِم</w:t>
      </w:r>
      <w:bookmarkEnd w:id="17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 هذه المسألة عن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يترتّب على صيد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يجوز أكله حتّى للمُحلّ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أحكام الميتة، فلا تجوز الصلاة في جلده، ويحرم بيعه، ويوجب نجاسة ملاقيه، وما شاكل، كما 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لايترتّب عليه غيرحرمة الأكل، كماقوّاه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84"/>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نزل الصيد في الخبرين المتقدّمين الدالّين على حُرمة أكله منزلة الميتة، ومقتضى عموم التنزيل جريان جميع أحكام الميتة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التنزيل، هو تنزيله منزلتها في أوضح منافعها، وأظهر آثارها، وهو في المقام ليس إلّاحرمة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الإطلاق كون التنزيل بلحاظ 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صدر الخبرين حكمٌ بحرمة أكله، وهذا صالحٌ لأن يكون قرينة على إرادة الحرمة ممّا في ذيله من التنزيل، فيختصّ التنزيل بحرمة الأكل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إطلاق الذيل في نفسه، لا يصلح ما في الصدر قرينة عليه، لعدم التنافي بينهما، بل بينهما حينئذٍ كمال الملائمة، بل يكون من قبيل الصغرى والكبرى‌، فلا وجه لتقييد إطلاقة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على ما ذكر الالتزام بكون ما في الذيل تأكيداً، وهو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موثّق يونس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 من مالكَ أحبُّ إليك أو من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كونه ميتة، ولأجله يرفع اليد عن ظهور الخبرين، ويُحملان على إرادة أنّه كالميتة في حرمة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دلالة الموثّق على أنّه ليس ميتة حقيقةً‌، وما ذُكر من أنّه لا ماليّة للميتة، لا يشمل الصيد، ولكن هل يجمع بينه وبين الخبرين على إرادة خصوص الحرمة أو جميع آثارها؟ والموثّق لا يشهد بشيءٍ منهما، ومقتضى الإطلاق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يرد دليلٌ تعبّدي على اعتبار كون الذّابح مُحلّاً حتّى يقال بعدم تحقّق هذا الشرط، كما ورد ذلك في اعتبار كونه مسلماً وغيره من الشرائط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الخبرين يمكن عدّهما دليلاً تعبّديّاً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صيروته مذكّى بذبح المُحرِم، ولا يجوز الصلاة في جلده مثلاً للدليل الخاصّ‌، وكم من حيوانٍ مذكّى لا يجوز الصلاة في جلده، كما إذا كان غير مأكول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رواية خاصّة في جواز استعمال جلود الصيد التي جعل فيها الماء، وهو خبر علي بن مهزيار، قال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الرّجل عليه السلام عن المُحرِم يشرب الماء من قِربةٍ‌، أو سقّاء اتّخذ من جلود الصيد، هل يجوز ذلك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من جلودها</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75" w:name="pg11808_109054"/>
    </w:p>
    <w:p>
      <w:pPr>
        <w:pStyle w:val="BookText"/>
        <w:rPr/>
      </w:pPr>
      <w:bookmarkEnd w:id="175"/>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كون المسؤول عنه صيد المُحرِم، ولعلّ وجه السؤال أنّه كما يكون قتل الصيد والدلالة عليه والإشارة إليه وإمساكه حراماً، يمكن أن يكون استعمال جلده حراماً للمُحرِم أيضاً، وعليه فالخبر أجنبيٌ عن المقام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لعلّه من باب عدم تنجّس الماء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المصنّف رحمه الله من إجراء أحكام الميتة عليه مطلقاً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قبوله التذكية، وثبوت الماليّة له</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10697037_73709187"/>
      <w:bookmarkStart w:id="177" w:name="_Toc59"/>
      <w:bookmarkEnd w:id="176"/>
      <w:r>
        <w:rPr>
          <w:rtl w:val="true"/>
        </w:rPr>
        <w:t>حكم ذبح المُحلّ للصيد</w:t>
      </w:r>
      <w:bookmarkEnd w:id="177"/>
    </w:p>
    <w:p>
      <w:pPr>
        <w:pStyle w:val="BookText"/>
        <w:rPr/>
      </w:pPr>
      <w:r>
        <w:rPr>
          <w:rFonts w:ascii="Amiri" w:hAnsi="Amiri" w:eastAsia="Amiri" w:cs="Amiri"/>
          <w:color w:val="111111"/>
          <w:sz w:val="28"/>
          <w:sz w:val="28"/>
          <w:szCs w:val="28"/>
          <w:rtl w:val="true"/>
          <w:lang w:bidi="ar-SA"/>
        </w:rPr>
        <w:t>هذا كلّه فيما إذا ذبح المُحرِم للصيد، وأمّا إذا ذبحه المُحلّ فله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ذبحه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ذبحه في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ذبحه في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غير واحدٍ بحرمته أيضاً، وأنّه كالميتة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استفاضت الروايات مضافاً إلى اتّفاق الأصحاب بتحريم ما ذبحه المُحلّ في الحرم، وأنّه في حكم الميتة، لا يحلّ لمُحلٍّ ولا 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بذلك ما تقدّم من الخبرين في ذبح المُحرم، المصرّحين بحرمة ما ذبحه المُحلّ في الحرم، وأنّه ميتة، ومقتضى إطلاقهما ترتّب جميع أحكام الميتة عليه، </w:t>
      </w:r>
    </w:p>
    <w:p>
      <w:pPr>
        <w:pStyle w:val="BookText"/>
        <w:rPr/>
      </w:pPr>
      <w:r>
        <w:rPr>
          <w:rFonts w:ascii="Amiri" w:hAnsi="Amiri" w:eastAsia="Amiri" w:cs="Amiri"/>
          <w:color w:val="111111"/>
          <w:sz w:val="28"/>
          <w:sz w:val="28"/>
          <w:szCs w:val="28"/>
          <w:rtl w:val="true"/>
          <w:lang w:bidi="ar-SA"/>
        </w:rPr>
        <w:t>ويؤيّدهما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حمامٍ ذُبِح في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يأكله محرم، وإذا اُدخل مكّة أكله المُحلّ بمكّة، وإذا أُدخل الحرم حَيّاً ثمّ ذبح في الحرم، فلا يأكله لأنّه ذبح بعدما دخل مأمنه</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عبداللّه عليه السلام عن صيدٍ رمى في الحِلّ ثمّ اُدخل الحرم وهو حَيّ؟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أدخله المُحرِم وهو حَيّ‌، فقد حرم لحمه وإمساكه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لاتشتره في الحرم إلّامذبوحاً قد ذُبح في الحِلّ‌، ثمّ دخل الحرم فلا بأس به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شهاب بن عبد ربّه،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ما دخلت به الحرم حَيّاً فقد حَرُم عليك ذبحه وإمساكه</w:t>
      </w:r>
      <w:r>
        <w:rPr>
          <w:rFonts w:eastAsia="Amiri" w:cs="Amiri" w:ascii="Amiri" w:hAnsi="Amiri"/>
          <w:color w:val="111111"/>
          <w:sz w:val="28"/>
          <w:szCs w:val="28"/>
          <w:rtl w:val="true"/>
          <w:lang w:bidi="ar-SA"/>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أنّه يجوز للمُحلّ أكله في الحِلّ والحرم، ويشهد به مضافاً إلى الأصل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صحيحاً منصور والحلبي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يُصاد في الحِلّ ويُذبح في الحِلّ يدخل الحرم ويؤكل‌؟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تشترينّ في الحرم إلّامذبوحاً قد ذُبح في الحلّ‌، ثمّ جيء به إلى الحرم مذبوحاً فلا بأس به للحلال</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إطلاقها، عدم الفرق بين كون الصيد بدلالة المُحرِم أو إشارته أو إعانته بدفع سلاحٍ ونحوه وعدمها، كما أفتى بعدم الفرق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 بعض هذه النصوص حليته للمُحرِم أيضاً، لكنّه يجب تقيّيد إطلاقها بما دلّ من الأخبار على حرمته عليه كصحيح معاوية 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شيئاً من الصيد وأنتَ محرم وإن صاده حلال</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78" w:name="pg11808_109057"/>
    </w:p>
    <w:p>
      <w:pPr>
        <w:pStyle w:val="Heading2"/>
        <w:numPr>
          <w:ilvl w:val="1"/>
          <w:numId w:val="1"/>
        </w:numPr>
        <w:rPr/>
      </w:pPr>
      <w:bookmarkStart w:id="179" w:name="__RefHeading___Toc10697039_73709187"/>
      <w:bookmarkStart w:id="180" w:name="_Toc60"/>
      <w:bookmarkEnd w:id="178"/>
      <w:bookmarkEnd w:id="179"/>
      <w:r>
        <w:rPr>
          <w:rtl w:val="true"/>
        </w:rPr>
        <w:t>حرمة فرخ الصيد وبيضه</w:t>
      </w:r>
      <w:bookmarkEnd w:id="18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الصيد يحرم فرخه وبيضه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يعلم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xml:space="preserve">وفي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في شرح كلام الماتن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يحرم بيضه وفرخه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وإتلافاً مباشرةً ودلالةً وإعانةً‌، بلا خلاف، بل الإجماع بقسمية عليه،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إنّه قول كلّ من يُحفظ عنه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لذلك دليلاً سوى الأخبار المستفيضة الآتية الدالّة على ثبوت الكفّارة فيهما، كصحيح حفص بن البُختري،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الحمام درهم، وفي الفرخ نصف درهم، وفي البيضة ربع درهم</w:t>
      </w:r>
      <w:r>
        <w:rPr>
          <w:rFonts w:eastAsia="Amiri" w:cs="Amiri" w:ascii="Amiri" w:hAnsi="Amiri"/>
          <w:color w:val="111111"/>
          <w:sz w:val="28"/>
          <w:szCs w:val="28"/>
          <w:rtl w:val="true"/>
          <w:lang w:bidi="ar-SA"/>
        </w:rPr>
        <w:t>»</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وتماميّة هذا الوجه تتوقف على تلازم ثبوت الكفّارة مع الحرمة، أي كلّ ما ثبت فيه الكفّارة كان حراماً، والظاهر أنّ ذلك متسالمٌ عليه بينهم، ولعلّه بضميمة الإجماعات المحكيّة في المقام يكفي في الحكم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 يحرم البيض الذي أخذه المُحرِم أو كسره </w:t>
      </w:r>
      <w:bookmarkStart w:id="181" w:name="pg11808_109058"/>
    </w:p>
    <w:p>
      <w:pPr>
        <w:pStyle w:val="BookText"/>
        <w:rPr/>
      </w:pPr>
      <w:bookmarkEnd w:id="181"/>
      <w:r>
        <w:rPr>
          <w:rFonts w:ascii="Amiri" w:hAnsi="Amiri" w:eastAsia="Amiri" w:cs="Amiri"/>
          <w:color w:val="111111"/>
          <w:sz w:val="28"/>
          <w:sz w:val="28"/>
          <w:szCs w:val="28"/>
          <w:rtl w:val="true"/>
          <w:lang w:bidi="ar-SA"/>
        </w:rPr>
        <w:t xml:space="preserve">على المّحل في الحِلّ للأصل، وعدم اشتراط حلّه بنحو تذكيته أو بشيء فقد هنا، خلافاً للمحكي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10697041_73709187"/>
      <w:bookmarkStart w:id="183" w:name="_Toc61"/>
      <w:bookmarkEnd w:id="182"/>
      <w:r>
        <w:rPr>
          <w:rtl w:val="true"/>
        </w:rPr>
        <w:t>عن صيد الجراد وحكمه</w:t>
      </w:r>
      <w:bookmarkEnd w:id="18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الجراد عندنا من صيد البرّ، ويحرم قتله، ويضمنه المُحرم في الحِلّ والحرم، والمُحلّ في الحرم، ذهب إليه علماؤنا كما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اتّفاقاً محقّقاً ومحكيّاً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به نصوصٌ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محمّدبن مسلم،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قتل جراداً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وإنْ كان أكثر فعليه شاة</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صحيحه الآخر،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عليٌّ صلوات اللّه عليه على قومٍ يأكلون جراداً،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وأنتم مُحرِمون‌؟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صيد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ارمسوه في الماء إذاً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يأكل جراداً ولا يقتله</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 xml:space="preserve">. </w:t>
      </w:r>
      <w:bookmarkStart w:id="184" w:name="pg11808_109059"/>
    </w:p>
    <w:p>
      <w:pPr>
        <w:pStyle w:val="BookText"/>
        <w:rPr/>
      </w:pPr>
      <w:bookmarkEnd w:id="184"/>
      <w:r>
        <w:rPr>
          <w:rFonts w:ascii="Amiri" w:hAnsi="Amiri" w:eastAsia="Amiri" w:cs="Amiri"/>
          <w:color w:val="111111"/>
          <w:sz w:val="28"/>
          <w:sz w:val="28"/>
          <w:szCs w:val="28"/>
          <w:rtl w:val="true"/>
          <w:lang w:bidi="ar-SA"/>
        </w:rPr>
        <w:t>نعم، ما يقتل في حال الاضطرار من غير تعمّدٍ لانتشارهم في الطريق لاكفّارة فيه، ولابأس به، والنصوص تدلّ عليه كصحيح معاوية بن عمّار،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الجراد يكون في ظهر الطريق، والقوم محرمون، فكيف يصنعون‌؟ قال عليه السلام يتنكّبونه ما 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قتلوا منه شيئاً فما عليهم‌؟ قال عليه السلام لا شيء عليهم</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الأخبار الكثيرة</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10697043_73709187"/>
      <w:bookmarkStart w:id="186" w:name="_Toc62"/>
      <w:bookmarkEnd w:id="185"/>
      <w:r>
        <w:rPr>
          <w:rtl w:val="true"/>
        </w:rPr>
        <w:t>عدم حرمة صيد البحر على المُحرِم</w:t>
      </w:r>
      <w:bookmarkEnd w:id="186"/>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على المُحرِم صيد البحر بلا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البحري فلا يحرم به بالإجماعين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 إجماع المسلمين كافّة على تحليل مصيد البحر صيداً وأكلاً وبيعاً وشراءً ممّا يحلّ أكله، وأنّه لا خلاف فيه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 طَعامُهُ مَتاعاً لَكُمْ وَ لِلسَّيّارَةِ وَ حُرِّمَ عَلَيْكُمْ صَيْدُ اَلْبَرِّ ما دُمْتُمْ حُرُماً</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والسمك لا بأس بأكله طريّه ومالحه ويتزوّد،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9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فليختر الذين 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ما بينهما كلّ طير يكون في الآجام يبيض في البرّ ويفرخ في البرّ فهو من صيدُ البر، وما يكون من الطير يكون في البحر ويفرخ في البحر فهو من صيد البحر</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عمّن أخبره،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يصيد المُحرِم السمك ويأكلّ مالحه وطريّه ويتزوّد،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ما بينها كلّ طير يكون في الآجام يبيض في البرّ ويفرخ في البرّ فهو من صيد البر، وما كان من صيد البرّ يكون في البرّ ويبيض في البحر فهو من صيد البحر</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بالبحر ما يعمّ النهر، بلا خلافٍ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9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العرب تُسمّي النهر بحراً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 اَلْبَحْرِ</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والأغلب في البحر هو الذي يكون ماؤه مالحاً، لكن إذا أُطلق دخل فيه الأنهار بلا خلاف</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وتميّيز صيد البرّ عن البحر إنّما هو بملاحظة كيفيّة الحياة، فما يعيش في البرّ فهو برّي، وإنْ كان أصله من البحر فهو بحري، لصدق الاسم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ولصحيح محمّد المتقدّم في الجراد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عليٌّ عليه السلام على قومٍ يأكلون جراداً،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وأنتم محرمون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صيد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ارمسوه في الماء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ارمسوه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لما ادّعوه من كونه من البحر، ومعناه أنّه لو كان بحريّاً لكان يعيش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يعيش في البرّ والبحر معاً، فالفصل المميّز هو أنّه إنْ كان يبيض في الماء ويفرخ فيه فهو بحري، وأن كان يبيض ويفرخ في البرّ فهو برّي باتّفاق العلماء، ويشهد به الصحيحان المتقدّمان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وصحيح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لاتنافي بين الضابطتين، فإنّ مورد الاُولى هو ما يعيش في أحدهما، ومورد الثانية ما يعيش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حكم البيض والأفراخ التوالد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الظاهر إلحاق حكم البيض والفرخ، بل لعلّه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920"/>
      </w:r>
      <w:r>
        <w:rPr>
          <w:rFonts w:ascii="Amiri" w:hAnsi="Amiri" w:eastAsia="Amiri" w:cs="Amiri"/>
          <w:color w:val="111111"/>
          <w:sz w:val="28"/>
          <w:sz w:val="28"/>
          <w:szCs w:val="28"/>
          <w:rtl w:val="true"/>
          <w:lang w:bidi="ar-SA"/>
        </w:rPr>
        <w:t>من أنّ الفرخ يشمل التوالد، ولا يكون مختصّاً بما يتكوّن في البيض</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قول اللّغوي، سيّما مع مخالفته لما هو المنساق إلى الذهن، كما في المقام، إذ المتبادر إلى الذهن من الفرخ ما يتكوّن في البيض، وإليه يرجع 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9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الفرخ ولد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معارضة قوله قول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الأولويّة، لعدم العلم بالمناطات، وعليه فالأظهر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إشكال أورده بعضٌ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ظاهر النصوص والفتاوى أنّ الصيد البحري هو ما يبيض ويفرخ في الماء نفسه، فلو باض وفرخ في الآجام، وفي حافّة الأنهار، فهو صيدٌ برّي، ولذا قال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طير الماء كالبط ونحوه، فإنّه من صيد البرّ، لأنّه يبيض ويفرح فيه، وهو قول عامّة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إنّ هذه الضابطة واردة في الطيور وإسرائها في غيرها إنّما هو لتنقيح المناط، ولم يوجد طيرٌ يبيض ويفرخ في الماء، بل كلّ طير من طيور الماء يبيض ويفرخ في نواحيه، فيلزم لغويّة هذه الضابطة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مستند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طير الماء يبيض ويفرخ في نواحي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من أين 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الضابطة إنّما هي للطيور وغيرها فلا إشكال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87" w:name="pg11808_109063"/>
    </w:p>
    <w:p>
      <w:pPr>
        <w:pStyle w:val="Heading2"/>
        <w:numPr>
          <w:ilvl w:val="1"/>
          <w:numId w:val="1"/>
        </w:numPr>
        <w:rPr/>
      </w:pPr>
      <w:bookmarkStart w:id="188" w:name="__RefHeading___Toc10697045_73709187"/>
      <w:bookmarkStart w:id="189" w:name="_Toc63"/>
      <w:bookmarkEnd w:id="187"/>
      <w:bookmarkEnd w:id="188"/>
      <w:r>
        <w:rPr>
          <w:rtl w:val="true"/>
        </w:rPr>
        <w:t>في حكم الصيد المشكوك</w:t>
      </w:r>
      <w:bookmarkEnd w:id="189"/>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أنّه إذا كان لنوعٍ من الحيوان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بحريٌّ وبرّي كالسُّلحفاة كان لكلّ صنفٍ حكم نفسه، كما لا إشكال فيما لو شكّ في حيوانٍ أنّه برّي أو بحري وانطبق عليه أحد الضابطين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لو شكّ في ذلك، ولم يرتفع الشكّ بشيء من الضابطين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فقدصرّح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بأنّ‌المتّجه هوالحرمة، وقداستدلّ لذلك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اَلصَّيْدَ وَ أَنْتُمْ حُرُمٌ‌</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وجملة من النصوص كصحيح الحلبي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تستحلنّ شيئاً من الصيد وأنت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حرمة كلّ صيدٍ، خرج عن ذلك صيد البحر، فإن أُحرز كون الصيد بحريّاً حَلّ‌، وإلّا فمقتضى الإطلاق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 العموم دخول الفرد المشتبه، وما في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 صَيْدُ اَلْبَرِّ</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وما يشبهها من النصوص في ذلك لا يصلح مقيّداً للإطلاق، كي يكون موضوع الحرمة صيد البرّ خاصّة، المشكوك صدقه على المورد، فلا يجوز التمسّك بالإطلاق لعدم التنافي، وعدم حمل المطلق على المقيّد في المتوافقين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يتمّ فيما إذا كانت الشبهة مفهوميّة، بأن شُكّ في مفهوم صيد البحر أنّه هل يكون موسّعاً شاملاً لحيوان قد يبيض ويفرخ في الماء، وقد يبيض ويفرخ في خارج الماء، أم مضيّقاً لا يشمل ذلك بناءً على ما حقّقناه في الاُصول</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من جواز التمسّك بالعام في الشبهة المفهوميّة للخاص، ولا يتمّ إذا كان الشكّ من ناحية الاُمور الخارجيّة، كما لو شكّ في أنّه يبيض ويفرخ في الماء أو في خارجه، لعدم جواز التمسّك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الصيديّة مقتضية للحرمة، والبحريّة مانعة عنه، فلو أُحرز المقتضي وشُكّ في المانع، يبني على تحقّق المقتضي وهو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الكبرى‌، لعدم تماميّة قاعدة المقتضي والمانع، إذ ليس ذلك ممّا عليه بناء العقلاء، ولم يدلّ دليل تعبّدي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إذ المراد بالمقتضي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هو المقتضي في مقام الإثبات، وهو إطلاق الدليل، والمانع هو الخاصّ والمقيّد، فليس ذلك من مصاديق تلك القاعدة، بل هو حينئذٍ من قبيل التمسّك بالعام في الشبهة المصداقيّة، وقد مرّ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هو المقتضي والمانع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التشريعيّات ليس من قبيل العلل والمعلولات، بل المقتضيات كلّها من قبيل العلل المُعدّة، وأمّا العلّة التامّة فهي إرادة المولى وجعله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العلم بمناطات الأحكام، لا يُعلم أنّ الصيديّة مقتضية أم لا، فلعلّه لا اقتضاء في صيد البحر أصلاً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رحمه الله</w:t>
      </w:r>
      <w:r>
        <w:rPr>
          <w:rStyle w:val="FootnoteAnchor"/>
          <w:rtl w:val="true"/>
        </w:rPr>
        <w:footnoteReference w:id="928"/>
      </w:r>
      <w:r>
        <w:rPr>
          <w:rFonts w:ascii="Amiri" w:hAnsi="Amiri" w:eastAsia="Amiri" w:cs="Amiri"/>
          <w:color w:val="111111"/>
          <w:sz w:val="28"/>
          <w:sz w:val="28"/>
          <w:szCs w:val="28"/>
          <w:rtl w:val="true"/>
          <w:lang w:bidi="ar-SA"/>
        </w:rPr>
        <w:t>من أنّ تعليق الحكم الترخيصي على أمرٍ وجودي، يكون دالّاً بالدلالة الالتزاميّة على أنّ الموضوع هو إحراز ذلك الأمر،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وأنّه ما لم يُحرز يترتّب عليه ضدّ ذلك الحكم، مثلاً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لك أن تُدخل بيتي في هذا اليوم أصدقائي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العرف من ذلك أنّ من ذلك أنّ من علم كونه صديقاً للمولى يجوز إدخاله، وإلّا فلا يجوز، وفي المقام بما أنّ الجواز عُلّق على الأمر الوجودي، وهو كونه بحريّاً، فمع الشكّ في ذلك لابدّ من البناء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الجواز أيضاً عُلّق على أمرٍ وجودي وهو كونه بريّاً، كما عن بعض الأعاظم، فإنّ هذه الكبرى يمكن دعواها في خصوص الحكم الترخيصي، مع أنّه قد تقدّم منّا ومنه أنّ موضوع الحرمة ليس خصوص ما كان بريّاً، بل كلّ ما لم يكن بحريّاً لا يجوز 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الكبرى‌، إذ لا فرق بين تعليق الحكم الترخيصي على أمرٍ وجودي، أو الحكم الإلزامي عليه، في أنّ الموضوع بنظر العرف واقع ذلك الموضوع لاإحرازه، وإنّما يلتزم في بعض موارد الشكّ بثبوت ضدّ ذلك الحكم، فيما لم يكن مورداً للأصل النافي للتكليف من باب قاعدة وجوب دفع الضرر المحتمل، ولعلّه من هذا الباب الأحكام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الدلالة الالتزاميّة المشار إليها غير تامّة، لا يساعد عليها قواعد باب المحاورة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باستصحاب العدم الأزلي، بتقريب أنّ مقتضى إطلاق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كلّ صيدٍ، خرج عن ذلك صيد البحر، فالباقي تحته ليس كلّ حيوانٍ معنونٍ بعنوان عدم كونه بحريّاً، فضلاً عن تعنونه بكونه بريّاً، بل الباقي هو </w:t>
      </w:r>
    </w:p>
    <w:p>
      <w:pPr>
        <w:pStyle w:val="BookText"/>
        <w:rPr/>
      </w:pPr>
      <w:r>
        <w:rPr>
          <w:rFonts w:ascii="Amiri" w:hAnsi="Amiri" w:eastAsia="Amiri" w:cs="Amiri"/>
          <w:color w:val="111111"/>
          <w:sz w:val="28"/>
          <w:sz w:val="28"/>
          <w:szCs w:val="28"/>
          <w:rtl w:val="true"/>
          <w:lang w:bidi="ar-SA"/>
        </w:rPr>
        <w:t>كلّ حيوانٍ غير معنون بعنوان البحريّة، أي كلّ عنوان لم يكن ذاك بعنوان الخاصّ‌، فالموضوع مركّبٌ من الصيد، وعدم الاتّصاف بالبحريّة، لا الاتّصاف بعدم البحريّة، وعليه فحيث إنّه قبل وجود الحيوان لم يكن الصيد ولا اتّصافه بالبحريّة موجوداً، وبعد وجوده يشكّ في تبدّل عدم الاتّصاف بالاتّصاف، فيستصحب ذلك العدم، وبانضمام هذا الأصل إلى ما هو مُحرزٌ بالوجدان وهو الصيديّة يُحرز الموضوع، وهو الصيد غير المتّصف بكونه بحريّاً، فيترتّب عليه حكمه وهو الحرمة، وتمام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يعارض هذا الأصل أصالة عدم وجودالمجموع الذي هو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المجموع بما هو مجموعٌ لا يكون موضوعاً، بل الموضوع هو ذوات الأجزاء التوأمة، وهي محرزة بالوجدان والأصل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هذا الوجه، فكلّ حيوانٍ شُكّ في أنّه برّي أو بحري، ولم يمكن تشخيصه بشيءٍ من الضابطين، يُبنى على أنّ صيده حرام، ولا مجرى مع ذلك لأصالة البراءة كما لا يخفى‌</w:t>
      </w:r>
      <w:r>
        <w:rPr>
          <w:rFonts w:eastAsia="Amiri" w:cs="Amiri" w:ascii="Amiri" w:hAnsi="Amiri"/>
          <w:color w:val="111111"/>
          <w:sz w:val="28"/>
          <w:szCs w:val="28"/>
          <w:rtl w:val="true"/>
          <w:lang w:bidi="ar-SA"/>
        </w:rPr>
        <w:t>.</w:t>
      </w:r>
      <w:bookmarkStart w:id="190" w:name="pg11808_109067"/>
    </w:p>
    <w:p>
      <w:pPr>
        <w:pStyle w:val="BookText"/>
        <w:rPr/>
      </w:pPr>
      <w:bookmarkEnd w:id="190"/>
      <w:r>
        <w:rPr>
          <w:rFonts w:ascii="Amiri" w:hAnsi="Amiri" w:eastAsia="Amiri" w:cs="Amiri"/>
          <w:color w:val="111111"/>
          <w:sz w:val="28"/>
          <w:sz w:val="28"/>
          <w:szCs w:val="28"/>
          <w:rtl w:val="true"/>
          <w:lang w:bidi="ar-SA"/>
        </w:rPr>
        <w:t>والنساء وطياً وتقبيلاً ولمساً ونظراً بشهوة، وعقداً له ولغيره، وشهادة عليه</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10697047_73709187"/>
      <w:bookmarkStart w:id="192" w:name="_Toc64"/>
      <w:bookmarkEnd w:id="191"/>
      <w:r>
        <w:rPr>
          <w:rtl w:val="true"/>
        </w:rPr>
        <w:t>حرمة الجماع على المُحرِم</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وطياً وتقبيلاً ولمساً ونظراً بشهوة، وعقداً له ولغيره، وشهادة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كثير منها، بل في جميعها، فها هنا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المُحرِم وطء النساء قُبلاً أو دبراً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وقد استفاض نقل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930"/>
      </w:r>
      <w:r>
        <w:rPr>
          <w:rFonts w:ascii="Amiri" w:hAnsi="Amiri" w:eastAsia="Amiri" w:cs="Amiri"/>
          <w:color w:val="111111"/>
          <w:sz w:val="28"/>
          <w:sz w:val="28"/>
          <w:szCs w:val="28"/>
          <w:rtl w:val="true"/>
          <w:lang w:bidi="ar-SA"/>
        </w:rPr>
        <w:t>، والرفث وإنْ لم يكن صريحاً في الجماع، ولذا قيل في معناه إنّه الفحش من الكلام، إلّاأنّ المراد به في الآية الشريفة هو المراد منه في آية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وذلك للنصوص المفسّرة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أحرمتَ فعليك بتقوى اللّه، وذكر اللّه، وقلّة الكلام إلّابخير، فإنّ من تمام الحَجّ والعُمرة أن يحفظ المرء لسانه إلّامن خير،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فالرفث الجماع، والفسوق الكذب والسّباب، والجدال قول الرّجل لا واللّه وبلى واللّه</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الرفث جماع النساء، والفسوق </w:t>
      </w:r>
    </w:p>
    <w:p>
      <w:pPr>
        <w:pStyle w:val="BookText"/>
        <w:rPr/>
      </w:pPr>
      <w:r>
        <w:rPr>
          <w:rFonts w:ascii="Amiri" w:hAnsi="Amiri" w:eastAsia="Amiri" w:cs="Amiri"/>
          <w:color w:val="111111"/>
          <w:sz w:val="28"/>
          <w:sz w:val="28"/>
          <w:szCs w:val="28"/>
          <w:rtl w:val="true"/>
          <w:lang w:bidi="ar-SA"/>
        </w:rPr>
        <w:t>الكذب، الحديث</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الرَّفث فالجماع الخبر</w:t>
      </w:r>
      <w:r>
        <w:rPr>
          <w:rFonts w:eastAsia="Amiri" w:cs="Amiri" w:ascii="Amiri" w:hAnsi="Amiri"/>
          <w:color w:val="111111"/>
          <w:sz w:val="28"/>
          <w:szCs w:val="28"/>
          <w:rtl w:val="true"/>
          <w:lang w:bidi="ar-SA"/>
        </w:rPr>
        <w:t>»</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الشريفة من جهة النهي عن الرّفث الذي هو الجماع تدلّ على حرمة ذلك، ومقتضى إطلاقها عدم الفرق بين الرّجل والمرأة في هذا الحكم، وأمّا النصوص المتواترة الواردة بألسنة مختلفة، فقد ذكرها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36"/>
      </w:r>
      <w:r>
        <w:rPr>
          <w:rFonts w:ascii="IRNazanin" w:hAnsi="IRNazanin" w:eastAsia="IRNazanin"/>
          <w:color w:val="111111"/>
          <w:sz w:val="28"/>
          <w:sz w:val="28"/>
          <w:szCs w:val="28"/>
          <w:rtl w:val="true"/>
          <w:lang w:bidi="fa-IR"/>
        </w:rPr>
        <w:t>تحت أبواب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جواز الجماع والطيب، وجميع التروك قبل عقد الإحرام لا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تحريم الرفث والفسوق والجدال على المُحرِم والمُحرِمة والجماع، والتمكّن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المُحرِم إذا جامع ناسياً أو جاهلاً لا يجب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فساد حجّ الرّجل والمرأة بتعمّد الجماع مع العلم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الأبواب، وهذه النصوص ما بين ما هو صريح في الحرمة، وما هو يدلّ عليها بالمفهوم، وما يدلّ عليها من جهة دلالته على لزوم الكفّارة أو فساد الحَجّ‌، أووجوبه من قابل، وما شابه، أذكر رواية منها تيمّناً، وهي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مُحرِم وقع على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أتى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استَكرَهها أو لم يستكرهها؟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افتني فيها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استكرهها فعليه بدنتان، وإن لم يمكن استكرهها فعليهم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بدنة وعليها بدنة، ويفترقان من المكان الذي كان فيه ما كان، حتّى ينتهيا إلى مكّة، وعليهما الحَجّ من قابل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انتهيا إلى مكّة، فهي امرأته كما كانت‌؟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امرأته كما هي، فإذا انتهيا إلى المكان الذي كان منهما ما كان افترقا حتّى يحلّا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أحَلّا فقد انقضى عنهما، فإنّ أبي كان يقول ذلك</w:t>
      </w:r>
      <w:r>
        <w:rPr>
          <w:rFonts w:eastAsia="Amiri" w:cs="Amiri" w:ascii="Amiri" w:hAnsi="Amiri"/>
          <w:color w:val="111111"/>
          <w:sz w:val="28"/>
          <w:szCs w:val="28"/>
          <w:rtl w:val="true"/>
          <w:lang w:bidi="ar-SA"/>
        </w:rPr>
        <w:t>»</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أكثر النصوص عدم الفرق في ذلك بين الرّجل والمرأة، فكما يحرم النساء على الرّجل، يحرم الرِّجال على النساء، ولنِعْمَ ما عنون المسألة الفاضل النراقي</w:t>
      </w:r>
      <w:r>
        <w:rPr>
          <w:rStyle w:val="FootnoteAnchor"/>
          <w:rtl w:val="true"/>
        </w:rPr>
        <w:footnoteReference w:id="938"/>
      </w: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المحرّمات على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والرِّجال جماعاً ولمساً بشهوة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شيء منها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الحكم بين وطئها قُبلاً أو دبراً، لإطلاق الآية، فإنّ الرفث هو الجماع، أو جماع النساء، النصوص إذ لم يقيّد الحكم فيها بإتيانها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برفث امرأته أم يعمّ رفث الأجنبيّة‌؟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مجامعة الأجنبيّة بنفسها حرامٌ في حال الإحرام وغيره، وما هو محرّم لا يمكن أن يحكم عليه بالحرمة ثانياً، وإلّا لزم اجتماع المثلين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قابلة للتأكّد، فيُحكم بحرمته ثانياً، ويلتزم بالتأكّد ولا محذور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المقام ليس خصوص الحرمة التكليفيّة، بل الثابت الكفّارة وغيرها، ولا محذور في شمول أدلتها لها أيضاً، ويحكم بثبوت 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أنّ المنفيّ ما هو ثابت قبل الحَجّ‌، وهو رفث امرأته، وأمّا الرفث مع الأجنبيّة، فهو منفيّ قبل الحَجّ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المذكور ممنوعٌ‌، فإنّ النفي ليس نفياً تكوينيّاً، بل هو تشريعي، ولا مانع من التشريع ثانياً من جهة انطباق عنوان آخر عليه، مع أنّ النصوص عامّة لا يجري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إطلاق الآية والنصوص، ليس شيءٌ يستند إليه في البناء على 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الحكم مختصٌّ بإتيان النساء والجماع، أم يعمّ اللّواط والمساحقة ووطء البهائم‌؟</w:t>
      </w:r>
    </w:p>
    <w:p>
      <w:pPr>
        <w:pStyle w:val="BookText"/>
        <w:rPr/>
      </w:pPr>
      <w:r>
        <w:rPr>
          <w:rFonts w:ascii="Amiri" w:hAnsi="Amiri" w:eastAsia="Amiri" w:cs="Amiri"/>
          <w:color w:val="111111"/>
          <w:sz w:val="28"/>
          <w:sz w:val="28"/>
          <w:szCs w:val="28"/>
          <w:rtl w:val="true"/>
          <w:lang w:bidi="ar-SA"/>
        </w:rPr>
        <w:t>الظاهر هو الفرق بين الأوّل والأخيرين، كما لعلّه كذلك في الكفّارة، لشمول الآية الشريفة وبعض النصوص له، فإنّ الرفث فسر بالجماع الشامل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صحيح عليّ بن جعفر من تفسيره بجماع النساء، لعدم كونه في مقام التحديد، لا يصلح مقيّداً، فتأمّل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الكلام في ذلك في مبحث الكفّارات</w:t>
      </w:r>
      <w:r>
        <w:rPr>
          <w:rStyle w:val="FootnoteAnchor"/>
          <w:rtl w:val="true"/>
        </w:rPr>
        <w:footnoteReference w:id="940"/>
      </w:r>
      <w:r>
        <w:rPr>
          <w:rFonts w:ascii="Amiri" w:hAnsi="Amiri" w:eastAsia="Amiri" w:cs="Amiri"/>
          <w:color w:val="111111"/>
          <w:sz w:val="28"/>
          <w:sz w:val="28"/>
          <w:szCs w:val="28"/>
          <w:rtl w:val="true"/>
          <w:lang w:bidi="ar-SA"/>
        </w:rPr>
        <w:t>، إذ البحث في المقام متمحّض في الحرمة، وحرمة هذه الاُمور من الضروريّات، فلا فائدة في إطالة البحث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3" w:name="pg11808_109071"/>
    </w:p>
    <w:p>
      <w:pPr>
        <w:pStyle w:val="BookText"/>
        <w:rPr/>
      </w:pPr>
      <w:bookmarkEnd w:id="193"/>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بين الزوجة الدائمة والمنقطعة، لإطلاق الأدلّة</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10697049_73709187"/>
      <w:bookmarkStart w:id="195" w:name="_Toc65"/>
      <w:bookmarkEnd w:id="194"/>
      <w:r>
        <w:rPr>
          <w:rtl w:val="true"/>
        </w:rPr>
        <w:t>حرمة التقبيل على المُحرِم</w:t>
      </w:r>
      <w:bookmarkEnd w:id="19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على المُحرِم تقبيل امرأته، بلا خلافٍ فيه في الجملة،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وشرحها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الكليني، عن الحسين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المُحرِم يُقبِّل أُمّه‌؟ قال عليه السلام لا بأس هذه قُبلة رحمة، إنّما تكره قُبلة الشهوة</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والكراهة مضافاً إلى استعمالها في الحرمة في الأخبار كثيراً، يُراد بها في المقام الحرمة بقرينة المقابلة بنفي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المستفاد من الخبر، أن الذي يكون حراماً هو القُبلة التي تكون محلّ الشهوة، لا ما ليس محلّها، ولا داعياً إلى الجماع، فمقتضى إطلاقه حرمة تقبيل المرأة مطلقاً، سواءٌ أكان عن شهوة أم لم يكن، لأنها محلّ الشهوة، بخلاف الاُمّ ومن شابهها كالاُخت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مسمع أبي سيّار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سيّار إنّ حال المحرم ضيّقة، فمَن قبَّل إمرأته على غير شهوةٍ وهو مُحرِم فعليه دم شاة، ومَن قبّل إمرأته على شهوة فأمنى فعليه جزور، ويستغفر اللّه، ومَن مسَّ إمرأته وهو مُحرِم على شهوة فعليه دم شاة، ومن نظر إلى إمرأته نظر شهوة فأمنى فعليه جزور، ومن </w:t>
      </w:r>
      <w:bookmarkStart w:id="196" w:name="pg11808_109072"/>
    </w:p>
    <w:p>
      <w:pPr>
        <w:pStyle w:val="BookText"/>
        <w:rPr/>
      </w:pPr>
      <w:bookmarkEnd w:id="196"/>
      <w:r>
        <w:rPr>
          <w:rFonts w:ascii="Amiri" w:hAnsi="Amiri" w:eastAsia="Amiri" w:cs="Amiri"/>
          <w:color w:val="111111"/>
          <w:sz w:val="28"/>
          <w:sz w:val="28"/>
          <w:szCs w:val="28"/>
          <w:rtl w:val="true"/>
          <w:lang w:bidi="ar-SA"/>
        </w:rPr>
        <w:t>مسَّ إمرأته أو لازمها من غير شهوة فلا شيء عليه</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هذا الخبر على الحرمة كالنصوص الآتية، متوقّفة على اقتضاء ثبوت الكفّارة للحرمة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مصرّح بعدم الفرق بين كون التقبيل بشهوةٍ أو بغير 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العلاء بن فضيل،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وامرأة تمتّعا جميعاً، فقصّرت امرأته ولم يقصّر فقبلها؟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 وإنْ كانا لم يقصّرا جميعاً، فعلى كلّ واحدٍ منهما أن يهريق دماً</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فإنْ قبَّل‌؟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أشدّ، ينحر بدنة</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عليّ بن أبي حمزة،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قبّل إمرأته وهو مُحرِم‌؟ قال عليه السلام عليه بدنة، وإن لم ينزل، وليس له أن يأكل منها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10697051_73709187"/>
      <w:bookmarkStart w:id="198" w:name="_Toc66"/>
      <w:bookmarkEnd w:id="197"/>
      <w:r>
        <w:rPr>
          <w:rtl w:val="true"/>
        </w:rPr>
        <w:t>فروع</w:t>
      </w:r>
      <w:r>
        <w:rPr>
          <w:rtl w:val="true"/>
        </w:rPr>
        <w:t>:</w:t>
      </w:r>
      <w:bookmarkEnd w:id="19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الحكم مختصٌّ بالتقبيل عن شهوة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xml:space="preserve">وفي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 xml:space="preserve">ونقله عن جماعة،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9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يعمّ ما إذا كان التقبيل لا بالشهوة، كما هو صريح بعضٍ‌،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w:t>
      </w:r>
      <w:r>
        <w:rPr>
          <w:rStyle w:val="FootnoteAnchor"/>
          <w:rtl w:val="true"/>
        </w:rPr>
        <w:footnoteReference w:id="94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9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وغيرها؟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بعض ما تقدّم، وصريح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وبالتعليل في خبر الحسين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قُبلة الشهوة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المنساق من إطلاق تقبيل الإمرأة كونه على وجه الاستمتاع والإلتذاذ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واُجيب عن التصريح في خبر مسمع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محمول على إرادة عدم الإمناء، بقرينة المقابلة، لكونه تقبيل رحمة، ونحوه ممّا لم يكن استمتاعاً والتذاذاً بالإمرأة، ولكن الأصل مقطوعٌ بما عرفت، والتعليل في خبر ابن حمّاد قد عرفت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ما ذُكر هو المنساق من إطلاق تقبيل المرأة ممنوعٌ‌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عدم الإمناء وإنْ كان لا يبعد بقرينة المقابلة، لكنّه لا يصلح مقيّداً لإطلاق الأدلّة، وعليه فالأظهر هو التعميم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مختصّة بتقبيل امرأته، فإسراء الحكم إلى تقبيل الأجنبيّة والغلام إنّما هو بالأولويّة، أو لعموم العلّة في خبر ابن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تقبيل الاُمّ والاُخت والبنت ومن أضرابهنّ‌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للمُحرِم أن يُقبِّل اُمّه لأنّه ليس محلّاً للشهوة، ولا داعياً إلى الجماع فكان 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عن حسين بن حمّاد ثمّ ساق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فالتعليل الذي علّل الإمام عليه السلام ينسحب في غير الاُمّ كالبنت والاُخت والعمّة والخالة وبنت الأخ وغيرهن من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تقبيل المرأة للرجل أيضاً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الفاضل النراقي</w:t>
      </w:r>
      <w:r>
        <w:rPr>
          <w:rStyle w:val="FootnoteAnchor"/>
          <w:rtl w:val="true"/>
        </w:rPr>
        <w:footnoteReference w:id="953"/>
      </w:r>
      <w:r>
        <w:rPr>
          <w:rFonts w:ascii="Amiri" w:hAnsi="Amiri" w:eastAsia="Amiri" w:cs="Amiri"/>
          <w:color w:val="111111"/>
          <w:sz w:val="28"/>
          <w:sz w:val="28"/>
          <w:szCs w:val="28"/>
          <w:rtl w:val="true"/>
          <w:lang w:bidi="ar-SA"/>
        </w:rPr>
        <w:t>للأوّل بالإجماع المركّب، وبالتصريح بحكم المرأة في رواية العلاء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غير ثابت، وعلى فرض ثبوته، كونه تعبّديّاً غير ظاهر، كما ويرد على الثاني أنّ الظاهر من الخبر بيان حكم مطاوعة المرأة وتسليمها لتقبيل الرّجل لها لا تقبيلها إيّاه، ولا أقلّ من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له بتنقيح المناط، وقاعدة الاشتراك، وهما كما ترى‌، فإذاً لا دليل على حرمته، ولكن الاحتياط لا يُترك، وسيأتي في المسّ ماله نفعٌ بالمقام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99" w:name="pg11808_109075"/>
    </w:p>
    <w:p>
      <w:pPr>
        <w:pStyle w:val="Heading2"/>
        <w:numPr>
          <w:ilvl w:val="1"/>
          <w:numId w:val="1"/>
        </w:numPr>
        <w:rPr/>
      </w:pPr>
      <w:bookmarkStart w:id="200" w:name="__RefHeading___Toc10697053_73709187"/>
      <w:bookmarkStart w:id="201" w:name="_Toc67"/>
      <w:bookmarkEnd w:id="199"/>
      <w:bookmarkEnd w:id="200"/>
      <w:r>
        <w:rPr>
          <w:rtl w:val="true"/>
        </w:rPr>
        <w:t>حرمة لمس المرأة على المُحرِم</w:t>
      </w:r>
      <w:bookmarkEnd w:id="20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الرّجل لمس امرأته، بلا خلافٍ فيه في الجملة، ويشهد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حمل امرأته وهو مُحرِمٌ فأمنى أو أمذى؟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حملها أو مسّها بشيء من الشهوة فأمنى‌، أو لم يمن، أمذى أو لم يمذ، فعليه دم يهريقه، فإن حملها أو مسّها لغير شهوة فأمنى أو أمذى فليس عليه شيء</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يضع يده على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فينزلها من المَحمل ويضمّها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أراد أن ينزلها من المَحمل فلمّا ضمّها إليه أدركته الشهوة‌؟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إلّاأن يكون طلب ذلك</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وحَسن مسمع أبي سيّار المتقدّم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النصوص يقيّد إطلاق غيرها ممّا تضمّن ثبوت الكفّارة على اللّمس مطلقاً، كما أنّ بها يقيّد إطلاق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أفيمسّها وهي مُحرِمة‌؟ قال عليه السلام نعم</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يحمل ما أطلق فيه من الفتاوي المحكيّة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ويحتمله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دلالة هذه النصوص على الحرمة، إنّما هي بواسطة دلالتها على ثبوت الكفّارة بناءً على اقتضائه ذلك، كما هو الظاهر،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للإجماع ظاهراً على استلزام وجوب الكفّارة، لعدم الجواز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بالحرمة مضافاً إلى ذلك، خبر الأعرج،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ينزل المرأة من المَحمل فيضمّها إليه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إلّاأن يتعمّد ذلك</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ثبوت البأس في صورة التعمّد المستفاد من الاستثناء، ملازمٌ للمحرمة كما مرّ فتدبّر، فلا إشكال في الحكم، كما لاريب في الاختصاص بما إذا كان عن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مختصّة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الحرمة للمرأة إذا مسّت الرّجل بشهوة ممّا ادّعى عليه الفاضل النراقي</w:t>
      </w:r>
      <w:r>
        <w:rPr>
          <w:rStyle w:val="FootnoteAnchor"/>
          <w:rtl w:val="true"/>
        </w:rPr>
        <w:footnoteReference w:id="959"/>
      </w:r>
      <w:r>
        <w:rPr>
          <w:rFonts w:ascii="Amiri" w:hAnsi="Amiri" w:eastAsia="Amiri" w:cs="Amiri"/>
          <w:color w:val="111111"/>
          <w:sz w:val="28"/>
          <w:sz w:val="28"/>
          <w:szCs w:val="28"/>
          <w:rtl w:val="true"/>
          <w:lang w:bidi="ar-SA"/>
        </w:rPr>
        <w:t>الإجماع المركّب، وهو بضميمة قاعدة الاشتراك وتنقيح المناط، إن لم توجب الإفتاء بالثبوت، لا ريب في صيرورتها منشئاً للاحتياط اللّزومي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المستفاد من نظائر المقام في الجماع والملاعبة وما شاكل، ثبوت الحكم في المرأة أيضاً، وكذا في 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يختصّ الحكم بالزوجة أم يشمل الأجنبيّة‌؟ وجهان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الباب مختصّة بالزوجة، والتعدّي عنها يتوقّف على إلغاء الخصوصيّة أو تنقيح المناط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أن يستدلّ للشمول للأجنبيّة، بالنصوص الواردة في الدُّعاء عند التهيّؤ للإحرام، المشتملة على تحريم الاستمتاع بالنساء على المُحرِم، كقول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لكَ شَعري وبَشَري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تحريم الاستمتاع بهُنّ مطلقاً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فيحرم النظر عن شهوة إلى الأجنبيّة من جهة الإحرام أيضاً، وبذلك يظهر حكم تقبيلها</w:t>
      </w:r>
      <w:r>
        <w:rPr>
          <w:rFonts w:eastAsia="Amiri" w:cs="Amiri" w:ascii="Amiri" w:hAnsi="Amiri"/>
          <w:color w:val="111111"/>
          <w:sz w:val="28"/>
          <w:szCs w:val="28"/>
          <w:rtl w:val="true"/>
          <w:lang w:bidi="ar-SA"/>
        </w:rPr>
        <w:t>.</w:t>
      </w:r>
      <w:bookmarkStart w:id="202" w:name="pg11808_109078"/>
    </w:p>
    <w:p>
      <w:pPr>
        <w:pStyle w:val="Heading2"/>
        <w:numPr>
          <w:ilvl w:val="1"/>
          <w:numId w:val="1"/>
        </w:numPr>
        <w:rPr/>
      </w:pPr>
      <w:bookmarkStart w:id="203" w:name="__RefHeading___Toc10697055_73709187"/>
      <w:bookmarkStart w:id="204" w:name="_Toc68"/>
      <w:bookmarkEnd w:id="202"/>
      <w:bookmarkEnd w:id="203"/>
      <w:r>
        <w:rPr>
          <w:rtl w:val="true"/>
        </w:rPr>
        <w:t>نظر المُحرِم إلى زوجته</w:t>
      </w:r>
      <w:bookmarkEnd w:id="20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المُحرِم إلى زوجته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إذا كان عن شهوة، وهو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 من خلوّ كتب الشيخ والأكثر عن تحريمه، وهو عدم حرمته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نظر فأمنى يحرم من ناحية الإمناء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الصدوق</w:t>
      </w:r>
      <w:r>
        <w:rPr>
          <w:rStyle w:val="FootnoteAnchor"/>
          <w:rtl w:val="true"/>
        </w:rPr>
        <w:footnoteReference w:id="960"/>
      </w:r>
      <w:r>
        <w:rPr>
          <w:rFonts w:ascii="Amiri" w:hAnsi="Amiri" w:eastAsia="Amiri" w:cs="Amiri"/>
          <w:color w:val="111111"/>
          <w:sz w:val="28"/>
          <w:sz w:val="28"/>
          <w:szCs w:val="28"/>
          <w:rtl w:val="true"/>
          <w:lang w:bidi="ar-SA"/>
        </w:rPr>
        <w:t xml:space="preserve">التصريح بأنّه لاشيء عليه، واختاره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 xml:space="preserve">لولا الإجماع، والفاضل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 النظر بشهوة حرامٌ‌، وهي النصوص الدالّة على تحريم الاستمتاع بالنساء مطلقاً، التي تقدّمت الإشارة إليها، الواردة في أدعية التهيّؤ للإحرام، حيث تمسّك بها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رحمه الله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النظر ولو كان بشهوة لا يكون حراماً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نظر إلى امرأة بشهوة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ينظر إلى امرأته وهي محرمة‌؟ قال عليه السلام لا بأس</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النظر بشهوة إذا 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إمامنا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نظر إلى إمرأته فأمنى أو أمذى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ولكن ليغتسل ويستغفر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المُحرِم ينظر الى امرأته أو ينزلها بشهوةٍ حتّى ينزل‌؟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الاستدلال ذيل الخبر، أمّا صدره فغير خالٍ عن الإشكال،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المراد به النظر بشهوة، فيعارض مع ذيله، فإنّه في الصدر يصرّح بأنّه لا شيء عليه، وفي الذيل يقول بأنّ عليه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النظر بغير شهوة، فهو ليس بحرامٍ‌،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ويستغفر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السؤال إنّما هو عن الإمناء أو الإمذاء على إطلاقه الذي لم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خبر مسمع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امرأته نظر شهوةٍ فأمنى فعليه 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حرمة النظر بشهوة، وإنْ لم يمن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مُحرِمٌ نظر إلى ساق إمرأة أو إلى فرجها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فعليه بدنة، وإنْ كان وسطا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فعليه بقرة، وإنْ كان فقيراً فعليه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أجعل عليه هذا، لأنّه أمنى‌، إنّما جعلته عليه لأنّه نظر إلى ما لا يحلّ له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صريح في أنّ الحرمة لغير الإمناء، وأنّ المُحرّم هو النظر وإنْ لم يخرج منه 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الطوائف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مختصّة بصورة الإمناء، فلعلّ الكفّارة لأجله لا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وإنْ كانت صريحة في أنّ الكفّارة لأجل النظر لا للإمناء، إلّاأنّه قد يقال باختصاصها بالأجنبيّة للتعليل، ولتنكير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دفع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تجري العلّة في الزوجة من جهة عدم الحلية لأجل الإحرام، فلا مقيّد للصدر، وتنكير المرأة إنّما هو لإفادة الإطلاق، إلّا أنّه يعارضها صحيح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نظر إلى غير أهله فأنزل‌؟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لأنّه نظر إلى غير ما يحلّ له، وإن لم يكن أنزل فليتّق اللّه، ولا يعُد، وليس عليه شيء</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والجمع بينهما يقتضي البناء على أنّ الموجب للكفّارة، هو النظر المؤدّي الى الإمناء لا مطلقاً كما هو واضح</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فلمعارضتها مع هاتين الطائفتين، وإعراض الأصحاب عنها تُطرح إمّا ابتداءً أو بعد ملاحظة المعارضة، أو تُحمل على حال السهو كما حمله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عليها الشيخ قدس سره</w:t>
      </w:r>
      <w:r>
        <w:rPr>
          <w:rStyle w:val="FootnoteAnchor"/>
          <w:rtl w:val="true"/>
        </w:rPr>
        <w:footnoteReference w:id="9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نفي الشيء عليه لا يدلّ على نفي الحرمة، فغير تامّ‌، إذ النكرة الواقعة في حيز النفي تدلّ على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معارضٌ لها، وتدلّ على حرمة الاستمتاع بالنساء، ومن الاستمتاع بهنّ النظر بشهوة، ولو لم يمن أو لم يمذ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حرمة النظر بشهوة مطلقاً، ويؤيّده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له، وهو فحوى ما دلّ من النصوص على حرمة المسّ والحمل إذا كان بشهوة لا بدونها، وقد تقدّمت وجه كون ذلك مؤيّداً لا دليلاً، أنّه يحتمل وجود خصوصيّة في المسّ والحمل غير موجودة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النظر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النظر بدون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جائزٌ بلا خلاف، ويشهد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ما دلّ على النظر إلى المرأة حتّى النظر إلى فرجها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قال لإمرأته أو لجاريته بعدما حَلَق ولم يطف ولم يَسْع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اطرحي ثوبك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إلى فرجها؟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إذا لم يكن غير النظر</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النصوص وإنْ اختصّ بعضها بالزوجة، إلّاأنّ جملة منها مطلقة شاملة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للأجنبيّة، وبعضها في خصوص الأجنبيّة، فلا وجه لاختصاص الحكم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71"/>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 ذلك بين الزوجة والأجنبيّة بالنسبة إلى النظرة الاُولى إن جوّزناها والنظر إلى المخطوبة، وإلّا فالحكم مخصوص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تامّ‌، ويرد عليه ما أورده سبطه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حيث قال بعد نقل ذلك من 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وجه الاختصاص عموم تحريم النظر إلى الأجنبيّة على هذا التقدير، وعدم اختصاصه بحال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إلّاأنّ ذلك لا ينافي اختصاص التحريم الإحرامي بما إذا كان بالشهوة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ومحصّل ما يمكن قوله هنا إنّ في المقام 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الزوجة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وحرمة الثاني مطلقة، والأوّل مقيّدة بما إذا كان عن شهوة، وإذا انطبقا على موردٍ تتأكّد الحرمة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73"/>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قيل بتحريم النظر إلى الأجنبيّة مطلقاً في أوّل نظرة أو غيرها من مُحِلٍّ كان أو مُحرِم، فالتفصيل بالنسبة إلى المُحرِم بين ما إذا كان نظره بشهوه فيحرم، أوّلاً بشهوة فيحلّ‌، لا معنى له، لأنّ المدّعى عموم التحريم للمُحرِم وغيره، فكيف يتمّ ما ادّعاه من اختصاص التحريم الإحرامي بما إذا كان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كما عرفت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النظر الى الغلام بشهوة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مختصّة بالنظر إلى النساء، وأمّا الأولويّة فهي غير ثابتة، إذ المناط غير معلوم، فلا مجال لدعوى الأولويّة، والاحتياط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يحرم نظر المرأة إلى الرّجل إذا كان عن شهوةٍ أم لا؟ وجهان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ويجري في المقام ما ذكرناه في التقبيل والمسّ‌، وعليه فالاحتياط لا يُترك</w:t>
      </w:r>
      <w:r>
        <w:rPr>
          <w:rFonts w:eastAsia="Amiri" w:cs="Amiri" w:ascii="Amiri" w:hAnsi="Amiri"/>
          <w:color w:val="111111"/>
          <w:sz w:val="28"/>
          <w:szCs w:val="28"/>
          <w:rtl w:val="true"/>
          <w:lang w:bidi="ar-SA"/>
        </w:rPr>
        <w:t>.</w:t>
      </w:r>
      <w:bookmarkStart w:id="205" w:name="pg11808_109084"/>
    </w:p>
    <w:p>
      <w:pPr>
        <w:pStyle w:val="Heading2"/>
        <w:numPr>
          <w:ilvl w:val="1"/>
          <w:numId w:val="1"/>
        </w:numPr>
        <w:rPr/>
      </w:pPr>
      <w:bookmarkStart w:id="206" w:name="__RefHeading___Toc10697057_73709187"/>
      <w:bookmarkStart w:id="207" w:name="_Toc69"/>
      <w:bookmarkEnd w:id="205"/>
      <w:bookmarkEnd w:id="206"/>
      <w:r>
        <w:rPr>
          <w:rtl w:val="true"/>
        </w:rPr>
        <w:t>عقد المُحرِم لنفسه ولغيره</w:t>
      </w:r>
      <w:bookmarkEnd w:id="20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للمُحرِم أن يعقد لنفسه ولغيره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المحكيّ منه مستفيضٌ إنْ لم يكن متواتراً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المُحرِم أن يتزوّج أو يزوّج، فيكون وكيلاً لغيره أو وليّاً، سواء كان رجُلاً أو امراة،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يتزوّج ولا يزوّج، وإنْ تزوّج أو زوّج مُحِلّاً فتزويجه باطل</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يتزوّج ولا يزوّج، فإنْ فعل فنكاحه باطل</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بن مهران،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للرجل الحلال أن يزوّج مُحرِماً وهو يعلم أنّه لا يَحلّ 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فدخل بها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كانا عالمين، فإنّ على كلّ واحد منهما بدنة، وعلى المرأة إنْ كانت مُحرِمة بدنة، وإنْ لم تكن مُحرمة فلا شيء عليها، إلّا </w:t>
      </w:r>
    </w:p>
    <w:p>
      <w:pPr>
        <w:pStyle w:val="BookText"/>
        <w:rPr/>
      </w:pPr>
      <w:r>
        <w:rPr>
          <w:rFonts w:ascii="Amiri" w:hAnsi="Amiri" w:eastAsia="Amiri" w:cs="Amiri"/>
          <w:color w:val="111111"/>
          <w:sz w:val="28"/>
          <w:sz w:val="28"/>
          <w:szCs w:val="28"/>
          <w:rtl w:val="true"/>
          <w:lang w:bidi="ar-SA"/>
        </w:rPr>
        <w:t>أنْ تكون هي قد علمت أنّ الذي تزوّجها مُحرِم، فإنْ كانت علمت ثمّ تزوّجت فعليها بدنة</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يطلّق ولا يتزوّج</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عاصم بن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للمُحرِم أن يُطلّق ولا يتزوّج</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التزويج وضعاً، كذلك يحرم تكليفاً، ويشهد بها صحيح ابن سنان، وحسن معاوية، وخبر سماعة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التزويج لنفسه، كذلك يحرم تكليفاً ووضعاً أن يزوّج غيره، للنصوص المتقدّمة، وتزويج الغير قد يكون بصيرورته وكيلاً عنه في العقد، وقد يكون بكونه وكيلاً في إجراء الصيغة خاصّة، وقد يكون وليّاً على من يتزوّج له، ثمّ إنّه قد يُجري الصيغة الولي بنفسه، وقد يوكّل غيره في أن يجري الصيغة، وعلى أيّة حال فإنّ عنوان تزويج الغير يشمل جميع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يصدق على مُجري الصيغة خاصّة، نظير ما ذكروه فيما إذا كان الصبي مُجرياً لصيغة البيع، حيث قالوا إنّه لا يستند البيع والشراء إليه، ولذلك بنوا على عدم ثبوت خيار المجلس لمُجري الصيغة، لعدم صدق البيع عليه، فالبيع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يكون بيع الولي والموكّل لا مُجري الصيغة،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البابين، فإنّ الموضوع لخيار المجلس البيع، وهو لا يصدق على مُجري الصيغة، وأيضاً موضع البطلان في عقد الصبي أمر الصبي في البيع والشراء، وأمّا في المقام فالموضوع هوالتزويج للغير أي إيجاد علقة الزوجيّة، وهذا إنّما يكون بفعل مُجري الصيغة، وعليه فالموضوع في المقام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وكّل الولى المُحرِم للعقد على المولّي عليه، لا يكون فعل الوكيل مشمولاً لهذه النصوص، والتوكيل ليس تزويجاً محرّماً بالإجماع والنص، ولعلّه لذا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جواز توكيل الجدّ المُحرِم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تزويج المولّي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الوكيل نائبُ الموكّل ولا نيابة فيما ليس له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التزويج المنهيّ عنه في النصوص يشمل التوكيل، ولذا قطع الأصحاب بحرمة توكيل المُحرم على التزويج لنفسه وبطلان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المصنّف زائداً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لتخصيص الجَدّ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الفضولي للمُحرِم في حال كونه مُحلّا، وأجازه في حال الإحرام، كان ذلك باطلاً من غير فرق بين القول بالنقل أو الكشف، إذ على القولين إنّما يستند عقد النكاح والتزويج إليه في حال الإجازة، والفرض أنّه محرم في تلك الحالة فيشمله النصوص</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الفضولي في حال كونه مُحرِماً، أو عقد الفضولي له في تلك الحالة،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8" w:name="pg11808_109087"/>
    </w:p>
    <w:p>
      <w:pPr>
        <w:pStyle w:val="BookText"/>
        <w:rPr/>
      </w:pPr>
      <w:bookmarkEnd w:id="208"/>
      <w:r>
        <w:rPr>
          <w:rFonts w:ascii="Amiri" w:hAnsi="Amiri" w:eastAsia="Amiri" w:cs="Amiri"/>
          <w:color w:val="111111"/>
          <w:sz w:val="28"/>
          <w:sz w:val="28"/>
          <w:szCs w:val="28"/>
          <w:rtl w:val="true"/>
          <w:lang w:bidi="ar-SA"/>
        </w:rPr>
        <w:t>وأجاز من له العقد في حال كونه مُحلّاً، فالظاهر عدم جوازه، لأنّ عقد الفضولي تزويجٌ‌، من غير فرق بين القول بالكشف والنقل، فإنّ ذلك في حصول الزوجيّة لا في صدق التزويج والإنكاح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من تخصيص المنع أوّلاً بالقول بالكشف، وتبعه بعض الأعاظم</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Heading2"/>
        <w:numPr>
          <w:ilvl w:val="1"/>
          <w:numId w:val="1"/>
        </w:numPr>
        <w:rPr/>
      </w:pPr>
      <w:bookmarkStart w:id="209" w:name="__RefHeading___Toc10697059_73709187"/>
      <w:bookmarkStart w:id="210" w:name="_Toc70"/>
      <w:bookmarkEnd w:id="209"/>
      <w:r>
        <w:rPr>
          <w:rtl w:val="true"/>
        </w:rPr>
        <w:t>التزويج في حال الإحرام يوجبُ الحرمة الأبديّة</w:t>
      </w:r>
      <w:bookmarkEnd w:id="210"/>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في حال الإحرام يوجب الحرمة الأبديّة، بلا خلافٍ فيه في الجملة، إنّما الخلاف في أنّه هل يوجب الحرمة مطلقاً علم الزوج المُحرِم بالحرمة أو لا، تحقّق الإيلاج أم لا، أو أنّه لا يوجب الحرمة إلّامع العلم وإنْ لم يدخل بها، أو مع الدخول وإنْ لم بعلم بالحرمة‌؟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الاختلاف هو اختلاف النصوص، فإنّها على طوائف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يوجب الحرمة الأبديّة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أديم بن الحُرّ الخزاعي،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تزوّج وهو مُحرِمٌ فُرِّق بينهما، ولا يتعاودان أبداً</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ابن بكير، عن إبراهيم بن الحسن،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تزوّج وهو محرم، فُرِّق بينهما ثمّ لا يتعاودان أبداً</w:t>
      </w:r>
      <w:r>
        <w:rPr>
          <w:rFonts w:eastAsia="Amiri" w:cs="Amiri" w:ascii="Amiri" w:hAnsi="Amiri"/>
          <w:color w:val="111111"/>
          <w:sz w:val="28"/>
          <w:szCs w:val="28"/>
          <w:rtl w:val="true"/>
          <w:lang w:bidi="ar-SA"/>
        </w:rPr>
        <w:t>»</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العقد فاسدٌ ولا يوجب الحرمة الأبديّة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صفوان وابن أبي عمير، عن عاصم بن حميد، عن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ملك بُضع امرأةٍ وهو مُحرِمٌ قبل أن يحلّ‌، فقضى عليه السلام أن يُخلّي سبيلها، ولم يجعل نكاحه شيئاً حتّى يحلّ‌، فإذا أحلَّ خطبها إنْ شاء، فإنْ شاء أهلها زوّجوه، وإنْ شاؤوا لم يزوّجوه</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يوجب الحرمة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وداود بن سرحان، عن 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أديم بيّاع الهروي،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والمُحرِم إذا تزوّج وهو يعلم أنّه حرامٌ عليه لم تحلّ له أبداً</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وللأصحاب في مقام الجمع بين النصوص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الطائفة الاُولى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الحرمة مع الدخول، ضرورة أنّ المراد بالتفريق ليس هو التفريق الاعتباري، بمعنى ارتفاع الزوجيّة، لأنّه حاصلٌ بنفس فساد العقد، فلا يصحّ أمر الحاكم أو العدول من المؤمنين به، بل المراد هو التفريق الخارجي، وهو لا يتحقّق إلّابعد الاجتماع في الفراش الذي لا ينفكّ غالباً عن الدخول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فهذه الطائفة أخصّ من الطائفة الثانية، فتقيّدها بصورة عدم الدخول، والنسبة بينها وبين الطائفة الثالثة وإنْ كانت عموماً من وجه، لأنّها تدلّ على حرمة المدخول بها علم بالحرمة أم لا، ومفهوم الطائفة الثالثة أنّها مع الجهل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تحرم أبداً، دخل بها أم لا، إلّاأنّ المفهوم لا يصلح لمعارضة المنطوق، ضرورة أنّ دلالة الشرط على المفهوم إنّما هي من جهة ظهور التعليق عليه في كونه علّة منحصرة، وظهوره في ذلك ليس بمثابةٍ يعارض مع ظهور المنطوق، فيقدّم عليه، فتكون النتيجة هي الحرمة مع الدخول ولو كان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التفريق، سيّما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يتعاودان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التفريق الاعتباري، وليس هو أمراً تكليفيّاً بالتفريق، بل هو إرشادي إلى بطلان النكاح، ولذا يفهم من ذلك في المقام وفي نظائره بطلان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منطوق الطائفة الثالثة إنّما هو دخالة العلم في الحرمة، فالجمع بينه وبين هذه الطائفة على ما اُفيد، هو اعتبار الأمرين من الدخول والعلم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اُفيد من أنّ المفهوم لا يصلح لمعارضة المنطوق غير تامّ‌، فإنّ المفهوم إنّما يستفاد من خصوصيّةٍ في المنطوق، وهي ما اُشير إليه من دلالة الشرط على الانحصار، وهذه الدلالة دلالة منطوقيّة، وطرف التعارض هي تلك، فلا وجه لتقديم الطائفة الاُولى على مفهوم 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الثالثة أخصّ من الثانية، فتقيّدها بصورة الجهل، فتصير الثانية أخصّ من الاُولى‌، فتقيّد إطلاقها، وتكون النتيجة هي الحرمة مع العلم لا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القول بانقلاب النسبة ولا نقول 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الثالثة بمنطوقها تقيّد الثانية، وبمفهومها تقيّد الاُولى‌، وتكون النتيجة هي الحرمة لو علم أنّه حرامٌ عليه</w:t>
      </w:r>
      <w:r>
        <w:rPr>
          <w:rFonts w:eastAsia="Amiri" w:cs="Amiri" w:ascii="Amiri" w:hAnsi="Amiri"/>
          <w:color w:val="111111"/>
          <w:sz w:val="28"/>
          <w:szCs w:val="28"/>
          <w:rtl w:val="true"/>
          <w:lang w:bidi="ar-SA"/>
        </w:rPr>
        <w:t xml:space="preserve">. </w:t>
      </w:r>
      <w:bookmarkStart w:id="211" w:name="pg11808_109090"/>
    </w:p>
    <w:p>
      <w:pPr>
        <w:pStyle w:val="BookText"/>
        <w:rPr/>
      </w:pPr>
      <w:bookmarkEnd w:id="211"/>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يتوقّف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أو القول بمفهوم الوصف، والأوّلُ غير ظاهرٍ، والثاني فاسدٌ، مع أنّه يلزم حمل الطائفة الاُولى على الفرد النادر، إذ إقدام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مقام إتيان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النكاح مع علمه بالحرمة والفساد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 يقع التعارض بين الطائفة الاُولى والثانية، أمّا الثالثة فلأخصيّتها من الثانية تقدّم عليها، ومنطوقها لا ينافي الطائفة الاُولى‌، فهي يعمل بها على كلّ تقدير، فبالنسبة الى صورة الجهل يقع التعارض بين الطائفتين الأولتين، ولا يمكن الجمع الدلالي بينهما، فلابدّ من الرجوع فيهما إلى المرجّحات السنديّة، والطائفة الاُولى أرجح لأجل الشهرة فتُقدَّم، فالنتيجة هي الحرمة الأبديّة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الطائفة الثالثة شرطيّة، لعدم ملائمتها مع الجمله بمعناها الآخر، وعليه فمفهومها تقيّد الاُولى بصورة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الحمل على الفرد النادر، على فرض صحّتها، يلزم منها التعارض بين الطائفتين، والترجيح مع الثالثة للشهرة، وموافقة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الحرمة مع العلم مطلقاً، وعدمها مع الجهل كذلك</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10697061_73709187"/>
      <w:bookmarkStart w:id="213" w:name="_Toc71"/>
      <w:bookmarkEnd w:id="212"/>
      <w:r>
        <w:rPr>
          <w:rtl w:val="true"/>
        </w:rPr>
        <w:t>إلحاق المُحرِمة بالمُحرِم</w:t>
      </w:r>
      <w:bookmarkEnd w:id="213"/>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المُحرِمة بالمُحرِم في حرمة العقد الصادر منه وبطلانه، وكونه موجباً للحرمة الأبديّة، أقوال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الأخير والأولين بعدم الإلحاق في الأخير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العقد وبطلانه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للمُحرِم أن يتزوّج ولا يزوّج، ولا يكون وليّاً في النكاح ولا وكيلاً فيه، سواءٌ كان رجُلاً أو امرأة،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وكشفها</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المرأة مُحرِمة والرّجل مُحلّاً، فالحكم كما تقدّم من حُرمة نكاحها وتلذّذها بزوجها تقبيلاً أو لمساً أو نظراً أو تمكيناً له من وطئها، وكراهة خِطبتها، وجواز رجعتها وشرائها، ومفارقتها، بل في الأخير الاتّفاق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الإجماعات المنقولة بضميمة ما قيل من عدم كون هذا الحكم من مختصّات الرّجل، وعدم اختصاص الأحكام المتقدّمة من الاستمتاعات به، لعلّها كافيه في إرادة الجنس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للمُحرِم أن يتزوّج ولا يزوّج، وإنْ تزوّج أو زوّج مُحلّاً فتزويجه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شابهه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غير واحدٍ بعدم الإلحاق، وأنّه إذا عقد على المُحرِمة وهو مُحلّ لم تحرم عليه، وذهب جمعٌ إلى الإلحاق، وظاهر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هو الاختصاص، وعدم الإلحاق، فقد صرّح عند عنوان بطلان العقد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وحرمته بالمرأة أيضاً كما تقدّم، ولكن في مسألة الحرمة الأبديّة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عقد المُحرِم حال إحرامه على امرأة فإنْ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994"/>
      </w:r>
      <w:r>
        <w:rPr>
          <w:rFonts w:ascii="Amiri" w:hAnsi="Amiri" w:eastAsia="Amiri" w:cs="Amiri"/>
          <w:color w:val="111111"/>
          <w:sz w:val="28"/>
          <w:sz w:val="28"/>
          <w:szCs w:val="28"/>
          <w:rtl w:val="true"/>
          <w:lang w:bidi="ar-SA"/>
        </w:rPr>
        <w:t>، دون أن يتعرّض لحكم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فمقتضى العمومات والأصل 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للحرمة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تامّة في الأحكام الثابتة للأشياء بما هي من غير نظر إلى صنف خاص، كوجوب السورة في الصلاة، فإنّه في أمثال ذلك إذا خوطب الرّجل به، أو كان الكلام المبيّن للحكم بنحوٍ له ظهورٌ في الرجال، أو قلنا باختصاص الخطاب بالحاضرين مجلس التخاطب، وكان الحاضرون هم الرجال، تتمّ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المترتّبة على صنفٍ خاص، مع احتمال الدخل في الحكم، فالقاعده غير تامّة، فإنْ كان هذا الحكم من أحكام الإحرام بما هو، وكان لسان الدليل بنحوٍ استفيد منه ذلك، كان هذا الوجه متيناً، ولكن بما أنّه يُحتمل كونه من مختصّات الرجال، وكونه من أحكام المُحرِم بما هو مُحرِمٌ‌، فلا يكون مورداً لجريان قاعدة الاشتراك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تزوّج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الجنس، لظهور الألف واللّام في ذلك فيشمل المُحرِمة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ظهور الألف واللّام في الجنس، ولكن ليس لازم ذلك شمول المدخول لغير من يصلح أن يشمل له، بل لازمه كونه ظاهراً في إرادة فعليّة جميع ما يصلح أن ينطبق عليه المدخول، وعلى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فإنْكان المراد بالمُحرِم الشخص المتّصف بالإحرام، كان شاملاً للرِّجال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معناه الظاهر، وهو الرّجل المتّصف بالإحرام، فلا يشمل المرأة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وإنْ لم يكن ظاهراً في الثاني، فلا أقلّ من الإجمال، فيكون مردّداً بين الأقلّ والأكثر، فلابدّ من الاقتصار على الأقلّ المتيقّن وهو الرّجل، فإذاً لا دليل على الإلحاق، ولكن بما أنّ كثيراً من الأحكام المشتركة بين الصنفين، بيّنها الشارع بصيغة المذكّر وهذا شائعٌ‌، وأفتى الأصحاب بالإلحاق، فالاحتياط لا يُترك إنْ لم يكن الإلحاق أظهر</w:t>
      </w:r>
      <w:r>
        <w:rPr>
          <w:rFonts w:eastAsia="Amiri" w:cs="Amiri" w:ascii="Amiri" w:hAnsi="Amiri"/>
          <w:color w:val="111111"/>
          <w:sz w:val="28"/>
          <w:szCs w:val="28"/>
          <w:rtl w:val="true"/>
          <w:lang w:bidi="ar-SA"/>
        </w:rPr>
        <w:t>.</w:t>
      </w:r>
      <w:bookmarkStart w:id="214" w:name="pg11808_109094"/>
    </w:p>
    <w:p>
      <w:pPr>
        <w:pStyle w:val="Heading2"/>
        <w:numPr>
          <w:ilvl w:val="1"/>
          <w:numId w:val="1"/>
        </w:numPr>
        <w:rPr/>
      </w:pPr>
      <w:bookmarkStart w:id="215" w:name="__RefHeading___Toc10697063_73709187"/>
      <w:bookmarkStart w:id="216" w:name="_Toc72"/>
      <w:bookmarkEnd w:id="214"/>
      <w:bookmarkEnd w:id="215"/>
      <w:r>
        <w:rPr>
          <w:rtl w:val="true"/>
        </w:rPr>
        <w:t>اختلاف الزوجين في العقد</w:t>
      </w:r>
      <w:bookmarkEnd w:id="216"/>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الزوجان في العقد، 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اختلفا في وقوع العقد حال الإحرام أو الإحلال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يتوافقا على وقوعه حال الإحرام، ولكن اختلفا في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إنّه يقدم قولُ مدّعي الصحّة، واستدلّ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الأدلّة صحّة كلّ عقدٍ، خرج عنه العقد الواقع حال الإحرام، فباستحباب عدم مقارنة العقد لحال الإحرام، يثبت صحّته من غير حاجةٍ إلى إثبات كونه في حال الإحلال،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حال وقوعه كان مقارناً لحال الإحرام أو لم يكن، فلا حالة سابقة لعدم المقارنة كي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يُستصحب عدم الإحرام إلى حال وقوع العقد، فالعقد مُحرزٌ بالوجدان، وعدم كون العاقد مُحرِماً في حالةٍ محرزٌ بالأصل، فيتمّ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يعارض ذلك استصحاب عدم العقد الى حال الإحرام، فإنّه لا يثبت به وقوع العقد في حال الإحرام، لكونه مثبتاً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يعارضه استحباب عدم وقوع العقد في حال الإحلال، أي غير حال الإحرام الذي هو موضوع الصحّة، إذ الأصل الأوّل حاكمٌ على ذلك، فإنّ الشكّ في </w:t>
      </w:r>
    </w:p>
    <w:p>
      <w:pPr>
        <w:pStyle w:val="BookText"/>
        <w:rPr/>
      </w:pPr>
      <w:r>
        <w:rPr>
          <w:rFonts w:ascii="Amiri" w:hAnsi="Amiri" w:eastAsia="Amiri" w:cs="Amiri"/>
          <w:color w:val="111111"/>
          <w:sz w:val="28"/>
          <w:sz w:val="28"/>
          <w:szCs w:val="28"/>
          <w:rtl w:val="true"/>
          <w:lang w:bidi="ar-SA"/>
        </w:rPr>
        <w:t>وقوع المَجمع المقيّد مسبّبٌ عن الشكّ في القيد، فالأصل الجاري في القيد حاكمٌ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لا يترتّب على المركّب بما هو مركّبٌ‌، بل على ذوات الأجزاء التوأمة المحرزة بالوجدان والأصل، ولا يفرّق فيما ذكرناه بين العلم بتاريخ الإحرام والجهل به بناءً على ما هو المختار من جريان الاستصحاب في كلٍّ من معلوم التاريخ ومجهوله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فيما إذا كان الشكّ في تقديم العقد على الإحرام أو وقوعه حاله، وأمّا لو علم بعدم التقديم، وشكّ في التأخير، فإنّه يمكن إجراء استصحاب بقاء الإحرام حال العقد، وبه يحرز موضوع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الصحّة الجارية في جميع العقود والإيقاعات، والحاكمة بصحّة كلّ عقدٍ واقع شكّ في صحّته وفساده، التي عليها بناء العقلاء وإجماع العلماء، ولكن حيث يكون عمدة مدركها بناء العقلاء والإجماع، وثبوت ذلك فيما إذا احتمل التصادف الواقعي من دون أن يكون المتعاقدان ناظرين إليه محلّ تأمّل، فلو اعترفا بالجهل بفساد العقد في حال الإحرام، فإنّه لا مورد لجريان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 إنّها لا تجري في الفرض حتّى مع تسليم ثبوتها بالأدلّة اللّفظيّة، بناءً على أنّها من الأمارات لا الاُصول التعبّديّة، فإنّه في الفرض لا ملاك للطريقيّة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فما أورده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996"/>
      </w:r>
      <w:r>
        <w:rPr>
          <w:rFonts w:ascii="Amiri" w:hAnsi="Amiri" w:eastAsia="Amiri" w:cs="Amiri"/>
          <w:color w:val="111111"/>
          <w:sz w:val="28"/>
          <w:sz w:val="28"/>
          <w:szCs w:val="28"/>
          <w:rtl w:val="true"/>
          <w:lang w:bidi="ar-SA"/>
        </w:rPr>
        <w:t>على هذا الوجه الذي ذكره المحقّق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الكركي</w:t>
      </w:r>
      <w:r>
        <w:rPr>
          <w:rStyle w:val="FootnoteAnchor"/>
          <w:rtl w:val="true"/>
        </w:rPr>
        <w:footnoteReference w:id="997"/>
      </w:r>
      <w:r>
        <w:rPr>
          <w:rFonts w:ascii="Amiri" w:hAnsi="Amiri" w:eastAsia="Amiri" w:cs="Amiri"/>
          <w:color w:val="111111"/>
          <w:sz w:val="28"/>
          <w:sz w:val="28"/>
          <w:szCs w:val="28"/>
          <w:rtl w:val="true"/>
          <w:lang w:bidi="ar-SA"/>
        </w:rPr>
        <w:t>قدس سره وثاني الشهيدين</w:t>
      </w:r>
      <w:r>
        <w:rPr>
          <w:rStyle w:val="FootnoteAnchor"/>
          <w:rtl w:val="true"/>
        </w:rPr>
        <w:footnoteReference w:id="998"/>
      </w:r>
      <w:r>
        <w:rPr>
          <w:rFonts w:ascii="Amiri" w:hAnsi="Amiri" w:eastAsia="Amiri" w:cs="Amiri"/>
          <w:color w:val="111111"/>
          <w:sz w:val="28"/>
          <w:sz w:val="28"/>
          <w:szCs w:val="28"/>
          <w:rtl w:val="true"/>
          <w:lang w:bidi="ar-SA"/>
        </w:rPr>
        <w:t xml:space="preserve">وتبعهما غيرهما،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يتمّ إذا كان المُدّعي لوقوع الفعل في حال الإحرام عالماً بفساد ذلك، أمّا مع اعترافهما بالجهل، فلا وجه للحمل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الصحّة في العقد ونحوه لا يعتبر فيه العلم، لإطلاق دليلة، نعم أصل عدم وقوع المعصية من المسلم يعتبر فيه العلم، وهو غير أصل الصحّة التي هي بمعنى ترتّب الأثر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لم يُعلم جهلها بالفساد، يكون مقتضى أصالة الصحّة المقدّمة على جميع الاُصول، هو البناء على الصحّة، وتقديم قول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يحتمل تقدّم العقد على الإحرام، حُكم بالصحّة للاستصحاب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يُحتمل ذلك، فمقتضى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أصالة بقاء الإحرام حال العقد، وأصالة عدم تحقّق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الفساد وتقديم قول مدّعيه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 اختلافهما هو في الحرمة الأبديّة وعدمها، وفي هذه الصورة لاتجري أصالة الصحّة ولا غيرها ممّا تقدّم من الاُصول، إذ الفساد محرزٌ، فإنْ بنينا على أنّ المُحرِمة غير ملحقة بالمُحرِم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قوّيناه بحسب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تقديم قول الزوج، سواءٌ ادّعى الجهل أو العلم، لما دلّ على أنّ قول الشخص فيما لا يُعلم إلّامن قِبله حجّة ومعتبر، كما يستفاد ذلك ممّا ذكره الفقهاء تبعاً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للنص في باب الحيض في مسألة إخبار المرأة بالحيض أو الطهر من حجيّة قولها فيه من باب حجيّة إخبار الشخص عمّا في نفسه، إذ عليه يكون الإخبار بعلمه أو جهله إخباراً عمّا في نفسه، فيقدّم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ويعارضه ظهور حال المسلم في العلم بما يبتلي به من الأحكام، فإنّ هذا الظهور ساقطٌ قطعاً، إذ العالم بالفساد لا يقدّم على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إلحاق المُحرِمة بالمُحرِم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الخلاف في علم أحدهما المعيّن وجهله، مع الاعتراف بجهل الآخر، فالحكم ما تقدّم من تقديم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فيقدّم قول مُدّعي العلم، فإنّ ادّعاء جهل الآخر لا أثر له مع علم صاحبه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جريان أصالة الصحّة والحكم بها، فحيث إنّ ذلك حكمٌ ظاهري لا واقعي، فيختصّ بصورة الجهل، فالمُدّعي للفساد العالم به، ليس له ترتيب آثار الصحّة فيما يختصّ به، فلو كان هي المرأة ليس لها المطالبة بالمَهر، ولا بشيء من حقوقها الزوجيّة، ولا بالمهر قبل الدخول، أمّا بعده فتطالب بأقلّ الأمرين من المُسمّى ومَهر المِثل، ولها أن تخلّص نفسها منه ولو بالهرب واستدعاء الفِراق، ولو كان هو الرّجل ليس له الاستمتاع بها، ولكن يجب عليه أن يُنفق عليها ويعطيها مَهرها وما شاكلّ من الاثار التي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للرّجل أن يتزوّج اُختها؟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لا، فإنّ من آثار صحّة العقد الواقع، حرمة تزويج اُختها، فهي تثبت عليه، وعليه فما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000"/>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له التزويج باُختها وخامسة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 ذلك من لوازم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صحيح، لحكم الشارع بصحّة العقد ظاهراً، فيترتّب عليها جميع آثارها إلّاما هو له، فإنّه لا يترتّب واقعاً وهو واضح، وظاهراً للإقرار، كما أنّ ما عن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حُكم بصحّة العقد شرعاً، ترتّب عليه لوازمه، فيجوز لها المطالبة بحقوق الزوجيّة ظاهراً وإنْ ادّعت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يتمّ‌، لكونه منافياً لإقرارها الذي هو ماضٍ عليها بالنسبة إلى حقّها، وغير ماضٍ في حقّ الغير،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المُنكِر للصحّة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دخل بها استحقّت تمام مهرها بلا كلام، وموثّق سماعة 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يدخل بها، ففيه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ظاهر الشيخ</w:t>
      </w:r>
      <w:r>
        <w:rPr>
          <w:rStyle w:val="FootnoteAnchor"/>
          <w:rtl w:val="true"/>
        </w:rPr>
        <w:footnoteReference w:id="1003"/>
      </w:r>
      <w:r>
        <w:rPr>
          <w:rFonts w:ascii="Amiri" w:hAnsi="Amiri" w:eastAsia="Amiri" w:cs="Amiri"/>
          <w:color w:val="111111"/>
          <w:sz w:val="28"/>
          <w:sz w:val="28"/>
          <w:szCs w:val="28"/>
          <w:rtl w:val="true"/>
          <w:lang w:bidi="ar-SA"/>
        </w:rPr>
        <w:t>قدس سره انفساخ العقد حينئذٍ، ووجوب نصف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يكون باقياً، فإنْ طلقها استحقّت نصف المهر وإلّا فتمامه، وقد حمل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رحمه الله كلام الشيخ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طلّقها باستدعائها تستحقّ نصف المهر، وإنْ لم يطلّقها، أو طلّقها باستدعائه استحقّت تمام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استحقاقها نصف المهر وإنْ لم يُطلّق بوجهين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معترفٌ بما يمنع من الوطء، فيكون كالطلاق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إنّما يوجبُ تملّك نصف المهر، ومملّك النصف الاخر هو الوطء أو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أنّ العقد مُملّك لتمام المهر</w:t>
      </w:r>
      <w:r>
        <w:rPr>
          <w:rStyle w:val="FootnoteAnchor"/>
          <w:rtl w:val="true"/>
        </w:rPr>
        <w:footnoteReference w:id="1006"/>
      </w:r>
      <w:r>
        <w:rPr>
          <w:rFonts w:ascii="Amiri" w:hAnsi="Amiri" w:eastAsia="Amiri" w:cs="Amiri"/>
          <w:color w:val="111111"/>
          <w:sz w:val="28"/>
          <w:sz w:val="28"/>
          <w:szCs w:val="28"/>
          <w:rtl w:val="true"/>
          <w:lang w:bidi="ar-SA"/>
        </w:rPr>
        <w:t>، وأنّ بالطلاق قبل الدخول يرجع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وجه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مُملّك لتمام المهر، والطلاق بزعم الزوج لغوٌ فلا يوجب إرجاع النصف، إلّاإذا كان باستدعائها، فإنّه حينئذٍ يُحكم بالرجوع إلزاماً لها، فيكون طلاقاً شرعيّاً صحيحاً باعترافها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تستدع الزوجة الطلاق، وطلاقها يكون بنظر الرّجل لغواً، ولكن في زعم المرأة صحيحٌ‌، فتلتزم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طلقها يحصل العلم الإجمالي بأنّها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لا تستحقّ تمام المهر إنْ كان العقد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نصفه إنْ كان صحيحاً لوقوع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فيُعلم تفصيلاً أنّها في كلّ الأحوال لا تستحقّ النصف من المهر، وقد مرّ أنّ الأثر إنّما يترتّب على أصالة الصحّة مع عدم العلم التفصيلي بالخلاف، لعدم كونها مغيّرة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انفساخ العقد المنسوب إلى الشيخ، فلم يظهر لي وجهه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تزوّج في حال الإحرام مع العلم بالحكم، لكن كان غافلاً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كونه مُحرِماً أو ناسياً، فلا إشكال في بطلان العقد، لإطلاق أدلّة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رفع القلم عن التسعة منهم الناسي والغافل، فلا يصلح لإثبات الصحّة، فإنّه نافٍ للحكم لا مثبت، والبطلان ليس حكماً وضعيّاً كي يرتفع به، بل هو انتزاعي من عدم مطابقة المأتي به لما هو موضوع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حينئذٍ هو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يوجب هذا العقد الحرمة الأبديّة كما هو مقتضى إطلاق دليل المحرميّة، إذ الخارج عنه خصوص الجهل بأنّه لا يحلّ له، وأمّا إن علم بالحكم، فهو داخلٌ تحت عموم الدليل‌؟</w:t>
      </w:r>
    </w:p>
    <w:p>
      <w:pPr>
        <w:pStyle w:val="BookText"/>
        <w:rPr/>
      </w:pPr>
      <w:r>
        <w:rPr>
          <w:rFonts w:ascii="Amiri" w:hAnsi="Amiri" w:eastAsia="Amiri" w:cs="Amiri"/>
          <w:color w:val="111111"/>
          <w:sz w:val="28"/>
          <w:sz w:val="28"/>
          <w:szCs w:val="28"/>
          <w:rtl w:val="true"/>
          <w:lang w:bidi="ar-SA"/>
        </w:rPr>
        <w:t>أم لا يكون مُحرّماً كما صرّح به غير واحد؟</w:t>
      </w:r>
    </w:p>
    <w:p>
      <w:pPr>
        <w:pStyle w:val="BookText"/>
        <w:rPr/>
      </w:pPr>
      <w:r>
        <w:rPr>
          <w:rFonts w:ascii="Amiri" w:hAnsi="Amiri" w:eastAsia="Amiri" w:cs="Amiri"/>
          <w:color w:val="111111"/>
          <w:sz w:val="28"/>
          <w:sz w:val="28"/>
          <w:szCs w:val="28"/>
          <w:rtl w:val="true"/>
          <w:lang w:bidi="ar-SA"/>
        </w:rPr>
        <w:t>وجهان، أقواهما الثاني، فإنّ المقيّد لإطلاق دليل المحرّميّة لايدلّ على الاختصاص بالعلم بالحكم الكلّي المجعول شرعاً، بل يدلّ على أنّه مختصّ بما إذا علم بالحكم الجزئي المجعول له، لاحظ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يعلم أنّه لا يحلّ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 العلم به متوقّفٌ على العلم بالكبرى‌، والعلم بالصغرى‌، فمع الغفلة أو النسيان لا علم بالحكم الجزئي، فيكون داخلاً تحت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الغفلة والنسيان لا يوجبان عدم العلم رأساً، لحضور المعلوم ووجوده في خزانة النفس، فتأمّل فإنّ العلم بنظر العرف لا يجتمع مع النسيان والغفلة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حال الإحرام ولكن كان باطلاً من ناحية اُخرى كتزويج اُخت الزوجة، أو الخامسة، أو في العدّة وما شاكل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يوجب التحريم، لصدق التزويج فتشمله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المحقّقين في وجه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بالتزويج في حال الإحرام، هو العقد الجامع لشرائط صحّة نفسه، أي الواجد لجميع ما يعتبر فيه من حيث إنّه عقد كالماضويّة، والعربيّة، وتقدّم الإيجاب على القبول، وأمثال ذلك، والمفروض تحقّقه واجداً لما يعتبر وجوده فيه، فيكون مشمولاً للأخبار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المراد بالتزويج في نصوص الباب، ليس هو التزويج الصحيح من جميع الجهات، سيّما ما تضمّن أنّه مع العلم بأنّه لا يحلّ له، وأنّه يحرم عليه أبداً، فإنّ التزويج فيه فاسدٌ حتّى في علم العاقد، وعليه فيدور الأمر بين أن يكون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التزويج الصحيح من جميع الجهات، فلا تشمل النصوص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التزويج الصحيح من ناحية ما يعتبر في العقد نفسه فتشمله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يطلق عليه التزويج ولو كان باطلاً من جهة فقد شرطٍ من شروط صحّة نفسه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أنّ المراد بعدما لم يكن هو التزويج الصحيح من جميع الجهات شرعاً، يراد به ما هو تزويجٌ عند العرف والعقلاء، فإنّ الخطابات الشرعيّة منزّلة على ما هو المتداول بين أهل العرف في محاوراتهم، وعليه فكلّ قيدٍ من قيود العقد والتزويج العقلائي إنْ فُقد لا يكون مشمولاً للأخبار، وإلّا فيكون مشمولاً له، من غير فرق بين قيود العقد نفسه وغيرها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ففي الأمثلة المذكورة فإنّ ما أفاده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مُحرماً وشكّ في أنّه أحلّ من إحرامه أم لا، لا يجوز له التزويج، فإنْ تَزوّج مع ذلك بَطَل، للاستصحاب، أي استصحاب بقاء الإحرام، وهذا ثابت لا نقاش فيه، إنّما الكلام في أنّه هل يوجب الحرمة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يقال بالأوّل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w:t>
      </w:r>
      <w:r>
        <w:rPr>
          <w:rStyle w:val="FootnoteAnchor"/>
          <w:rtl w:val="true"/>
        </w:rPr>
        <w:footnoteReference w:id="1008"/>
      </w:r>
      <w:r>
        <w:rPr>
          <w:rFonts w:ascii="IRNazanin" w:hAnsi="IRNazanin" w:eastAsia="IRNazanin"/>
          <w:color w:val="111111"/>
          <w:sz w:val="28"/>
          <w:sz w:val="28"/>
          <w:szCs w:val="28"/>
          <w:rtl w:val="true"/>
          <w:lang w:bidi="fa-IR"/>
        </w:rPr>
        <w:t>بدعوى أنّه مقتضى استصحاب بقاء الإحرام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المأخوذ في موضوع التحريم الأبدي هو العلم بأنّه لا يحلّ له، المتوقف على العلم بالكبرى والعلم بالصغرى كما مرّ، وقد حُقّق في محلّه</w:t>
      </w:r>
      <w:r>
        <w:rPr>
          <w:rStyle w:val="FootnoteAnchor"/>
          <w:rtl w:val="true"/>
        </w:rPr>
        <w:footnoteReference w:id="1009"/>
      </w:r>
      <w:r>
        <w:rPr>
          <w:rFonts w:ascii="Amiri" w:hAnsi="Amiri" w:eastAsia="Amiri" w:cs="Amiri"/>
          <w:color w:val="111111"/>
          <w:sz w:val="28"/>
          <w:sz w:val="28"/>
          <w:szCs w:val="28"/>
          <w:rtl w:val="true"/>
          <w:lang w:bidi="ar-SA"/>
        </w:rPr>
        <w:t>أنّ الاستصحاب لايقوم مقام العلم المأخوذ في الموضوع، وعليه فلا يفيد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ما دلّ على جواز تزويج كلّ امرأةٍ‌، فلا يمكن التمسّك به في مقام، لأنّه بعدما خرج عنه المرأة المزوجة في حال الإحرام، يكون التمسّك به تمسّكاً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هو الرجوع إلى استصحاب عدم وقوع مايوجب حرمتها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بقاؤها على ما هي عليه من جواز تزويجها ذاتاً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7" w:name="pg11808_109103"/>
    </w:p>
    <w:p>
      <w:pPr>
        <w:pStyle w:val="Heading2"/>
        <w:numPr>
          <w:ilvl w:val="1"/>
          <w:numId w:val="1"/>
        </w:numPr>
        <w:rPr/>
      </w:pPr>
      <w:bookmarkStart w:id="218" w:name="__RefHeading___Toc10697065_73709187"/>
      <w:bookmarkStart w:id="219" w:name="_Toc73"/>
      <w:bookmarkEnd w:id="217"/>
      <w:bookmarkEnd w:id="218"/>
      <w:r>
        <w:rPr>
          <w:rtl w:val="true"/>
        </w:rPr>
        <w:t>شهادة المُحرِم على العقد</w:t>
      </w:r>
      <w:bookmarkEnd w:id="219"/>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حرمة الشهادة على العقد على المُحرِم،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نسبته إلى قطع الأصحاب، بل عن محتمل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xml:space="preserve">الإجماع عليه،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دعواه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ومختصره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فجميعها خالية عن ذلك، ولعلّ بناءهم على عدم الحرمة، لكن الأساطين والفحول أعرف بفتاوي القوم، وهم يدّعون الاتّفاق ونفي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صرّح بعض متأخّري المتأخّرين بعدم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فمدرك الحكم روايات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الحسين بن سعيد، عن عثمان بن عيسى‌، عن ابن أبي شجرة، عمّن ذكره، عن أبي عبداللّه عليه 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يشهد على نكاح مُحلّين‌؟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 الحديث</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بإسناده عن أحمد بن محمّد بن عيسى‌، عن الحسن بن عليّ‌، عن بعض أصحابنا،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يَنكح ولا يُنكِح ولا يشهد، فإنْ نَكح فنكاحه باطلٌ‌</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الكليني عن عدّة من أصحابنا، عن أحمد بن محمّد مثله، وزاد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يَخطب</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ابن شجرة، عمّن ذكره،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يشهد على نكاح محلّين‌؟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للمُحرِم أن يشير بصيدٍ على مُحلّ‌</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w:t>
      </w:r>
      <w:r>
        <w:rPr>
          <w:rStyle w:val="FootnoteAnchor"/>
          <w:rtl w:val="true"/>
        </w:rPr>
        <w:footnoteReference w:id="1019"/>
      </w:r>
      <w:r>
        <w:rPr>
          <w:rFonts w:ascii="IRNazanin" w:hAnsi="IRNazanin" w:eastAsia="IRNazanin"/>
          <w:color w:val="111111"/>
          <w:sz w:val="28"/>
          <w:sz w:val="28"/>
          <w:szCs w:val="28"/>
          <w:rtl w:val="true"/>
          <w:lang w:bidi="fa-IR"/>
        </w:rPr>
        <w:t>والصدوق</w:t>
      </w:r>
      <w:r>
        <w:rPr>
          <w:rStyle w:val="FootnoteAnchor"/>
          <w:rtl w:val="true"/>
        </w:rPr>
        <w:footnoteReference w:id="10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إنكارٌ وتنبيه على أنّه 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على استدلال بها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وذلك لأنّ جميعها مرسلات، مع أنّ الظاهر أنّ الثالثة عين الاُولى رويت مرّتين؛ مرّة مع الزيادة واُخرى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الثانية يرويها أحمد بن محمّد بن عيسى‌، عن الحسن بن علي، وقد أنكر المحقّق الأردبيلي رواية أحمد عن الحسن بن علي، وحكم بسقوط الواسطه، فهي مرسلة من ناحيتين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الإغماض عن أنّ راوي إحداها عثمان بن عيسى الذي قيل عنه إنّه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أصحاب الإجماع، وراوي الاُخرى الحسن بن علي الفضّال وهو أيضاً ممّن قيل في حقّه إنّه من أصحاب الإجماع، وسقوط الواسطة بين أحمد والحسين غير ثابت، وعلى فرضه لا يضرّ، لأنّ أحمد بن محمّد بن عيسى كان يُخرج من قم من كان يروي عن الضعفاء، فلا يحتمل في حقّه الرواية عن ضعيف، بل قيل في حقّه إنّه ما كان يروى عن ابن محبوب من أجل أنّ أصحابنا يتّهمون ابن محبوب في روايته عن الثمالي، فلا يحتمل في مثل هذا الشخص الرواية عن الضعيف، بل الظاهر هو اطمئنانه بوثاقة جميع الوسائط، فإنّ الأصحاب عملوا بها، وأفتوا بما تضمّنته، فلو كان فيها ضعف أصبح منجبراً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من أنّها متضمّنة للجملة الخبريّة، وهي لا تدلّ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w:t>
      </w:r>
      <w:r>
        <w:rPr>
          <w:rStyle w:val="FootnoteAnchor"/>
          <w:rtl w:val="true"/>
        </w:rPr>
        <w:footnoteReference w:id="1022"/>
      </w:r>
      <w:r>
        <w:rPr>
          <w:rFonts w:ascii="Amiri" w:hAnsi="Amiri" w:eastAsia="Amiri" w:cs="Amiri"/>
          <w:color w:val="111111"/>
          <w:sz w:val="28"/>
          <w:sz w:val="28"/>
          <w:szCs w:val="28"/>
          <w:rtl w:val="true"/>
          <w:lang w:bidi="ar-SA"/>
        </w:rPr>
        <w:t>من أنّ الجُملة الخبريّة أظهر في اللّزوم من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ثلاثيّاً مجرّداً بصيغة المعلوم، فمفاد النصوص حينئذٍ حرمة حضور مجلس العقد، وتحمّل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بصيغة المعلوم، مع كونه من باب الأفعال، فتدلّ النصوص على عدم جواز أداء الشهادة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بصيغة المعلوم، فمفادها عدم جواز طلب 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المُحرِم على الغير، وعلى هذا فهي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العلم الإجمالي بحرمة أحد ما ذكر، يقتضي لزوم الاحتياط، فيجب ترك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العلم الإجمالي بتكليفٍ مردّد بين شخصين لا يكون منجّزاً، وكلّ من الطرفين يرجع في وظيفته الى أصالة البراءة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الثالث خلاف الظاهر، مع أنّه على فرضه، قد تعلّق النهي بصيرورته شاهداً، ومقتضى إطلاقه حينئذٍ حرمة إشهاد الغير إيّاه، وحرمة تصدّيه للشهادة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على مبغوضيّة صيرورته شاهداً، فما هو السبب لذلك وهو اختياره، أو هو مع طلب الغير أيضاً يكون حراماً، بل الظاهر هو خصوص ما هو الجزء الأخير من السبب، وهو اختياره وإرادته، فعلى هذا أيضاً تدلّ على حرمة الحضور وتحمّل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الاحتمالان الأوّلان فالظاهر هو الأوّل منهما، فإنّه لو كان المراد به أداء الشهاده كان المفروض أن يتعدّى بالباء، وعليه فالمتعيّن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دلالة النصوص على حرمة الشهادة، وسندها أيضاً لا إشكال فيه، فلا وجه للتوقّف في الحكم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إطلاقها حرمة الشهادة والتحمّل، سواءٌ أكان الحضور للتحمّل أو لم يكن،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24"/>
      </w:r>
      <w:r>
        <w:rPr>
          <w:rFonts w:ascii="IRNazanin" w:hAnsi="IRNazanin" w:eastAsia="IRNazanin"/>
          <w:color w:val="111111"/>
          <w:sz w:val="28"/>
          <w:sz w:val="28"/>
          <w:szCs w:val="28"/>
          <w:rtl w:val="true"/>
          <w:lang w:bidi="fa-IR"/>
        </w:rPr>
        <w:t>من الاختصاص بالأوّل إنّما هو من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جهة أنّهما ينكران مدركية النصوص لهذا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لضعف السند كما عن الأوّل</w:t>
      </w:r>
      <w:r>
        <w:rPr>
          <w:rStyle w:val="FootnoteAnchor"/>
          <w:rtl w:val="true"/>
        </w:rPr>
        <w:footnoteReference w:id="1025"/>
      </w:r>
      <w:r>
        <w:rPr>
          <w:rFonts w:ascii="Amiri" w:hAnsi="Amiri" w:eastAsia="Amiri" w:cs="Amiri"/>
          <w:color w:val="111111"/>
          <w:sz w:val="28"/>
          <w:sz w:val="28"/>
          <w:szCs w:val="28"/>
          <w:rtl w:val="true"/>
          <w:lang w:bidi="ar-SA"/>
        </w:rPr>
        <w:t>، أو لقصور الدلالة كما في الثاني</w:t>
      </w:r>
      <w:r>
        <w:rPr>
          <w:rStyle w:val="FootnoteAnchor"/>
          <w:rtl w:val="true"/>
        </w:rPr>
        <w:footnoteReference w:id="1026"/>
      </w:r>
      <w:r>
        <w:rPr>
          <w:rFonts w:ascii="Amiri" w:hAnsi="Amiri" w:eastAsia="Amiri" w:cs="Amiri"/>
          <w:color w:val="111111"/>
          <w:sz w:val="28"/>
          <w:sz w:val="28"/>
          <w:szCs w:val="28"/>
          <w:rtl w:val="true"/>
          <w:lang w:bidi="ar-SA"/>
        </w:rPr>
        <w:t>، وأنّ المدرك عندهما هو الإجماع، فلابدّ من الاقتصار على المتيقّن وهو خصوص الحضور لأجل تحمّل الشهادة، ولكن حيث عرفت أنّ النصوص تامّة سنداً ودلالةً‌، فلا مانع من الأخذ بإطلاقها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هو عدم الفرق بين كون العقد للمُحلّين أو للمُحرِمين أو للمفترقين كما عليه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على ما قيل حرمة أداء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تحرم عليه إقامتها على العقد،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029"/>
      </w:r>
      <w:r>
        <w:rPr>
          <w:rFonts w:ascii="Amiri" w:hAnsi="Amiri" w:eastAsia="Amiri" w:cs="Amiri"/>
          <w:color w:val="111111"/>
          <w:sz w:val="28"/>
          <w:sz w:val="28"/>
          <w:szCs w:val="28"/>
          <w:rtl w:val="true"/>
          <w:lang w:bidi="ar-SA"/>
        </w:rPr>
        <w:t xml:space="preserve">،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نسبته إلى المشهور،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والمصنّف رحمه الله هنا خلافاً للتذكرة</w:t>
      </w:r>
      <w:r>
        <w:rPr>
          <w:rStyle w:val="FootnoteAnchor"/>
          <w:rtl w:val="true"/>
        </w:rPr>
        <w:footnoteReference w:id="10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034"/>
      </w:r>
      <w:r>
        <w:rPr>
          <w:rFonts w:ascii="Amiri" w:hAnsi="Amiri" w:eastAsia="Amiri" w:cs="Amiri"/>
          <w:color w:val="111111"/>
          <w:sz w:val="28"/>
          <w:sz w:val="28"/>
          <w:szCs w:val="28"/>
          <w:rtl w:val="true"/>
          <w:lang w:bidi="ar-SA"/>
        </w:rPr>
        <w:t xml:space="preserve">لم يتعرّض لها، وفي الأولين حكم بحرمة إقامة الشهادة، لكن استشكل في الحكم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فلا دليل على الحكم المذكور، وما ذكروه مدركاً له عليل، حيث ذكروا له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دخولها في الشهادة المنهيّ عنها في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أنّ المنهي عنه هي الشهادة وهي أعمٌّ من تحمّلها أو أدائها، بل على 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إثبات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 ابن أبي شجرة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ظاهراً في أداء الشهادة، لأنّ الشهادة على شيء ظاهرة في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الشهادة من الشهود، بمعنى الحضور ظاهرة في حضور مجلس النكاح، لا أداؤها، وثبوت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محقّق، وقاعدة البناء على زائد لو دار الأمر بين الزيادة والنقيصة وإنْ كانت تامّة، إلّاأنّ استناد الأصحاب إلى خصوص الرواية المتضمّنة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 فإذاً النصوص لا تشمل أداء الشهادة، مع أنّه على فرض ثبوتها الخبر قابلٌ للحمل على كلّ منهما، فالمسلّم هو حرمة الشهادة دون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قوله عليه السلام في ذيل المرسل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للمُحرِم أن يشير بصيدٍ على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وتنبيه على أنّه لا يجوز، والمراد به تشبيه الشهادة بالإشارة، وأنّه كما لا يجوز كلّ ما هو دخيلٌ في الصيد ولو بنحو الإعداد، كذلك لا يجوز كلّ ما هو دخيلٌ في النكاح، ومنه أداء الشهادة، إذ كما أنّ تحمّلها دخيلٌ فيه كذلك أداؤها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استناد الأصحاب إليه بالخصوص غير ثابت، فضعفه في نفسه غير ثابت الجبر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أداء الشهادة لا دخل له في ثبوت النكاح أصلاً، وحضور الشاهد </w:t>
      </w:r>
    </w:p>
    <w:p>
      <w:pPr>
        <w:pStyle w:val="BookText"/>
        <w:rPr/>
      </w:pPr>
      <w:r>
        <w:rPr>
          <w:rFonts w:ascii="Amiri" w:hAnsi="Amiri" w:eastAsia="Amiri" w:cs="Amiri"/>
          <w:color w:val="111111"/>
          <w:sz w:val="28"/>
          <w:sz w:val="28"/>
          <w:szCs w:val="28"/>
          <w:rtl w:val="true"/>
          <w:lang w:bidi="ar-SA"/>
        </w:rPr>
        <w:t>مجلس العقد، وإنْ كان مستحبّاً، ومن تلك الجهة لا بأس بتشبيهه بالإشارة إلى الصيد، وأمّا أداؤها فلا دخل له في النكاح بوجه، بل إنّما هو من وسائط إثباته في مقام النزاع والدّعوى‌، فلا دليل على حرمته أصلاً، والإجماع المنقول قد مرّ ما فيه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عدم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هو الوجه في الإشكال، من دون حاجة إلى الوجوه التي أشار إليها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بأدلّة حرمة كتمان الشهادة، الدالّة عليوجوبها عندالاحتياج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ترتّب مفاسد عظيمة على عدم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أداء الشهادة من قبيل الإخبار لا الإنشاء، والخبر الصادق إذا لم يترتّب عليه ضررٌ لا يحسن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جواز أداء الشهادة من جواز الرجوع إلى المعتدّة في العدّة الرجعيّة، لأنّه إيجاد للنكاح دون أداء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للمناقشة في أكثر هذه الوجوه مجالاً واسعاً، إذ لو دلّ الدليل على حرمة أداء الشهادة، يوجب ذلك تخصيص أدلّة حرمة كتمانها، ولو بنى على حرمته للدليل إنّما يلتزم به مع عدم ترتّب مفسدة عظيمة على تركه، وإلّا فيحكم بجوازه اتّباعاً لقواعد باب التزاحم، وكون الخبر الصادق لا يحسن تحريمه، غير تامّ بعد عدم علمنا بمناطات الأحكام، وجواز الرجوع إلى معتدّة في العِدّة الرجعيّة، إنّما هو من جهة أنّها زوجة حقيقةً‌، وليس الرجوع إيجاداً للنكاح وإلّا لما جاز</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جواز أدائها بين تحمّلها وهو مُحرِم أو مُحلّ‌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إذا تحمّلها مُحرِماً مع معرفته بحرمة الشهادة، لا يكون قوله حجّة لفسقه، ولكن إذا كان تحمّلها على الوجه الجائز، كما لو أوقعا العقد عنده من دون أن يتمكّن من عدم الحضور، فلا مانع من قبول شهادته، كما أنّه لو تحمّلها على وجه الحرام ولكن تاب بعد ذلك، قُبلت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من أنّه لو تحمّلها مُحرِماً لا يثبت النكاح بأدائها ولو كان مُحلّاً، إمّا لفسقه، أو لأنّ هذا الشهادة شهادةٌ مرغوب عنها شرعاً فلا تعتبر، وإنْ وقعت جهلاً أو سهواً أو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دليله الأوّل قد مرّ ما فيه، وما ادّعاه ثانياً مجرّد دعوى لا دليل عليها، بل ظاهر الأدلّة خلافها، كما صرّح به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20" w:name="pg11808_109111"/>
    </w:p>
    <w:p>
      <w:pPr>
        <w:pStyle w:val="Heading2"/>
        <w:numPr>
          <w:ilvl w:val="1"/>
          <w:numId w:val="1"/>
        </w:numPr>
        <w:rPr/>
      </w:pPr>
      <w:bookmarkStart w:id="221" w:name="__RefHeading___Toc10697067_73709187"/>
      <w:bookmarkStart w:id="222" w:name="_Toc74"/>
      <w:bookmarkEnd w:id="220"/>
      <w:bookmarkEnd w:id="221"/>
      <w:r>
        <w:rPr>
          <w:rtl w:val="true"/>
        </w:rPr>
        <w:t>حكم الخطبة</w:t>
      </w:r>
      <w:bookmarkEnd w:id="222"/>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الخِطبة للمُحرِم وخِطبة المُحرِمة، ويكره للمُحرِم أن يخطب للمُحلّين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تُكره للمُحرِم الخِطبة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xml:space="preserve">، ومحكي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ظاهر أبي عليّ الحُرمة</w:t>
      </w:r>
      <w:r>
        <w:rPr>
          <w:rStyle w:val="FootnoteAnchor"/>
          <w:rtl w:val="true"/>
        </w:rPr>
        <w:footnoteReference w:id="1042"/>
      </w:r>
      <w:r>
        <w:rPr>
          <w:rFonts w:ascii="Amiri" w:hAnsi="Amiri" w:eastAsia="Amiri" w:cs="Amiri"/>
          <w:color w:val="111111"/>
          <w:sz w:val="28"/>
          <w:sz w:val="28"/>
          <w:szCs w:val="28"/>
          <w:rtl w:val="true"/>
          <w:lang w:bidi="ar-SA"/>
        </w:rPr>
        <w:t>، ومالَ إليها بعض الأعاظم</w:t>
      </w:r>
      <w:r>
        <w:rPr>
          <w:rStyle w:val="FootnoteAnchor"/>
          <w:rtl w:val="true"/>
        </w:rPr>
        <w:footnoteReference w:id="1043"/>
      </w:r>
      <w:r>
        <w:rPr>
          <w:rFonts w:ascii="Amiri" w:hAnsi="Amiri" w:eastAsia="Amiri" w:cs="Amiri"/>
          <w:color w:val="111111"/>
          <w:sz w:val="28"/>
          <w:sz w:val="28"/>
          <w:szCs w:val="28"/>
          <w:rtl w:val="true"/>
          <w:lang w:bidi="ar-SA"/>
        </w:rPr>
        <w:t>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للحرمة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يَنكح المُحرِم ولا يُنكح ولا يشهد ولا يَخطب</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كانت دلالته تامّة، ولا يُصغى إلى ما قيل من إنّ الجملة الخبريّة لا تدلّ على اللّزوم، أو إنّه يحتمل أن يكون بصيغة المجهول، أي لا يطلب الغير للخِطبة، لأنّ الجملة الخبريّة أصرح في اللّزوم من الأمر والنهي، وكونه بصيغة المجهول خلافُ السياق، فإنّ بقيّة الجمل بصيغة المعلوم، إلّاأنّه ضعيفُ السند، واستناد الأصحاب إليه بالنسبة إليسائر جُمله غير ثابت، لو لم يكن ثابت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أنّه لو سُلّم استنادهم إليه، فهو بالنسبة الى تلك الجمل دون هذه الجملة التي لم يفتِ المشهور على طبقها، ولا مانع من جبر ضعف الخبر بالنسبة إلى بعضه، وعدم جبره بالنسبة إلى الآخر بعد انحلاله إلى أخبار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عن عدّة من أصحابنا، عن أحمد، عن محمّد بن عيسى‌، عن الحسن بن علي، عن بعض أصحابنا،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يَنكح ولا يُنكح ولا يَشهد ولا يَخطب، فإن نَكح فنكاحه باطل</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وإنْ لم يكن بمرتبة النبويّ في الضعف، فإنّ الحسن قيل من أصحاب الإجماع، والرّاوي عنه أحمد بن محمّد بن عيسى الذي كان يُخرج من قُمّ من كان يروي عن الضعفاء، ولا يحتمل في حقّه أن يروي عن الضعيف ولو مع الواسطة، وروايته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بعد فرض أنّ الكليني أضبط من الشيخ، وثبوت قاعدة البناء على زائدٍ لو دار الأمر في الخبر بين الزيادة والنقصان، ولكن إعراض الأصحاب عنه، وعدم إفتائهم بحرمة الخِطبة، يوجب وهنه وضعفه فلا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مرسل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للمُحرِم أن يشير بصيدٍ على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كما عرفت يدلّ على حرمة كلّ ما له دخلٌ في النكاح، والخِطبة دخلية في النكاح كدخل الإشارة في الصيد، فلا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عدم ثبوت استناد الأصحاب إلى ذلك المرسل، سيّما ذيله، فضعفه لا جابر له، فإذاً لا دليل على الحرمة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بالنصوص المتقدّمة، بدعوى أنّها لضعفها لا تصلح مدركاً للحرمة، لكنها تصلح مدركاً للكراهة، ولو بواسطة قاعدة التسامح في أدلّة الأحكام غير الإلزاميّة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تسبّب إلى الحرام فكان مكروهاً كالصرف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قاعده التسامح الثابتة بأخبار من بلغ، مختصّة بالمستحبّات، ولا مورد لها في المكروهات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يخرج عن القياس، لأنّه إنْ اُريد إثبات الكراهة قياساً بكراهة الصرف الدّاعي إلى الرّبا، كان تخرّصاً بالغيب، يما إذا كان المراد إثباتها بما ذكر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الحرمة ولا الكراهة، فالأظهر بحسب الأدلّة جوازها من غير كراهة، ولكن الاحتياط بتركها لا ينبغي تركه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23" w:name="pg11808_109114"/>
    </w:p>
    <w:p>
      <w:pPr>
        <w:pStyle w:val="BookText"/>
        <w:rPr/>
      </w:pPr>
      <w:bookmarkEnd w:id="223"/>
      <w:r>
        <w:rPr>
          <w:rFonts w:ascii="IRNazanin" w:hAnsi="IRNazanin" w:eastAsia="IRNazanin"/>
          <w:color w:val="111111"/>
          <w:sz w:val="28"/>
          <w:sz w:val="28"/>
          <w:szCs w:val="28"/>
          <w:rtl w:val="true"/>
          <w:lang w:bidi="fa-IR"/>
        </w:rPr>
        <w:t>والإستمناء</w:t>
      </w:r>
      <w:r>
        <w:rPr>
          <w:rFonts w:eastAsia="IRNazanin" w:cs="IRNazanin"/>
          <w:color w:val="111111"/>
          <w:sz w:val="28"/>
          <w:szCs w:val="28"/>
          <w:rtl w:val="true"/>
          <w:lang w:bidi="fa-IR"/>
        </w:rPr>
        <w:t>.</w:t>
      </w:r>
    </w:p>
    <w:p>
      <w:pPr>
        <w:pStyle w:val="Heading2"/>
        <w:numPr>
          <w:ilvl w:val="1"/>
          <w:numId w:val="1"/>
        </w:numPr>
        <w:rPr/>
      </w:pPr>
      <w:bookmarkStart w:id="224" w:name="__RefHeading___Toc10697069_73709187"/>
      <w:bookmarkStart w:id="225" w:name="_Toc75"/>
      <w:bookmarkEnd w:id="224"/>
      <w:r>
        <w:rPr>
          <w:rtl w:val="true"/>
        </w:rPr>
        <w:t>حُرمة الإستمناء</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باليد أو الملاعبة أو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4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على الظاهر المصرّح به في بعض العبائر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49"/>
      </w:r>
      <w:r>
        <w:rPr>
          <w:rFonts w:ascii="IRNazanin" w:hAnsi="IRNazanin" w:eastAsia="IRNazanin"/>
          <w:color w:val="111111"/>
          <w:sz w:val="28"/>
          <w:sz w:val="28"/>
          <w:szCs w:val="28"/>
          <w:rtl w:val="true"/>
          <w:lang w:bidi="fa-IR"/>
        </w:rPr>
        <w:t>، بل بلا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المربوطة بالمقام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الحرمة من ناحية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الرّجل يعبث بأهله وهو مُحرِم حتّى يمنى من غير جماع، أو يفعل ذلك في شهر رمضان ماذا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عبث بذَكَره فأمنى؟ قال عليه السلام أرى عليه مثل ما على من أتى أهله وهو مُحرِم بدنة، والحَجّ من قابل</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الخبران وإن اختصّا بالعَبَث بالأهل وباليد، إلّاأنّ الظاهر تماميّة ما </w:t>
      </w:r>
    </w:p>
    <w:p>
      <w:pPr>
        <w:pStyle w:val="BookText"/>
        <w:rPr/>
      </w:pPr>
      <w:r>
        <w:rPr>
          <w:rFonts w:ascii="Amiri" w:hAnsi="Amiri" w:eastAsia="Amiri" w:cs="Amiri"/>
          <w:color w:val="111111"/>
          <w:sz w:val="28"/>
          <w:sz w:val="28"/>
          <w:szCs w:val="28"/>
          <w:rtl w:val="true"/>
          <w:lang w:bidi="ar-SA"/>
        </w:rPr>
        <w:t xml:space="preserve">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الظاهر عدم الفرق بين أسبابه من الملاعبة والتخيّل والخضخضة وغير ذلك كما صرّح به غير واحدٍ، حتّى السيّد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عدم الحرمة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تُنعت له مرأة الجميلة الخلقة فيمنى‌؟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البزنطي، عن بعض أصحابنا،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استمع على رجلٍ يُجامع أهله فأمنى؟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شيء</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الفرق بين صدور فعل خارجي منه فيحرم، وعدمه فلا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محمّد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يحدّث نفسه بالشهوة من النساء فيمني‌؟</w:t>
      </w:r>
    </w:p>
    <w:p>
      <w:pPr>
        <w:pStyle w:val="BookText"/>
        <w:rPr/>
      </w:pPr>
      <w:r>
        <w:rPr>
          <w:rFonts w:ascii="Amiri" w:hAnsi="Amiri" w:eastAsia="Amiri" w:cs="Amiri"/>
          <w:color w:val="111111"/>
          <w:sz w:val="28"/>
          <w:sz w:val="28"/>
          <w:szCs w:val="28"/>
          <w:rtl w:val="true"/>
          <w:lang w:bidi="ar-SA"/>
        </w:rPr>
        <w:t>قال عليه السلام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عَبَث بذَكَره فأنعظّ فأمنى؟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عليه مثل ما على من وطأ</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النصوص يقتضي البناء على ما تضمّنته الطائفة الأخيرة، فإنّها أخصّ منهما، بل الطائفة الاُولى بنفسها مختصّة بما إذا صدر من المُحرِم فعل خارجي كالعبث بذكره أو بزوجته، والطائفة الثانية مختصّة بما إذا لم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يصدر منه فعل خارجي، بل كان مجرّد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لإرساله، ولعدم ثبوت وثاقة مؤلّف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الاُولى وإنْ اختصّت بالعَبَث بالذَكَر والأهل، إلّاأنّ الأصحاب فهموا منها التمثيل لكلّ ما يستدعي به خروج المني، ولذا التزموا به في التخيّل وحديث النفس بالشهوة من النساء أيضاً، وعليذلك فهذا الجمع لايكون جمعاًعرفيّاً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يقتضي البناء على أنّه لو قصد بما أوجبَ خروج المني من الفعل الخارجي أو النفساني كان حراماً، ولو لم يقصد وسبقه المني لا يكون كذلك، وشاهد هذا الجمع أنّ استماع نعت الجميلة، ومجامعة الرّجل أهله بنفسه، ليسا من أسباب خروج المني عادةً‌، فنزول المني كان اتّفاقيّاً وعن غير قصدٍ، بخلاف العَبَث بالأهل أو الذَكَر، فإنّه من الأسباب العاديّة المتعارفة، وعليه فالنصوص الأولى مختصّة بما إذا قَصَد خروج المني، والثانية مختصّة بما إذا لم يقصد وسبقه المني، ولكن بما أنّ خروج المني بعد الاستماع لا يكون دفعيّاً ومن غير سبق توجّه الإنسان به، فأول الاستماع إنْ لم يكن قاصداً لخروجه، لكن في آخره لا محالة يكون قاصداً له، فمن هذه الجهة لا فرق بين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استنتاج التمثيل ممّا ذكر في الطائفة الاُولى، لا تنافي ذلك، فإنّه يتعدّى عن المثالين إلى كلّ فعلٍ خارجي موجب لذلك، فالأصحّ هو الجمع الأوّل، ويؤيّده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الحرمة زائداً على أنْ يقصد بفعل خارجي خروج المني، خروجه منه بالفعل، وإلّا فالمقدّمات من دون أن يترتّب عليها ذلك لا تكون </w:t>
      </w:r>
    </w:p>
    <w:p>
      <w:pPr>
        <w:pStyle w:val="BookText"/>
        <w:rPr/>
      </w:pPr>
      <w:r>
        <w:rPr>
          <w:rFonts w:ascii="Amiri" w:hAnsi="Amiri" w:eastAsia="Amiri" w:cs="Amiri"/>
          <w:color w:val="111111"/>
          <w:sz w:val="28"/>
          <w:sz w:val="28"/>
          <w:szCs w:val="28"/>
          <w:rtl w:val="true"/>
          <w:lang w:bidi="ar-SA"/>
        </w:rPr>
        <w:t>مشمولة لهذا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ناحية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الاستمناء المُحرّم في نفسه، فهو عامٌّ شاملٌ لجميع الأسباب، أعمّ من كونه بالفعل الخارجي أو غيره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إلحاق استمناء المُحرِمة باستمناء المُحرِم‌؟ وجهان تقدّما في نظائره، ولعلّ الأصحّ الإلحاق</w:t>
      </w:r>
      <w:r>
        <w:rPr>
          <w:rFonts w:eastAsia="Amiri" w:cs="Amiri" w:ascii="Amiri" w:hAnsi="Amiri"/>
          <w:color w:val="111111"/>
          <w:sz w:val="28"/>
          <w:szCs w:val="28"/>
          <w:rtl w:val="true"/>
          <w:lang w:bidi="ar-SA"/>
        </w:rPr>
        <w:t>.</w:t>
      </w:r>
      <w:bookmarkStart w:id="226" w:name="pg11808_109118"/>
    </w:p>
    <w:p>
      <w:pPr>
        <w:pStyle w:val="BookText"/>
        <w:rPr/>
      </w:pPr>
      <w:bookmarkEnd w:id="226"/>
      <w:r>
        <w:rPr>
          <w:rFonts w:ascii="Amiri" w:hAnsi="Amiri" w:eastAsia="Amiri" w:cs="Amiri"/>
          <w:color w:val="111111"/>
          <w:sz w:val="28"/>
          <w:sz w:val="28"/>
          <w:szCs w:val="28"/>
          <w:rtl w:val="true"/>
          <w:lang w:bidi="ar-SA"/>
        </w:rPr>
        <w:t>والطيب</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10697071_73709187"/>
      <w:bookmarkStart w:id="228" w:name="_Toc76"/>
      <w:bookmarkEnd w:id="227"/>
      <w:r>
        <w:rPr>
          <w:rtl w:val="true"/>
        </w:rPr>
        <w:t>حرمة الطيب</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في الجملة بين المسلمين، فضلاً 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إجماعاً محقّقاً ومحكيّاً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0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حرامٌ على المُحرِم، وهو قول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المُحرِم الرّجل والمرأة الطيب أكلاً وشمّاً وإطلاءً بإجماع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الأصحاب في الطيب المُحرّم عليهما على أقوال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المفيد</w:t>
      </w:r>
      <w:r>
        <w:rPr>
          <w:rStyle w:val="FootnoteAnchor"/>
          <w:rtl w:val="true"/>
        </w:rPr>
        <w:footnoteReference w:id="1059"/>
      </w:r>
      <w:r>
        <w:rPr>
          <w:rFonts w:ascii="Amiri" w:hAnsi="Amiri" w:eastAsia="Amiri" w:cs="Amiri"/>
          <w:color w:val="111111"/>
          <w:sz w:val="28"/>
          <w:sz w:val="28"/>
          <w:szCs w:val="28"/>
          <w:rtl w:val="true"/>
          <w:lang w:bidi="ar-SA"/>
        </w:rPr>
        <w:t xml:space="preserve">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والسيّد</w:t>
      </w:r>
      <w:r>
        <w:rPr>
          <w:rStyle w:val="FootnoteAnchor"/>
          <w:rtl w:val="true"/>
        </w:rPr>
        <w:footnoteReference w:id="1061"/>
      </w:r>
      <w:r>
        <w:rPr>
          <w:rFonts w:ascii="Amiri" w:hAnsi="Amiri" w:eastAsia="Amiri" w:cs="Amiri"/>
          <w:color w:val="111111"/>
          <w:sz w:val="28"/>
          <w:sz w:val="28"/>
          <w:szCs w:val="28"/>
          <w:rtl w:val="true"/>
          <w:lang w:bidi="ar-SA"/>
        </w:rPr>
        <w:t>والحلبي</w:t>
      </w:r>
      <w:r>
        <w:rPr>
          <w:rStyle w:val="FootnoteAnchor"/>
          <w:rtl w:val="true"/>
        </w:rPr>
        <w:footnoteReference w:id="1062"/>
      </w:r>
      <w:r>
        <w:rPr>
          <w:rFonts w:ascii="Amiri" w:hAnsi="Amiri" w:eastAsia="Amiri" w:cs="Amiri"/>
          <w:color w:val="111111"/>
          <w:sz w:val="28"/>
          <w:sz w:val="28"/>
          <w:szCs w:val="28"/>
          <w:rtl w:val="true"/>
          <w:lang w:bidi="ar-SA"/>
        </w:rPr>
        <w:t>والحِلّي</w:t>
      </w:r>
      <w:r>
        <w:rPr>
          <w:rStyle w:val="FootnoteAnchor"/>
          <w:rtl w:val="true"/>
        </w:rPr>
        <w:footnoteReference w:id="1063"/>
      </w:r>
      <w:r>
        <w:rPr>
          <w:rFonts w:ascii="Amiri" w:hAnsi="Amiri" w:eastAsia="Amiri" w:cs="Amiri"/>
          <w:color w:val="111111"/>
          <w:sz w:val="28"/>
          <w:sz w:val="28"/>
          <w:szCs w:val="28"/>
          <w:rtl w:val="true"/>
          <w:lang w:bidi="ar-SA"/>
        </w:rPr>
        <w:t>وظاهر الإسكافي</w:t>
      </w:r>
      <w:r>
        <w:rPr>
          <w:rStyle w:val="FootnoteAnchor"/>
          <w:rtl w:val="true"/>
        </w:rPr>
        <w:footnoteReference w:id="1064"/>
      </w:r>
      <w:r>
        <w:rPr>
          <w:rFonts w:ascii="Amiri" w:hAnsi="Amiri" w:eastAsia="Amiri" w:cs="Amiri"/>
          <w:color w:val="111111"/>
          <w:sz w:val="28"/>
          <w:sz w:val="28"/>
          <w:szCs w:val="28"/>
          <w:rtl w:val="true"/>
          <w:lang w:bidi="ar-SA"/>
        </w:rPr>
        <w:t>والعُمّاني</w:t>
      </w:r>
      <w:r>
        <w:rPr>
          <w:rStyle w:val="FootnoteAnchor"/>
          <w:rtl w:val="true"/>
        </w:rPr>
        <w:footnoteReference w:id="1065"/>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والمحقّق</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والمصنّف</w:t>
      </w:r>
      <w:r>
        <w:rPr>
          <w:rStyle w:val="FootnoteAnchor"/>
          <w:rtl w:val="true"/>
        </w:rPr>
        <w:footnoteReference w:id="1068"/>
      </w:r>
      <w:r>
        <w:rPr>
          <w:rFonts w:ascii="Amiri" w:hAnsi="Amiri" w:eastAsia="Amiri" w:cs="Amiri"/>
          <w:color w:val="111111"/>
          <w:sz w:val="28"/>
          <w:sz w:val="28"/>
          <w:szCs w:val="28"/>
          <w:rtl w:val="true"/>
          <w:lang w:bidi="ar-SA"/>
        </w:rPr>
        <w:t>في أكثر كتبه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وجُملةٌ من متأخّري المتأخّرين بل أكثرهم، من التعميم بالنسبة إلى كلّ طيبٍ عدا ما سيأتي استثناؤه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 xml:space="preserve">من أنّه إنّما يحرم المِسْك والعنبر والزعفران والوَرَس والعود والكافور،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0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 xml:space="preserve">من حصره في خمسة بإسقاط الوَرَس،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نفي الخلاف عن حرمتها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078"/>
      </w:r>
      <w:r>
        <w:rPr>
          <w:rFonts w:ascii="Amiri" w:hAnsi="Amiri" w:eastAsia="Amiri" w:cs="Amiri"/>
          <w:color w:val="111111"/>
          <w:sz w:val="28"/>
          <w:sz w:val="28"/>
          <w:szCs w:val="28"/>
          <w:rtl w:val="true"/>
          <w:lang w:bidi="ar-SA"/>
        </w:rPr>
        <w:t xml:space="preserve">أيضاً،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0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08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082"/>
      </w:r>
      <w:r>
        <w:rPr>
          <w:rFonts w:ascii="Amiri" w:hAnsi="Amiri" w:eastAsia="Amiri" w:cs="Amiri"/>
          <w:color w:val="111111"/>
          <w:sz w:val="28"/>
          <w:sz w:val="28"/>
          <w:szCs w:val="28"/>
          <w:rtl w:val="true"/>
          <w:lang w:bidi="ar-SA"/>
        </w:rPr>
        <w:t>من الاقتصار على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الزّعفران والعنبر والوَرَس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083"/>
      </w:r>
      <w:r>
        <w:rPr>
          <w:rFonts w:ascii="Amiri" w:hAnsi="Amiri" w:eastAsia="Amiri" w:cs="Amiri"/>
          <w:color w:val="111111"/>
          <w:sz w:val="28"/>
          <w:sz w:val="28"/>
          <w:szCs w:val="28"/>
          <w:rtl w:val="true"/>
          <w:lang w:bidi="ar-SA"/>
        </w:rPr>
        <w:t>وجمع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التردّدفي التعميم أو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نزاعين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الطيب على القول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الحكم، وأنّ المُحرّم هو الشمّ والأكل، أو هما مع الإطلاء، أو كلّ فعلٍ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نزاع ثالث وهو في موارد الإستثناء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وأنّه مطلق، أو مختصٌّ ببعض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استثني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29" w:name="pg11808_109121"/>
    </w:p>
    <w:p>
      <w:pPr>
        <w:pStyle w:val="Heading2"/>
        <w:numPr>
          <w:ilvl w:val="1"/>
          <w:numId w:val="1"/>
        </w:numPr>
        <w:rPr/>
      </w:pPr>
      <w:bookmarkStart w:id="230" w:name="__RefHeading___Toc10697073_73709187"/>
      <w:bookmarkStart w:id="231" w:name="_Toc77"/>
      <w:bookmarkEnd w:id="229"/>
      <w:bookmarkEnd w:id="230"/>
      <w:r>
        <w:rPr>
          <w:rtl w:val="true"/>
        </w:rPr>
        <w:t>في حكم الطيب</w:t>
      </w:r>
      <w:bookmarkEnd w:id="231"/>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فيه أقوالاً، ومنشأ الاختلاف النصوص، فإنّها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شيئاً من الطيب، ولا من الدهن في إحرامك، واتّق الطيب في طعامك، وأمسك على أنفك من الرائحة الطيّبة، ولا تُمسك عليه من الرائحة المنتنة، فإنّه لا ينبغي للمُحرِم أن يتلذّذ بريحٍ طيّبة</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المُحرِم شيئاً من الطيب، ولا الريحان، ولا يتلذّذ به ولا بريحٍ طيّبة، فمن ابتلى بذلك فَليتصدق بقدر ما صنع قدر سعته</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صحيحه، إلّاأنّه ليس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بريح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وبدل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 شبعه</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 يعني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ومحمّد بن مسلم جميعاً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يمسك على أنفه من الرّيح الطيّبة، ولا يَمسك على أنفه من الريح الخبيثة</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صحيح الحلبي</w:t>
      </w:r>
      <w:r>
        <w:rPr>
          <w:rStyle w:val="FootnoteAnchor"/>
          <w:rtl w:val="true"/>
        </w:rPr>
        <w:footnoteReference w:id="1088"/>
      </w:r>
      <w:r>
        <w:rPr>
          <w:rFonts w:ascii="Amiri" w:hAnsi="Amiri" w:eastAsia="Amiri" w:cs="Amiri"/>
          <w:color w:val="111111"/>
          <w:sz w:val="28"/>
          <w:sz w:val="28"/>
          <w:szCs w:val="28"/>
          <w:rtl w:val="true"/>
          <w:lang w:bidi="ar-SA"/>
        </w:rPr>
        <w:t>إلّاأن فيه بدل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 الخبيثة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الريح </w:t>
      </w:r>
    </w:p>
    <w:p>
      <w:pPr>
        <w:pStyle w:val="BookText"/>
        <w:rPr/>
      </w:pPr>
      <w:r>
        <w:rPr>
          <w:rFonts w:ascii="Amiri" w:hAnsi="Amiri" w:eastAsia="Amiri" w:cs="Amiri"/>
          <w:color w:val="111111"/>
          <w:sz w:val="28"/>
          <w:sz w:val="28"/>
          <w:szCs w:val="28"/>
          <w:rtl w:val="true"/>
          <w:lang w:bidi="ar-SA"/>
        </w:rPr>
        <w:t>المنتنة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صحيح هشام</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الساباطي،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يأكل الأُترج‌؟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رائحة طيّبة‌؟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الأُترج طعام ليس هو من الطيب</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بالتعليل على أنّه لو كان طِيباً لحكم بالإجتناب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وجه الدلالة صحيح ابن سنان، عن إمامنا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ليمسّه ويداوي به بغيره وما هو بطيب، وما به بأس</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ريحاناً وأنتَ مُحرم، ولا شيئاً فيه زعفران، ولا تطعم طعاماً فيه زعفران</w:t>
      </w:r>
      <w:r>
        <w:rPr>
          <w:rFonts w:eastAsia="Amiri" w:cs="Amiri" w:ascii="Amiri" w:hAnsi="Amiri"/>
          <w:color w:val="111111"/>
          <w:sz w:val="28"/>
          <w:szCs w:val="28"/>
          <w:rtl w:val="true"/>
          <w:lang w:bidi="ar-SA"/>
        </w:rPr>
        <w:t>»</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على الاستدلال بها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أنّ دلالة هذه الأخبار على التحريم غير واضحة، والأصل يقتضي حملها على الكراهة، ويناسب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دلالتها عليه لعلّه من جهة إنكاره ظهور النهي في التحريم، وقد حُقّق بطلانه، 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لو لم تكن في الأخبار ظاهرة في الحرمة، لا تكون ظاهرة في خلافها، فلا تصلح قرينةً لرفع اليد عن ظهور الأخبار في الحرمة ووجوب الترك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جملةً من النصوص لتضمّنها للجملة الخبريّة أو لما يحتملها، ليست دالّة على التحريم، وكذا طائفة أُخرى متضمّنة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تضمّن التعليل المذكور، يمكن أن يكون لنفي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اعترافه بأنّه يبقى طائفة قليلة منها دالّة على المطلوب وهي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الخبريّة أصرح في اللّزوم من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حريز المتقدّم مشتملٌ على الريحان، وحيث إنّه مكروه، فالنهي المتعلّق به وبالطيب 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صَدّر به الريحان لا ناهية لا زائدة، وحمله على الكراهة لا يستلزم حمل النهي عن الطيب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مراراً من أنّه لو نهى الشارع عن أشياء ثمّ رخَّص في فعل بعضها، ولم يُرخّص في فعل الآخر، حُكم بحرمة ما لم يرخّص في فعله خاصّة، فالنصوص سنداً ودلالةً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الانحصار 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 المتضمّن صدره لما تقدّم منه في الطائفة الاُولى‌، لكن ورد في ذيله قوله عليه السلام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 الطيب في زادك، فمن ابتلى بشيءٍ من ذلك فليعُد غُسله، وليتصدّق بصدقة بقدر ما صنع، وإنّما يحرم عليك من الطيب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والوَرَس والزعفران، غير أنّه يكره للمُحرِم الأدهان الطيّبة إلّاالمضطرّ إلى الزيت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شبهه يتداوى به</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يحرمُ عليك من الطيب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والوَرَس، غير أنّه يكره للمُحرِم الأدهان الطيّبة الريح</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الغفّار،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والوَرَس</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من الطيب أربعة أشياء للمُحرِم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والوَرَس، وكان يكره من الأدهان الطيّبة الريح</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 المنع عن أربعة، إلّاأنّه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النصوص السابقة ورد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يعفور،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والمِسْك والعنبر والزعفران والعود</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منع تجهيز الميّت المُحرِم بالكافور، حيث تدلّ على منع الحَيّ منه بالأولويّة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تمام النصوص، فقد استدلّ القائلون بالتعميم بالطائفة الاُولى‌، والقائلون بالقول الأخير بالطائفة الثانية، وبها قيدوا إطلاق الاُولى‌، واستدلّ أصحاب القول الثالث بأنّه مقتضى الجمع بين الطائفتين الثانية والثالثة المقيّدين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لإطلاق الاُولى‌، وأمّا أصحاب القول الثاني فقد قالوا إنّ الجمع بين الطوائف الأخيرة، ثمّ تقيّيد الاُولى بها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وللقوم في الجمع بين هذه النصوص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00"/>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أخبار الحصر بالأربعة من جهة أنّه لم يعمل بها إلّانادر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الشيخ الذي قال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رجع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يقتضي الجمع بينها وبين الطائفتين الأخيرتين صرفها عن ظاهرها بالنسبة إلى العود والكافور، فيكون مجازاً بالنسبة إلى ذلك، وحملها على ما هو أغلظ تحريماً، أو المختصّ بالكفّارة من تخصيص العمومات بها، وحملها على الحصر الإضافي، وذلك لأنّ التخصيص وإنْ كان أرجح من المجاز حيثُ ما تعارضا، ولكن إذا لزم المجاز على كلّ تقديرٍ لا ريب في أنّ اختيار فردٍ منه يجامع العموم أولى من الذي يلزم معه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أيّد رحمه الله ذلك بكثرة نصوص التعميم، وعمل المشهور بها، واشتمال بعضها على التعليل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للمُحرِم التلذّذ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المناسب لمعنى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ورد في دعائه من إحرام الأنف وغيره، فيكون الظنّ بها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ما أفاده قدس سره أُمور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الظاهر في الحصر، يدلّ بالمنطوق على شيء وبالمفهوم على الآخر، وإذا كان مفهومه مطلقاً وورد عليه قيد يقيّد إطلاق مفهومه، وحيث إنّ التصرّف في المفهوم من دون أن يتصرّف في المنطوق غير ممكن، يقال إنّه يُحمل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الحصر في ذلك الشيء على الحصر الإضافي، بمعنى أنّه يتصرّف في ما ورد عليه الحصر، وإلّا فأداة الحصر باقية على ما هي عليه من المعنى الموضوع له والمستعمل فيه، من دون أن يلزم مجازٌ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إنّما يكون في مدخول الأداة، لا نفس أداة الحصر، ومعلومٌ أنّ التصرّف فيه بإضافة قيدٍ ليس من المجاز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مقدّمٌ على العام مطلقاً، من جهة حكومة القرينة على ذي القرينة، ولا وجه لملاحظة النسبة بين العام وخاصّه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شيءٌ من المؤيّدات المذكورة مع تخصيص العام، إذ القرآنُ يخصّص عمومه بخبر الواحد، فضلاً عن النصوص المتواترة أو الكثيرة، والتعليل المشار إليه عام بنفسه قابل للتقييد وكذا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تحمل نصوص التعميم على الحرمة فقط دون ثبوت الكفّارة، وتُحمل غيرها من الطوائف على ثبوت الكفّارة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تبرّعي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Style w:val="FootnoteAnchor"/>
          <w:rtl w:val="true"/>
        </w:rPr>
        <w:footnoteReference w:id="1101"/>
      </w:r>
      <w:r>
        <w:rPr>
          <w:rFonts w:ascii="Amiri" w:hAnsi="Amiri" w:eastAsia="Amiri" w:cs="Amiri"/>
          <w:color w:val="111111"/>
          <w:sz w:val="28"/>
          <w:sz w:val="28"/>
          <w:szCs w:val="28"/>
          <w:rtl w:val="true"/>
          <w:lang w:bidi="ar-SA"/>
        </w:rPr>
        <w:t xml:space="preserve">فإنّ الشيخ رحمه الله بعدما ذكر خبر ابن أبي يعفور من الطائفة الثالثة، وخبر عبد الغفّار من الطائفة الثانية، وأوّلهما بأنّ ذكر هذه الأشياء إنّما وقع تعظيماً لها وتفخيماً، ولم يكن القصد بيان تحليلهما أو تحريمهما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هذين الخبرين ليس فيهما أكثر من الإخبار بأنّ الطيب أربعة أشياء، وليس فيهما ذكر ما يجب اجتنابه على المُحرِم، وأنّه إنّما تأوّلهما لذكر الأصحاب لهما في أبواب ما يجبُ على المُحرِم اجتنابه، وإلّا فلا حاجة إلى تأويلهما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2" w:name="pg11808_109127"/>
    </w:p>
    <w:p>
      <w:pPr>
        <w:pStyle w:val="BookText"/>
        <w:rPr/>
      </w:pPr>
      <w:bookmarkEnd w:id="232"/>
      <w:r>
        <w:rPr>
          <w:rFonts w:ascii="Amiri" w:hAnsi="Amiri" w:eastAsia="Amiri" w:cs="Amiri"/>
          <w:color w:val="111111"/>
          <w:sz w:val="28"/>
          <w:sz w:val="28"/>
          <w:szCs w:val="28"/>
          <w:rtl w:val="true"/>
          <w:lang w:bidi="ar-SA"/>
        </w:rPr>
        <w:t>وتبعه فيما ذكره أخيراً الفاضل النراقي رحمه الله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عليه السلام ليس من شأنه بيان الموضوع الخارجي، بلا نظر إلى الحكم، بل واجبه بيان موضوع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حرمة الطيب تُثبت الحكم على فرض وجود الطيب، دون أن تتعرّض للموضوع، فإذابيّن الشارع الموضوع، فلامحالة يكون حاكماًو مقدّماً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تأييداً لذلك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وخَلُوق الكعبة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خبر عبد الغفّار، فيرد عليه أنّ ذلك ليس في الرواية، وإنّما هو من كلام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منع الميت من الكافور، لا يصحّ الاستدلال به في المقام، لعدم ثبوت الأولويّة، وأمّا الطائفة الثانية والثالثة فهما وإنْ كانتا متعارضتين في بادئ النظر، من جهة ورود كلّ منهما في مقام تحديد موضوع التحريم، إلّاأنّ الجمع بينهما إنّما يكون بتقييد مفهوم كلّ منهما بمنطوق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الموضوع هو الخمسة لا الأربعة، ونسبتهما مع الطائفة الاُولى نسبة الخاصّ والمقيّد، مع العام والمطلق، فيقيّد إطلاقها بهما، فتكون النتيجة اختصاص الحرمة بالخمسة</w:t>
      </w:r>
      <w:r>
        <w:rPr>
          <w:rFonts w:eastAsia="Amiri" w:cs="Amiri" w:ascii="Amiri" w:hAnsi="Amiri"/>
          <w:color w:val="111111"/>
          <w:sz w:val="28"/>
          <w:szCs w:val="28"/>
          <w:rtl w:val="true"/>
          <w:lang w:bidi="ar-SA"/>
        </w:rPr>
        <w:t>.</w:t>
      </w:r>
    </w:p>
    <w:p>
      <w:pPr>
        <w:pStyle w:val="Heading2"/>
        <w:numPr>
          <w:ilvl w:val="1"/>
          <w:numId w:val="1"/>
        </w:numPr>
        <w:rPr/>
      </w:pPr>
      <w:bookmarkStart w:id="233" w:name="__RefHeading___Toc10697075_73709187"/>
      <w:bookmarkStart w:id="234" w:name="_Toc78"/>
      <w:bookmarkEnd w:id="233"/>
      <w:r>
        <w:rPr>
          <w:rtl w:val="true"/>
        </w:rPr>
        <w:t>تنبيهات</w:t>
      </w:r>
      <w:r>
        <w:rPr>
          <w:rtl w:val="true"/>
        </w:rPr>
        <w:t>:</w:t>
      </w:r>
      <w:bookmarkEnd w:id="23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 يتّضح بها جهات البحث في المقام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غير الخمسة المتقدّمة من أنواع الطيب يكون </w:t>
      </w:r>
    </w:p>
    <w:p>
      <w:pPr>
        <w:pStyle w:val="BookText"/>
        <w:rPr/>
      </w:pPr>
      <w:r>
        <w:rPr>
          <w:rFonts w:ascii="Amiri" w:hAnsi="Amiri" w:eastAsia="Amiri" w:cs="Amiri"/>
          <w:color w:val="111111"/>
          <w:sz w:val="28"/>
          <w:sz w:val="28"/>
          <w:szCs w:val="28"/>
          <w:rtl w:val="true"/>
          <w:lang w:bidi="ar-SA"/>
        </w:rPr>
        <w:t>مكروهاً لقوله في صدر صحيح معاوية المتقدّم المشتمل على حصر المُحرِم في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للمُحرِم أن يتلذّذ بريحٍ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الطيب على المُحرِم بين إحداثه بعد الإحرام واستدامته، فكما يحرم عليه بعد الإحرام التطيّب، كذلك يحرم عليه إبقاءه حين إنشاء الإحرام إذا تطيّبت به قبله، بلا خلافٍ يُعرف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خبرحمّادبن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جعلتُثوبَي إحرامي مع أثواب قد جُمّرت فأخذ من ريحها؟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فانشرها في الريح حتّى يذهب ريحها</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تدهن حين تريد أن تُحرِم بدُهنٍ فيه مسك ولا عنبر من أجل أنّ رائحته تبقى في رأسك بعدماتحرم</w:t>
      </w:r>
      <w:r>
        <w:rPr>
          <w:rStyle w:val="FootnoteAnchor"/>
          <w:rtl w:val="true"/>
        </w:rPr>
        <w:footnoteReference w:id="1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ونحوهماغيرهما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الطيب بعد الإحرام بين الحدوث والبقاء، فإذا تطيّب بعد الإحرام، أو تلطّخ ثوبه به في حال النوم مثلاً، وجب عليه إزالته كما صرّح به غير واحدٍمنهم المصنّف رحمه الله، ويشهد به خبر إسحاق 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يمسّ‌الطيب وهو نائم لايعلم‌؟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المُحرِم يدهنه الحلال بالدّهن الطيب والمُحرِم لا يعلم ما عليه‌؟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 أيضاً وليحذر</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أن يزيله بيده وبمباشرته، 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09"/>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 يأمر الحلال بغَسله، أو يغسله بآلةٍ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10"/>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مسّ الطيب بنفسه، وإنْ أزاله بيده لزم منه المسّ المُحرِم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 وإنْ كان حراماً، إلّاأنّه إذا توقّف الواجب أو ترك الحرام والتخلّص منه عليه، صار جائزاً، ألا ترى أنّ الخروج عن الدار الغصبي برغم أنّه تصرّفٌ في مال الغير وحرام بنفسه، ولكن حيث يتوقّف عليه التخلّص عن البقاء في الدار يكون جائزاً، فكذلك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تَمّ فإنّما هو في صورة الانحصار، وأمّا مع التمكّن من إتيان الواجب والتخلّص من الحرام بطريق آخر مباح لا يصبح الحرام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الذي يكون مقدمة لواجب إذا جاز، فإنّما هو في صورة التوقّف، وأمّا مع إمكان إتيان الواجب بنحوٍ لا يرتكب الحرام، فلا إشكال في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فالحقّ أن يُستدلّ للجواز بالنصوص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إسحاق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بعض أصحابنا،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مُحرِمٍ أصابه طيب‌؟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يمسحه بيده أو يغسله</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مرسله الآخر عن الإمام الصادق عليه السلام</w:t>
      </w:r>
      <w:r>
        <w:rPr>
          <w:rStyle w:val="FootnoteAnchor"/>
          <w:rtl w:val="true"/>
        </w:rPr>
        <w:footnoteReference w:id="1112"/>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جملةً من النصوص الصحيحة دلّت على حرمة المسّ‌، والأصحاب عملوا بها، ولا يمكن رفع اليد عنها بهذه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مرسلات ابن أبي عمير بحكم الروايات الصحيحة، لأنّه لا يُرسل إلّاعن ثقة، كما أنّ بقيّة رجال السند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أخصّ منها، فيقيّد إطلاقها بها، فالأظهر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إزالة الطيب على استعمال الماء، وكان عنده ماء يكفي لها أو للوضوء، وقد حَضَر وقت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يجبُ عليه صرفه في الإزالة ويتيمّم للصلاة كما عن الشهيد قدس سره</w:t>
      </w:r>
      <w:r>
        <w:rPr>
          <w:rStyle w:val="FootnoteAnchor"/>
          <w:rtl w:val="true"/>
        </w:rPr>
        <w:footnoteReference w:id="1113"/>
      </w:r>
      <w:r>
        <w:rPr>
          <w:rFonts w:ascii="Amiri" w:hAnsi="Amiri" w:eastAsia="Amiri" w:cs="Amiri"/>
          <w:color w:val="111111"/>
          <w:sz w:val="28"/>
          <w:sz w:val="28"/>
          <w:szCs w:val="28"/>
          <w:rtl w:val="true"/>
          <w:lang w:bidi="ar-SA"/>
        </w:rPr>
        <w:t xml:space="preserve">وقوّاه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1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يجب صرفه في الوضوء؟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يفصّل بين الوقت وخارجه‌؟ ففي الأوّل يصرفه في الوضوء، وفي الثاني في الإزالة كما اختاره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يتخيّر بينهما؟ وجوه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مرجّحات باب التزاحم، أن يكون لأحد الواجبين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بدلٌ دون الآخر، فإنّه يقدم عند التزاحم ما ليس له بدل، فإنّ به يمتثل كلا التكليفين، أمّا ما قدّمه فواضح، وأمّا الآخر فللإتيان ببدله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وإنْ كان مشهوراً بين الأصحاب، إلّاأنّه لم يدلّ عليه دليلٌ شرعي ولا عقلي، وما ذُكر في وجه ذلك يرده أنّه يمكن أن يكون لما له البدل خصوصيّة، ولأجلها لا يرضى الشارع بتركها، والانتقال إلى بدله، ويكون ذلك بمرتبةٍ من الأهميّة بحيث يُقدّم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الطيب عند الضرورة لا يجبُ رفعه، ومنها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وجب صرف ما عنده من الماء في الوضوء تَمّ ذلك، ومع عدم وجوبه لا يتمّ‌، كما لا يخفى‌، فإثبات الوجوب به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الوقت مخاطبٌ بالوضوء، وهو متمكّنٌ منه، والتيمّم مع فرض التمكّن من الوضوء غير مشروع، فيسقط وجوب الإزالة للضرورة، وأمّا في خارج الوقت فهو غير مخاطبٍ بالوضوء، فلا مزاحم لوجوب الإزالة، ممّا يقتضي أن يصبح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اُفيد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وجب صرف الماء في الوضوء كان ما ذكر تامّاً، ولكن الكلام في ذلك فإنّه وإنْ كان في الوقت، إلّاأنّه يحتمل أن يكون مأموراً بصرف ما عنده من الماء في الإزالة، فهو فاقد للماء، فيجب عليه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يصلح دليل وحوب الوضوء لأنْ يُوجب سقوط دليل وجوب الإزالة، كذلك دليل وجوب الإزالة يصلح لأنْ يوجب سقوط وجوب الوضوء، وانتقال الفرض إلى التيمّم، والكلام إنّما هو في تقديم أحدهما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ثانياً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بين الأصحاب أنّ من يعلم أنّه </w:t>
      </w:r>
    </w:p>
    <w:p>
      <w:pPr>
        <w:pStyle w:val="BookText"/>
        <w:rPr/>
      </w:pPr>
      <w:r>
        <w:rPr>
          <w:rFonts w:ascii="Amiri" w:hAnsi="Amiri" w:eastAsia="Amiri" w:cs="Amiri"/>
          <w:color w:val="111111"/>
          <w:sz w:val="28"/>
          <w:sz w:val="28"/>
          <w:szCs w:val="28"/>
          <w:rtl w:val="true"/>
          <w:lang w:bidi="ar-SA"/>
        </w:rPr>
        <w:t>لا يتمكّن من الماء بعد دخول الوقت ليتوضّأ به، لا يجوز له استعمال ما عنده من الماء، ويجبُ أن يتوضّأ به قبله، أو يحفظه فيتوضّأ به بعد الوقت، فإذاً لا دليل على تقديم أحدهما على الآخر، فالأظهر 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لهذا الحكم بالرجال، ويعمّ النساء كما مرّ، وعن المصنّف رحمه الله والفاضل النراقي</w:t>
      </w:r>
      <w:r>
        <w:rPr>
          <w:rStyle w:val="FootnoteAnchor"/>
          <w:rtl w:val="true"/>
        </w:rPr>
        <w:footnoteReference w:id="1116"/>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بعض النصوص بذلك، كصحيح النضربن سويد الآتي، عن أبي الحسن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المُحرِمة لا تمسّ طيباً</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الظاهر أنّ أهل العرف لا يشكّون في أنّ المراد بالمُحرِم في النصوص، هو الجامع بين الرّجل والمرأة، وإنّما ذُكّر للتبعيّة، كما لا ينبغي التوقّف في جريان قاعدة الاشتراك في مثل هذه الأحكام التي لا وجه لتوهّم اختصاصها بالرجال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35" w:name="pg11808_109133"/>
    </w:p>
    <w:p>
      <w:pPr>
        <w:pStyle w:val="Heading2"/>
        <w:numPr>
          <w:ilvl w:val="1"/>
          <w:numId w:val="1"/>
        </w:numPr>
        <w:rPr/>
      </w:pPr>
      <w:bookmarkStart w:id="236" w:name="__RefHeading___Toc10697077_73709187"/>
      <w:bookmarkStart w:id="237" w:name="_Toc79"/>
      <w:bookmarkEnd w:id="235"/>
      <w:bookmarkEnd w:id="236"/>
      <w:r>
        <w:rPr>
          <w:rtl w:val="true"/>
        </w:rPr>
        <w:t>بيان ما يحرم من الطيب على المُحرِم</w:t>
      </w:r>
      <w:bookmarkEnd w:id="237"/>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بيان الموضوع، وعن حقيقة الطيب المُحرّم على المُحرِم على القول بالتعميم أو المكروه على ما اخترناه، وبيان مفهومه سعةًوضيقاً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ما تطيب رائحته، ويتّخذ للشمّ كالمِسك والعنبر والكافور والزعفران وماء الورد، والأدهان الطيّبة كدُهن البنفسج والوَرَس، والمعتبر أن يكون الغرض منه التطيّب، أو يظهر فيه 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19"/>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الشهيد رحمه الله</w:t>
      </w:r>
      <w:r>
        <w:rPr>
          <w:rStyle w:val="FootnoteAnchor"/>
          <w:rtl w:val="true"/>
        </w:rPr>
        <w:footnoteReference w:id="11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كلّ جسمٍ ذي ريح طيّبة بالنسبة إلى معظم الأمزجة، أو إلى مزاج المستعمل غير أمر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xml:space="preserve">، واستحسنه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وغيره من الأساطين، فالمستفاد من هذه الكلمات أنّ الريح الطيّبة ليست من الطيب، ويشهد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المُحرِم شيئاً من الطيب، ولا الريحان، ولا يتلذّذ به، ولا بريحٍ طيّبة</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المقابلة آية التعدّد، بل الطيب اسمٌ لما تطيب رائحته، كما أنّ كلّ ما له رائحة </w:t>
      </w:r>
    </w:p>
    <w:p>
      <w:pPr>
        <w:pStyle w:val="BookText"/>
        <w:rPr/>
      </w:pPr>
      <w:r>
        <w:rPr>
          <w:rFonts w:ascii="Amiri" w:hAnsi="Amiri" w:eastAsia="Amiri" w:cs="Amiri"/>
          <w:color w:val="111111"/>
          <w:sz w:val="28"/>
          <w:sz w:val="28"/>
          <w:szCs w:val="28"/>
          <w:rtl w:val="true"/>
          <w:lang w:bidi="ar-SA"/>
        </w:rPr>
        <w:t>طيبة ليس هو الطيب، ويشهد بذلك موثّق الساباطي،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يأكل الاُترج‌؟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رائحةٌ طيّبة‌؟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الأُترج طعام ليس هو من الطيب</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بل هو ما يكون الغرض منه التطيّب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 ما له رائحةٌ طيّبة هي المقصودة والغرض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Style w:val="FootnoteAnchor"/>
          <w:rtl w:val="true"/>
        </w:rPr>
        <w:footnoteReference w:id="1125"/>
      </w:r>
      <w:r>
        <w:rPr>
          <w:rFonts w:ascii="Amiri" w:hAnsi="Amiri" w:eastAsia="Amiri" w:cs="Amiri"/>
          <w:color w:val="111111"/>
          <w:sz w:val="28"/>
          <w:sz w:val="28"/>
          <w:szCs w:val="28"/>
          <w:rtl w:val="true"/>
          <w:lang w:bidi="ar-SA"/>
        </w:rPr>
        <w:t>من استثناء الفاكهة منه، فلا ينافي ذلك، فإنّه قابلٌ للحمل على الاستثناء المنقطع، وبذلك يظهر حال سائر ما استُثنى في كلمات الفقهاء ممّا لا ينطبق عليه التعريف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بأس ببيان النبات الطيّب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المصنّف تقسيمه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ينبت للطيب ولا يتّخذ منه كالشيح والقيصوم والخزّامي، والفواكه كلّها من الأُترج والتفاح والسَّفرجل وأشباهها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ينبته الآدميّون للطيب، ولا يتّخذ منه طيبٌ كالريحان، المسمّى بالفارسيّة والمرزبخوش، والنرجس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شمّه، ويُتّخذ منه الطيب كالياسمين والورد والنيلوفر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أحكام هذه الأقسام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عدم حرمته، وعدم تعلّق الكفّارة به، بل الظاهر أنّه المتّفق عليه بينهم، ويشهد به جملة من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الأُترج طعامٌ ليس هو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بعموم التعليل يدلّ على عدم الحرمة، وعدم ثبوت الكفّارة في بقيّة أفراد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تشمّ الإذخر والقيصوم والخزامي والشيح وأشباهه وأنتَ مُحرِم</w:t>
      </w:r>
      <w:r>
        <w:rPr>
          <w:rFonts w:eastAsia="Amiri" w:cs="Amiri" w:ascii="Amiri" w:hAnsi="Amiri"/>
          <w:color w:val="111111"/>
          <w:sz w:val="28"/>
          <w:szCs w:val="28"/>
          <w:rtl w:val="true"/>
          <w:lang w:bidi="ar-SA"/>
        </w:rPr>
        <w:t>»</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وبها يرفع اليد عن ظاهر مثل مرسل ابن أبي عمير، عن بعض أصحابه،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التفاح والأُترج والنبق، وما طاب ريحه‌؟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يمسك على شمّه ويأكله</w:t>
      </w:r>
      <w:r>
        <w:rPr>
          <w:rFonts w:eastAsia="Amiri" w:cs="Amiri" w:ascii="Amiri" w:hAnsi="Amiri"/>
          <w:color w:val="111111"/>
          <w:sz w:val="28"/>
          <w:szCs w:val="28"/>
          <w:rtl w:val="true"/>
          <w:lang w:bidi="ar-SA"/>
        </w:rPr>
        <w:t>»</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الوجوب، ويُحمل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الشيخ رحمه الله</w:t>
      </w:r>
      <w:r>
        <w:rPr>
          <w:rStyle w:val="FootnoteAnchor"/>
          <w:rtl w:val="true"/>
        </w:rPr>
        <w:footnoteReference w:id="1128"/>
      </w:r>
      <w:r>
        <w:rPr>
          <w:rFonts w:ascii="Amiri" w:hAnsi="Amiri" w:eastAsia="Amiri" w:cs="Amiri"/>
          <w:color w:val="111111"/>
          <w:sz w:val="28"/>
          <w:sz w:val="28"/>
          <w:szCs w:val="28"/>
          <w:rtl w:val="true"/>
          <w:lang w:bidi="ar-SA"/>
        </w:rPr>
        <w:t xml:space="preserve">عدم حرمته، وعدم تعلّق الكفّارة به، وعن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29"/>
      </w:r>
      <w:r>
        <w:rPr>
          <w:rFonts w:ascii="IRNazanin" w:hAnsi="IRNazanin" w:eastAsia="IRNazanin"/>
          <w:color w:val="111111"/>
          <w:sz w:val="28"/>
          <w:sz w:val="28"/>
          <w:szCs w:val="28"/>
          <w:rtl w:val="true"/>
          <w:lang w:bidi="fa-IR"/>
        </w:rPr>
        <w:t>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عليه الريحان، فسيأتي حكمه بعد بيان أحكام هذه الأقسام وإنْ لم يصدق، فالأظهر عدم حرمته، لعدم الدليل، ولمفهوم العلّة في موثّق عمّار، ولصحيح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تشمّ الإذخر والقيصوم والخزامي والشيح وأشباهه وأنتَ مُحرِم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يشبهه من نبت البراري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30"/>
      </w:r>
      <w:r>
        <w:rPr>
          <w:rFonts w:ascii="Amiri" w:hAnsi="Amiri" w:eastAsia="Amiri" w:cs="Amiri"/>
          <w:color w:val="111111"/>
          <w:sz w:val="28"/>
          <w:sz w:val="28"/>
          <w:szCs w:val="28"/>
          <w:rtl w:val="true"/>
          <w:lang w:bidi="ar-SA"/>
        </w:rPr>
        <w:t xml:space="preserve">أنّ المراد به مطلق نبات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هو أخصّ من ذلك، فالعمدة الأصل، ومفهوم العلّة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8" w:name="pg11808_109136"/>
    </w:p>
    <w:p>
      <w:pPr>
        <w:pStyle w:val="BookText"/>
        <w:rPr/>
      </w:pPr>
      <w:bookmarkEnd w:id="238"/>
      <w:r>
        <w:rPr>
          <w:rFonts w:ascii="Amiri" w:hAnsi="Amiri" w:eastAsia="Amiri" w:cs="Amiri"/>
          <w:color w:val="111111"/>
          <w:sz w:val="28"/>
          <w:sz w:val="28"/>
          <w:szCs w:val="28"/>
          <w:rtl w:val="true"/>
          <w:lang w:bidi="ar-SA"/>
        </w:rPr>
        <w:t>نعم، الأظهر كراهته لحسن معاوية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للمُحرِم أن يتلذّذ بريحٍ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32"/>
      </w:r>
      <w:r>
        <w:rPr>
          <w:rFonts w:ascii="Amiri" w:hAnsi="Amiri" w:eastAsia="Amiri" w:cs="Amiri"/>
          <w:color w:val="111111"/>
          <w:sz w:val="28"/>
          <w:sz w:val="28"/>
          <w:szCs w:val="28"/>
          <w:rtl w:val="true"/>
          <w:lang w:bidi="ar-SA"/>
        </w:rPr>
        <w:t>حرمته، وتعلّق الكفّارة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رحمه الله</w:t>
      </w:r>
      <w:r>
        <w:rPr>
          <w:rStyle w:val="FootnoteAnchor"/>
          <w:rtl w:val="true"/>
        </w:rPr>
        <w:footnoteReference w:id="1133"/>
      </w:r>
      <w:r>
        <w:rPr>
          <w:rFonts w:ascii="Amiri" w:hAnsi="Amiri" w:eastAsia="Amiri" w:cs="Amiri"/>
          <w:color w:val="111111"/>
          <w:sz w:val="28"/>
          <w:sz w:val="28"/>
          <w:szCs w:val="28"/>
          <w:rtl w:val="true"/>
          <w:lang w:bidi="ar-SA"/>
        </w:rPr>
        <w:t>عدم الحرمة، وعدم الكفّارة، بل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الفدية إنّما تجبُ فيما يتّخذ منه، فكذا في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قياسٌ مع الفارق، ألا ترى أنّ الخمر المتّخذ من العنب حرامٌ‌، مع أنّ أصله ليس بحرام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فالحقّ أنّه إنْ صدق عليه الريحان، فسيمرّ عليك حكمه، وإلّا فهو جائزٌ للأصل ومفهوم العلّة المتقدّمة في موثّق عمّار، ومثلها في 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 ليمسّه ويداوي به بعيره، وما هو بطيبٍ وما به بأس</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ذلك جواز كلّ ما ليس بطيبٍ أيضاً، ومنه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ما أفاده الشيخ رحمه الله لحسن معاوية المتقدّم</w:t>
      </w:r>
      <w:r>
        <w:rPr>
          <w:rFonts w:eastAsia="Amiri" w:cs="Amiri" w:ascii="Amiri" w:hAnsi="Amiri"/>
          <w:color w:val="111111"/>
          <w:sz w:val="28"/>
          <w:szCs w:val="28"/>
          <w:rtl w:val="true"/>
          <w:lang w:bidi="ar-SA"/>
        </w:rPr>
        <w:t>.</w:t>
      </w:r>
    </w:p>
    <w:p>
      <w:pPr>
        <w:pStyle w:val="Heading2"/>
        <w:numPr>
          <w:ilvl w:val="1"/>
          <w:numId w:val="1"/>
        </w:numPr>
        <w:rPr/>
      </w:pPr>
      <w:bookmarkStart w:id="239" w:name="__RefHeading___Toc10697079_73709187"/>
      <w:bookmarkStart w:id="240" w:name="_Toc80"/>
      <w:bookmarkEnd w:id="239"/>
      <w:r>
        <w:rPr>
          <w:rtl w:val="true"/>
        </w:rPr>
        <w:t>حكم الريحان والأدهان الطيّبة</w:t>
      </w:r>
      <w:bookmarkEnd w:id="24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أمرين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الريحان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الأدهان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جماعةٍ‌، منهم المفيد</w:t>
      </w:r>
      <w:r>
        <w:rPr>
          <w:rStyle w:val="FootnoteAnchor"/>
          <w:rtl w:val="true"/>
        </w:rPr>
        <w:footnoteReference w:id="1135"/>
      </w:r>
      <w:r>
        <w:rPr>
          <w:rFonts w:ascii="Amiri" w:hAnsi="Amiri" w:eastAsia="Amiri" w:cs="Amiri"/>
          <w:color w:val="111111"/>
          <w:sz w:val="28"/>
          <w:sz w:val="28"/>
          <w:szCs w:val="28"/>
          <w:rtl w:val="true"/>
          <w:lang w:bidi="ar-SA"/>
        </w:rPr>
        <w:t xml:space="preserve">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13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 وعن الإسكافي</w:t>
      </w:r>
      <w:r>
        <w:rPr>
          <w:rStyle w:val="FootnoteAnchor"/>
          <w:rtl w:val="true"/>
        </w:rPr>
        <w:footnoteReference w:id="11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14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حريز،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لايمسّ المُحرِم شيئاً من الطيب، ولا الريحان، ولا يتلذّذ به</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ريحاناً وأنتَ مُحرِم</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البرقي، عن حريز،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يشمّ الريحان‌؟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أصحاب القول الثاني على الاستدلال بهذه النصوص، بأنّه لابدّ من حملها على الكراهة، لصحيح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تشمّ الإذخر والقيصوم والخزّامي والشيح وأشباهه وأنتَ مُحرِم</w:t>
      </w:r>
      <w:r>
        <w:rPr>
          <w:rFonts w:eastAsia="Amiri" w:cs="Amiri" w:ascii="Amiri" w:hAnsi="Amiri"/>
          <w:color w:val="111111"/>
          <w:sz w:val="28"/>
          <w:szCs w:val="28"/>
          <w:rtl w:val="true"/>
          <w:lang w:bidi="ar-SA"/>
        </w:rPr>
        <w:t>»</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الجواز مطلقاً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ورد في اُمور مخصوصة، إلّاأنّه بضميمة الإجماع المركّب يثبت الجواز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المركّب غير ثابت، وعلى فرضه ليس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 أن يكون ما يُسمّى ريحاناً، كذلك يُحتمل أن يكون أخصّ من ذلك، وهو ما يشبهه من نبت البراري أو مطلق نبات الصحراء،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50"/>
      </w:r>
      <w:r>
        <w:rPr>
          <w:rFonts w:ascii="Amiri" w:hAnsi="Amiri" w:eastAsia="Amiri" w:cs="Amiri"/>
          <w:color w:val="111111"/>
          <w:sz w:val="28"/>
          <w:sz w:val="28"/>
          <w:szCs w:val="28"/>
          <w:rtl w:val="true"/>
          <w:lang w:bidi="ar-SA"/>
        </w:rPr>
        <w:t>، فهو مجملٌ‌، ففي الزائد على المتيقّن لابدّ من الرجوع إلى إطلاق نصوص الطائفة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الحرمة إلّاما استُثني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منه إمّا نبات الصحراء الذي يزرعه الآدمي،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خصوص ما يزرعه الآدمي من نبات الصحراء ممّا له ريح طيّبة، كما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بعضٍ‌، وعن ابن الأثير</w:t>
      </w:r>
      <w:r>
        <w:rPr>
          <w:rStyle w:val="FootnoteAnchor"/>
          <w:rtl w:val="true"/>
        </w:rPr>
        <w:footnoteReference w:id="1151"/>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نبتٍ طيّب الريح من أنواع المشموم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كتابي المطرزي</w:t>
      </w:r>
      <w:r>
        <w:rPr>
          <w:rStyle w:val="FootnoteAnchor"/>
          <w:rtl w:val="true"/>
        </w:rPr>
        <w:footnoteReference w:id="11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الريحان ما لساقه رائحة طيّبة، كما لورده، والورد ما لورقه رائحة طيّبة كالياسمين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11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الريحان نبتٌ طيّب الرائحة، أو كلّ نبتٍ كذلك، أو أطرافه أو ورقه وأصله ذو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Style w:val="FootnoteAnchor"/>
          <w:rtl w:val="true"/>
        </w:rPr>
        <w:footnoteReference w:id="1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الريحان اسمٌ جامعٌ للرياحين الطيّبة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والريحان أطراف كلّ بقلةٍ طيّبة الريح، إذا خرج عليه أوائل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في الحكم من الاقتصار على المتيقّن، وهو كلّ نبتٍ لساقه رائحةٌ طيّبة، كما لورده، ويكون من نبات الصحراء الذي يزرعه الآدمي، ومع فقد أحد هذه القيود صدق الريحان مشكوكاً فيه، ويكون المرجع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الأدهان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الشمّ أو الأكل وما شابه، حكمها حكم سائر أنواع الطيب، وقد تقدّم النزاع في حرمته مطلقاً أو خصوص أنواع منه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جهة الإدهان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على أنّه يحرم الإدهان في حال الإحرام بالأدهان الطيّبة؛ كدُهن الورد والبان والزيبق، وهو قول عامّة أهل العلم ويجب به الفدية إجماعاً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فيها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النهي عن الأدهان مطلقاً،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المتقدّم،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 شيئاً من الطيب، ولا من الدهن في إحرامك</w:t>
      </w:r>
      <w:r>
        <w:rPr>
          <w:rFonts w:eastAsia="Amiri" w:cs="Amiri" w:ascii="Amiri" w:hAnsi="Amiri"/>
          <w:color w:val="111111"/>
          <w:sz w:val="28"/>
          <w:szCs w:val="28"/>
          <w:rtl w:val="true"/>
          <w:lang w:bidi="ar-SA"/>
        </w:rPr>
        <w:t>»</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صحيحه الآخر</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تدهن حين تريد أن تُحرم،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أحرمت فقد حَرُم عليك الدهن حتّى تحلّ‌</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الجواز كذلك،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يدهن الرّجل قبل أن يغتسل للإحرام وبعده</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هشام، قال له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في دهنه بعد الغُسل للإحرام‌؟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 ومع 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بقارورةٍ بان سليخة، ليس فيها شيء، فأمرنا فادّهنا منها</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المنع بالدّهن الطيّب،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مرسل الصدوق،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من الطيب أربعة أشياء للمُحرِم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المِسْك والعنبر والزعفران والوَرَس، وكان يكره من الأدهان الطيّبة الريح</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وحيث إنّ الصدوق ينسب الخبر إلى المعصوم جزماً، فمرسله حجّة كما مرّ، والكراهة في الأخبار تُستعمل في الحرمة كثيراً ومنها المقام بقرينة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عن أبي عبداللّه عليه السلام حيث قال بعد تحريم الأنواع الأربعة من الطيب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أنّه يكره للمُحرِم الأدهان الطيّبة</w:t>
      </w:r>
      <w:r>
        <w:rPr>
          <w:rFonts w:eastAsia="Amiri" w:cs="Amiri" w:ascii="Amiri" w:hAnsi="Amiri"/>
          <w:color w:val="111111"/>
          <w:sz w:val="28"/>
          <w:szCs w:val="28"/>
          <w:rtl w:val="true"/>
          <w:lang w:bidi="ar-SA"/>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تقيّيد إطلاق الأولتين بالأخيرة، فتختصّ الحرمة بالأدهان الطيّبة الريح</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41" w:name="pg11808_109142"/>
    </w:p>
    <w:p>
      <w:pPr>
        <w:pStyle w:val="Heading2"/>
        <w:numPr>
          <w:ilvl w:val="1"/>
          <w:numId w:val="1"/>
        </w:numPr>
        <w:rPr/>
      </w:pPr>
      <w:bookmarkStart w:id="242" w:name="__RefHeading___Toc10697081_73709187"/>
      <w:bookmarkStart w:id="243" w:name="_Toc81"/>
      <w:bookmarkEnd w:id="241"/>
      <w:bookmarkEnd w:id="242"/>
      <w:r>
        <w:rPr>
          <w:rtl w:val="true"/>
        </w:rPr>
        <w:t>بحثٌ حول الطيب</w:t>
      </w:r>
      <w:bookmarkEnd w:id="243"/>
    </w:p>
    <w:p>
      <w:pPr>
        <w:pStyle w:val="BookText"/>
        <w:rPr/>
      </w:pPr>
      <w:r>
        <w:rPr>
          <w:rFonts w:ascii="Amiri" w:hAnsi="Amiri" w:eastAsia="Amiri" w:cs="Amiri"/>
          <w:color w:val="111111"/>
          <w:sz w:val="28"/>
          <w:sz w:val="28"/>
          <w:szCs w:val="28"/>
          <w:rtl w:val="true"/>
          <w:lang w:bidi="ar-SA"/>
        </w:rPr>
        <w:t>وأمّا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البحث فيه عن متعلّق الحرمة في الطيب، فإنّه لا خلاف في حرمة شَمّ الطيب وأكله وإطلاء البدن والثوب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المُحرِم الرَّجل والمرأة الطيب، أكلا وشمّاً وإطلاءً‌، بإجماع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ابن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المتقدّم، وخبر حنّان بن سُدير، عن أبيه، عن الإمام الباقر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يُطعم شيئاً من الطيب</w:t>
      </w:r>
      <w:r>
        <w:rPr>
          <w:rFonts w:eastAsia="Amiri" w:cs="Amiri" w:ascii="Amiri" w:hAnsi="Amiri"/>
          <w:color w:val="111111"/>
          <w:sz w:val="28"/>
          <w:szCs w:val="28"/>
          <w:rtl w:val="true"/>
          <w:lang w:bidi="ar-SA"/>
        </w:rPr>
        <w:t>»</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زياد،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 فيه الطيب، فأغسل به يدي وأنا مُحرِم‌؟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الإحرام، فانظروا مزاودكم فاعزلوا ما لا تحتاجون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بشيءٍ كفّارةً للأشنان الذي غَسَلت به يدك</w:t>
      </w:r>
      <w:r>
        <w:rPr>
          <w:rFonts w:eastAsia="Amiri" w:cs="Amiri" w:ascii="Amiri" w:hAnsi="Amiri"/>
          <w:color w:val="111111"/>
          <w:sz w:val="28"/>
          <w:szCs w:val="28"/>
          <w:rtl w:val="true"/>
          <w:lang w:bidi="ar-SA"/>
        </w:rPr>
        <w:t>»</w:t>
      </w:r>
      <w:r>
        <w:rPr>
          <w:rStyle w:val="FootnoteAnchor"/>
          <w:rtl w:val="true"/>
        </w:rPr>
        <w:footnoteReference w:id="1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خبره الآخر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النصوص الدالّة على وجوب غَسل الثوب إذا أصابه الطيب، في مسألة عدم الفرق في حرمة التطيّب بين الأحداث بعد الإحرام واستدامته، كما أنّه عرفت في تلك المسألة أنّ المسّ أيضاً حرامٌ‌، فراجع</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أكثر نصوص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يحرم الاستعمالات الاُخر كما قيل، بل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دعوى بعض الإجماع عليه، ولذا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ثبتَ فيها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عليه السلام في صحيح ابن عمّار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يحرمُ عليك من الطيب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والعنبر والزعفران والوَرَس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حذف المتعلّق يفيد العموم، فيدلّ على حرمة كلّ فعلٍ متعلّقٍ بالطيب، حتّى الإمساك عليه واقتنائه في مزوده، ويؤيّده قوله عليه السلام 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 الطيب في زادك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هو الأثر الظاهر، فالكلام ظاهرٌ في إرادته، والاستعمال لا يصدق على اقتنائه وبيعه وشرائه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وجه لتقيّيده بالأثر الظاهر، بعد ظهور حذف المتعلّق في إرادة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يختلج في البال أنّ صدر الصحيح متضمّنٌ لبيان حرمة أفعال، وظاهر الذيل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محتمله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وروده في مقام بيان موضوع التحريم، ولا إطلاق له من جهة المتعلّق، وعليه فلا إطلاق، فإنْ ثبت إجماعٌ أو استلزم الاستشمام لم يجز، وإلّا فالأصل جوازه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44" w:name="pg11808_109144"/>
    </w:p>
    <w:p>
      <w:pPr>
        <w:pStyle w:val="Heading2"/>
        <w:numPr>
          <w:ilvl w:val="1"/>
          <w:numId w:val="1"/>
        </w:numPr>
        <w:rPr/>
      </w:pPr>
      <w:bookmarkStart w:id="245" w:name="__RefHeading___Toc10697083_73709187"/>
      <w:bookmarkStart w:id="246" w:name="_Toc82"/>
      <w:bookmarkEnd w:id="244"/>
      <w:bookmarkEnd w:id="245"/>
      <w:r>
        <w:rPr>
          <w:rtl w:val="true"/>
        </w:rPr>
        <w:t>عدم حرمة خَلُوق الكعبة وزعفرانها على المُحرِم</w:t>
      </w:r>
      <w:bookmarkEnd w:id="246"/>
    </w:p>
    <w:p>
      <w:pPr>
        <w:pStyle w:val="BookText"/>
        <w:rPr/>
      </w:pPr>
      <w:r>
        <w:rPr>
          <w:rFonts w:ascii="Amiri" w:hAnsi="Amiri" w:eastAsia="Amiri" w:cs="Amiri"/>
          <w:color w:val="111111"/>
          <w:sz w:val="28"/>
          <w:sz w:val="28"/>
          <w:szCs w:val="28"/>
          <w:rtl w:val="true"/>
          <w:lang w:bidi="ar-SA"/>
        </w:rPr>
        <w:t>وأمّا 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 عن موارد استثناء حرمة الطيب، وهي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خَلُوق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جزلة المتطبّب، وجُملة اُخرى من كتب اللّغة</w:t>
      </w:r>
      <w:r>
        <w:rPr>
          <w:rStyle w:val="FootnoteAnchor"/>
          <w:rtl w:val="true"/>
        </w:rPr>
        <w:footnoteReference w:id="1168"/>
      </w:r>
      <w:r>
        <w:rPr>
          <w:rFonts w:ascii="IRNazanin" w:hAnsi="IRNazanin" w:eastAsia="IRNazanin"/>
          <w:color w:val="111111"/>
          <w:sz w:val="28"/>
          <w:sz w:val="28"/>
          <w:szCs w:val="28"/>
          <w:rtl w:val="true"/>
          <w:lang w:bidi="fa-IR"/>
        </w:rPr>
        <w:t>والفقه</w:t>
      </w:r>
      <w:r>
        <w:rPr>
          <w:rStyle w:val="FootnoteAnchor"/>
          <w:rtl w:val="true"/>
        </w:rPr>
        <w:footnoteReference w:id="1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من الطيب معروفٌ مركّبٌ من الزعفران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في استثنائه، وادّعى المصنّف رحمه الله الإجماع عليه، والنصوص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عبداللّه بن سنان،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خَلُوق الكعبة يُصيب ثوب المُحرِم‌؟ قال عليه السلام لا بأس، ولا يغسله فإنّه طهور</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عثمان،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خلوق الكعبة وخلوق القبر يكون في ثوب الإحرام‌؟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بهما هما طهوران</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النصوص غاية ما تدلّ عليه، أنّه لا يجبُ غَسل الثوب منه، وأنّ الثوب المتلطّخ به لا بأس بإمساكه والتصرّف فيه، وبالملازمة بين ذلك والشمّ تدلّ على جواز شمّه، وأمّا سائر التصرّفات كالأكل منه وتطيّيب البدن به وما شاكل، فلا تدلّ على جوازها، ففي تلك التصرّفات لابدّ من الرجوع إلى إطلاقات الأدلّة، </w:t>
      </w:r>
    </w:p>
    <w:p>
      <w:pPr>
        <w:pStyle w:val="BookText"/>
        <w:rPr/>
      </w:pPr>
      <w:r>
        <w:rPr>
          <w:rFonts w:ascii="Amiri" w:hAnsi="Amiri" w:eastAsia="Amiri" w:cs="Amiri"/>
          <w:color w:val="111111"/>
          <w:sz w:val="28"/>
          <w:sz w:val="28"/>
          <w:szCs w:val="28"/>
          <w:rtl w:val="true"/>
          <w:lang w:bidi="ar-SA"/>
        </w:rPr>
        <w:t>ومقتضاها أنّه إنْ كان الخَلُوق بنظر العرف طيباً خاصّاً في مقابل الزعفران، ولا يصدق عليه أنّه زعفران وغيره، جاز جميع الاستعمالات التي تقدّم من انحصار التحريم بالأنواع الخمسة، وليس الخلوق منها، وإنْ صدق عليه الزعفران وغيره، لم تجز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يتعدّى عن خَلُوق الكعبة إلى غيره ممّا يتطيّب به الكعبة كما عن الشيخ</w:t>
      </w:r>
      <w:r>
        <w:rPr>
          <w:rStyle w:val="FootnoteAnchor"/>
          <w:rtl w:val="true"/>
        </w:rPr>
        <w:footnoteReference w:id="1172"/>
      </w:r>
      <w:r>
        <w:rPr>
          <w:rFonts w:ascii="Amiri" w:hAnsi="Amiri" w:eastAsia="Amiri" w:cs="Amiri"/>
          <w:color w:val="111111"/>
          <w:sz w:val="28"/>
          <w:sz w:val="28"/>
          <w:szCs w:val="28"/>
          <w:rtl w:val="true"/>
          <w:lang w:bidi="ar-SA"/>
        </w:rPr>
        <w:t>والمصنّف</w:t>
      </w:r>
      <w:r>
        <w:rPr>
          <w:rStyle w:val="FootnoteAnchor"/>
          <w:rtl w:val="true"/>
        </w:rPr>
        <w:footnoteReference w:id="117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كما عن الشهيد الثاني</w:t>
      </w:r>
      <w:r>
        <w:rPr>
          <w:rStyle w:val="FootnoteAnchor"/>
          <w:rtl w:val="true"/>
        </w:rPr>
        <w:footnoteReference w:id="117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أظهرهما الثاني، إذ النصوص مختصّة به، فالتعدّي يحتاج إلى دليلٍ‌، وهو مفقود، أو العلم بالمناط وليس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له بما يدلّ على جواز شَمّ الرائحة الطيّبة بين الصفا والمروة،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ريح الكعبة أولى بجواز الشمّ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75"/>
      </w:r>
      <w:r>
        <w:rPr>
          <w:rFonts w:ascii="Amiri" w:hAnsi="Amiri" w:eastAsia="Amiri" w:cs="Amiri"/>
          <w:color w:val="111111"/>
          <w:sz w:val="28"/>
          <w:sz w:val="28"/>
          <w:szCs w:val="28"/>
          <w:rtl w:val="true"/>
          <w:lang w:bidi="ar-SA"/>
        </w:rPr>
        <w:t>لايخرج عن القياس، كما أنّ النصوص مختصّة بخلوق الكعبة، وهو إنّما يكون بعد استعمال الخلوق بالكعبة، وأمّا قبله فلا دليل على خروجه عن تحت أدلّة المنع، والعلم بعدم الخصوصيّة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صحيح حمّاد، ولاحظت دلالته على استثناء خَلُوق القبر أيضاً، وهو المعروف بين الأصحاب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المراد به قبور الأعاظم التي صارت مزاراً، أو مطلق قبور الكعبة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47" w:name="pg11808_109146"/>
    </w:p>
    <w:p>
      <w:pPr>
        <w:pStyle w:val="BookText"/>
        <w:rPr/>
      </w:pPr>
      <w:bookmarkEnd w:id="247"/>
      <w:r>
        <w:rPr>
          <w:rFonts w:ascii="Amiri" w:hAnsi="Amiri" w:eastAsia="Amiri" w:cs="Amiri"/>
          <w:color w:val="111111"/>
          <w:sz w:val="28"/>
          <w:sz w:val="28"/>
          <w:szCs w:val="28"/>
          <w:rtl w:val="true"/>
          <w:lang w:bidi="ar-SA"/>
        </w:rPr>
        <w:t>وما حولها، أو مطلق القبور؟ وجوهٌ‌، خيرها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1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إلحاق زعفران الكعبة بخَلُوقها، 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يُصيب ثيابه الزعفران من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ولا يغسله</w:t>
      </w:r>
      <w:r>
        <w:rPr>
          <w:rFonts w:eastAsia="Amiri" w:cs="Amiri" w:ascii="Amiri" w:hAnsi="Amiri"/>
          <w:color w:val="111111"/>
          <w:sz w:val="28"/>
          <w:szCs w:val="28"/>
          <w:rtl w:val="true"/>
          <w:lang w:bidi="ar-SA"/>
        </w:rPr>
        <w:t>»</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العطّارين بين الصّفاو المروة، والظاهرأنّه لاخلاف في استثنائه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صحيح هشام بن الحكم،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بالريح الطيّبة فيما بين الصفا والمروه من ريح العطّارين، ولا يُمسك على أنفه</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إطلاقه جواز الشمّ‌، وعدم وجوب الإمساك على الأنف، سواءٌ أكان المرور للسعي أو لغيره، بل كان حين المرور أو حين الجلوس، كما أنّ مقتضى إطلاقه جواز تعمّد الشمّ‌، ولا اختصاص له بالشمّ القهري، فلو تعمّد الشمّ من قارورة العطّار جاز</w:t>
      </w:r>
      <w:r>
        <w:rPr>
          <w:rFonts w:eastAsia="Amiri" w:cs="Amiri" w:ascii="Amiri" w:hAnsi="Amiri"/>
          <w:color w:val="111111"/>
          <w:sz w:val="28"/>
          <w:szCs w:val="28"/>
          <w:rtl w:val="true"/>
          <w:lang w:bidi="ar-SA"/>
        </w:rPr>
        <w:t>.</w:t>
      </w:r>
    </w:p>
    <w:p>
      <w:pPr>
        <w:pStyle w:val="Heading2"/>
        <w:numPr>
          <w:ilvl w:val="1"/>
          <w:numId w:val="1"/>
        </w:numPr>
        <w:rPr/>
      </w:pPr>
      <w:bookmarkStart w:id="248" w:name="__RefHeading___Toc10697085_73709187"/>
      <w:bookmarkStart w:id="249" w:name="_Toc83"/>
      <w:bookmarkEnd w:id="248"/>
      <w:r>
        <w:rPr>
          <w:rtl w:val="true"/>
        </w:rPr>
        <w:t>التطيّب حال الإضطرار</w:t>
      </w:r>
      <w:bookmarkEnd w:id="249"/>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المُحرِم إلى أكل الطيب، أو إلى مسّه والتداوي به جاز بلا خلافٍ‌، فيقع الكلام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حديث رفع التسعة الّتي منها ما اضطرّوا إليه</w:t>
      </w:r>
      <w:r>
        <w:rPr>
          <w:rStyle w:val="FootnoteAnchor"/>
          <w:rtl w:val="true"/>
        </w:rPr>
        <w:footnoteReference w:id="1183"/>
      </w:r>
      <w:r>
        <w:rPr>
          <w:rFonts w:ascii="Amiri" w:hAnsi="Amiri" w:eastAsia="Amiri" w:cs="Amiri"/>
          <w:color w:val="111111"/>
          <w:sz w:val="28"/>
          <w:sz w:val="28"/>
          <w:szCs w:val="28"/>
          <w:rtl w:val="true"/>
          <w:lang w:bidi="ar-SA"/>
        </w:rPr>
        <w:t>، وما دلّ على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حرّمه اللّه إلّاوقد أحلّه في حال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خصوص الفعل المتعلّق بالطيب الذي اضطرّ إليه، وعدم جواز ما عداه، وفيما يجوز أيضاً لابدّ وأن يصل إلى حَدّ الاضطرار والإلجاء، وبدون ذلك لا يجوز، وإنْ توقّف عليه تداوي الجرح الذي يتحمّل عادةً‌، ولكن الذي أفتى به الأصحاب أوسع من ذلك قطعاً، فيعلم أنّ مدركهم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لجواز استعمال الطيب لو وصف الطبيب المعالج ما فيه طيب، كصحيح إسماعيل بن جابر، وكانت عرضتْ له ريحٌ في وجهه من علّةٍ أصابته وهو مُحرِم،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الطبيب الذي يُعالجني وصف لي سعوطاً فيه مسك‌؟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اسعط به</w:t>
      </w:r>
      <w:r>
        <w:rPr>
          <w:rFonts w:eastAsia="Amiri" w:cs="Amiri" w:ascii="Amiri" w:hAnsi="Amiri"/>
          <w:color w:val="111111"/>
          <w:sz w:val="28"/>
          <w:szCs w:val="28"/>
          <w:rtl w:val="true"/>
          <w:lang w:bidi="ar-SA"/>
        </w:rPr>
        <w:t>»</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ذلك جواز استعمال الطيب وإنْ لم يضطرّ، بل كان هناك طريقٌ آخر للمعالجة، ولكن كان علاجاً للمرض بحسب وصف الطبيب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بصورة الاضطرار، كخبر إسماعيل بن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 أبا عبداللّه عليه السلام عن المُحرِم إذا اضطرّ إلى سعوطٍ فيه مِسك من ريحٍ تعرض له في وجهه، وعلّةٍ تُصيبه‌؟ فقال عليه السلام استعط به</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السعوط بما فيه مِسك مطلقاً، كخبره الآخر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السعوط للمُحرِم وفيه طيب‌؟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الاُولى أخصّ من الثالثة، والثانية أخصّ من الاُولى‌، فيقيّد إطلاق كلّ منهما بمقيّده، فيختصّ الحكم بصورة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مفهوم لشيءٍ منها، فلا وجه للحمل، لعدم حمل المطلق على المقيّد في المتوافقين، إلّاأنّ في المقام شيئاً وهو أنّ هذه النصوص الثلاثة السائل والمسؤول عنه ومورد السؤال فيها واحد، ومن المستبعد جدّاً أن يسأل إسماعيل عن الإمام الصادق عليه السلام سؤالاً واحداً بكيفيّاتٍ متفاوتة، سيّما بالنسبة إلى الأولين، حيث إنّ خصوصيّات المسؤول عنه فيهما واحد، وعليه فسؤال واحدٌ وكذا جوابٌ واحد نقل بنحوين أو بأنحاء، فمقتضى القاعدة هو الاقتصار على المورد المتيقّن منها، وهو صورة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نظير ذلك ورد في الدهن والإدهان به، فإنّ بعض النصوص تضمّن جواز الإدّهان به لمعالجة القُرحة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بالمُحرِم الخراج أو الدّمل فليبطّه وليداوه بسمنٍ أو زيت</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مُحرِمٍ تشقّقت يداه‌؟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يدهنهما بزيتٍ أو بسمن أو إهالة</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50" w:name="pg11808_109149"/>
    </w:p>
    <w:p>
      <w:pPr>
        <w:pStyle w:val="BookText"/>
        <w:rPr/>
      </w:pPr>
      <w:bookmarkEnd w:id="250"/>
      <w:r>
        <w:rPr>
          <w:rFonts w:ascii="Amiri" w:hAnsi="Amiri" w:eastAsia="Amiri" w:cs="Amiri"/>
          <w:color w:val="111111"/>
          <w:sz w:val="28"/>
          <w:sz w:val="28"/>
          <w:szCs w:val="28"/>
          <w:rtl w:val="true"/>
          <w:lang w:bidi="ar-SA"/>
        </w:rPr>
        <w:t>ولكن الظاهر أجنبيّة هذه الروايات عن المقام، فإنّ المُحرّم هي الأدهان الطيّبة لا الإدهان بكلّ دُهنٍ‌، ولذا ورد في خبر الأحمسي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عبداللّه عليه السلام سعيد ابن يسار عن المُحرِم تكون به القرحة أو البثرة أو الدّمل‌؟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عليه بنفسج وأشباهه ممّا ليس فيه الريح الطيّبة</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استدلال جمعٍ بهذه النصوص على جواز التداوي بالطيب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الإدهان لم يرد دليلٌ خاص، وأمّا في الطيب وإنْ ورد إلّا أنّه للإجمال الناشئ عن نقل الخبر بكيفيّتين، يتعيّن الإقتصار على المتيقّن، وهو صورة الاضطرار، ولابدّ وأن يقُتصر على الفعل الذي اضطرّ به، فلا يجوز سائر الأفعال لعدم المخصّص لعموم الأدلّة، ولذا أفتى الأصحاب بأنّه إذا اضطرّ إلى التداوي بالطيب بالأكل أو الإدهان، وجب عليه أن يقبض على أنفه للنصوص الآمرة به، وقد تقدّمت جملةٌ منها، وهي وإنْ كانت مطلقة غير مختصّة بحال الاضطرار، ولكن المقصود من الاستدلال أنّ وجوب ذلك ثبت بالدليل، فما لم يدلّ دليلٌ أقوى على عدم وجوبه، يكون المتَّبع هو دليل المنع، فلا مورد للإيراد على المستدلّين بتلك النصوص بأنّها غير مرتبطة بالمقام، الذي هو حال الضرورة، وعلى هذا ففي مورد جواز السعوط بما فيه مسك، وهو إدخاله في الأنف، لابدّ وأن يُراعى أن لا يمسّه يده مع الإمكان</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10697087_73709187"/>
      <w:bookmarkStart w:id="252" w:name="_Toc84"/>
      <w:bookmarkEnd w:id="251"/>
      <w:r>
        <w:rPr>
          <w:rtl w:val="true"/>
        </w:rPr>
        <w:t>اجتياز المُحرِم في موضعٍ يُباع فيه الطيب</w:t>
      </w:r>
      <w:bookmarkEnd w:id="252"/>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فروع في المقام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أن يجتاز المُحرِم موضعاً يُباع فيه الطيب، </w:t>
      </w:r>
    </w:p>
    <w:p>
      <w:pPr>
        <w:pStyle w:val="BookText"/>
        <w:rPr/>
      </w:pPr>
      <w:r>
        <w:rPr>
          <w:rFonts w:ascii="Amiri" w:hAnsi="Amiri" w:eastAsia="Amiri" w:cs="Amiri"/>
          <w:color w:val="111111"/>
          <w:sz w:val="28"/>
          <w:sz w:val="28"/>
          <w:szCs w:val="28"/>
          <w:rtl w:val="true"/>
          <w:lang w:bidi="ar-SA"/>
        </w:rPr>
        <w:t>وكذا الجلوس عند من يبيعه، بل وبيعه وشراؤه كما مرّ، بشرط أن يمسك على أنفه، لدلالة الدليل على حرمة شمّ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جواز الاجتياز والجلوس، فمضافاً إلى عدم الخلاف فيه، وقيام الأصل عليه لعدم الدليل على الحرمة، يشهد له صحيح ابن بزيع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كشف بين يديه طيبٌ لينظر إليه وهو مُحرِم، فأمسك بيده على أنفه بثوبه من رائحته</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وجوب أمساك اليد بالأنف، فيشهد به هذا الصحيح وما تقدّم من النصوص، كقوله عليه السلام في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وأمسك على أنفك من الرائحة الطيّبة</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وجوبه، واستدلّوا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بصحيح هشام بن الحكم،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بالريح الطيّبة فيما بين الصفا والمروة من ريح العطّارين، ولا يمسك على أنفه</w:t>
      </w:r>
      <w:r>
        <w:rPr>
          <w:rFonts w:eastAsia="Amiri" w:cs="Amiri" w:ascii="Amiri" w:hAnsi="Amiri"/>
          <w:color w:val="111111"/>
          <w:sz w:val="28"/>
          <w:szCs w:val="28"/>
          <w:rtl w:val="true"/>
          <w:lang w:bidi="ar-SA"/>
        </w:rPr>
        <w:t>»</w:t>
      </w:r>
      <w:r>
        <w:rPr>
          <w:rStyle w:val="FootnoteAnchor"/>
          <w:rtl w:val="true"/>
        </w:rPr>
        <w:footnoteReference w:id="1196"/>
      </w:r>
      <w:r>
        <w:rPr>
          <w:rFonts w:ascii="Amiri" w:hAnsi="Amiri" w:eastAsia="Amiri" w:cs="Amiri"/>
          <w:color w:val="111111"/>
          <w:sz w:val="28"/>
          <w:sz w:val="28"/>
          <w:szCs w:val="28"/>
          <w:rtl w:val="true"/>
          <w:lang w:bidi="ar-SA"/>
        </w:rPr>
        <w:t>، بدعوى أنّه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لا يجب الإمساك على الأنف من جهة أنّ وصول الريح الطيّبة إلى المشام</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حال الإجتياز، غير شَمّ الطيب، والصحيح يدلّ على جوازه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لا دليل على وجوب الإمساك، بعد فرض عدم صدق الشمّ على إصابة الرائحة في حال الإجتياز، والأصل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مختصٌّ بمورد خاص، والتعدّي عنه يحتاج إلى دليل أو إحراز المناط، وهما مفقودان، والأصل ينقطع بما ذُكر من النصوص، ولعلّ تعمّد الاجتياز من مكانٍ فيه الطيب من قبيل الأكل والمباشرة المؤدين إلى الشمّ‌، اللّذين لا كلام في شمول موضع النهي لهما، وعليه فالأظهر وجوب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عليه لبس ثوبٍ مسّه طيبٌ محرّم كالزعفران والوَرَس وأشباههما، ذهب إليه فقهاء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أفاده رحمه الله أعمٌّ من لبس ثوبٍ صُبغ بالطيب، أو غُمس فيه، أو غيرهما ممّا يصدق عليه لبس الثوب الذي مسّه الطيب،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الحسين بن أبي العلاء،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الثوبُ يصيبه الزّعفران، ثمّ يُغسل فلا يذهب، أيحرِمُ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ذهب ريحه</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مفهومه من أنّه إنْ لم يذهب ريحه، وإنْ ذهب عنه أو لم يذهب لا يجوز الإحرام فيه، فمفاده أعمّ ممّا أفاده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إسماعيل بن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المُحرِم يلبس الثوب قد أصابه الطيب‌؟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ريح الطيب فليلبسه</w:t>
      </w:r>
      <w:r>
        <w:rPr>
          <w:rFonts w:eastAsia="Amiri" w:cs="Amiri" w:ascii="Amiri" w:hAnsi="Amiri"/>
          <w:color w:val="111111"/>
          <w:sz w:val="28"/>
          <w:szCs w:val="28"/>
          <w:rtl w:val="true"/>
          <w:lang w:bidi="ar-SA"/>
        </w:rPr>
        <w:t>»</w:t>
      </w:r>
      <w:r>
        <w:rPr>
          <w:rStyle w:val="FootnoteAnchor"/>
          <w:rtl w:val="true"/>
        </w:rPr>
        <w:footnoteReference w:id="1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ذهاب الريح أمارة بقاء العين، ويؤيّده خبر سعيد بن يسار،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الثوب المصبوغ بالزّعفران أغسله وأحرِمُ فيه‌؟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يظهر من بعض النصوص أنّه لو كسب الثوب رائحة الطيب، ولو لم يمسّه لايحرم فيه، لاحظ صحيح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ثوبي إحرامي مع أثوابٍ قد جُمّرت، فأخذ من ريحها،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فانشرها في الريح حتّى يذهب ريحها</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تقدّم من اختصاص الحرمة بالأنواع الخمسة، فلا يحرم المُجمّرة وغيرها، وإنّما يكره الرائحة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ليس عن الكراهة أو الحرمة، بل إحداهما مفروغٌ عنها عند السائل، وإنّما يسأل عن حكم كسب الرائحة، فلا يستفاد من جوابه عليه السلام باتّحاد ريح المُجمرة معها عدم جواز 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الثوب الذي فيه الطيب يَحرمُ لبسه، وأمّا ما فيه رائحته أو رائحةٍ طيّبة اُخرى يُكره لبسه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ما صُبغ بزعفرانٍ أو وَرَسٍ أو غُمس</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ماء ورد، أو بُخّر بعودٍ، فليس للمُحرِم لبسه، ولا الجلوس عليه، ولا النوم عليه، لأنّه استعمال له فأشبه لبسه، ومتى لبسه أو استعمله فعليه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الكلام في هذا الفرع هو الجلوس على ما مسّه الطيب أو النوم عليه، واستدلّ للحرمة بصدق استعمال الطيب، فيحرم، وبخبر حمّاد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الدليل على حرمة استعمال الطيب، بل ما دلّ عليه حرمة أفعال خاصّة ليس النوم والجلوس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هما يستلزمان الشمّ المُحرِم، فلو أمسك على أنفه بنحوٍ لا يشمّ الطيب، فلا أرى بأساً بالجلوس والنوم عليه، إلّاإذا كان بدنه مماسّاً مع الطيب، المستلزم ذلك للمسّ المُحرّم، وأمّا لو كان بنحوٍ لا يشمّ الطيب، ولم يكن البدن مماسّاً بالطيب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من النصوص</w:t>
      </w:r>
      <w:r>
        <w:rPr>
          <w:rStyle w:val="FootnoteAnchor"/>
          <w:rtl w:val="true"/>
        </w:rPr>
        <w:footnoteReference w:id="1204"/>
      </w:r>
      <w:r>
        <w:rPr>
          <w:rFonts w:ascii="Amiri" w:hAnsi="Amiri" w:eastAsia="Amiri" w:cs="Amiri"/>
          <w:color w:val="111111"/>
          <w:sz w:val="28"/>
          <w:sz w:val="28"/>
          <w:szCs w:val="28"/>
          <w:rtl w:val="true"/>
          <w:lang w:bidi="ar-SA"/>
        </w:rPr>
        <w:t>على أنّه يكره للمُحرِم أن ينام على الفراش الأصفر، والمرفقة الصفراء، سواءٌ أكان المراد بالصفرة صَفرة الطيب أم غيرها، فلا يستفاد منها الحرمة، لأعميّة الكراهة في الأخبار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يلحق بمسّ البدن في الحرمة، مسّ الثوب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xml:space="preserve">، أو لا يلحق به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0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أظهرهما الثاني، فإنّه لا دليل على حرمة مسّ الثوب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المُحرِم كما مُنع من استعمال الطيب في بدنه، مُنع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استعماله في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تامّ‌، فإنّ الممنوع هو لبس الثوب الذي مسّه الطيب، فإنْ لزم منه ذلك بأن مسّ الطيب بثوبه فتلطّخ ثوبه به، وكان لابساً إيّاه، حَرُم عليه استدامة اللّبس، ووجب نزعه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انقطعت رائحة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ببقاء الطيب ولو بأن يرشّ عليه الماء فتفوح رائحته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الأولين واضح، فإنّه لا يجوز في الأوّل، ويجوز في الثاني، لعدم الفرق في الطيب بين كونه مع الرطوبة أو بدونها، وأمّا الثالث فمقتضى استصحاب بقائه ترتّب أحكام الطيب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لا يجوز للمُحرِم أن يمسك على أنفه من الرائحة الكريهة،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دعوى نفي الخلاف فيه،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إذا مرَّ على جيفةٍ فلا يمسك على أنفه</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والحلبي جميعاً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يُمسك على أنفه من الريح الطيّبة، ولا يمسك على أنفه من الريح الخبيثة</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 والنهي ظاهرٌ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إرادة نفي الوجوب منه، في مقابل الريح الطيّبة لا الحرمة، لا شاهد لها، فلا صارف عن ظهور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أكل طعاماً فيه زعفران أو طيب آخر، أو استعمل مخلوطاً بالطيب في غير الأكل، فإن استهلك فيه، فلم يبق له ريحٌ ولا طعمٌ ولا لونٌ‌؛ فالاقرب أنّه لا فدية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الاعتبار يقتضي إناطة حكم الجواز باستهلاك الرائحة لا مطلق الوصف، والنهي عن التلذّذ بالرائحة الطيّبة مشعرٌ به، والأحوط الاجتناب عن الجميع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المنهيّ عنه هو أكل الطيب، فما دام لم يستهلك ويكون باقياً عرفاً، لم يجز وإنْ استهلك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الريح الطيّبة مقومٌ لعنوان الطيب، فبدونه لا يصدق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الطيب كما عرفت فُسّر في النصوص بالأنواع الخمسة المعيّنة، أي الزعفران والمِسْك والعَنبر والوَرَس والعود، فالميزان صدق أحد هذه العناوين، وإن لم يكن له ريح، بل لعلّه في الزعفران يكون اللّون أهمّ من الريح، ويؤيّد ذلك صحيح منصور بن حازم، عن إمامنا الصادق عليه السلام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متمتّعاً فلا تقربنّ شيئاً فيه صُفرة حتّى تطوف بالبيت</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53" w:name="pg11808_109156"/>
    </w:p>
    <w:p>
      <w:pPr>
        <w:pStyle w:val="BookText"/>
        <w:rPr/>
      </w:pPr>
      <w:bookmarkEnd w:id="253"/>
      <w:r>
        <w:rPr>
          <w:rFonts w:ascii="Amiri" w:hAnsi="Amiri" w:eastAsia="Amiri" w:cs="Amiri"/>
          <w:color w:val="111111"/>
          <w:sz w:val="28"/>
          <w:sz w:val="28"/>
          <w:szCs w:val="28"/>
          <w:rtl w:val="true"/>
          <w:lang w:bidi="ar-SA"/>
        </w:rPr>
        <w:t>وأمّا صحيح عمران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يكون به الجُرح فيداوي بدواء فيه زعفران‌؟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الغالب على الدّواء فلا، وإنْ كانت الأدوية الغالبة فلا بأس</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مورد التداوي والضرورة، ولا ربط له بالمقام</w:t>
      </w:r>
      <w:r>
        <w:rPr>
          <w:rFonts w:eastAsia="Amiri" w:cs="Amiri" w:ascii="Amiri" w:hAnsi="Amiri"/>
          <w:color w:val="111111"/>
          <w:sz w:val="28"/>
          <w:szCs w:val="28"/>
          <w:rtl w:val="true"/>
          <w:lang w:bidi="ar-SA"/>
        </w:rPr>
        <w:t>.</w:t>
      </w:r>
    </w:p>
    <w:p>
      <w:pPr>
        <w:pStyle w:val="Heading2"/>
        <w:numPr>
          <w:ilvl w:val="1"/>
          <w:numId w:val="1"/>
        </w:numPr>
        <w:rPr/>
      </w:pPr>
      <w:bookmarkStart w:id="254" w:name="__RefHeading___Toc10697089_73709187"/>
      <w:bookmarkStart w:id="255" w:name="_Toc85"/>
      <w:bookmarkEnd w:id="254"/>
      <w:r>
        <w:rPr>
          <w:rtl w:val="true"/>
        </w:rPr>
        <w:t>الاكتحال بما فيه الطيب</w:t>
      </w:r>
      <w:bookmarkEnd w:id="255"/>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عدم جوز الاكتحال بما فيه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عنه في 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علماؤنا على أنّه لا يجوز للمُحرِم أن يكتحل بكُحلٍ فيه طيبٌ‌، سواءٌ كان رجُلاً او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2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بالأصل بعد زعم خروجه عن استعمال الطيب عرفاً، لاختصاصه بالظواهر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تكتحل المرأة بالكُحل كلّه، إلّا الكُحل الأسود للزينة</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اختصاص الأدلّة بالمسّ بالظاهر، وفي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بقسميه على حرمة مسّ الطيب ولو بالباطن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النصوص الآتية كافية في الحكم بالحرمة، كما أنّه بتلك النصوص يقيّد الإطلاق في خبر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إطلاق ما دلّ على حرمة مسّ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إمامنا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يكتحل إلّا من 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تكتحل وأنتَ مُحرِم بما لم يكن فيه طيب يوجد ريحه، فأمّا للزينة فلا</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Style w:val="FootnoteAnchor"/>
          <w:rtl w:val="true"/>
        </w:rPr>
        <w:footnoteReference w:id="1220"/>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هارون بن حمزة،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يكحل المُحرِم عينيه بكُحلٍ فيه زعفران، وليكحل بكُحلٍ فارسي</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أبان،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اشتكى المُحرِم عينيه، فليكتحل بكُحلٍ ليس فيه مِسكٌ ولا طيب</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يكتحل المُحرِم عينيه إنْ شاء بصبرٍ ليس فيه زعفران ولا وَرَس</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للمُحرِم أن يكتحل بكحل ليس فيه مسك ولا كافور إذا اشتكى عينيه</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تمام البحث في هذه المسألة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الاكتحال بالسّواد أقوالاً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مطلقاً، والحرمة كذلك، والتفصيل بين كونه للزينة أو غيرها، وسيأتي الكلام فيه في مكروهات الإحرام عند تعرّض المصنّف رحمه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نصوص الباب كمرسل أبان وصحيح ابن سنان وغيرهما، نهيٌ عن الاكتحال بما فيه طيب للتداوي، فقد يتوهّم عدم جوازه حتّى مع الضرورة، وانحصار الدواء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يشهد لجوازه في حال الضرورة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الكاهلي،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رجلٌ ضرير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اكتحلُ إذا أحرمت‌؟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تكتحل‌؟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ضريرُ البصر، وإذا أنا اكتحلتُ نفعني، وإنْ لم أكتحل ضَرّني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فاكتحل</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اضطرّت إليه فلتكتحل</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 وبها يقيّد إطلاق تلك النصوص، وتُحمل على صورة إمكان التداوي بغيره، مع أنّ العمومات الدالّة على إباحة كلّ مُحرّم في حال الإضطرار كما تكون حاكمة على إطلاقات أدلّة سائر المحرّمات، كذلك تكون حاكمة على إطلاق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النصوص، إذ لا يكون دلالة هذه النصوص على عدم الجواز في حال الاضطرار إلّابالإطلاق، فلأجلها تُحمل النصوص على الاندفاع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ظهر ضعف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228"/>
      </w:r>
      <w:r>
        <w:rPr>
          <w:rFonts w:ascii="Amiri" w:hAnsi="Amiri" w:eastAsia="Amiri" w:cs="Amiri"/>
          <w:color w:val="111111"/>
          <w:sz w:val="28"/>
          <w:sz w:val="28"/>
          <w:szCs w:val="28"/>
          <w:rtl w:val="true"/>
          <w:lang w:bidi="ar-SA"/>
        </w:rPr>
        <w:t>من الحرمة وإنْ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يقال إنّ مقتضى إطلاق نصوص الباب، حرمة الاكتحال بكلّ ما فيه طيب، سواءٌ كان طيبه من أحد الأنواع الأربعة أو الخمسة المحرّمة، أم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من أحد تلك الأنواع، يحرم من جهة الاستعمال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نصوص حصر الطيب في الأربعة غير مقيّدٍ باستعمال الطيب، بل عامٌّ ويدلّ على انحصار الطيب فيها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 إنّما يكون بلحاظ حكم الطيب، فيدلّ ذلك بالإطلاق على أنّ هذا الحكم كحكم سائر استعمالات الطيب مختصٌّ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حكم الحُرمة بما إذا كان للطيب رائحة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230"/>
      </w:r>
      <w:r>
        <w:rPr>
          <w:rFonts w:ascii="IRNazanin" w:hAnsi="IRNazanin" w:eastAsia="IRNazanin"/>
          <w:color w:val="111111"/>
          <w:sz w:val="28"/>
          <w:sz w:val="28"/>
          <w:szCs w:val="28"/>
          <w:rtl w:val="true"/>
          <w:lang w:bidi="fa-IR"/>
        </w:rPr>
        <w:t>أم لا؟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صدق الطيب على ما ليس فيه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ممنوع، سيّما بعد تفسير الطيب بالأنواع الخاصّة، والنهي عن تلك الأنواع في خصوص المقام، وقد تقدّم نظير ذلك في أكل طعامٍ فيه طيب</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56" w:name="pg11808_109160"/>
    </w:p>
    <w:p>
      <w:pPr>
        <w:pStyle w:val="BookText"/>
        <w:rPr/>
      </w:pPr>
      <w:bookmarkEnd w:id="256"/>
      <w:r>
        <w:rPr>
          <w:rFonts w:ascii="Amiri" w:hAnsi="Amiri" w:eastAsia="Amiri" w:cs="Amiri"/>
          <w:color w:val="111111"/>
          <w:sz w:val="28"/>
          <w:sz w:val="28"/>
          <w:szCs w:val="28"/>
          <w:rtl w:val="true"/>
          <w:lang w:bidi="ar-SA"/>
        </w:rPr>
        <w:t>والمخيط للرجال</w:t>
      </w:r>
      <w:r>
        <w:rPr>
          <w:rFonts w:eastAsia="Amiri" w:cs="Amiri" w:ascii="Amiri" w:hAnsi="Amiri"/>
          <w:color w:val="111111"/>
          <w:sz w:val="28"/>
          <w:szCs w:val="28"/>
          <w:rtl w:val="true"/>
          <w:lang w:bidi="ar-SA"/>
        </w:rPr>
        <w:t>.</w:t>
      </w:r>
    </w:p>
    <w:p>
      <w:pPr>
        <w:pStyle w:val="Heading2"/>
        <w:numPr>
          <w:ilvl w:val="1"/>
          <w:numId w:val="1"/>
        </w:numPr>
        <w:rPr/>
      </w:pPr>
      <w:bookmarkStart w:id="257" w:name="__RefHeading___Toc10697091_73709187"/>
      <w:bookmarkStart w:id="258" w:name="_Toc86"/>
      <w:bookmarkEnd w:id="257"/>
      <w:r>
        <w:rPr>
          <w:rtl w:val="true"/>
        </w:rPr>
        <w:t>حرمة لبس المخيط على الرجال</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المخيط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233"/>
      </w:r>
      <w:r>
        <w:rPr>
          <w:rFonts w:ascii="Amiri" w:hAnsi="Amiri" w:eastAsia="Amiri" w:cs="Amiri"/>
          <w:color w:val="111111"/>
          <w:sz w:val="28"/>
          <w:sz w:val="28"/>
          <w:szCs w:val="28"/>
          <w:rtl w:val="true"/>
          <w:lang w:bidi="ar-SA"/>
        </w:rPr>
        <w:t>وغيرها، بل الإجماع بقسميه عليه، والمحكيّ منه مستفيضٌ‌، والنصوص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يحرم لبس المخيط مطلقاً حتّى وإنْ قلّت الخياطة فيه، أم تكون الحرمة مختصّة بالثوب المزرّر أو المدرّع والقميص والقباء والسراويل‌؟</w:t>
      </w:r>
    </w:p>
    <w:p>
      <w:pPr>
        <w:pStyle w:val="BookText"/>
        <w:rPr/>
      </w:pPr>
      <w:r>
        <w:rPr>
          <w:rFonts w:ascii="Amiri" w:hAnsi="Amiri" w:eastAsia="Amiri" w:cs="Amiri"/>
          <w:color w:val="111111"/>
          <w:sz w:val="28"/>
          <w:sz w:val="28"/>
          <w:szCs w:val="28"/>
          <w:rtl w:val="true"/>
          <w:lang w:bidi="ar-SA"/>
        </w:rPr>
        <w:t>مقتضى نصوص الباب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وأنتَ تُريد الإحرام ثوباً تزرّه ولا تدرّعه</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ثوباً له أزرار وأنتَ مُحرم إلّاأن تنكّسه، ولا ثوباً تدرعه، ولا سراويل، إلّاأن لا يكون لك إزار، ولا خُفّين إلّاأن لا يكون لك نعلان</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تقدّمت النصوص الدالّة على أنّ المُحرِم إذا لبس قميصاً، فإن لبسه </w:t>
      </w:r>
    </w:p>
    <w:p>
      <w:pPr>
        <w:pStyle w:val="BookText"/>
        <w:rPr/>
      </w:pPr>
      <w:r>
        <w:rPr>
          <w:rFonts w:ascii="Amiri" w:hAnsi="Amiri" w:eastAsia="Amiri" w:cs="Amiri"/>
          <w:color w:val="111111"/>
          <w:sz w:val="28"/>
          <w:sz w:val="28"/>
          <w:szCs w:val="28"/>
          <w:rtl w:val="true"/>
          <w:lang w:bidi="ar-SA"/>
        </w:rPr>
        <w:t>بعدما أحرم شَقّه وأخرجه ممّا يلي رجليه، وإن لبسه قبله ينزعه ولا يشقّه، وسيأتي في مبحث الكفّارات ما تضمّن وجوب الكفّارة</w:t>
      </w:r>
      <w:r>
        <w:rPr>
          <w:rStyle w:val="FootnoteAnchor"/>
          <w:rtl w:val="true"/>
        </w:rPr>
        <w:footnoteReference w:id="1236"/>
      </w:r>
      <w:r>
        <w:rPr>
          <w:rFonts w:ascii="Amiri" w:hAnsi="Amiri" w:eastAsia="Amiri" w:cs="Amiri"/>
          <w:color w:val="111111"/>
          <w:sz w:val="28"/>
          <w:sz w:val="28"/>
          <w:szCs w:val="28"/>
          <w:rtl w:val="true"/>
          <w:lang w:bidi="ar-SA"/>
        </w:rPr>
        <w:t>في لبس القميص متعمّداً، وأيضاً قد مرّ ما تضمّن من النصوص الناهية عن لبس القباء</w:t>
      </w:r>
      <w:r>
        <w:rPr>
          <w:rStyle w:val="FootnoteAnchor"/>
          <w:rtl w:val="true"/>
        </w:rPr>
        <w:footnoteReference w:id="1237"/>
      </w:r>
      <w:r>
        <w:rPr>
          <w:rFonts w:ascii="Amiri" w:hAnsi="Amiri" w:eastAsia="Amiri" w:cs="Amiri"/>
          <w:color w:val="111111"/>
          <w:sz w:val="28"/>
          <w:sz w:val="28"/>
          <w:szCs w:val="28"/>
          <w:rtl w:val="true"/>
          <w:lang w:bidi="ar-SA"/>
        </w:rPr>
        <w:t>، وأنّه لو اضطرّ إليه لبسه مقلوباً، إلّاأنّ فتاوى الأصحاب متطابقة على حرمة لَبس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المُحرِم لبس المخيط من الثياب إنْ كان رجُلاً، 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المُحرِم لبس الثياب المخيطة عند علماء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يُعلم كما في موضع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xml:space="preserve">وشرحه،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 xml:space="preserve">، بل إجماع العلماء كافّة كما في موضعٍ آخر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45"/>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46"/>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247"/>
      </w:r>
      <w:r>
        <w:rPr>
          <w:rFonts w:ascii="Amiri" w:hAnsi="Amiri" w:eastAsia="Amiri" w:cs="Amiri"/>
          <w:color w:val="111111"/>
          <w:sz w:val="28"/>
          <w:sz w:val="28"/>
          <w:szCs w:val="28"/>
          <w:rtl w:val="true"/>
          <w:lang w:bidi="ar-SA"/>
        </w:rPr>
        <w:t>، بل بالإجماع المحقّق عند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اعتراف غير واحدٍ منهم بعدم العثور على رواية دالّة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ما سمعته من معاقد الإجماعات، كافٍ في جعل العنوان لبس المخيط، وإنْ لم أجده في شيءٍ ممّا وصل إلينا من النصوص الموجودة في الكتب الأربعة وغيره، كما اعترف به غير واحدٍ حتّى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فمثل هذا الإجماع كاشفٌ عن رأي المعصوم قطعاً، أو عن وجود روايةٍ معتبرة ظاهرة فيه لم تصل إلينا، وإلّا فلا يحتمل في حقّ هؤلاء الأعاظم والفحول أن يفتوا بشيء من 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24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يتمّ الاستدلال على ما يظهر من كلام الأصحاب بالمنع ممّا له إزرار، لجواز كونه للضمّ‌، كما يستفاد من الصحيح في الطيلسان المزرور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كره ذلك مخافة أن يزرّه الجاهل فأمّا الفقيه فلا بأس أن يلبسه</w:t>
      </w:r>
      <w:r>
        <w:rPr>
          <w:rFonts w:eastAsia="Amiri" w:cs="Amiri" w:ascii="Amiri" w:hAnsi="Amiri"/>
          <w:color w:val="111111"/>
          <w:sz w:val="28"/>
          <w:szCs w:val="28"/>
          <w:rtl w:val="true"/>
          <w:lang w:bidi="ar-SA"/>
        </w:rPr>
        <w:t>»)</w:t>
      </w:r>
      <w:r>
        <w:rPr>
          <w:rStyle w:val="FootnoteAnchor"/>
          <w:rtl w:val="true"/>
        </w:rPr>
        <w:footnoteReference w:id="1250"/>
      </w:r>
      <w:r>
        <w:rPr>
          <w:rFonts w:ascii="Amiri" w:hAnsi="Amiri" w:eastAsia="Amiri" w:cs="Amiri"/>
          <w:color w:val="111111"/>
          <w:sz w:val="28"/>
          <w:sz w:val="28"/>
          <w:szCs w:val="28"/>
          <w:rtl w:val="true"/>
          <w:lang w:bidi="ar-SA"/>
        </w:rPr>
        <w:t>، لا يوجبُ أن يحتمل في حقّ الأصحاب استدلالهم بذلك، كي يسقط كاشفيّة اتّفاقهم عن رأي المعصوم، أو عن 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فترديد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51"/>
      </w:r>
      <w:r>
        <w:rPr>
          <w:rFonts w:ascii="Amiri" w:hAnsi="Amiri" w:eastAsia="Amiri" w:cs="Amiri"/>
          <w:color w:val="111111"/>
          <w:sz w:val="28"/>
          <w:sz w:val="28"/>
          <w:szCs w:val="28"/>
          <w:rtl w:val="true"/>
          <w:lang w:bidi="ar-SA"/>
        </w:rPr>
        <w:t>رحمه الله في الحكم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تعرّض المفيد رحمه الله له واقتصاره على ذكر أشياء معيّنة، لا يضرّ بما ادّعيناه، لأنّا لا نقول بحجيّة الإجماع من باب قاعدة اللطف حتّى يضرّ مخالفة فقيهٍ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استدلال بعض الأعاظم</w:t>
      </w:r>
      <w:r>
        <w:rPr>
          <w:rStyle w:val="FootnoteAnchor"/>
          <w:rtl w:val="true"/>
        </w:rPr>
        <w:footnoteReference w:id="1252"/>
      </w:r>
      <w:r>
        <w:rPr>
          <w:rFonts w:ascii="IRNazanin" w:hAnsi="IRNazanin" w:eastAsia="IRNazanin"/>
          <w:color w:val="111111"/>
          <w:sz w:val="28"/>
          <w:sz w:val="28"/>
          <w:szCs w:val="28"/>
          <w:rtl w:val="true"/>
          <w:lang w:bidi="fa-IR"/>
        </w:rPr>
        <w:t>لجواز لبسه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زرارة،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ما يكره للمُحرِم أن يلبسه‌؟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إلّاثوباً يتدرّعه</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تضمّن عدم جواز لبس الطيلسان المزرور حتّى ينزع إزاره، معلّلاً بأنّه يخاف أن يزرّه الجاهل عليه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الصحيح مطلق يقيّد إطلاقه بما ذُكر، بل وجود مثل ذلك يؤكّد ما ذكرناه، فإنّ الإفتاء بما يخالف الدليل المعتبر كاشفٌ عن دليلٍ أقوى‌، وبه يظهر حال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للفقيه أن يتوقّف في الحكم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لابدّ من التنبيه على اُمورٍ بها يتمّ جهات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النصوص تدلّ على حرمة لبس عدّة أشياء،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القميص والقباء والسّراويل والثوب المدرّع، والثوب المزرور، ومقتضى إطلاق النصوص أنّه لا فرق في ذلك بين كونها مخيطة أو غير مخيطة، فالدرع المنسوج، وجُبّة اللَّبد، والملصق بعضه ببعض، والتبان والران وما شاكل لا يجوز لبسها في الإحرام، كما أفتى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المتضمّنة لعدم جواز لبس هذه الأشياء 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إنّما ذُكرت أمثلةً لعنوان المخيط، فالمانع هو الخياطة خاصّة، فلا وجه للحكم بحرمة غير المخيط منها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 ما في النصوص على إرادة المثال خلاف ظاهرها، لا يُصار إليه إلّامع القرينة، والإجماع لا يصلح قرينةً على ذلك، إذ لا مانع من أن يكون كلّ منهما مانعاً مستقلّاً، فلا وجه لرفع اليد عن إطلاق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الوجه في المنع، لا ما أفاده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من إلحاق الفقهاء، فإنّ إلحاقهم ليس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أن يستثنى من ذلك الطيلسان، فإنّه قد دلّ النص الصحيح على جواز لبسه، ففي صحيح يعقوب بن شعيب،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المُحرِم يلبس الطيلسان المزرور؟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 كتاب عليٍّ عليه السلام لا تلبس طيلسانٍ حتّى يُنزع أزراره، فحدثني أبي أنّه إنّما كره ذلك مخافة أن يزرّه الجاهل عليه</w:t>
      </w:r>
      <w:r>
        <w:rPr>
          <w:rFonts w:eastAsia="Amiri" w:cs="Amiri" w:ascii="Amiri" w:hAnsi="Amiri"/>
          <w:color w:val="111111"/>
          <w:sz w:val="28"/>
          <w:szCs w:val="28"/>
          <w:rtl w:val="true"/>
          <w:lang w:bidi="ar-SA"/>
        </w:rPr>
        <w:t>»</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جواز لبسه اختياراً، كما صرّح به المصنّف في جملة من كتبه</w:t>
      </w:r>
      <w:r>
        <w:rPr>
          <w:rStyle w:val="FootnoteAnchor"/>
          <w:rtl w:val="true"/>
        </w:rPr>
        <w:footnoteReference w:id="1257"/>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258"/>
      </w:r>
      <w:r>
        <w:rPr>
          <w:rFonts w:ascii="Amiri" w:hAnsi="Amiri" w:eastAsia="Amiri" w:cs="Amiri"/>
          <w:color w:val="111111"/>
          <w:sz w:val="28"/>
          <w:sz w:val="28"/>
          <w:szCs w:val="28"/>
          <w:rtl w:val="true"/>
          <w:lang w:bidi="ar-SA"/>
        </w:rPr>
        <w:t xml:space="preserve">،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الضرورة في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يظهر وجه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موضوع الحرمة مسمّى الخياطة وإنْ قلت كما اشتهر بين المتأخّرين، فلو كانت الخياطة القليلة في الإزار أو الرّداء حَرُم لبسه، بل عن الشهيد</w:t>
      </w:r>
      <w:r>
        <w:rPr>
          <w:rStyle w:val="FootnoteAnchor"/>
          <w:rtl w:val="true"/>
        </w:rPr>
        <w:footnoteReference w:id="1261"/>
      </w:r>
      <w:r>
        <w:rPr>
          <w:rFonts w:ascii="Amiri" w:hAnsi="Amiri" w:eastAsia="Amiri" w:cs="Amiri"/>
          <w:color w:val="111111"/>
          <w:sz w:val="28"/>
          <w:sz w:val="28"/>
          <w:szCs w:val="28"/>
          <w:rtl w:val="true"/>
          <w:lang w:bidi="ar-SA"/>
        </w:rPr>
        <w:t>نسبته إلى ظاهر كلام الأصحاب‌؟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يكون الموضوع هو اللّباس المخيط كالقميص والقباء وما شاكل، كما قوّاه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جمعٌ منهم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262"/>
      </w:r>
      <w:r>
        <w:rPr>
          <w:rFonts w:ascii="Amiri" w:hAnsi="Amiri" w:eastAsia="Amiri" w:cs="Amiri"/>
          <w:color w:val="111111"/>
          <w:sz w:val="28"/>
          <w:sz w:val="28"/>
          <w:szCs w:val="28"/>
          <w:rtl w:val="true"/>
          <w:lang w:bidi="ar-SA"/>
        </w:rPr>
        <w:t>رحمه الله والفاضل النراقي</w:t>
      </w:r>
      <w:r>
        <w:rPr>
          <w:rStyle w:val="FootnoteAnchor"/>
          <w:rtl w:val="true"/>
        </w:rPr>
        <w:footnoteReference w:id="126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إطلاق معقد الإجماع، ومن أنّ إطلاق الرداء والإزار يشمل المخيطين وغيرهما، وانسباق الموضوع للخياطة ممّا شابه ما في النصوص من القميص والقباء وما شاكل، وظهور نصوص الطيلسان في الجواز وإنْ كان فيه أزرار مخيط، وانصراف المخيط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إنْ لم يكن أقوى‌، لا ريب في كونه أحوط، فإنّ إطلاق الرداء والإزار يقيّد بما دلّ على مانعيّة الخياطة، ونصوص الطيلسان محمولة على المورد الخاصّ كأصله، والانسباق والانصراف ممنوعان، وعلى فرضه فهو بدوي لا يعتنى به، فالمتعيّن الأخذ بإطلاق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الإجماع هو لبس المخيط، وهو يصدق على التوشّح والتدثّر به، فهما أيضاً غير جائزين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64"/>
      </w:r>
      <w:r>
        <w:rPr>
          <w:rFonts w:ascii="Amiri" w:hAnsi="Amiri" w:eastAsia="Amiri" w:cs="Amiri"/>
          <w:color w:val="111111"/>
          <w:sz w:val="28"/>
          <w:sz w:val="28"/>
          <w:szCs w:val="28"/>
          <w:rtl w:val="true"/>
          <w:lang w:bidi="ar-SA"/>
        </w:rPr>
        <w:t>من الاستدلال للجواز تارةً بعدم صدق اللّبس على التوشّح والتدثّر، واُخرى 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ثوباً تُدرّعه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المُحرِم هو الإدّراع به لا التوشّح ونحوه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قابل للمناقشة، إذ اللّبس كما يصدق على التدرّع بالثوب، كذلك يصدق على التدثّر والتوشّح به، غاية الأمر أنّه شائع في بعض مصاديق اللّبس في الثوب والقميص من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59" w:name="pg11808_109166"/>
    </w:p>
    <w:p>
      <w:pPr>
        <w:pStyle w:val="BookText"/>
        <w:rPr/>
      </w:pPr>
      <w:bookmarkEnd w:id="259"/>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ثوباً تُدّرعه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مفهوم له يدلّ به على جواز غيره، كي يقيّد إطلاق ما دلّ على المنع عن لبس المخيط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الدورس</w:t>
      </w:r>
      <w:r>
        <w:rPr>
          <w:rFonts w:eastAsia="Amiri" w:cs="Amiri" w:ascii="Amiri" w:hAnsi="Amiri"/>
          <w:color w:val="111111"/>
          <w:sz w:val="28"/>
          <w:szCs w:val="28"/>
          <w:rtl w:val="true"/>
          <w:lang w:bidi="ar-SA"/>
        </w:rPr>
        <w:t>»</w:t>
      </w:r>
      <w:r>
        <w:rPr>
          <w:rStyle w:val="FootnoteAnchor"/>
          <w:rtl w:val="true"/>
        </w:rPr>
        <w:footnoteReference w:id="12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قلنا بأنّه يعتبر في حُرمة المخيط كونه مخيطاً بالبدن، كما هو ظاهر ابن الجنيد، لا يحرم التوشّح به ونحوه، وإلّا فيُحرم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يصدق اللّبس إلّامع إحاطة الملبوس بجزءٍ من أجزاء بدن اللّابس، واشتماله عليه، فلو جُعل المخيط في جيبه لا يصدق عليه اللّبس قطعاً، وهذا لا يستلزم عدم حرمة التوشّح والتدثّر، فإنّهما مستلزمان للإحاطة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الاستدلال على عدم حرمة التوشّح به بالأصل، وبقوله عليه السلام في خبر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 ثوباً له إزاراً وأنتَ مُحرِمٌ إلّاأن تنكسه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مقطوعٌ بما عرفت، والخبر محمولٌ على صورة الضرورة، للنصوص المتقدّمة في شرائط ثوبي الإحرام، الدالّة على أنّه إنّما يجوز لبس القباء منكوساً مع عدم وجود الرداء أو الاضطرار إليه من بردٍ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حرمة التوشّح بالمخيط في حال الاختيار</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10697093_73709187"/>
      <w:bookmarkStart w:id="261" w:name="_Toc87"/>
      <w:bookmarkEnd w:id="260"/>
      <w:r>
        <w:rPr>
          <w:rtl w:val="true"/>
        </w:rPr>
        <w:t>لبس المنطقة وشَدّ الهميان</w:t>
      </w:r>
      <w:bookmarkEnd w:id="26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صرّح الفاضل</w:t>
      </w:r>
      <w:r>
        <w:rPr>
          <w:rStyle w:val="FootnoteAnchor"/>
          <w:rtl w:val="true"/>
        </w:rPr>
        <w:footnoteReference w:id="1268"/>
      </w:r>
      <w:r>
        <w:rPr>
          <w:rFonts w:ascii="IRNazanin" w:hAnsi="IRNazanin" w:eastAsia="IRNazanin"/>
          <w:color w:val="111111"/>
          <w:sz w:val="28"/>
          <w:sz w:val="28"/>
          <w:szCs w:val="28"/>
          <w:rtl w:val="true"/>
          <w:lang w:bidi="fa-IR"/>
        </w:rPr>
        <w:t>، والصدوق</w:t>
      </w:r>
      <w:r>
        <w:rPr>
          <w:rStyle w:val="FootnoteAnchor"/>
          <w:rtl w:val="true"/>
        </w:rPr>
        <w:footnoteReference w:id="1269"/>
      </w:r>
      <w:r>
        <w:rPr>
          <w:rFonts w:ascii="IRNazanin" w:hAnsi="IRNazanin" w:eastAsia="IRNazanin"/>
          <w:color w:val="111111"/>
          <w:sz w:val="28"/>
          <w:sz w:val="28"/>
          <w:szCs w:val="28"/>
          <w:rtl w:val="true"/>
          <w:lang w:bidi="fa-IR"/>
        </w:rPr>
        <w:t xml:space="preserve">، وابن </w:t>
      </w:r>
    </w:p>
    <w:p>
      <w:pPr>
        <w:pStyle w:val="BookText"/>
        <w:rPr/>
      </w:pPr>
      <w:r>
        <w:rPr>
          <w:rFonts w:ascii="Amiri" w:hAnsi="Amiri" w:eastAsia="Amiri" w:cs="Amiri"/>
          <w:color w:val="111111"/>
          <w:sz w:val="28"/>
          <w:sz w:val="28"/>
          <w:szCs w:val="28"/>
          <w:rtl w:val="true"/>
          <w:lang w:bidi="ar-SA"/>
        </w:rPr>
        <w:t>حمزة</w:t>
      </w:r>
      <w:r>
        <w:rPr>
          <w:rStyle w:val="FootnoteAnchor"/>
          <w:rtl w:val="true"/>
        </w:rPr>
        <w:footnoteReference w:id="1270"/>
      </w:r>
      <w:r>
        <w:rPr>
          <w:rFonts w:ascii="Amiri" w:hAnsi="Amiri" w:eastAsia="Amiri" w:cs="Amiri"/>
          <w:color w:val="111111"/>
          <w:sz w:val="28"/>
          <w:sz w:val="28"/>
          <w:szCs w:val="28"/>
          <w:rtl w:val="true"/>
          <w:lang w:bidi="ar-SA"/>
        </w:rPr>
        <w:t>، ويحييبن سعيد</w:t>
      </w:r>
      <w:r>
        <w:rPr>
          <w:rStyle w:val="FootnoteAnchor"/>
          <w:rtl w:val="true"/>
        </w:rPr>
        <w:footnoteReference w:id="1271"/>
      </w:r>
      <w:r>
        <w:rPr>
          <w:rFonts w:ascii="Amiri" w:hAnsi="Amiri" w:eastAsia="Amiri" w:cs="Amiri"/>
          <w:color w:val="111111"/>
          <w:sz w:val="28"/>
          <w:sz w:val="28"/>
          <w:szCs w:val="28"/>
          <w:rtl w:val="true"/>
          <w:lang w:bidi="ar-SA"/>
        </w:rPr>
        <w:t>، والشهيد</w:t>
      </w:r>
      <w:r>
        <w:rPr>
          <w:rStyle w:val="FootnoteAnchor"/>
          <w:rtl w:val="true"/>
        </w:rPr>
        <w:footnoteReference w:id="1272"/>
      </w:r>
      <w:r>
        <w:rPr>
          <w:rFonts w:ascii="Amiri" w:hAnsi="Amiri" w:eastAsia="Amiri" w:cs="Amiri"/>
          <w:color w:val="111111"/>
          <w:sz w:val="28"/>
          <w:sz w:val="28"/>
          <w:szCs w:val="28"/>
          <w:rtl w:val="true"/>
          <w:lang w:bidi="ar-SA"/>
        </w:rPr>
        <w:t>وغيرهم، بجواز لبس المنطقة، وشَدّ الهميان، وإنْ كانا مخيطين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ذلك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يصر الدراهم في ثوبه‌؟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ويلبس المنطقة والهميان</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يعقوب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معي الدراهم فيها تماثيل وأنا مُحرِم، فأجعلها في هميان وأشدّه في وسطي‌؟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أوَلَيسَ هي نفقتك وعليها اعتمادك بعد اللّه عزّ وجلّ؟</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يَشدّ الهميان في وسطه‌؟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خيره بعد نفقته</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يشدّ على بطنه العمامة‌؟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يقول يشدّ على بطنه المِنطقة التي فيها نفقته، يستوثق منها، فإنّها من يتمام حجّه</w:t>
      </w:r>
      <w:r>
        <w:rPr>
          <w:rFonts w:eastAsia="Amiri" w:cs="Amiri" w:ascii="Amiri" w:hAnsi="Amiri"/>
          <w:color w:val="111111"/>
          <w:sz w:val="28"/>
          <w:szCs w:val="28"/>
          <w:rtl w:val="true"/>
          <w:lang w:bidi="ar-SA"/>
        </w:rPr>
        <w:t>»</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هذه النصوص عليجواز شَدّ الهِميان والمنطقة المخيطين إنّماتكون بالإطلاق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يكون مورد السؤال والجواب هو خصوص شَدّهما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الوسط، فلا إطلاق لها كي تدلّ على جواز شد المخيطين منهما، وعلى فرض الإطلاق يقيّد بما دلّ على حرمة لبس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إندراجه في لبس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اللّبس عليه قطعاً، والشاهد به صدق اللّبس على لبس الخاتم والعمامة وما شاكل، ولكن إنكار إطلاق النصوص مكابرة، بل يمكن أن يقال من جهة غلبة المخيطيّة فيهما، تكون النصوص كالصريحة في جواز المخيط منهما، مع أنّه على فرض الإطلاق وتعارضها مع إطلاق ما دلّ على حرمة لبس المخيط، بما أنّ التعارض بالعموم من وجه، فيتعيّن الرجوع إلى المرجّحات، والترجيح مع نصوص المقام، فالأظهر جواز لبس المخيط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فصحيح أبي بصير ظاهرٌ في حرمة شدّها على البطن، إلّاأنّ صحيح الحلبي،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يشدّ على بطنه العمامة، وإنْ شاء يعصّبها على موضع الإزار، ولا يرفعها إلى صدره</w:t>
      </w:r>
      <w:r>
        <w:rPr>
          <w:rFonts w:eastAsia="Amiri" w:cs="Amiri" w:ascii="Amiri" w:hAnsi="Amiri"/>
          <w:color w:val="111111"/>
          <w:sz w:val="28"/>
          <w:szCs w:val="28"/>
          <w:rtl w:val="true"/>
          <w:lang w:bidi="ar-SA"/>
        </w:rPr>
        <w:t>»</w:t>
      </w:r>
      <w:r>
        <w:rPr>
          <w:rStyle w:val="FootnoteAnchor"/>
          <w:rtl w:val="true"/>
        </w:rPr>
        <w:footnoteReference w:id="1278"/>
      </w:r>
      <w:r>
        <w:rPr>
          <w:rFonts w:ascii="Amiri" w:hAnsi="Amiri" w:eastAsia="Amiri" w:cs="Amiri"/>
          <w:color w:val="111111"/>
          <w:sz w:val="28"/>
          <w:sz w:val="28"/>
          <w:szCs w:val="28"/>
          <w:rtl w:val="true"/>
          <w:lang w:bidi="ar-SA"/>
        </w:rPr>
        <w:t>يدلّ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الجمع بينهما بحمل البطن في صحيح أبي بصير على الصدر، ولكنّه كما ترى جمعٌ تبرّعي لا شاهد له، وإمكان استعمال البطن في الصدر مجازاً لا يكفي في الجمع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بينهما يقتضي البناء على الكراهة، ولكن ضابط الجمع العرفي لا يصدق عليه، فإنّا لو جَمعنا بين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أبي بصير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2" w:name="pg11808_109169"/>
    </w:p>
    <w:p>
      <w:pPr>
        <w:pStyle w:val="BookText"/>
        <w:rPr/>
      </w:pPr>
      <w:bookmarkEnd w:id="262"/>
      <w:r>
        <w:rPr>
          <w:rFonts w:ascii="Amiri" w:hAnsi="Amiri" w:eastAsia="Amiri" w:cs="Amiri"/>
          <w:color w:val="111111"/>
          <w:sz w:val="28"/>
          <w:sz w:val="28"/>
          <w:szCs w:val="28"/>
          <w:rtl w:val="true"/>
          <w:lang w:bidi="ar-SA"/>
        </w:rPr>
        <w:t>جواب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يشدّ على بطنه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قوله عليه السلام في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يشدّ على بطنه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العرف التهافت بينهما، ولا يعتبرون الثاني قرينةً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وأضعف منهما حمل صحيح أبي بصير على ما لو كانت العمامة من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فالمتعيّن هو الرجوع إلى المرجّحات، ولعلّ الترجيح مع صحيح الحلبي، لكون الجواز مشهوراً، إلّاأنّ الأحوط مع ذلك اجتنابه، وأمّا شدّها على الصدر فلا يجوز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وإيراد الفاضل النراقي</w:t>
      </w:r>
      <w:r>
        <w:rPr>
          <w:rStyle w:val="FootnoteAnchor"/>
          <w:rtl w:val="true"/>
        </w:rPr>
        <w:footnoteReference w:id="1280"/>
      </w:r>
      <w:r>
        <w:rPr>
          <w:rFonts w:ascii="Amiri" w:hAnsi="Amiri" w:eastAsia="Amiri" w:cs="Amiri"/>
          <w:color w:val="111111"/>
          <w:sz w:val="28"/>
          <w:sz w:val="28"/>
          <w:szCs w:val="28"/>
          <w:rtl w:val="true"/>
          <w:lang w:bidi="ar-SA"/>
        </w:rPr>
        <w:t>عليه من أنّ الجملة الخبريّة لا تدلّ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فيه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عقد الإزار والرِّداء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حكمه في شرائط ثوبي الإحرام</w:t>
      </w:r>
      <w:r>
        <w:rPr>
          <w:rFonts w:eastAsia="Amiri" w:cs="Amiri" w:ascii="Amiri" w:hAnsi="Amiri"/>
          <w:color w:val="111111"/>
          <w:sz w:val="28"/>
          <w:szCs w:val="28"/>
          <w:rtl w:val="true"/>
          <w:lang w:bidi="ar-SA"/>
        </w:rPr>
        <w:t>.</w:t>
      </w:r>
    </w:p>
    <w:p>
      <w:pPr>
        <w:pStyle w:val="Heading2"/>
        <w:numPr>
          <w:ilvl w:val="1"/>
          <w:numId w:val="1"/>
        </w:numPr>
        <w:rPr/>
      </w:pPr>
      <w:bookmarkStart w:id="263" w:name="__RefHeading___Toc10697095_73709187"/>
      <w:bookmarkStart w:id="264" w:name="_Toc88"/>
      <w:bookmarkEnd w:id="263"/>
      <w:r>
        <w:rPr>
          <w:rtl w:val="true"/>
        </w:rPr>
        <w:t>جواز لبس المخيط للنساء</w:t>
      </w:r>
      <w:bookmarkEnd w:id="264"/>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لَبس المخيط للنساء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شهرة عظيمة، هو الجواز، بل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للمرأة لبس المخيط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282"/>
      </w:r>
      <w:r>
        <w:rPr>
          <w:rFonts w:ascii="Amiri" w:hAnsi="Amiri" w:eastAsia="Amiri" w:cs="Amiri"/>
          <w:color w:val="111111"/>
          <w:sz w:val="28"/>
          <w:sz w:val="28"/>
          <w:szCs w:val="28"/>
          <w:rtl w:val="true"/>
          <w:lang w:bidi="ar-SA"/>
        </w:rPr>
        <w:t>قال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المُحرِم لبس المخيط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وأجمعوا على أنّ المراد بهذا الذكور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xml:space="preserve">عدم الجواز، ولكنّه على ما قيل ليس كلامه </w:t>
      </w:r>
      <w:bookmarkStart w:id="265" w:name="pg11808_109170"/>
    </w:p>
    <w:p>
      <w:pPr>
        <w:pStyle w:val="BookText"/>
        <w:rPr/>
      </w:pPr>
      <w:bookmarkEnd w:id="265"/>
      <w:r>
        <w:rPr>
          <w:rFonts w:ascii="Amiri" w:hAnsi="Amiri" w:eastAsia="Amiri" w:cs="Amiri"/>
          <w:color w:val="111111"/>
          <w:sz w:val="28"/>
          <w:sz w:val="28"/>
          <w:szCs w:val="28"/>
          <w:rtl w:val="true"/>
          <w:lang w:bidi="ar-SA"/>
        </w:rPr>
        <w:t>فيها نصّاً في الحرمة، وعلى أيّ تقديرٍ قد أفتى رحمه الله أخيراً بما يوافق المشهور في 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أظهر، إذ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اختصاص دليل المنع بالرجل، حتّى ما تضمّن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حمله على إرادة الجنس الشامل للرجل والمرأة يحتاج إلى قرينة مفقودة في المقام، بل على الخلاف موجودة، وقاعدة الاشتراك لا مجرى لها فيما نحن فيه، والأصل يقتضي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تلبس القميص تزرّه عليها، وتلبس الحرير والخَزّ والديباج‌؟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وتلبس الخلخالين والمِسْك</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النضر بن سويد،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المُحرِمة أيّ شيء تلبس من الثياب‌؟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الثياب كلّها إلّاالمصبوغة بالزّعفران والوَرَس، ولا تلبس القفازين</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الأخبار الكثيرة، فلا توقّف في الجواز</w:t>
      </w:r>
      <w:r>
        <w:rPr>
          <w:rFonts w:eastAsia="Amiri" w:cs="Amiri" w:ascii="Amiri" w:hAnsi="Amiri"/>
          <w:color w:val="111111"/>
          <w:sz w:val="28"/>
          <w:szCs w:val="28"/>
          <w:rtl w:val="true"/>
          <w:lang w:bidi="ar-SA"/>
        </w:rPr>
        <w:t>.</w:t>
      </w:r>
    </w:p>
    <w:p>
      <w:pPr>
        <w:pStyle w:val="Heading2"/>
        <w:numPr>
          <w:ilvl w:val="1"/>
          <w:numId w:val="1"/>
        </w:numPr>
        <w:rPr/>
      </w:pPr>
      <w:bookmarkStart w:id="266" w:name="__RefHeading___Toc10697097_73709187"/>
      <w:bookmarkStart w:id="267" w:name="_Toc89"/>
      <w:bookmarkEnd w:id="266"/>
      <w:r>
        <w:rPr>
          <w:rtl w:val="true"/>
        </w:rPr>
        <w:t>حرمة لبس القفازين على النساء</w:t>
      </w:r>
      <w:bookmarkEnd w:id="267"/>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النصوص متضمّنة لبيان حكمين آخرين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لبس الحرير للنساء، وقد مرّ الكلام فيه مفصّلاً في مبحث شرائط ثوبي الإحرام</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لبس القفازين عليهنّ‌، والمشهور بين الأصحاب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88"/>
      </w:r>
      <w:r>
        <w:rPr>
          <w:rFonts w:ascii="Amiri" w:hAnsi="Amiri" w:eastAsia="Amiri" w:cs="Amiri"/>
          <w:color w:val="111111"/>
          <w:sz w:val="28"/>
          <w:sz w:val="28"/>
          <w:szCs w:val="28"/>
          <w:rtl w:val="true"/>
          <w:lang w:bidi="ar-SA"/>
        </w:rPr>
        <w:t xml:space="preserve">عدم الخلاف فيها، وعن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90"/>
      </w:r>
      <w:r>
        <w:rPr>
          <w:rFonts w:ascii="Amiri" w:hAnsi="Amiri" w:eastAsia="Amiri" w:cs="Amiri"/>
          <w:color w:val="111111"/>
          <w:sz w:val="28"/>
          <w:sz w:val="28"/>
          <w:szCs w:val="28"/>
          <w:rtl w:val="true"/>
          <w:lang w:bidi="ar-SA"/>
        </w:rPr>
        <w:t>الإجماع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لها بجملةٍ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النضر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تلبس القفازين</w:t>
      </w:r>
      <w:r>
        <w:rPr>
          <w:rFonts w:eastAsia="Amiri" w:cs="Amiri" w:ascii="Amiri" w:hAnsi="Amiri"/>
          <w:color w:val="111111"/>
          <w:sz w:val="28"/>
          <w:szCs w:val="28"/>
          <w:rtl w:val="true"/>
          <w:lang w:bidi="ar-SA"/>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المُحرِمة تلبس ما شاءت من الثياب، غير الحرير والقفازين</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أبي عُيّينة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الثياب كلّها ما خلا القفازين</w:t>
      </w:r>
      <w:r>
        <w:rPr>
          <w:rFonts w:eastAsia="Amiri" w:cs="Amiri" w:ascii="Amiri" w:hAnsi="Amiri"/>
          <w:color w:val="111111"/>
          <w:sz w:val="28"/>
          <w:szCs w:val="28"/>
          <w:rtl w:val="true"/>
          <w:lang w:bidi="ar-SA"/>
        </w:rPr>
        <w:t>»</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على الاستدلال بها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يحيى بن أبي العلاء،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كره للمرأة المُحرِمة البرقُع والقفازين</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صريحٌ في الكراهة فيه، يرفع اليد عن ظهور تلك النصوص في الحرمة وتُحمل عليها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في الأخبار غير ظاهرة في الكراهة المصطلحة، فضلاً عن الصراحة، لو لم تكن ظاهرة في الحرمة، فغايته الإجمال، فبقرينة النصوص المتقدّمة تُحمل هذه على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 xml:space="preserve">من أنّ القُفّاز مجملٌ‌، فإنّه فسّره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2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Style w:val="FootnoteAnchor"/>
          <w:rtl w:val="true"/>
        </w:rPr>
        <w:footnoteReference w:id="12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r>
        <w:rPr>
          <w:rStyle w:val="FootnoteAnchor"/>
          <w:rtl w:val="true"/>
        </w:rPr>
        <w:footnoteReference w:id="12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2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شيءٌ يُعمل لليدين، يُحشى بالقطن يلبسها المرأة للبرد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وعن جماعةٍ من أهل اللّغة</w:t>
      </w:r>
      <w:r>
        <w:rPr>
          <w:rStyle w:val="FootnoteAnchor"/>
          <w:rtl w:val="true"/>
        </w:rPr>
        <w:footnoteReference w:id="13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ضَرْبٌ من الحُليّ لليدين والرِّجلين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فينفى الفائدة في المنع، لإباحة كلٍّ من المعنيين بالأصل، إلّا أن يثمر في حرمة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الأكثر فسّروه بالأوّل، مع أنّ صريح خبر يعقوب بن شُعيب جواز أن تلبس المرأة الخلخال والمِسْك وهو سِوارٌ من دبل أو عاج</w:t>
      </w:r>
      <w:r>
        <w:rPr>
          <w:rStyle w:val="FootnoteAnchor"/>
          <w:rtl w:val="true"/>
        </w:rPr>
        <w:footnoteReference w:id="1303"/>
      </w:r>
      <w:r>
        <w:rPr>
          <w:rFonts w:ascii="Amiri" w:hAnsi="Amiri" w:eastAsia="Amiri" w:cs="Amiri"/>
          <w:color w:val="111111"/>
          <w:sz w:val="28"/>
          <w:sz w:val="28"/>
          <w:szCs w:val="28"/>
          <w:rtl w:val="true"/>
          <w:lang w:bidi="ar-SA"/>
        </w:rPr>
        <w:t>، فيُعلم من ذلك أنّ القُفّاز الممنوع غير ذلك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غايته الإجمال، فإذا ثبت حرمته، والمُحرّم مردّدٌ بين المعنيين، وجب الإجتناب عنهما معاً، قضاءً للعلم الإجمالي، إذ العلم الإجمالي المنجِزُ للتكليف، أعمٌّ من العلم الوجداني والتعبّدي، فما أفاده من أنّ لازمه الجمع بينهما منافٍ لقواعد العلم الإجمالي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8" w:name="pg11808_109173"/>
    </w:p>
    <w:p>
      <w:pPr>
        <w:pStyle w:val="BookText"/>
        <w:rPr/>
      </w:pPr>
      <w:bookmarkEnd w:id="268"/>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القُفّاز بالمعنى الأوّل من قبيل الثياب، الجائز لبسها لها، وبالمعنى الثاني من قبيل الحُليّ الجائز لها إذا لم تكن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التقديرين يكون دليل المنع أخصّ من أدلّة الجواز، فيقيّد إطلاقها به، فالأظهر هو المنع</w:t>
      </w:r>
      <w:r>
        <w:rPr>
          <w:rFonts w:eastAsia="Amiri" w:cs="Amiri" w:ascii="Amiri" w:hAnsi="Amiri"/>
          <w:color w:val="111111"/>
          <w:sz w:val="28"/>
          <w:szCs w:val="28"/>
          <w:rtl w:val="true"/>
          <w:lang w:bidi="ar-SA"/>
        </w:rPr>
        <w:t>.</w:t>
      </w:r>
    </w:p>
    <w:p>
      <w:pPr>
        <w:pStyle w:val="Heading2"/>
        <w:numPr>
          <w:ilvl w:val="1"/>
          <w:numId w:val="1"/>
        </w:numPr>
        <w:rPr/>
      </w:pPr>
      <w:bookmarkStart w:id="269" w:name="__RefHeading___Toc10697099_73709187"/>
      <w:bookmarkStart w:id="270" w:name="_Toc90"/>
      <w:bookmarkEnd w:id="269"/>
      <w:r>
        <w:rPr>
          <w:rtl w:val="true"/>
        </w:rPr>
        <w:t>جواز لبس الغلالة والسَّراويل للنساء</w:t>
      </w:r>
      <w:bookmarkEnd w:id="270"/>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ولا خلاف في جواز أن تلبس المرأة الحائض الغلالة،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رقيقٌ تلبسها الحائض تحت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305"/>
      </w:r>
      <w:r>
        <w:rPr>
          <w:rFonts w:ascii="Amiri" w:hAnsi="Amiri" w:eastAsia="Amiri" w:cs="Amiri"/>
          <w:color w:val="111111"/>
          <w:sz w:val="28"/>
          <w:sz w:val="28"/>
          <w:szCs w:val="28"/>
          <w:rtl w:val="true"/>
          <w:lang w:bidi="ar-SA"/>
        </w:rPr>
        <w:t xml:space="preserve">وغيرهما دعوى الإجماع عليه، حتّى من القائل بحرمة لبس المَخيط عليها، ولعلّه من جهة ما قاله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منع من أن تلبس المخيط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للحائض أن تلبس تحت ثيابها غلالة تتّقي ثيابها من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تقدّم، وكذلك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عبداللّه بن سنان،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 المُحرِمة الحائض تحت ثيابها غلالة</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وأيضاً لا خلاف في جواز أن تلبس السراويل، بل عليه الإجماع، كما </w:t>
      </w:r>
    </w:p>
    <w:p>
      <w:pPr>
        <w:pStyle w:val="BookText"/>
        <w:rPr/>
      </w:pPr>
      <w:r>
        <w:rPr>
          <w:rFonts w:ascii="Amiri" w:hAnsi="Amiri" w:eastAsia="Amiri" w:cs="Amiri"/>
          <w:color w:val="111111"/>
          <w:sz w:val="28"/>
          <w:sz w:val="28"/>
          <w:szCs w:val="28"/>
          <w:rtl w:val="true"/>
          <w:lang w:bidi="ar-SA"/>
        </w:rPr>
        <w:t>صرّح الشيخ</w:t>
      </w:r>
      <w:r>
        <w:rPr>
          <w:rStyle w:val="FootnoteAnchor"/>
          <w:rtl w:val="true"/>
        </w:rPr>
        <w:footnoteReference w:id="1308"/>
      </w:r>
      <w:r>
        <w:rPr>
          <w:rFonts w:ascii="Amiri" w:hAnsi="Amiri" w:eastAsia="Amiri" w:cs="Amiri"/>
          <w:color w:val="111111"/>
          <w:sz w:val="28"/>
          <w:sz w:val="28"/>
          <w:szCs w:val="28"/>
          <w:rtl w:val="true"/>
          <w:lang w:bidi="ar-SA"/>
        </w:rPr>
        <w:t>أيضاً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أبا عبداللّه عليه السلام عن المرأة إذا أحرَمَت أتلبس السراويل‌؟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تريد بذلك السَّتر</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الرّجل فقد مرّ أنّه لا يجوز له لبس السراويل، إلّاإذا لم يجد إزاراً، وقد تقدّم في بيان شرائط ثوبي الإحرام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المقام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3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31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قومٍ من أصحابنا لا يلبس حتّى يفتق، ويجعل كالمئزر، وأنّه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منافاته لإطلاق الفتاوى والنصوص، فإنّه لم يقيّد الجواز في شيء منها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هذا لا وجه للاختصاص بصورة الضرورة، وعدم وجود الإزار، ولا للقول بثبوت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سيأتي إنْ شاء اللّه تعالى أنّ في لبس الرّجل القميص والسراويل وما شاكل اختياراً ثبوت الفدية، لكن وهل تجب الفدية مع جواز لبس السراويل كما 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312"/>
      </w:r>
      <w:r>
        <w:rPr>
          <w:rFonts w:ascii="IRNazanin" w:hAnsi="IRNazanin" w:eastAsia="IRNazanin"/>
          <w:color w:val="111111"/>
          <w:sz w:val="28"/>
          <w:sz w:val="28"/>
          <w:szCs w:val="28"/>
          <w:rtl w:val="true"/>
          <w:lang w:bidi="fa-IR"/>
        </w:rPr>
        <w:t>أم لا؟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الأصحاب هو الثاني، وقد نسبه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13"/>
      </w:r>
      <w:r>
        <w:rPr>
          <w:rFonts w:ascii="IRNazanin" w:hAnsi="IRNazanin" w:eastAsia="IRNazanin"/>
          <w:color w:val="111111"/>
          <w:sz w:val="28"/>
          <w:sz w:val="28"/>
          <w:szCs w:val="28"/>
          <w:rtl w:val="true"/>
          <w:lang w:bidi="fa-IR"/>
        </w:rPr>
        <w:t>إلى علمائنا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بصحيح محمّد بن مسلم،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يحتاج إلى ضروب من الثياب يلبسها؟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لكلّ صنفٍ منها فداء</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العيص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المُحرِم يلبس القميص متعمّداً؟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اضطرّ إلى لبس ثوبٍ يحرم عليه مع الاختيار، جاز له لبسه وعليه دم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نتف إبطه، أو قلّم ظُفره، أو حَلَق رأسه، أو لبس ثوباً لا ينبغي له لبسه، أو أكل طعاماً لا ينبغي له أكله وهو مُحرِم، ففعل ذلك ناسياً أو جاهلاً، فليس عليه شيء، ومن فعله متعمّداً فعليه دم شاة</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أجنبيٌ عن المقام، فإنّ الموضوع فيه لبس ما لا ينبغي له لبسه، ومن لا إزار له ينبغي له لبس السراويل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ذيله ليس في 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أعمٌّ من الاحتياج المسوّغ للبس وعدمه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فيتمّ‌الاستدلال لعدم الوجوب، بخلوّ النصوص عن وجوبها في المقام،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1" w:name="pg11808_109176"/>
    </w:p>
    <w:p>
      <w:pPr>
        <w:pStyle w:val="BookText"/>
        <w:rPr/>
      </w:pPr>
      <w:bookmarkEnd w:id="271"/>
      <w:r>
        <w:rPr>
          <w:rFonts w:ascii="Amiri" w:hAnsi="Amiri" w:eastAsia="Amiri" w:cs="Amiri"/>
          <w:color w:val="111111"/>
          <w:sz w:val="28"/>
          <w:sz w:val="28"/>
          <w:szCs w:val="28"/>
          <w:rtl w:val="true"/>
          <w:lang w:bidi="ar-SA"/>
        </w:rPr>
        <w:t>وبانصراف نصوص الفدية إلى اللّبس المُحرّم، وسيأتي تمام الكلام إنْ شاء اللّه تعالى في مبحث الكفّارات</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2" w:name="__RefHeading___Toc10697101_73709187"/>
      <w:bookmarkStart w:id="273" w:name="_Toc91"/>
      <w:bookmarkEnd w:id="272"/>
      <w:r>
        <w:rPr>
          <w:rtl w:val="true"/>
        </w:rPr>
        <w:t>حكم الخُنثى</w:t>
      </w:r>
      <w:bookmarkEnd w:id="273"/>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الخُنثى المُشكل لا يجبُ عليه اجتناب المخيط، لأصالة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قلنا بأنّ الخُنثى صنفٌ ثالث، ليس برجلٍ ولا امرأة، فالظاهر هو ما أفاده، لأنّ دليل حرمة لبس المخيط هو الإجماع، وهو مختصٌّ بالرجل، وكذا نصوص المنع عن لبس القباء والقميص وما شاكل، فيبقى الخنثى بلا دليل، فالمرجعع إلى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إن قلنا بأنّه إمّا رجلٌ أو امرأة، وليس صنفاً ثالثاً كما هو الصحيح، أو ليس له تكليفٌ خاص، بل هو مكلّفٌ إمّا بتكاليف الرجال أو بتكاليف النساء، فحيث إنّ المختار عندنا منجّزيّة العلم الإجمالي، ولو كان المعلوم بالإجمال أحد حكمين، ولا يعتبر في تنجيزه العلم بحكمٍ معيّن، فلو علم أنّه إمّا أن يحرم عليه الجلوس في مكانٍ معيّن، أو يجب أن يتصدّق بدرهم، يكون هذا العلم منجّزاً، وموجباً للزوم الاحتياط</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المقام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الخُنثى يعلم أنّه إمّا أن يحرم عليه لبس المخيط، أو النظر الى الرّجل مثلاً، فمقتضى هذا العلم الإجمالي الاجتناب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نوقش في خصوص المثال، فإنّه لا مجال للمناقشة في الكبرى الكليّة التي ذكرناها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نظر من ذهب إلى المنع تمسّكاً بقاعدة الشُّغل إلى ما ذكرناه، إذ مع عدم جريان أصالة البراءة للعلم الإجمالي، لابدّ من الرجوع إلى قاعدة وجوب دفع الضرر المحتمل</w:t>
      </w:r>
      <w:r>
        <w:rPr>
          <w:rFonts w:eastAsia="Amiri" w:cs="Amiri" w:ascii="Amiri" w:hAnsi="Amiri"/>
          <w:color w:val="111111"/>
          <w:sz w:val="28"/>
          <w:szCs w:val="28"/>
          <w:rtl w:val="true"/>
          <w:lang w:bidi="ar-SA"/>
        </w:rPr>
        <w:t>.</w:t>
      </w:r>
      <w:bookmarkStart w:id="274" w:name="pg11808_109178"/>
    </w:p>
    <w:p>
      <w:pPr>
        <w:pStyle w:val="BookText"/>
        <w:rPr/>
      </w:pPr>
      <w:bookmarkEnd w:id="274"/>
      <w:r>
        <w:rPr>
          <w:rFonts w:ascii="Amiri" w:hAnsi="Amiri" w:eastAsia="Amiri" w:cs="Amiri"/>
          <w:color w:val="111111"/>
          <w:sz w:val="28"/>
          <w:sz w:val="28"/>
          <w:szCs w:val="28"/>
          <w:rtl w:val="true"/>
          <w:lang w:bidi="ar-SA"/>
        </w:rPr>
        <w:t>وما يَستُر ظهر القدم</w:t>
      </w:r>
      <w:r>
        <w:rPr>
          <w:rFonts w:eastAsia="Amiri" w:cs="Amiri" w:ascii="Amiri" w:hAnsi="Amiri"/>
          <w:color w:val="111111"/>
          <w:sz w:val="28"/>
          <w:szCs w:val="28"/>
          <w:rtl w:val="true"/>
          <w:lang w:bidi="ar-SA"/>
        </w:rPr>
        <w:t>.</w:t>
      </w:r>
    </w:p>
    <w:p>
      <w:pPr>
        <w:pStyle w:val="Heading2"/>
        <w:numPr>
          <w:ilvl w:val="1"/>
          <w:numId w:val="1"/>
        </w:numPr>
        <w:rPr/>
      </w:pPr>
      <w:bookmarkStart w:id="275" w:name="__RefHeading___Toc10697103_73709187"/>
      <w:bookmarkStart w:id="276" w:name="_Toc92"/>
      <w:bookmarkEnd w:id="275"/>
      <w:r>
        <w:rPr>
          <w:rtl w:val="true"/>
        </w:rPr>
        <w:t>حرمة لبس ما يَستُر ظهر القدم</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يستر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الخُفّ خاصّة، كما هو ظاهر كلام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 xml:space="preserve">، والحِلّي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اللّثام</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حيث اقتصروا على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مع الجورب،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w:t>
      </w:r>
      <w:r>
        <w:rPr>
          <w:rStyle w:val="FootnoteAnchor"/>
          <w:rtl w:val="true"/>
        </w:rPr>
        <w:footnoteReference w:id="13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32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بالاختصاص بهما، وهو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3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هو مع الشمشك، كماعن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بكلّ ما يستره باللّبس،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13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3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335"/>
      </w:r>
      <w:r>
        <w:rPr>
          <w:rFonts w:ascii="Amiri" w:hAnsi="Amiri" w:eastAsia="Amiri" w:cs="Amiri"/>
          <w:color w:val="111111"/>
          <w:sz w:val="28"/>
          <w:sz w:val="28"/>
          <w:szCs w:val="28"/>
          <w:rtl w:val="true"/>
          <w:lang w:bidi="ar-SA"/>
        </w:rPr>
        <w:t xml:space="preserve">وغيرها، بل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قطع المتأخّرين، بل نسبه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قطع الأصحاب، وقد ادّعى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نفي الخلاف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له لبس الخفّين، ولا ما يستر ظهر القدم اختياراً، ويجوز اضطراراً، 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بل ظاهره نفيه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أبي عبداللّه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 سراويل إلّاأن لا يكون لك إزار، ولا خُفّين إلّاأن لا يكون لك نعلان</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مُحرِمٍ هلكت نعلاه، فلم يكن له نعلان، فله أن يلبس الخُفّين إذا اضطرّ إلى ذلك، والجوربين يلبسهما إذا اضطرّ إلى لبسهما</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هلكت نعلاه، ولم يقدر على نعلين‌؟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يلبس الخُفّين إذا اضطرّ إلى ذلك، وليشقّه عن ظهر القدم</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يلبس الخُفّ إذا 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يكن له نعل‌؟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يشقّ ظهر القدم</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رفاعة بن موسى‌،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يلبس الجوربين‌؟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الخُفّين إذا اضطرّ إليهما</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هذه النصوص على عدم جواز اللّبس اختياراً لا تُنكر، إلّاأنّها كما ترى مختصّة بالجورب والخُفّ‌، فمن اقتصر عليهما فدليله ظاهر، ومن خصَّ الحكم بالخُفّ‌، استدلّ له بأنّ النص المتضمّن للجورب إنّما تضمّن الجملة الخبريّة، وهي عن إفادة الحرمة 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كذلك أيضاً، إلّاأنّه يمكن استفادة تحريمه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عطفه في الصحيحين الأولين على السراويل، الذي يكون النهي فيه للحُرمة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الأمر في خبر أبي بصير بالشقّ‌، الذي هو للوجوب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مفهوم خبر أبي بصير وصحيح الحلبي، حيث أنّ المتبادر من ما تضمّناه الحليّة ونفيها منطوقاً ومفهوماً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أصرح في الحرمة من النهي، فهذا القول ساقط</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xml:space="preserve">ووافقه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343"/>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كفاية نفي الخلاف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سابقيه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77" w:name="pg11808_109181"/>
    </w:p>
    <w:p>
      <w:pPr>
        <w:pStyle w:val="BookText"/>
        <w:rPr/>
      </w:pPr>
      <w:bookmarkEnd w:id="277"/>
      <w:r>
        <w:rPr>
          <w:rFonts w:ascii="Amiri" w:hAnsi="Amiri" w:eastAsia="Amiri" w:cs="Amiri"/>
          <w:color w:val="111111"/>
          <w:sz w:val="28"/>
          <w:sz w:val="28"/>
          <w:szCs w:val="28"/>
          <w:rtl w:val="true"/>
          <w:lang w:bidi="ar-SA"/>
        </w:rPr>
        <w:t xml:space="preserve">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أقلّه الشهرة العظيمة في التعدية، ويُحتمل قويّاً خروج الخُفّ والجورب في الفتوى والنص على مجرى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جمعاً من الأصحاب لم يتعرّضوا لهذه المسألة، وقد مرّ الاختلاف العظيم بين المتعرّضين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من مورد النصوص يتوقّف على ظهور الدليل في إرادة المثال ممّا تضمّنه أو دليلٌ معتبر على التعدّي، وما ذكر لا يصلح لشيء من ذلك، ومجرّد الاحتمال لا يكفي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هو الاقتصار على لبس الخُفّ والجورب، وأمّا غيرهما فإنْ كان مخيطاً لم يجز على الرجال خاصّة، لما دلّ على حُرمة لبس المخيط عليهم، وإنْ لم يكن مخيطاً جاز</w:t>
      </w:r>
      <w:r>
        <w:rPr>
          <w:rFonts w:eastAsia="Amiri" w:cs="Amiri" w:ascii="Amiri" w:hAnsi="Amiri"/>
          <w:color w:val="111111"/>
          <w:sz w:val="28"/>
          <w:szCs w:val="28"/>
          <w:rtl w:val="true"/>
          <w:lang w:bidi="ar-SA"/>
        </w:rPr>
        <w:t>.</w:t>
      </w:r>
    </w:p>
    <w:p>
      <w:pPr>
        <w:pStyle w:val="Heading2"/>
        <w:numPr>
          <w:ilvl w:val="1"/>
          <w:numId w:val="1"/>
        </w:numPr>
        <w:rPr/>
      </w:pPr>
      <w:bookmarkStart w:id="278" w:name="__RefHeading___Toc10697105_73709187"/>
      <w:bookmarkStart w:id="279" w:name="_Toc93"/>
      <w:bookmarkEnd w:id="278"/>
      <w:r>
        <w:rPr>
          <w:rtl w:val="true"/>
        </w:rPr>
        <w:t>تنبيهات</w:t>
      </w:r>
      <w:r>
        <w:rPr>
          <w:rtl w:val="true"/>
        </w:rPr>
        <w:t>:</w:t>
      </w:r>
      <w:bookmarkEnd w:id="27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القول بالتعدّي، لابدّ وأن يُقتصر على ما يماثل الخُفّ والجورب، في ستر ظهر القدم، بحيث يكون له الساق أيضاً، لأنّه مقتضى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إجماعاً، أمكن الاختصاص بما شابه الخُفّ والجورب من لباس القدم ذي الساق دون غيره، لأنّه المناسب كونهما مثالاً لغيرهما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بناءً على القول بالتعدّي، إنّما هو التعدّي إلى كلّ ما يستر ظهر </w:t>
      </w:r>
    </w:p>
    <w:p>
      <w:pPr>
        <w:pStyle w:val="BookText"/>
        <w:rPr/>
      </w:pPr>
      <w:r>
        <w:rPr>
          <w:rFonts w:ascii="Amiri" w:hAnsi="Amiri" w:eastAsia="Amiri" w:cs="Amiri"/>
          <w:color w:val="111111"/>
          <w:sz w:val="28"/>
          <w:sz w:val="28"/>
          <w:szCs w:val="28"/>
          <w:rtl w:val="true"/>
          <w:lang w:bidi="ar-SA"/>
        </w:rPr>
        <w:t>القدم، ولو لم يكن له الساق، لأنّه لم يدلّ دليلٌ لفظي على أنّ بحُكم الخُفّ والجورب كلّما يماثلهما حتّى يقال إنّ مقتضى المماثلة ذلك، بل الدليل للتعدّي هو فهم الأصحاب، وهم لا يفرّقون بين ذي الساق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13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بعض الظهر كالجميع، إلّاما يتوقّف عليه لبس النعلين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يتمّ ذلك حتّى بناءً على التعدّي ممّا في النصوص من الجورب والخُفّ‌، والتعدّي عن ذي الساق إلى غيره، فإنّ التعدّي عمّا يستر تمام ظهر القدم إلى ما يستر بعضه ممّا لا وجه له أصلاً، سيّما مع ورود النص بجواز لبس النعل، وهو يستر بعض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الكلّ ليس إلّاالأبعاض، فإذا لم يجز لبس ما يَستُر جميع الظهر، لم يجر لبس ما يستر البعض، مغالطة واضحة، فإنّ الدليل دلّ على حرمة سَتر المجموع، والبعض غير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عن مورد النص إنّما هو بمؤونة الإجماع، ولا إجماع على التعدّي إلى الساتر لبعض الظهر،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13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يحرم عندنا إلّاستر ظهر القدم بتمامه باللّبس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المُحرِم على فرض التعدّي إذا لبس ما يسترُ ظهر القدم، فلو ستر القدم لا باللّبس بل بالجلوس، وإلقاء طرف الرداء عليه، أو أصبح تحت الغطاء حين النوم وما شاكل، فإنّه 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حُرمة لبس الخُفّين و الجوربين سترهما لباطن القدم، فعلى القول بالتعدّي أيضاً لابدّ وأن يكون الملبوس ساتراً للظاهر والباطن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يعثر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47"/>
      </w:r>
      <w:r>
        <w:rPr>
          <w:rFonts w:ascii="Amiri" w:hAnsi="Amiri" w:eastAsia="Amiri" w:cs="Amiri"/>
          <w:color w:val="111111"/>
          <w:sz w:val="28"/>
          <w:sz w:val="28"/>
          <w:szCs w:val="28"/>
          <w:rtl w:val="true"/>
          <w:lang w:bidi="ar-SA"/>
        </w:rPr>
        <w:t>على من اعتبر من الفقهاء ذلك، بل استظهر من الأصحاب خلافه، ولكن الظاهر عدم الاعتبار، لصدقهما على ما لا شيء له يسترُ باطن القدم، ومجرّد غلبة الوجود لا يصلح تقيّيداً للإطلاق، فعلى فرض التعدّي يتعدّى إلى كلّ ما يستر ظاهر القدم وإنْ لم يكن ساتراً لباطنه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على النساء لبس الخُفّ والجورب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الأوّل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349"/>
      </w:r>
      <w:r>
        <w:rPr>
          <w:rFonts w:ascii="Amiri" w:hAnsi="Amiri" w:eastAsia="Amiri" w:cs="Amiri"/>
          <w:color w:val="111111"/>
          <w:sz w:val="28"/>
          <w:sz w:val="28"/>
          <w:szCs w:val="28"/>
          <w:rtl w:val="true"/>
          <w:lang w:bidi="ar-SA"/>
        </w:rPr>
        <w:t>، والثاني إلى العُمّاني</w:t>
      </w:r>
      <w:r>
        <w:rPr>
          <w:rStyle w:val="FootnoteAnchor"/>
          <w:rtl w:val="true"/>
        </w:rPr>
        <w:footnoteReference w:id="1350"/>
      </w:r>
      <w:r>
        <w:rPr>
          <w:rFonts w:ascii="Amiri" w:hAnsi="Amiri" w:eastAsia="Amiri" w:cs="Amiri"/>
          <w:color w:val="111111"/>
          <w:sz w:val="28"/>
          <w:sz w:val="28"/>
          <w:szCs w:val="28"/>
          <w:rtl w:val="true"/>
          <w:lang w:bidi="ar-SA"/>
        </w:rPr>
        <w:t>والشهيد</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استدلّ للأوّل بعموم الأخبار والفتاوى وقاعدة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النصوص والفتاوى، أنّ المنع عن الجورب والخُفّ من جهة أنّ المخيط ممنوعٌ لبسه، وهما من مصاديقه أو ما شابهه، وعليه فيختصّ الحكم بالرجال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كون الخُفّ والجورب من العناوين المستقلة غير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80" w:name="pg11808_109184"/>
    </w:p>
    <w:p>
      <w:pPr>
        <w:pStyle w:val="BookText"/>
        <w:rPr/>
      </w:pPr>
      <w:bookmarkEnd w:id="280"/>
      <w:r>
        <w:rPr>
          <w:rFonts w:ascii="Amiri" w:hAnsi="Amiri" w:eastAsia="Amiri" w:cs="Amiri"/>
          <w:color w:val="111111"/>
          <w:sz w:val="28"/>
          <w:sz w:val="28"/>
          <w:szCs w:val="28"/>
          <w:rtl w:val="true"/>
          <w:lang w:bidi="ar-SA"/>
        </w:rPr>
        <w:t>الخياطة، فلو كان الجورب غير مخيطٍ مثل ما هو المتعارف في هذا الزمان، عمّه الدليل، لكن لا من باب المشابهة بل لإطلاق النص، ومع ذلك كلّه لا يتمّ دليل المانعين، فإنّ إطلاق الأخبار ممنوع لاختصاصها بالمُحرِم المذكّر، وحملها على إرادة الجنس أو التغليب خلاف الظاهر، وقاعدة الاشتراك لا تجري مع احتمال الخصوصيّة، سيّما بعدما ورد من أنّه يجوز للمرأة لبس السراويل لأنّه أستر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الاختصاص بالرجال، لأصالة البراءة عن حرمة لبسهما على النساء</w:t>
      </w:r>
      <w:r>
        <w:rPr>
          <w:rFonts w:eastAsia="Amiri" w:cs="Amiri" w:ascii="Amiri" w:hAnsi="Amiri"/>
          <w:color w:val="111111"/>
          <w:sz w:val="28"/>
          <w:szCs w:val="28"/>
          <w:rtl w:val="true"/>
          <w:lang w:bidi="ar-SA"/>
        </w:rPr>
        <w:t>.</w:t>
      </w:r>
    </w:p>
    <w:p>
      <w:pPr>
        <w:pStyle w:val="Heading2"/>
        <w:numPr>
          <w:ilvl w:val="1"/>
          <w:numId w:val="1"/>
        </w:numPr>
        <w:rPr/>
      </w:pPr>
      <w:bookmarkStart w:id="281" w:name="__RefHeading___Toc10697107_73709187"/>
      <w:bookmarkStart w:id="282" w:name="_Toc94"/>
      <w:bookmarkEnd w:id="281"/>
      <w:r>
        <w:rPr>
          <w:rtl w:val="true"/>
        </w:rPr>
        <w:t>لبس الخُفّين في حال الاضطرار</w:t>
      </w:r>
      <w:bookmarkEnd w:id="282"/>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اضطرّ إلى لبس الخُفّ أو الجورب جاز بلا خلافٍ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نعلم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شاهدة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صحيح الحلبي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أن يلبس الخُفّين إذا اضطرّ إلى ذلك، والجوربين يلبسهما إذا اضطرّ إليهما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هلكت نعلاه، لم يقدر على نعلين‌؟ 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أن يلبس الخفّين إنْ اضطرّ إلى ذلك، فيشقّ عن ظهر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يلبس الخُفّ إذا لم يكن له نعل‌؟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 يشقّ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هذه النصوص، إنّما الكلام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يظهر من خبر محمّد أنّ المسوّغ لجواز اللّبس هو فَقْد النعل لا الضرورة، إلّاأنّه يتعيّن تقيّيد إطلاقه بمفهوم غيره من النصوص، سيّما خبر أبي بصير الوارد فيمَن هلكت نعلاه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يجب شقّهما في حال الضرورة إن أمكن،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xml:space="preserve">، وابني حمزة وسعيد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3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360"/>
      </w:r>
      <w:r>
        <w:rPr>
          <w:rFonts w:ascii="Amiri" w:hAnsi="Amiri" w:eastAsia="Amiri" w:cs="Amiri"/>
          <w:color w:val="111111"/>
          <w:sz w:val="28"/>
          <w:sz w:val="28"/>
          <w:szCs w:val="28"/>
          <w:rtl w:val="true"/>
          <w:lang w:bidi="ar-SA"/>
        </w:rPr>
        <w:t xml:space="preserve">، والمصنّف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 xml:space="preserve">، والشهيد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وغيرهم في غيرها؟</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يجب كما عليه جماعة من الأصحاب، ومنهم الحِلّي</w:t>
      </w:r>
      <w:r>
        <w:rPr>
          <w:rStyle w:val="FootnoteAnchor"/>
          <w:rtl w:val="true"/>
        </w:rPr>
        <w:footnoteReference w:id="1364"/>
      </w:r>
      <w:r>
        <w:rPr>
          <w:rFonts w:ascii="Amiri" w:hAnsi="Amiri" w:eastAsia="Amiri" w:cs="Amiri"/>
          <w:color w:val="111111"/>
          <w:sz w:val="28"/>
          <w:sz w:val="28"/>
          <w:szCs w:val="28"/>
          <w:rtl w:val="true"/>
          <w:lang w:bidi="ar-SA"/>
        </w:rPr>
        <w:t xml:space="preserve">مدّعياًعليه الإجماع، ويُشعر به أيضاً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 xml:space="preserve">، واختاره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أيضاً، وعن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التردّد فيه‌؟</w:t>
      </w:r>
    </w:p>
    <w:p>
      <w:pPr>
        <w:pStyle w:val="BookText"/>
        <w:rPr/>
      </w:pPr>
      <w:r>
        <w:rPr>
          <w:rFonts w:ascii="IRNazanin" w:hAnsi="IRNazanin" w:eastAsia="IRNazanin"/>
          <w:color w:val="111111"/>
          <w:sz w:val="28"/>
          <w:sz w:val="28"/>
          <w:szCs w:val="28"/>
          <w:rtl w:val="true"/>
          <w:lang w:bidi="fa-IR"/>
        </w:rPr>
        <w:t>ثمّ القائلون بعدم وجوب الشقّ‌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من ذهب إلى استحبابه،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من أفتى بإباحته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اختار حرمته كسيّد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الأخبار، فإنّه استدلّ بالأمر بالشقّ في جملةٍ من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كخبري أبي بصير ومحمّدبن مسلم المتقدّمين، والمرسل عن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للمُحرِم إذا لم يجد نعلاً واحتاج أن يلبس خُفّاً دون الكعبين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 ذلك بأنّ ما دلّ على حرمة لبس ما يستر ظهر القدم بدون ضرورة، يدلّ على وجوبه، فإنّه مع الشقّ لا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القائلون بعدم الوجوب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الروايتين ضعيفتان لا يُعتمد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محمّد بن مسلم رواه الصدوق بإسناده عنه ولا يبعد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اعتماد من عرفت عليهما يوجبُ جبر ضعفهما لو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موافقتهما لمذهب أكثر العامّة ومنهم أبو حنيفة، فيُحملان على التقيّة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الموافقة للعامة إنّما توجب طرح الخبر عند معارضته بما هو مخالف لهم، بعد فقد جملةٍ من المرجّحات، فهي بنفسها ليست من موهنات الرواية، ولا موجبة لحملها على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بعضهم كبعض رواياتهم إنّما هو وجوب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الذي رواه الجمهور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الخُفّين فساد يلبسهما كما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بالفساد التبذير والإسراف، فيدلّ على حرمة الشقّ‌، وهو إنّما يدلّ على عدم وجوب الشقّ بل حرمته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لا نعرف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شقّ الخُفّ والجورب إتلافٌ للمال، وهو حرام، لكونه تبذيراًو إسرافاً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لامانع منه إذا ساعدناالدليل كمافي شقّ‌القميص الذي يلبسه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النصوص معارضة مع النصوص الدالّة على جواز لبسهما في حال الاضطرار، فإنّها مع كونها في مقام البيان، لم تتعرّض لذلك، فتدلّ على عدم وجوبه، إذ لو كان واجباً لذُكر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370"/>
      </w:r>
      <w:r>
        <w:rPr>
          <w:rFonts w:ascii="Amiri" w:hAnsi="Amiri" w:eastAsia="Amiri" w:cs="Amiri"/>
          <w:color w:val="111111"/>
          <w:sz w:val="28"/>
          <w:sz w:val="28"/>
          <w:szCs w:val="28"/>
          <w:rtl w:val="true"/>
          <w:lang w:bidi="ar-SA"/>
        </w:rPr>
        <w:t xml:space="preserve">بين الطائفتين، بحمل ما تضمّن الأمر بالشقّ على الاستحباب،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71"/>
      </w:r>
      <w:r>
        <w:rPr>
          <w:rFonts w:ascii="Amiri" w:hAnsi="Amiri" w:eastAsia="Amiri" w:cs="Amiri"/>
          <w:color w:val="111111"/>
          <w:sz w:val="28"/>
          <w:sz w:val="28"/>
          <w:szCs w:val="28"/>
          <w:rtl w:val="true"/>
          <w:lang w:bidi="ar-SA"/>
        </w:rPr>
        <w:t>اعتبر رأي الطائفتين متعارضتين لايمكن الجمع بينهما، ولأصحيّة نصوص عدم الوجوب قدّمها، وطرح هذه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الجمع العرفي بينهما، فإنّ غاية ما ذكر في وجه التعارض، دلالة النصوص بالإطلاق على عدم وجوبه، فبمقتضيقاعدة حمل المطلق على المقيّد، تقدّم نصوص الشقّ‌، لأنّها أخصّ من تلك الطائفة، فلا وجه للطرح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المُحقَّق في محلّه أنّه يقدّم المقيّد على المطلق، وإن أمكن الجمع بنحوٍ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الموضوعي مقدّمٌ‌، على الجمع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وجوب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على القول بالوجوب أو الاستحباب، فقد وقع الخلاف في المراد من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يشقّ ظهر قدميهما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373"/>
      </w:r>
      <w:r>
        <w:rPr>
          <w:rFonts w:ascii="Amiri" w:hAnsi="Amiri" w:eastAsia="Amiri" w:cs="Amiri"/>
          <w:color w:val="111111"/>
          <w:sz w:val="28"/>
          <w:sz w:val="28"/>
          <w:szCs w:val="28"/>
          <w:rtl w:val="true"/>
          <w:lang w:bidi="ar-SA"/>
        </w:rPr>
        <w:t>وابن الجنيد</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يقطعهما إلى أسفل الكعبين، وهو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13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حمزة</w:t>
      </w:r>
      <w:r>
        <w:rPr>
          <w:rStyle w:val="FootnoteAnchor"/>
          <w:rtl w:val="true"/>
        </w:rPr>
        <w:footnoteReference w:id="1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بينهما مع أفضليّة قطع الساقين، وذهب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النصوص هو قطع الساقين، فإنّ خبر محمّد وإنْ كان قابلاً للحمل على كلٍّ من المعنيين، إلّاأنّ خبر أبي بصير ظاهر في القطع، لاحظ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عن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منتهى الشقّ هو ظهر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شَقّ ظهر القدم، والشقّ عن ظهر القدم، والثاني ظاهر في إرادة القطع، بحيث يكون ممّا لا ساق له، وعلى هذا فالمتعيّن ذلك</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النصوص دالّة على جواز لبس النعل كما تقدّم، ومقتضى إطلاقها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جواز لبسه وإنْ كان مخيطاً، وهل يتعدّى إلى غيره ممّا لا يكون ساتراً لظهر القدم كالقندرة أم لا؟ وجهان بل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لو كانت مخيطة فلا يجوز، لإطلاق ما دلّ على حرمة لبس المخيط للرجال، الشامل لذلك، ونصوص النعل مختصّة به، والتعدّي يتوقّف على وجود دليل أو علم بالمناط، وهما كما ترى‌، وبين ما إذا لم تكن مخيطة، بل كانت معمولة بالمسمار فيجوز، لعدم شمول دليل المنع عمّا يستر ظهر القدم إيّاها، كما لايخفى‌، وكذلك ما دلّ على حرمة لبس المخيط</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التفصيل، واللّه العالم</w:t>
      </w:r>
      <w:r>
        <w:rPr>
          <w:rFonts w:eastAsia="Amiri" w:cs="Amiri" w:ascii="Amiri" w:hAnsi="Amiri"/>
          <w:color w:val="111111"/>
          <w:sz w:val="28"/>
          <w:szCs w:val="28"/>
          <w:rtl w:val="true"/>
          <w:lang w:bidi="ar-SA"/>
        </w:rPr>
        <w:t>.</w:t>
      </w:r>
      <w:bookmarkStart w:id="283" w:name="pg11808_109190"/>
    </w:p>
    <w:p>
      <w:pPr>
        <w:pStyle w:val="BookText"/>
        <w:rPr/>
      </w:pPr>
      <w:bookmarkEnd w:id="283"/>
      <w:r>
        <w:rPr>
          <w:rFonts w:ascii="Amiri" w:hAnsi="Amiri" w:eastAsia="Amiri" w:cs="Amiri"/>
          <w:color w:val="111111"/>
          <w:sz w:val="28"/>
          <w:sz w:val="28"/>
          <w:szCs w:val="28"/>
          <w:rtl w:val="true"/>
          <w:lang w:bidi="ar-SA"/>
        </w:rPr>
        <w:t>والفسوق، وهو الكذب</w:t>
      </w:r>
      <w:r>
        <w:rPr>
          <w:rFonts w:eastAsia="Amiri" w:cs="Amiri" w:ascii="Amiri" w:hAnsi="Amiri"/>
          <w:color w:val="111111"/>
          <w:sz w:val="28"/>
          <w:szCs w:val="28"/>
          <w:rtl w:val="true"/>
          <w:lang w:bidi="ar-SA"/>
        </w:rPr>
        <w:t>.</w:t>
      </w:r>
    </w:p>
    <w:p>
      <w:pPr>
        <w:pStyle w:val="Heading2"/>
        <w:numPr>
          <w:ilvl w:val="1"/>
          <w:numId w:val="1"/>
        </w:numPr>
        <w:rPr/>
      </w:pPr>
      <w:bookmarkStart w:id="284" w:name="__RefHeading___Toc10697109_73709187"/>
      <w:bookmarkStart w:id="285" w:name="_Toc95"/>
      <w:bookmarkEnd w:id="284"/>
      <w:r>
        <w:rPr>
          <w:rtl w:val="true"/>
        </w:rPr>
        <w:t>حرمة الفسوق على المُحرِم</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في حرمته على المُحرِم،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المحكيّ منه 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3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381"/>
      </w:r>
      <w:r>
        <w:rPr>
          <w:rFonts w:ascii="Amiri" w:hAnsi="Amiri" w:eastAsia="Amiri" w:cs="Amiri"/>
          <w:color w:val="111111"/>
          <w:sz w:val="28"/>
          <w:sz w:val="28"/>
          <w:szCs w:val="28"/>
          <w:rtl w:val="true"/>
          <w:lang w:bidi="ar-SA"/>
        </w:rPr>
        <w:t>وغيرهما أيضاً دعوى الإجماع عليه، وهو كذلك، والنصوص الآتية شاهدة به، مضافاً الى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المتن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Style w:val="FootnoteAnchor"/>
          <w:rtl w:val="true"/>
        </w:rPr>
        <w:footnoteReference w:id="1384"/>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13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3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3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13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3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39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r>
        <w:rPr>
          <w:rStyle w:val="FootnoteAnchor"/>
          <w:rtl w:val="true"/>
        </w:rPr>
        <w:footnoteReference w:id="1393"/>
      </w:r>
      <w:r>
        <w:rPr>
          <w:rFonts w:ascii="Amiri" w:hAnsi="Amiri" w:eastAsia="Amiri" w:cs="Amiri"/>
          <w:color w:val="111111"/>
          <w:sz w:val="28"/>
          <w:sz w:val="28"/>
          <w:szCs w:val="28"/>
          <w:rtl w:val="true"/>
          <w:lang w:bidi="ar-SA"/>
        </w:rPr>
        <w:t>أنّه رواية أصحابنا، مشعرين بدعوى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w:t>
      </w:r>
      <w:r>
        <w:rPr>
          <w:rStyle w:val="FootnoteAnchor"/>
          <w:rtl w:val="true"/>
        </w:rPr>
        <w:footnoteReference w:id="1394"/>
      </w:r>
      <w:r>
        <w:rPr>
          <w:rFonts w:ascii="Amiri" w:hAnsi="Amiri" w:eastAsia="Amiri" w:cs="Amiri"/>
          <w:color w:val="111111"/>
          <w:sz w:val="28"/>
          <w:sz w:val="28"/>
          <w:szCs w:val="28"/>
          <w:rtl w:val="true"/>
          <w:lang w:bidi="ar-SA"/>
        </w:rPr>
        <w:t>وابن الجنيد</w:t>
      </w:r>
      <w:r>
        <w:rPr>
          <w:rStyle w:val="FootnoteAnchor"/>
          <w:rtl w:val="true"/>
        </w:rPr>
        <w:footnoteReference w:id="1395"/>
      </w:r>
      <w:r>
        <w:rPr>
          <w:rFonts w:ascii="Amiri" w:hAnsi="Amiri" w:eastAsia="Amiri" w:cs="Amiri"/>
          <w:color w:val="111111"/>
          <w:sz w:val="28"/>
          <w:sz w:val="28"/>
          <w:szCs w:val="28"/>
          <w:rtl w:val="true"/>
          <w:lang w:bidi="ar-SA"/>
        </w:rPr>
        <w:t>والشهيدين</w:t>
      </w:r>
      <w:r>
        <w:rPr>
          <w:rStyle w:val="FootnoteAnchor"/>
          <w:rtl w:val="true"/>
        </w:rPr>
        <w:footnoteReference w:id="1396"/>
      </w:r>
      <w:r>
        <w:rPr>
          <w:rFonts w:ascii="Amiri" w:hAnsi="Amiri" w:eastAsia="Amiri" w:cs="Amiri"/>
          <w:color w:val="111111"/>
          <w:sz w:val="28"/>
          <w:sz w:val="28"/>
          <w:szCs w:val="28"/>
          <w:rtl w:val="true"/>
          <w:lang w:bidi="ar-SA"/>
        </w:rPr>
        <w:t>وجمعٍ آخرين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الكذب مع 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 xml:space="preserve">، وفي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الكذب والسباب والمفاخرة، واختاره المصنّف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398"/>
      </w:r>
      <w:r>
        <w:rPr>
          <w:rFonts w:ascii="Amiri" w:hAnsi="Amiri" w:eastAsia="Amiri" w:cs="Amiri"/>
          <w:color w:val="111111"/>
          <w:sz w:val="28"/>
          <w:sz w:val="28"/>
          <w:szCs w:val="28"/>
          <w:rtl w:val="true"/>
          <w:lang w:bidi="ar-SA"/>
        </w:rPr>
        <w:t>،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المفاخرة لا تنفكّ عن 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أبي عقيل</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الكذب واللّفظ القبيح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الكذب على اللّه تعالى‌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14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14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الكذب على اللّه ورسوله وأحد الأئمّة عليهم السلام،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لفظٍ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والراوندي</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جميع المعاصي التي نُهي المُحرِم عن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النصوص 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الرفث والفسوق والجدال‌؟ قال عليه السلام أمّا الرفث فالجماع، وأمّا الفسوق فهو الكذب ألا تسمع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والجدال 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وسباب الرّجل الرّجل</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فالرفث الجماع، والفسوق الكذب، والجدال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القول الثاني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أحرمتَ فعليك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فالرفث الجماع، والفسوق الكذب والسّباب</w:t>
      </w:r>
      <w:r>
        <w:rPr>
          <w:rFonts w:eastAsia="Amiri" w:cs="Amiri" w:ascii="Amiri" w:hAnsi="Amiri"/>
          <w:color w:val="111111"/>
          <w:sz w:val="28"/>
          <w:szCs w:val="28"/>
          <w:rtl w:val="true"/>
          <w:lang w:bidi="ar-SA"/>
        </w:rPr>
        <w:t>»</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وممّا يعضد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فسوق، وقتاله كفر، وأكل لحمه معصية، وحرمة ماله كحرمة دمه</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الكذب والمفاخرة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أخي موسى عليه السلام عن الرَّفث والفسوق والجدال ما هو وما على مَن فعله‌؟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 جماع النساء، والفسوق الكذب والمفاخرة، والجدال قول الرّجل لا واللّه وبلى واللّه، الحديث</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4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إرجاع هذه الطائفة إلى الثانية، بدعوى أنّ المفاخرة لا تنفكّ عن السّباب، إذ المفاخرة إنّما تتمّ بذكر فضائل له وسلبها عن خصمه، أو سلب رذائل عنه وإثباتها لخصمه، وهذا هو معنى 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14"/>
      </w:r>
      <w:r>
        <w:rPr>
          <w:rFonts w:ascii="IRNazanin" w:hAnsi="IRNazanin" w:eastAsia="IRNazanin"/>
          <w:color w:val="111111"/>
          <w:sz w:val="28"/>
          <w:sz w:val="28"/>
          <w:szCs w:val="28"/>
          <w:rtl w:val="true"/>
          <w:lang w:bidi="fa-IR"/>
        </w:rPr>
        <w:t>، وقوّاه بعض الأعاظم</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 متّحدٌ مع الشتم، ويعتبر فيه التنقيص والإزراء تجاه المسبوب، ويعتبر الإهانة والتعيير في مفهومه، وهذا لا يصدق على من أثبت لنفسه فضائل وسلبها عن خصمه، إذ عدم واجديّته لفضائل ليس نقصاً له، وعليه فهما متغايران، غاية الأمر بينهما عمومٌ من وجه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الجمع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الطائفة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تقتضي نفي المفاخرة، والطائفة الثالثة تقتضي نفي السّباب، فتتدافعان وتتساقطان، فالمتعيّن هو الطائفة الاُولى‌، وما اتّفق عليه الطائفتان الأخيرتان وهو كون الفسوق خصوص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تعارضهما بنحوٍ لا يمكن الجمع العرفي بينهما، لزم الرجوع إلى المرجّحات، ومع فقدها فالتخيّير لا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الجمع العرفي بينهما، إذ غاية ما هناك دلالة كلّ منهما بالمفهوم على نفي ما تضمّنه الاُخرى‌، ومن الواضح أنّها تكون بالإطلاق، فيقيّد إطلاق مفهوم كلّ منهما بمنطوق الاُخرى‌، فتكون النتيجة هو كون كلّ منهما فسوقاً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يمكن أن تُحمل الروايات المشتملة على هذه الزيادة على التقيّة، فإنّ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العامّة تفسير الفسوق بالسّباب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موافقة الخبر للعامّة، لا يوجب حمله على التقيّة، فإنّ المخالفة لهم من مرجّحات إحدى الحجّتين على الاُخرى بعد فقد جملة من المرجّحات، لا من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نصوص المفاخرة لا يصحّ العمل بها، فإنّه لم يظهر قائلٌ بها بالخصوص، مع أنّه في صحيح معاوية المتقدّم بعد تفسير الفسوق بالكذب والسباب،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المفاخرة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يفيد المغايرة، فيرفع اليد عنها، فيثبت القول الثاني، ولكن عدم العمل بها بعد هذا الاختلاف العظيم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المصنّف تلازمها مع السباب، لا يكون موهناً لها،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تفسير الفسوق بالكذب والسباب، وإنْ كان دالّاً على أنّها ليست فسوقاً، إلّاأنّه بالإطلاق والظهور، فيرفع اليد عن ذلك بما يكون صريحاً في أنّها أيضاً 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الجواب عن الإيراد على كون السباب من الفسوق، بعطف الفسوق على السباب، في صحيح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السّباب والفسوق بقرة</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مع الإغماض عن عدم العمل به، غايته الإشعار أو الظهور في المغايرة، ولكن بعد التصريح بعدم التغاير في النص، يُحمل ذلك على كونه من قبيل عطف العام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النصوص يقتضي البناء على أنّ الفسوق هو الكذب والسباب والمفاخرة، كما وقد ظهر ممّا ذكرناه حجّة القولين الأولين وعدم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بقيّة الأقوال فبين تخصيصٍ بلا مخصّص، وتعميمٍ بلا معمّم، سوى ما قيل للسادس من دعوى الإجماع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ليست بحجّة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يسهل الخطب، عدم ترتّب ثمرة مهمّة على هذا النزاع، لحرمة الجميع بأنفسها، وعدم إفساد شيء منها للحجّ‌، وعدم إيجابه الكفّارة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كون الكذب مطلقاً من الفسوق، وإنْ كان جائزاً</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وجب الكذب لمصلحةٍ‌، وقع التزاحم بينه وبين ما دلّ عليحرمته في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آخر غير مرتبط بحرمة الكذب في نفسه، فلا يدور مداره، كما أنّ مقتضى إطلاق الآية الكريمة والنصوص المفسّرة لها، عدم الفرق في هذا الحكم بين الرّجل والمرأة</w:t>
      </w:r>
      <w:r>
        <w:rPr>
          <w:rFonts w:eastAsia="Amiri" w:cs="Amiri" w:ascii="Amiri" w:hAnsi="Amiri"/>
          <w:color w:val="111111"/>
          <w:sz w:val="28"/>
          <w:szCs w:val="28"/>
          <w:rtl w:val="true"/>
          <w:lang w:bidi="ar-SA"/>
        </w:rPr>
        <w:t>.</w:t>
      </w:r>
      <w:bookmarkStart w:id="286" w:name="pg11808_109197"/>
    </w:p>
    <w:p>
      <w:pPr>
        <w:pStyle w:val="BookText"/>
        <w:rPr/>
      </w:pPr>
      <w:bookmarkEnd w:id="286"/>
      <w:r>
        <w:rPr>
          <w:rFonts w:ascii="IRNazanin" w:hAnsi="IRNazanin" w:eastAsia="IRNazanin"/>
          <w:color w:val="111111"/>
          <w:sz w:val="28"/>
          <w:sz w:val="28"/>
          <w:szCs w:val="28"/>
          <w:rtl w:val="true"/>
          <w:lang w:bidi="fa-IR"/>
        </w:rPr>
        <w:t>والجدال وهو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وبلى واللّه</w:t>
      </w:r>
      <w:r>
        <w:rPr>
          <w:rFonts w:eastAsia="IRNazanin" w:cs="IRNazanin"/>
          <w:color w:val="111111"/>
          <w:sz w:val="28"/>
          <w:szCs w:val="28"/>
          <w:rtl w:val="true"/>
          <w:lang w:bidi="fa-IR"/>
        </w:rPr>
        <w:t>.</w:t>
      </w:r>
    </w:p>
    <w:p>
      <w:pPr>
        <w:pStyle w:val="Heading2"/>
        <w:numPr>
          <w:ilvl w:val="1"/>
          <w:numId w:val="1"/>
        </w:numPr>
        <w:rPr/>
      </w:pPr>
      <w:bookmarkStart w:id="287" w:name="__RefHeading___Toc10697111_73709187"/>
      <w:bookmarkStart w:id="288" w:name="_Toc96"/>
      <w:bookmarkEnd w:id="287"/>
      <w:r>
        <w:rPr>
          <w:rtl w:val="true"/>
        </w:rPr>
        <w:t>حرمة الجدال على المُحرِم</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حرامٌ كتاباً وسُنّةً وإجماعاً بقسميه، على ما في أكثر كتب الأصحاب أو جميعها،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الخلاف في المراد منه، بعد اتّفاقهم ظاهراً على اعتبار اليمين فيه شرعاً، وإنْ كان يتحقّق عرفاً بدون اليمين، ضرورة كونه الخصومة والبغضاء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فالمشهور بين الأصحاب ما في المتن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4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التعدّي عن القول المذكور إلى كلّ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4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يعتبر الحلف باللّه، لكن لا يختصّ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يتعدّى إلى كلّ ما يؤدّي هذا المعنى كالخالق والرّحمن ونحوهما، وبالفارسيّة وغيرها من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الخلاف في الخصوصيّات المعتبرة فيه، و سنتعرّض لها بعد ذكر الأخبار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المتقدّم وخبر زيد الشحّام،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الجدال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يقول لا لعمري، وهو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بالجدال، إنّما 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لاها فإنّما طلب الاسم،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ياهناه فلا بأس به،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شانيك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قول الجاهليّة</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المُحرِم يريد أن يعمل له العمل، فيقول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لأعملنّه، فيحالفه مراراً، يلزمه ما يلزم الجدال‌؟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أراد بهذا إكرام أخيه، إنّما كان ذلك ما كان للّه عزّ وجلّ فيه معصية</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الحديث أنّ المراد بالعمل ما كان فيه إكرام صاحبه، وبما كان فيه معصية لم يكن فيه غرضٌ ديني، فإنّ ذلك دخول في نهيه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1425"/>
      </w:r>
      <w:r>
        <w:rPr>
          <w:rFonts w:ascii="Amiri" w:hAnsi="Amiri" w:eastAsia="Amiri" w:cs="Amiri"/>
          <w:color w:val="111111"/>
          <w:sz w:val="28"/>
          <w:sz w:val="28"/>
          <w:szCs w:val="28"/>
          <w:rtl w:val="true"/>
          <w:lang w:bidi="ar-SA"/>
        </w:rPr>
        <w:t>وورد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حلف باللّه صادقاً أثم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آخر لأبي بصير،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حلف بثلاثة أيمان متعمّداً متتابعات صادقاً، فقد جادل، وعليه دم، وإذا حلف بيمين واحدة كاذباً فقد جادل وعليه دم</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وقريبٌ منه صحيحه الثالث</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قال أبو عبداللّه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الرّجل إذا حلف بثلاثة أيمان ولاءً في مقام واحد وهو مُحرِم، فقد جادل، وعليه دمٌ يهريقه ويتصدّق به، وإذا حلف يميناً واحدة كاذبة، فقد جادل، فعليه دمٌ يهريقه ويتصدّق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لعمري، وبلى لعمري‌؟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الجدال، وإنّما 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المُحرِم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وهو صادق،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الجدال في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على مرّتين فقد وقع عليه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يجادل وهو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شاة، والكاذب عليه بقرة</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نصوص الباب، وتمام الكلام فيما يستفاد منها في ضمن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هذه النصوص أنّ الجدال هو اليمين، فالقول بأنّه مطلق الخصومة لأنّها معناه اللّغوي والعرفي ضعيفٌ‌</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فيه سبق الخصومة كما عن السيّد</w:t>
      </w:r>
      <w:r>
        <w:rPr>
          <w:rStyle w:val="FootnoteAnchor"/>
          <w:rtl w:val="true"/>
        </w:rPr>
        <w:footnoteReference w:id="1432"/>
      </w:r>
      <w:r>
        <w:rPr>
          <w:rFonts w:ascii="Amiri" w:hAnsi="Amiri" w:eastAsia="Amiri" w:cs="Amiri"/>
          <w:color w:val="111111"/>
          <w:sz w:val="28"/>
          <w:sz w:val="28"/>
          <w:szCs w:val="28"/>
          <w:rtl w:val="true"/>
          <w:lang w:bidi="ar-SA"/>
        </w:rPr>
        <w:t xml:space="preserve">الإجماع عليه واختاره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33"/>
      </w:r>
      <w:r>
        <w:rPr>
          <w:rFonts w:ascii="Amiri" w:hAnsi="Amiri" w:eastAsia="Amiri" w:cs="Amiri"/>
          <w:color w:val="111111"/>
          <w:sz w:val="28"/>
          <w:sz w:val="28"/>
          <w:szCs w:val="28"/>
          <w:rtl w:val="true"/>
          <w:lang w:bidi="ar-SA"/>
        </w:rPr>
        <w:t>؟، أم يكون عامّاً شاملاً لما يكون خصومة وغيره، كما عن ظاهر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43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43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يشترط عدم كونه في الإكرام وطاعة اللّه، كما هو المحكيّ عن الإسكافي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والجُعفي</w:t>
      </w:r>
      <w:r>
        <w:rPr>
          <w:rStyle w:val="FootnoteAnchor"/>
          <w:rtl w:val="true"/>
        </w:rPr>
        <w:footnoteReference w:id="1437"/>
      </w:r>
      <w:r>
        <w:rPr>
          <w:rFonts w:ascii="Amiri" w:hAnsi="Amiri" w:eastAsia="Amiri" w:cs="Amiri"/>
          <w:color w:val="111111"/>
          <w:sz w:val="28"/>
          <w:sz w:val="28"/>
          <w:szCs w:val="28"/>
          <w:rtl w:val="true"/>
          <w:lang w:bidi="ar-SA"/>
        </w:rPr>
        <w:t>، والكركي</w:t>
      </w:r>
      <w:r>
        <w:rPr>
          <w:rStyle w:val="FootnoteAnchor"/>
          <w:rtl w:val="true"/>
        </w:rPr>
        <w:footnoteReference w:id="1438"/>
      </w:r>
      <w:r>
        <w:rPr>
          <w:rFonts w:ascii="Amiri" w:hAnsi="Amiri" w:eastAsia="Amiri" w:cs="Amiri"/>
          <w:color w:val="111111"/>
          <w:sz w:val="28"/>
          <w:sz w:val="28"/>
          <w:szCs w:val="28"/>
          <w:rtl w:val="true"/>
          <w:lang w:bidi="ar-SA"/>
        </w:rPr>
        <w:t>، وثاني الشهيدين</w:t>
      </w:r>
      <w:r>
        <w:rPr>
          <w:rStyle w:val="FootnoteAnchor"/>
          <w:rtl w:val="true"/>
        </w:rPr>
        <w:footnoteReference w:id="1439"/>
      </w:r>
      <w:r>
        <w:rPr>
          <w:rFonts w:ascii="IRNazanin" w:hAnsi="IRNazanin" w:eastAsia="IRNazanin"/>
          <w:color w:val="111111"/>
          <w:sz w:val="28"/>
          <w:sz w:val="28"/>
          <w:szCs w:val="28"/>
          <w:rtl w:val="true"/>
          <w:lang w:bidi="fa-IR"/>
        </w:rPr>
        <w:t>وسبطه</w:t>
      </w:r>
      <w:r>
        <w:rPr>
          <w:rStyle w:val="FootnoteAnchor"/>
          <w:rtl w:val="true"/>
        </w:rPr>
        <w:footnoteReference w:id="144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441"/>
      </w: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وعلى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يشترط عدم كونه في المعصية أم لا؟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إطلاق النصوص المفسّرة للجدال، عدم اعتبار سبق الخصومة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لاعتباره بعدم صدق الجدال بدونها، وبأنّ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وبلى واللّه إشارة إلى ذلك، فإنّ المراد النفي من واحدٍ والإثبات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العرفي إذا أُخذ في موضوع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يتصرّف الشارع الأقدس فيه، وإنّما يضيف قيداً وجوديّاً أو عدميّاً فيه، كما في باب العقود والإيقاعات، فإنّ الشارع أخذ البيع بما له من المفهوم العرفي موضوعاً للإمضاء، وترتّب الآثار، غاية الأمر اعتبر فيه قيوداً، ففي مثل ذلك لابدّ من إحراز الموضوع عرفاً، والرجوع إلى العرف في تحديد مفهومه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فيه، ويبين المراد منه، وفي أمثال ذلك لا معنى للرجوع إلى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العرف، بل لابدّ من الرجوع إلى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من قبيل الثاني، فإنّ الروايات مفسّرة للجدال، كما يظهر لمن راجعها، فلا مورد للرجوع إلى العرف، ولا يهمّنا النزاع في أنّه هل له حقيقة شرعيّة أو أنّ الشارع استعمله فيه مجازاً، فإنّ ذلك لا يترتّب عليه أثر، وقد عرفت أنّ النصوص تقتضي عدم اعتبار 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كونهما من شخصٍ واحد، لا النفي من واحد والإثبات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صحيح أبي بصير المتقدّم يشهد لاعتبار عدم كونها في الإكرام وطاعة اللّه تعالى‌، وبه يقيّد إطلاق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آخر تلك الصحيحة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ذلك ما كان للّه فيه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اعتبار كونها في المعصية، لا مجرّد عدم كونها في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التعبير بما كان في المعصية، والتعبير بما كان فيه المعصية، والثاني يصدق بمجرّد عدم الطاعة، بالتقريب المتقدّم عند بيان المراد من الصحيح راجعه، فإنّ كلّ ما لم يكن في الطاعة يكون فيه المعصية بالضرورة، ويترتّب على ما ذكرناه خروج ما توقّف عليه استنقاذ الحقّ‌، أو رفع الدعوى الباطلة عن الجدال، كما هو المنسوب إلى الشهيدين وغيرهما من المتأخّرين، لخروجه عن المعصية بأدلّة نفي الضرر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فيه كون الحلف باللّه كما هو المشهور بين الأصحاب وعن السيّدين</w:t>
      </w:r>
      <w:r>
        <w:rPr>
          <w:rStyle w:val="FootnoteAnchor"/>
          <w:rtl w:val="true"/>
        </w:rPr>
        <w:footnoteReference w:id="1442"/>
      </w:r>
      <w:r>
        <w:rPr>
          <w:rFonts w:ascii="Amiri" w:hAnsi="Amiri" w:eastAsia="Amiri" w:cs="Amiri"/>
          <w:color w:val="111111"/>
          <w:sz w:val="28"/>
          <w:sz w:val="28"/>
          <w:szCs w:val="28"/>
          <w:rtl w:val="true"/>
          <w:lang w:bidi="ar-SA"/>
        </w:rPr>
        <w:t>دعوى الإجماع عليه، أم يكفي كلّ يمينٍ كما عن الشهيد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44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المتقدّمة، الحاصرة لها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المؤيّدة بما صرّح فيه بعدم كون قوله لعمري جدالٌ‌،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بوحدة المناط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الرّجل إذا حلف بثلاثة أيمان ولاءً في مقامٍ واحدٍ وهو مُحرِم فقد 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ما في صحيحه الآخر بدعوى أنّ مقتضى إطلاقهما كفاية كلّ ما صدق عليه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لم يُحرز الوحدة، لا وجه للتعدّي، ومع عدم علمنا بالمناطات، كيف يمكن لنا 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إطلاقهما واردٌ في مقام بيان حكم آخر، وهو الكفّارة، وأنّه فرق بين اليمين الصادقة والكاذبة، وأنّه يعتبر في الاُولى ثلاثة أيمان متتابعات، وفي الثانية يكفي واحدة، وأمّا أنّ اليمين التي أُخذت موضوعاً فهل هي مطلق اليمين أو يمين مخصوصة، فليسا في مقام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ثبوت الإطلاق لهما، فإنّه لابدّ من تقيّيده بالنصوص الحاصرة لها بالقول المخصوص، حملاً للمطلق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كفاية مطلق اليمين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يعتبر في الجدال أن يكون الحلف بخصوص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المشهور بين الأصحاب، أم يكفي مطلق الحلف باللّه،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w:t>
      </w:r>
      <w:r>
        <w:rPr>
          <w:rStyle w:val="FootnoteAnchor"/>
          <w:rtl w:val="true"/>
        </w:rPr>
        <w:footnoteReference w:id="14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Style w:val="FootnoteAnchor"/>
          <w:rtl w:val="true"/>
        </w:rPr>
        <w:footnoteReference w:id="1445"/>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4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ظاهر النصوص الحاصرة المؤيّدة بالاجماعات المنقولة والشهرة العظيمة،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المُحرِم يريد العمل فيقول له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فيحالفه مراراً يلزمه ما يلزم الجدال‌؟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أراد بهذا إكرام أخيه، إنّما كان ذلك ما كان للّه فيه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تعليل نفي الجدال بذلك دون فقد الخصوصيّتين، أوضح شاهد على أنّه لولا إرادة الإكرام لثبت الجدال بمطلق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هو فرض السؤال، وبه يُحمل النصوص الحاصرة على إرادة الرّد بذلك على من جعل الجدال مطلق الخصومة المؤكّدة باليمين ولو مطلقها،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الأصل في الألفاظ إرادة معانيها دون خصوص اللّفظ، فالمراد باللّه معناه وهو الذّات المقدّسة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للشيء علل وموجبات، صحّ إسناده إلى أيّ منها، من دون أن يلزم من ذلك حزازة في الكلام، ومن دون أن يدلّ الكلام على عدم موجبٍ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بما أنّ تحقّق الجدال متوقّفٌ على الحلف باللّه بلفظ</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مخصوص، مع عدم إرادة الإكرام، فعدمه إنّما يكون بعدم أحد الضدّين أو عدمهما، وفي الصحيح نُسب ذلك إلى عدم أحدهما، وهذا لا يلازمه أن لا منشأ له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الحصر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ذلك ما كان للّه فيه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حصرٌ بالإضافة إلى اعتبار هذا القيد، وأنّه لا جدال بدونه، مع أنّ غاية ما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الجدال باليمين باللّه تعالى مطلقاً، كانت باللّفظ المخصوص أو بغيره، فيقيّد إطلاقه بالنصوص الحاصرة، ومجرّد احتمال كون الحصر فيها إضافيّاً لا يوجب رفع اليد عن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المفقود في الخبر لفظ لا وبلى‌، ولفظ الجلالة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في الألفاظ دخالتهابأنفسها، لا إرادة معانيها، لاحظ باب العبادات بأجمعها، والطلاق وماشاكل، فالأظهر في جميعها اعتبار اللّفظا 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لفظ لا وبلى أم لا يعتبر؟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1449"/>
      </w:r>
      <w:r>
        <w:rPr>
          <w:rFonts w:ascii="Amiri" w:hAnsi="Amiri" w:eastAsia="Amiri" w:cs="Amiri"/>
          <w:color w:val="111111"/>
          <w:sz w:val="28"/>
          <w:sz w:val="28"/>
          <w:szCs w:val="28"/>
          <w:rtl w:val="true"/>
          <w:lang w:bidi="ar-SA"/>
        </w:rPr>
        <w:t>الثاني، قائلاً بأنّ صيغة القَسَم هو قول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لا وبلى فهو المقسوم عليه، فلا يعتبر خصوص اللّفظين في مؤدّاه، ولو بشهادة صحيح أبي بصير، ونظره إلى التقريب الذي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تكفي الفارسيّة فيه، وإن لم تكف في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النصوص الحاصرة حصر المقسوم عليه في اللّفظين، كحصر القَسَم بلفظ الجلالة، والتعدّي لا وجه له، والصحيح قد عرفت حاله، فالأقوى اعتبار اللّفظين المخصوصين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تحقّق الجدال وقوع الأمرين، أم يكفي أحدهما؟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الفاضل الإصفهاني</w:t>
      </w:r>
      <w:r>
        <w:rPr>
          <w:rStyle w:val="FootnoteAnchor"/>
          <w:rtl w:val="true"/>
        </w:rPr>
        <w:footnoteReference w:id="1450"/>
      </w:r>
      <w:r>
        <w:rPr>
          <w:rFonts w:ascii="Amiri" w:hAnsi="Amiri" w:eastAsia="Amiri" w:cs="Amiri"/>
          <w:color w:val="111111"/>
          <w:sz w:val="28"/>
          <w:sz w:val="28"/>
          <w:szCs w:val="28"/>
          <w:rtl w:val="true"/>
          <w:lang w:bidi="ar-SA"/>
        </w:rPr>
        <w:t xml:space="preserve">حاكياً 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 قطع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والفاضل النراقي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5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للصدق عرفاً بعد معلوميّة إرادة ما ذكرناه منهما، لا أنّ قولهما معاً من الواحد أو من الاثنين معتبراً في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يستدلّ بما أفاده الفاضل النراقي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النفي والإثبات لا يجتمعان غالباً، لأنّه إمّا أن يثبت ما يدّعيه الخصم أو ينفيه، فلا يتوجّه النفي والإثبات من شخصٍ واحد إلى معنى واحد، فالمراد بالنصوص بيان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الواحدة في اليمين الكاذبة في صدق الجدال، للتصريح به في النصوص المتقدّمة، كما أنّه لا كلام في اعتبار التكرار ثلاثاً في الصادقة بالنسبة إلى وجوب الكفّارة، إنّما الخلاف في أنّه هل يعتبر الثلاث فيها في صدق الجدال أم لا؟</w:t>
      </w:r>
    </w:p>
    <w:p>
      <w:pPr>
        <w:pStyle w:val="BookText"/>
        <w:rPr/>
      </w:pPr>
      <w:r>
        <w:rPr>
          <w:rFonts w:ascii="Amiri" w:hAnsi="Amiri" w:eastAsia="Amiri" w:cs="Amiri"/>
          <w:color w:val="111111"/>
          <w:sz w:val="28"/>
          <w:sz w:val="28"/>
          <w:szCs w:val="28"/>
          <w:rtl w:val="true"/>
          <w:lang w:bidi="ar-SA"/>
        </w:rPr>
        <w:t>ظاهر جملةٍ من النصوص المتقدّمة هو الأول، وبها يقيّد إطلاق ما دلّ على الاكتفاء في صدقه بواحدة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موثّق يونس يدلّ على أنّ المُحرِم إذا كان صادقاً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 لا شيء عليه، ومقتضى إطلاقه عدم الفرق بين الواحدة والثلاث، ولعلّه لذلك اعتبر الكذب في 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ومقتضى 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الجدال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غيره الاكتفاء في صدق الجدال بالواحدة، وإنْ كان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وطائفة ثالثة من النصوص تدلّ على التفصيل بين الكاذبة والصادقة، وأنّه يعتبر في الثانية الثلاث، ويكتفي بواحدة في الاُولى‌، وهي تقيّد الطائفتين الأولتين، كما هو واضح</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دلّ على اعتبار الثلاث قابلٌ للحمل على بيان ما يوجب الكفّارة خاصّة خلاف ظاهر أكثر تلك النصوص، سيّما صحيح ابن عمّار حيث رتّب تحقّق الجدال على الثلاث، وفرّع وجوب الدم على الجدال بحرف الفاء</w:t>
      </w:r>
      <w:r>
        <w:rPr>
          <w:rFonts w:eastAsia="Amiri" w:cs="Amiri" w:ascii="Amiri" w:hAnsi="Amiri"/>
          <w:color w:val="111111"/>
          <w:sz w:val="28"/>
          <w:szCs w:val="28"/>
          <w:rtl w:val="true"/>
          <w:lang w:bidi="ar-SA"/>
        </w:rPr>
        <w:t>.</w:t>
      </w:r>
      <w:bookmarkStart w:id="289" w:name="pg11808_109207"/>
    </w:p>
    <w:p>
      <w:pPr>
        <w:pStyle w:val="BookText"/>
        <w:rPr/>
      </w:pPr>
      <w:bookmarkEnd w:id="289"/>
      <w:r>
        <w:rPr>
          <w:rFonts w:ascii="Amiri" w:hAnsi="Amiri" w:eastAsia="Amiri" w:cs="Amiri"/>
          <w:color w:val="111111"/>
          <w:sz w:val="28"/>
          <w:sz w:val="28"/>
          <w:szCs w:val="28"/>
          <w:rtl w:val="true"/>
          <w:lang w:bidi="ar-SA"/>
        </w:rPr>
        <w:t>وقتل هَوامّ الجَسد</w:t>
      </w:r>
      <w:r>
        <w:rPr>
          <w:rFonts w:eastAsia="Amiri" w:cs="Amiri" w:ascii="Amiri" w:hAnsi="Amiri"/>
          <w:color w:val="111111"/>
          <w:sz w:val="28"/>
          <w:szCs w:val="28"/>
          <w:rtl w:val="true"/>
          <w:lang w:bidi="ar-SA"/>
        </w:rPr>
        <w:t>.</w:t>
      </w:r>
    </w:p>
    <w:p>
      <w:pPr>
        <w:pStyle w:val="Heading2"/>
        <w:numPr>
          <w:ilvl w:val="1"/>
          <w:numId w:val="1"/>
        </w:numPr>
        <w:rPr/>
      </w:pPr>
      <w:bookmarkStart w:id="290" w:name="__RefHeading___Toc10697113_73709187"/>
      <w:bookmarkStart w:id="291" w:name="_Toc97"/>
      <w:bookmarkEnd w:id="290"/>
      <w:r>
        <w:rPr>
          <w:rtl w:val="true"/>
        </w:rPr>
        <w:t>يحرم قتل هَوامّ الجسد</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التاسع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هَوامّ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جمع هامة، ودوابّه كالقُمّل والصئبان ونحوهما كما هو المشهور بين الأصحاب على ما صرّح به جمعٌ‌،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لم نتحقّقها في العنوان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جمعاً من القدماء لم يتعرّضوا للقتل، واكتفوا بذكر الالقاء عن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وجمعاً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اقتصروا على ذكر القُمّل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بعضهم قتل قُمّل البدن خاصّة دون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المحدّثين تجويز قتل القُمّل مطلقاً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لحرمة قتلها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الجارود،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جعفر عليه السلام عن رجل قتل قُمّلة وهو مُحرِم‌؟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فداؤها؟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فداء لها</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يحكّ المُحرِم رأسه‌؟ 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يحكّ رأسه ما لم يتعمّد قتل دابّة</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اتّق قتل الدّواب كلّها إلّاالأفعى والعقرب والفأرة</w:t>
      </w:r>
      <w:r>
        <w:rPr>
          <w:rFonts w:eastAsia="Amiri" w:cs="Amiri" w:ascii="Amiri" w:hAnsi="Amiri"/>
          <w:color w:val="111111"/>
          <w:sz w:val="28"/>
          <w:szCs w:val="28"/>
          <w:rtl w:val="true"/>
          <w:lang w:bidi="ar-SA"/>
        </w:rPr>
        <w:t>»</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الدّواب إلى غير هوامّ الجَسد، غير مسموعة، سيّما بعد إطلاق الدابّة عليها في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الحسين ابن أبي العلاء،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لا ينزع القُمّلة من جسده، ولا من ثوبه متعمّداً، وإنْ قتل شيئاً من ذلك خَطأً فليطعم مكانها طعاماً قبضةً بيده</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فإنّ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دلالته عليها لو تمّت فإنّما هي من جهة حكمه بثبوت الكفّارة، بدعوى التلازم بين ثبوتها والحرمة، وفي المقام لا يتمّ ذلك، فإنّ القتل إذا كان خطأً 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له بطائفة اُخرى من النصوص، وهي الأخبار الدالّة على المنع من نزع القُمّلة وإبانتها وإلقائها،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متضمّن بعض ذلك، أو يتعدّى منها إلى القتل بالأولويّة، ولكن الأولويّة غير ثابتة والكلام إنّما هو في القتل من حيث هو، مع قطع النظر عن عنوانٍ آخر، فالعمدة هي النصوص الثلاثة الأولى‌، ولكن بإزائها روايات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مُحرِمٍ قتل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في القُمّل، ولا ينبغي أن يتعمّد قتلها</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وشموله للعقاب ظاهران في عدم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وخبر زرارة الدالّين على جواز قتل القُمّلة كما في الأوّل</w:t>
      </w:r>
      <w:r>
        <w:rPr>
          <w:rStyle w:val="FootnoteAnchor"/>
          <w:rtl w:val="true"/>
        </w:rPr>
        <w:footnoteReference w:id="1460"/>
      </w:r>
      <w:r>
        <w:rPr>
          <w:rFonts w:ascii="Amiri" w:hAnsi="Amiri" w:eastAsia="Amiri" w:cs="Amiri"/>
          <w:color w:val="111111"/>
          <w:sz w:val="28"/>
          <w:sz w:val="28"/>
          <w:szCs w:val="28"/>
          <w:rtl w:val="true"/>
          <w:lang w:bidi="ar-SA"/>
        </w:rPr>
        <w:t>وهي والبرغوث والبقة كما في الثاني</w:t>
      </w:r>
      <w:r>
        <w:rPr>
          <w:rStyle w:val="FootnoteAnchor"/>
          <w:rtl w:val="true"/>
        </w:rPr>
        <w:footnoteReference w:id="1461"/>
      </w:r>
      <w:r>
        <w:rPr>
          <w:rFonts w:ascii="Amiri" w:hAnsi="Amiri" w:eastAsia="Amiri" w:cs="Amiri"/>
          <w:color w:val="111111"/>
          <w:sz w:val="28"/>
          <w:sz w:val="28"/>
          <w:szCs w:val="28"/>
          <w:rtl w:val="true"/>
          <w:lang w:bidi="ar-SA"/>
        </w:rPr>
        <w:t>في الحرم، وهما بإطلاقهما يدلّان على عدم حرمة القتل ولو كان القاتل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دلّ الدليل على التلازم بين حرمة فعلٍ على المُحرِم، وحرمته في الحرم، فإذا ثبت الجواز في الحرم ثبت بالنسبة إلى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الدالّة عليجواز قتل كلّ ما أراد المُحرِم كمرسل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1462"/>
      </w:r>
      <w:r>
        <w:rPr>
          <w:rFonts w:ascii="Amiri" w:hAnsi="Amiri" w:eastAsia="Amiri" w:cs="Amiri"/>
          <w:color w:val="111111"/>
          <w:sz w:val="28"/>
          <w:sz w:val="28"/>
          <w:szCs w:val="28"/>
          <w:rtl w:val="true"/>
          <w:lang w:bidi="ar-SA"/>
        </w:rPr>
        <w:t>، وصحيح معاوية</w:t>
      </w:r>
      <w:r>
        <w:rPr>
          <w:rStyle w:val="FootnoteAnchor"/>
          <w:rtl w:val="true"/>
        </w:rPr>
        <w:footnoteReference w:id="1463"/>
      </w:r>
      <w:r>
        <w:rPr>
          <w:rFonts w:ascii="Amiri" w:hAnsi="Amiri" w:eastAsia="Amiri" w:cs="Amiri"/>
          <w:color w:val="111111"/>
          <w:sz w:val="28"/>
          <w:sz w:val="28"/>
          <w:szCs w:val="28"/>
          <w:rtl w:val="true"/>
          <w:lang w:bidi="ar-SA"/>
        </w:rPr>
        <w:t>، أو ما أذّاه كصحيح جميل</w:t>
      </w:r>
      <w:r>
        <w:rPr>
          <w:rStyle w:val="FootnoteAnchor"/>
          <w:rtl w:val="true"/>
        </w:rPr>
        <w:footnoteReference w:id="1464"/>
      </w:r>
      <w:r>
        <w:rPr>
          <w:rFonts w:ascii="Amiri" w:hAnsi="Amiri" w:eastAsia="Amiri" w:cs="Amiri"/>
          <w:color w:val="111111"/>
          <w:sz w:val="28"/>
          <w:sz w:val="28"/>
          <w:szCs w:val="28"/>
          <w:rtl w:val="true"/>
          <w:lang w:bidi="ar-SA"/>
        </w:rPr>
        <w:t>وخبر زرارة</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دلّ على جواز قتل ما آذى المُحرِم مختصٌّ بالبرغوث والبق، ولا تعرّض له بالقمّل، فموضوعه غير موضوع خبر أبي الجارود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أخصّ من صحيح ابن عمّار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قَتل الدّواب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اختصاصه بالبرغوث والبق، ومن جهة الاختصاص بصورة الإيذاء، فالجمع يقتضي خروج هذه الصورة من الحرمة، كما أنّه أخصّ من صحيح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92" w:name="pg11808_109210"/>
    </w:p>
    <w:p>
      <w:pPr>
        <w:pStyle w:val="BookText"/>
        <w:rPr/>
      </w:pPr>
      <w:bookmarkEnd w:id="292"/>
      <w:r>
        <w:rPr>
          <w:rFonts w:ascii="Amiri" w:hAnsi="Amiri" w:eastAsia="Amiri" w:cs="Amiri"/>
          <w:color w:val="111111"/>
          <w:sz w:val="28"/>
          <w:sz w:val="28"/>
          <w:szCs w:val="28"/>
          <w:rtl w:val="true"/>
          <w:lang w:bidi="ar-SA"/>
        </w:rPr>
        <w:t>كما أنّ ما دلّ على جواز قتل ما أراده أخصّ من صحيح معاوية وصحيح زرارة، فيخصّصهما بصورة عدم الإرادة، والنسبة بينه وبين خبر أبي الجارود عمومٌ من وجه، إلّاأنّه يقدّم عليه إمّا لأصحيّة سنده أو لأنّه يدلّ على جواز القتل فيما لا يجوز قتله، فيكون له نحو حكومة عليه، فيجوز في صورة الإرادة والإيذاء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دلّ على جواز قتل القُمّلة في الحرم، فإن كان التمسّك بإطلاقه فيقيّد بخبر أبي الجارود وصحيح زرارة، وإنْ كان بالملازمة المُدّعاة، فهي أيضاً بالإطلاق فيقيّد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 معاوية الدالّ على جواز قتل القُمّل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التحريم ممنوعٌ‌، وعلى فرضه يرفع اليد عنه بخبر أبي الجارود الدالّ على حرمة القتل، وكذا يقيّد إطلاق نفي الشيء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قتل القُمّلة مع عدم الإيذاء، وعدم إرادة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البقّ والبرغوث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فيبتني حرمة قتلهما على شمول صحيح زرارة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يتعمّد قتل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وعدمه، ومنشأ التردّد أنّ ما يقتل بحكّ الرأس من دابّة الجسد، هو خصوص القُمّل، وأمّا البق والبرغوث الخارجان عمّا يتكوّن في البدن، فشمول العموم لهما محلّ تردّد، والاحتياط بترك قتلهما أيضاً لا يترك</w:t>
      </w:r>
      <w:r>
        <w:rPr>
          <w:rFonts w:eastAsia="Amiri" w:cs="Amiri" w:ascii="Amiri" w:hAnsi="Amiri"/>
          <w:color w:val="111111"/>
          <w:sz w:val="28"/>
          <w:szCs w:val="28"/>
          <w:rtl w:val="true"/>
          <w:lang w:bidi="ar-SA"/>
        </w:rPr>
        <w:t>.</w:t>
      </w:r>
    </w:p>
    <w:p>
      <w:pPr>
        <w:pStyle w:val="Heading2"/>
        <w:numPr>
          <w:ilvl w:val="1"/>
          <w:numId w:val="1"/>
        </w:numPr>
        <w:rPr/>
      </w:pPr>
      <w:bookmarkStart w:id="293" w:name="__RefHeading___Toc10697115_73709187"/>
      <w:bookmarkStart w:id="294" w:name="_Toc98"/>
      <w:bookmarkEnd w:id="293"/>
      <w:r>
        <w:rPr>
          <w:rtl w:val="true"/>
        </w:rPr>
        <w:t>إلقاء هَوامّ الجَسد</w:t>
      </w:r>
      <w:bookmarkEnd w:id="29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التنبيه على اُمور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المذكور في كلام جماعةٍ‌، حرمة إلقاء المُحرِم هوامّ الجَسد عن بدنه وثوبه، بل نُسب ذلك إلى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4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اتّفاق الأصحاب ظاهراً على حرمة إلقاء القُمّلة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نفى الخلاف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أبي العلاء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الآخر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يرمي المُحرِم القُمّلة من ثوبه ولا من جسده متعمّداً</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يلقى عنه الدّواب كلّها إلّاالقُمّلة فإنّها من جسده</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بعموم العلّة يدلّ على حرمة إلقاء كلّ ما هو من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النصوص بأجمعها في القُمّلة وليس شيءٌ منها في غيرها، بل صحيح معاوية يدلّ عليجواز إلقاء غيرها ولم يذكره أيضاً كثيرٌمن قدماء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له بعموم العلّة في صحيح معاوية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البق والبرغوث ليس من جسده ومتكوّنين فيه، فلا يشملهما عموم العلّة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وجدتُ علَيَّ قراد أو حلمة أطرحهما؟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وصغار لهما أنّهما رقيا في غير مرقاهما</w:t>
      </w:r>
      <w:r>
        <w:rPr>
          <w:rFonts w:eastAsia="Amiri" w:cs="Amiri" w:ascii="Amiri" w:hAnsi="Amiri"/>
          <w:color w:val="111111"/>
          <w:sz w:val="28"/>
          <w:szCs w:val="28"/>
          <w:rtl w:val="true"/>
          <w:lang w:bidi="ar-SA"/>
        </w:rPr>
        <w:t>»</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الذي استدلّ به بعض</w:t>
      </w:r>
      <w:r>
        <w:rPr>
          <w:rStyle w:val="FootnoteAnchor"/>
          <w:rtl w:val="true"/>
        </w:rPr>
        <w:footnoteReference w:id="1471"/>
      </w:r>
      <w:r>
        <w:rPr>
          <w:rFonts w:ascii="Amiri" w:hAnsi="Amiri" w:eastAsia="Amiri" w:cs="Amiri"/>
          <w:color w:val="111111"/>
          <w:sz w:val="28"/>
          <w:sz w:val="28"/>
          <w:szCs w:val="28"/>
          <w:rtl w:val="true"/>
          <w:lang w:bidi="ar-SA"/>
        </w:rPr>
        <w:t>بدعوى أنّه يدلّ على حرمة إطراح ما رقى مرقاه، ومنه البرغوث والقُمّل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الارتقاء في غير المرقى يُرجّح الإطراح، ولا يدلّ على أنّ الإرتقاء في المرقى علّة للمنع، فالقول بالجواز فيه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شاهدة بحرمة إلقائها، وأورد على الاستدلال بها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متضمّنة للجملة الخبريّة، وهي غير ظاهرة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مراراً من ظهورها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النصوص متضمّنٌ للنهي لاحظ صحيح حريز، عن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القِراد من البعير بمنزلة القُمّلة من جسدك، فلا تلقها وألق القِراد</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معارضة بخبر مُرّة مولى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المُحرِم يُلقي القملة‌؟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ألقوها أبعدها اللّه غير محمودة ولا مفقودة</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ألفوها بالفاء من الاُلفة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مُرّة وإنْ كان إماميّاً مجهولاً، إلّاأنّ الراوي عنه صفوان بن يحيى‌، وهو من أصحاب الإجماع، وبقيّة رواة الحديث ثُقات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أبعدها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 السؤال، فالأظهر تماميّة الرواية سنداً ودلالةً‌، إلّاأنّ الجمع بينها وبين ما تقدّم ممّا ظاهره المنع، بحمل 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تقدّم على الكراهة، كما أفاده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غير تامّ‌، لأنّه لو جمعنا ما في الخبرين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يرمي القُمّل من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يراهما متعارضان، ولا يعدّ الأوّل قرينةً على الثاني، فيتعيّن الرجوع إلى المرجّحات، والترجيح يكون مع نصوص المنع لوجوهٍ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الدالّة على أنّ مَن حَكَّ رأسه ووقع قُمّلة لا شيء عليه، فمحمولة على غير التعمّد، كما هو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حرمة إلقاء القُمّلة عن ثوبه وجسده، إلّاإذا أذّاه، فإنّه يجوز حينئذٍ كما يشهد به خبر زرارة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قتل الصاب، وهو بيض القُمّل، ويحرم إلقاؤه عن البدن أم لا، أم يفصّل بين الأوّل فيجوز، والثاني فلا يجوز؟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بعدم صدق الدابّة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التابع للقُمّل في كونه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الأعاظم</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تبعيّته للقملة في الوجود، لا تلازم تبعيّته لها في الحكم، ففي حكمه يرجع الى أصالة البراءة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نظر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الى الاستدلال بعموم العلّة الوارد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القُمّلة فإنّها من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فيتمّ الاستدلال إلّاأنّه في الإلقاء لا في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95" w:name="pg11808_109214"/>
    </w:p>
    <w:p>
      <w:pPr>
        <w:pStyle w:val="BookText"/>
        <w:rPr/>
      </w:pPr>
      <w:bookmarkEnd w:id="295"/>
      <w:r>
        <w:rPr>
          <w:rFonts w:ascii="Amiri" w:hAnsi="Amiri" w:eastAsia="Amiri" w:cs="Amiri"/>
          <w:color w:val="111111"/>
          <w:sz w:val="28"/>
          <w:sz w:val="28"/>
          <w:szCs w:val="28"/>
          <w:rtl w:val="true"/>
          <w:lang w:bidi="ar-SA"/>
        </w:rPr>
        <w:t>وعليه، فالأظهر هو التفصيل بين القتل والإلقاء، فيجوز الأوّل ولا يجوز الثاني، إلّا أن يتمّ دعوى الأولويّة أو التلازم، فلايجوز القتل أيضاً، والاحتياط سبيل النجاة</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10697117_73709187"/>
      <w:bookmarkStart w:id="297" w:name="_Toc99"/>
      <w:bookmarkEnd w:id="296"/>
      <w:r>
        <w:rPr>
          <w:rtl w:val="true"/>
        </w:rPr>
        <w:t>نقل هَوامّ الجَسد</w:t>
      </w:r>
      <w:bookmarkEnd w:id="297"/>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هوام الجسد من القُمّل ونحوه من مكانٍ إلى مكان آخر من جسده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جوازه مطلقاً، سواءٌ كان المنقول إليه مساوياً، أو أحرز، أو لم يكن، 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يجوز النقل إلى مكانٍ مساو أو أحرز، ولا يجوز إلى غيره، وقد صرّح به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يجوز إلى مكان غير معرّض للسقوط، وإلّا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الحكم صحيحة ابن عمّار، عن 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يلقى عنه الدّواب كلّها إلّاالقُمّلة، فإنّها من جسده، وإنْ أراد أن يحوّل قُمّلة من مكانٍ إلى مكان فلا يضرّه</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إطلاقه عدم اعتبار كون المنقول إليه مساوياً أو أحرز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إلى مكانٍ معرّض للسقوط، فحيث إنّه في معنى الإلقاء فلعلّ المنع أظهر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يجوز إلقاء القِراد والحلم عن نفسه </w:t>
      </w:r>
    </w:p>
    <w:p>
      <w:pPr>
        <w:pStyle w:val="BookText"/>
        <w:rPr/>
      </w:pPr>
      <w:r>
        <w:rPr>
          <w:rFonts w:ascii="Amiri" w:hAnsi="Amiri" w:eastAsia="Amiri" w:cs="Amiri"/>
          <w:color w:val="111111"/>
          <w:sz w:val="28"/>
          <w:sz w:val="28"/>
          <w:szCs w:val="28"/>
          <w:rtl w:val="true"/>
          <w:lang w:bidi="ar-SA"/>
        </w:rPr>
        <w:t>وعن بعيره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حلمة، وهي القِراد العظيم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الصغيرة من القردان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القِراد ليس من البعير، والحلمة من البعير</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ينافي ما عن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فيشهد لجواز إلقائهما من المُحرِم صحيح عبداللّه بن 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وجدتُ علَيَّ قراد أو حلمة أطرحهما؟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وصغار لهما أنّهما رقيا في غير مرقاهما</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عموم العلّة فيه جواز إلقاء كلّ دابّةٍ لا تتكوّن في البدن، ووجدها المُحرِم في بدنه أو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 ما تقدّم من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يلقى عنه الدّواب كلّها إلّاالقُمّلة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إلقاؤها من البعير فجملةٌ من النصوص ظاهرة في جواز إلقاء القِراد دون الحلم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ألقى المُحرِم القِراد عن بعيره فلا بأس، ولا يلقي الحلمة</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حريز،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القِراد ليس من البعير، والحلمة من البعير بمنزلة القُمّلة من جسدك، فلا تلقها وألق القِراد</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تنزع القِراد عن بعيرك، ولا ترم الحلمة</w:t>
      </w:r>
      <w:r>
        <w:rPr>
          <w:rFonts w:eastAsia="Amiri" w:cs="Amiri" w:ascii="Amiri" w:hAnsi="Amiri"/>
          <w:color w:val="111111"/>
          <w:sz w:val="28"/>
          <w:szCs w:val="28"/>
          <w:rtl w:val="true"/>
          <w:lang w:bidi="ar-SA"/>
        </w:rPr>
        <w:t>»</w:t>
      </w:r>
      <w:r>
        <w:rPr>
          <w:rStyle w:val="FootnoteAnchor"/>
          <w:rtl w:val="true"/>
        </w:rPr>
        <w:footnoteReference w:id="1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بما تضمّنته من التفصيل الشيخ</w:t>
      </w:r>
      <w:r>
        <w:rPr>
          <w:rStyle w:val="FootnoteAnchor"/>
          <w:rtl w:val="true"/>
        </w:rPr>
        <w:footnoteReference w:id="1484"/>
      </w:r>
      <w:r>
        <w:rPr>
          <w:rFonts w:ascii="Amiri" w:hAnsi="Amiri" w:eastAsia="Amiri" w:cs="Amiri"/>
          <w:color w:val="111111"/>
          <w:sz w:val="28"/>
          <w:sz w:val="28"/>
          <w:szCs w:val="28"/>
          <w:rtl w:val="true"/>
          <w:lang w:bidi="ar-SA"/>
        </w:rPr>
        <w:t>قدس سره وجماعة، إلّاأنّ المشهور هو الجواز مطلقاً، واستدلّوا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بالأصل، وصحيح ابن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 يلقي عنه الدّواب كلّها إلّا القُمّلة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وبخبر عبد اللّه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أبو عبد الرّحمن أبا عبداللّه عليه السلام عن المُحرِم يُعالج دُبر الجمل‌؟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عند الدّواب، ولا يُدميه</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الأصل مقطوع بالنصوص المتقدّمة، وصحيح ابن عمّار مختصٌّ بالمُحرِم والكلام في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فعن بعض الأعاظم أنّه ضعيف السند، إلّاأنّي تفحّصتُ عن رجاله ورأيتُ رجاله كلّهم ثقات، ليس فيهم من يتوقّف فيه، فسنده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بصورة المعالجة، وترتّب الضرر على إبقائها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ظاهراً في ذلك، فإنّ العلاج بمعنى العمل والممارسة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عامٌ‌، والنصوص المتقدّمة مختصّة بالحلمة، فيجب تقيّيدها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أفتى به الشيخ وتابعوه من عدم جواز إلقاء الحلمة هو الصحيح، واللّه العالم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الجزء الخامس عشر من هذه الطبعة المحقّقة، ويتلوه الجزء السادس عشر في ما يتعلّق ببقيّة مباحث الحَجّ‌، والحمد للّه أوّلاً وآخراً، وصلّى اللّه على سيّدنا محمّد وآله الطيّبين الطاهرين</w:t>
      </w:r>
      <w:r>
        <w:rPr>
          <w:rFonts w:eastAsia="Amiri" w:cs="Amiri" w:ascii="Amiri" w:hAnsi="Amiri"/>
          <w:color w:val="111111"/>
          <w:sz w:val="28"/>
          <w:szCs w:val="28"/>
          <w:rtl w:val="true"/>
          <w:lang w:bidi="ar-SA"/>
        </w:rPr>
        <w:t>.</w:t>
      </w:r>
      <w:bookmarkStart w:id="298" w:name="pg11808_109218"/>
    </w:p>
    <w:p>
      <w:pPr>
        <w:pStyle w:val="Heading2"/>
        <w:numPr>
          <w:ilvl w:val="1"/>
          <w:numId w:val="1"/>
        </w:numPr>
        <w:rPr/>
      </w:pPr>
      <w:bookmarkStart w:id="299" w:name="__RefHeading___Toc10697119_73709187"/>
      <w:bookmarkStart w:id="300" w:name="_Toc100"/>
      <w:bookmarkEnd w:id="298"/>
      <w:bookmarkEnd w:id="299"/>
      <w:r>
        <w:rPr>
          <w:rtl w:val="true"/>
        </w:rPr>
        <w:t>فهرس الموضوعات</w:t>
      </w:r>
      <w:bookmarkEnd w:id="300"/>
    </w:p>
    <w:p>
      <w:pPr>
        <w:pStyle w:val="BookText"/>
        <w:rPr/>
      </w:pPr>
      <w:r>
        <w:rPr>
          <w:rFonts w:ascii="Amiri" w:hAnsi="Amiri" w:eastAsia="Amiri" w:cs="Amiri"/>
          <w:color w:val="111111"/>
          <w:sz w:val="28"/>
          <w:sz w:val="28"/>
          <w:szCs w:val="28"/>
          <w:rtl w:val="true"/>
          <w:lang w:bidi="ar-SA"/>
        </w:rPr>
        <w:t>أحكام المواقيت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نذر الإحرام قبل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الإحرام قبل الميقات لإدراك عُمرة 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التجاوز عن الميقات بلا 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لو تعذّر الإحرام من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في حكم تأخير الإحرام من الميقات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لو ترك الإحرام من الميقات ناسياً أو جاهلاً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لو ترك الإحرام عن عُذر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لو نسي المتمتّع الإحرام للحجّ‌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حقيقة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من واجبات الإحرام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تعيين الإحرام في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استدامة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لو أحرم بنُسُكٍ ثمّ نَسيه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عدم كفاية نيّة واحدة للعمرة والحَجّ‌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حكم النيّة المُبهمة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اشتراط الإحلال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استحباب التلفّظ بالنيّة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التلبيات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ينعقد به إحرام القارن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وجوب التلبية على نفس القارن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مقارنة التلبية لنيّة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وقت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الواجب من التلبية مرّة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الجهر بالتلبية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صورة التلبيات الأربع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حُكم من لا يُحسِن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مبدأ اشتقاق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لبس الثوبين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لبس الثوبين ليس شرطاً للصحّة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كيفيّة لبس الثوبين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الإحرام في القميص جاهلاً أو ناسياً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استدامة لبس الثوبين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حكم الزيادة على الثوبين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اعتبار كون الثوب ممّا تصحّ فيه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اعتبار طهارة ثوبي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الإحرام في الثوب المغصوب والجلد والحرير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إحرام النساء في الحرير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الإحرام في القباء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الإحرام في الثياب السود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آداب الإحرام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تنظيف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استحباب الغُسل للإحرام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موارد استحباب إعادة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لو أحرم بغير الغُسل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استحباب الإحرام عقيب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الإحرام بعد صلاة الظهر 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باقي مندوبات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بيان موضع قطع التلبية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تروك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الصيد حرامٌ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عدم اختصاص حرمة الصيد بمحلَّل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حرمة ذبيحة المُحرِم على المُحلّ والمُحرِم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الوجوه المؤيّدة للمنع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هل يترتّب سائر أحكام الميتة على صيد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حكم ذبح المُحلّ للصيد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حرمة فرخ الصيد وبيضه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عن صيد الجراد وحكمه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عدم حرمة صيد البحر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في حكم الصيد المشكوك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حرمة الجماع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حرمة التقبيل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حرمة لمس المرأة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 المُحرِم إلى زوجته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عقد المُحرِم لنفسه ولغيره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التزويج في حال الإحرام يوجبُ الحرمة الأبديّة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إلحاق المُحرِمة بالمُحرِم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اختلاف الزوجين في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شهادة المُحرِم على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حكم 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حُرمة الإستمناء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حرمة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في حكم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بيان ما يحرم من الطيب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حكم الريحان والأدهان الطيّبة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بحثٌ حول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عدم حرمة خَلُوق الكعبة وزعفرانها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التطيّب حال الإضطرار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اجتياز المُحرِم في موضعٍ يُباع فيه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الاكتحال بما فيه 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حرمة لبس المخيط على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لبس المنطقة وشَدّ الهميان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جواز لبس المخيط للنساء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حرمة لبس القفازين على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جواز لبس الغلالة والسَّراويل للنساء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الخُنثى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حرمة لبس ما يَستُر ظهر القدم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لبس الخُفّين في حال 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حرمة الفسوق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حرمة الجدال على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يحرم قتل هَوامّ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إلقاء هَوامّ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نقل هَوامّ الجَسد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6/199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7/235</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14940</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ونكتها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غاية المراد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16544</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18/266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سابقاً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الصّبَّاح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5/271</w:t>
      </w:r>
      <w:r>
        <w:rPr>
          <w:rFonts w:ascii="IRNazanin" w:hAnsi="IRNazanin" w:eastAsia="IRNazanin"/>
          <w:b w:val="false"/>
          <w:b w:val="false"/>
          <w:bCs w:val="false"/>
          <w:i w:val="false"/>
          <w:i w:val="false"/>
          <w:iCs w:val="false"/>
          <w:color w:val="333333"/>
          <w:sz w:val="20"/>
          <w:sz w:val="20"/>
          <w:szCs w:val="20"/>
          <w:rtl w:val="true"/>
        </w:rPr>
        <w:t xml:space="preserve">، وفي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والعقود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14780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الفقيه عن أبي جعفر عليه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التنقيح السيّد الحكيم في مستمسك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11/403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 أرض مخصوصة بين مكّة والمدينة على ميل من ذي الحُليفة نحو مكّة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16543</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عليه السلام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12/549</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وتلبيتك من المسجد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دون الرّدم، ويسمّى مدعا، والرّدم بمكّة، وهو حاجز يمنع السيل عن البّيت، كما عن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من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2/528</w:t>
      </w:r>
      <w:r>
        <w:rPr>
          <w:rFonts w:ascii="IRNazanin" w:hAnsi="IRNazanin" w:eastAsia="IRNazanin"/>
          <w:b w:val="false"/>
          <w:b w:val="false"/>
          <w:bCs w:val="false"/>
          <w:i w:val="false"/>
          <w:i w:val="false"/>
          <w:iCs w:val="false"/>
          <w:color w:val="333333"/>
          <w:sz w:val="20"/>
          <w:sz w:val="20"/>
          <w:szCs w:val="20"/>
          <w:rtl w:val="true"/>
        </w:rPr>
        <w:t xml:space="preserve">، باب سياق مناسك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التلبية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عنه الفاضل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16555</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5/263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7552</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الإقامة وأصل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لبين لك فحذفت النون للإضافة، وحكاه عنه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في المصباح والحدائق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المصباح والحدائق الناضرة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وأنكره سيبويه وقال لو كان مثل علي ولدي ثبتت الياء مع المضمر وبقيت الألف مع الظاهر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11/425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وظاهر ابن الجنيد اشتراط التجرّد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وأيضاًحكاه عنه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16910</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16908</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مفاتيح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5/276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بن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16390</w:t>
      </w:r>
      <w:r>
        <w:rPr>
          <w:rFonts w:ascii="IRNazanin" w:hAnsi="IRNazanin" w:eastAsia="IRNazanin"/>
          <w:b w:val="false"/>
          <w:b w:val="false"/>
          <w:bCs w:val="false"/>
          <w:i w:val="false"/>
          <w:i w:val="false"/>
          <w:iCs w:val="false"/>
          <w:color w:val="333333"/>
          <w:sz w:val="20"/>
          <w:sz w:val="20"/>
          <w:szCs w:val="20"/>
          <w:rtl w:val="true"/>
        </w:rPr>
        <w:t>، لكن بإسناده عن موسى بن القاسم عن عبد الرحمن عن عبداللّه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16405</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عليه السلام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16397</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16407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11/268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العلّامة في مختلف الشيعة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16437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18/189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عدم جواز التطوّع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والإحرام عقيب الفريضة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18/193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16461</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ويلبّي ثمّ يمضي إلى منى فليصلِّ فيها الظهر والعصر والمغرب والعشاء الآخرة والفجر ويغدو إلى عرفات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المواهب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16608</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16524</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تروكه والمحرم عشرون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11/339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17252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11/348</w:t>
      </w:r>
      <w:r>
        <w:rPr>
          <w:rFonts w:ascii="IRNazanin" w:hAnsi="IRNazanin" w:eastAsia="IRNazanin"/>
          <w:b w:val="false"/>
          <w:b w:val="false"/>
          <w:bCs w:val="false"/>
          <w:i w:val="false"/>
          <w:i w:val="false"/>
          <w:iCs w:val="false"/>
          <w:color w:val="333333"/>
          <w:sz w:val="20"/>
          <w:sz w:val="20"/>
          <w:szCs w:val="20"/>
          <w:rtl w:val="true"/>
        </w:rPr>
        <w:t xml:space="preserve">، وفي الهامش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الراوندي في 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17280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وصاحب المدارك في مداركه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8/316</w:t>
      </w:r>
      <w:r>
        <w:rPr>
          <w:rFonts w:ascii="IRNazanin" w:hAnsi="IRNazanin" w:eastAsia="IRNazanin"/>
          <w:b w:val="false"/>
          <w:b w:val="false"/>
          <w:bCs w:val="false"/>
          <w:i w:val="false"/>
          <w:i w:val="false"/>
          <w:iCs w:val="false"/>
          <w:color w:val="333333"/>
          <w:sz w:val="20"/>
          <w:sz w:val="20"/>
          <w:szCs w:val="20"/>
          <w:rtl w:val="true"/>
        </w:rPr>
        <w:t>، وصاحب الحدائق في حدائقه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15/158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17046</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7/272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والسيّد الخونساري في جامع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3/600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17345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17299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17300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17301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17305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17306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17302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18/289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11/341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7/264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7/281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16682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مصباح المنهاج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طبعة مؤسّسة آل البّيت عليهم السلام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المُحرم اجتناب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يؤدّي إلى نزول المني من قُبلة أو ملامسة أو نظر بشهوة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17415</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18/298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16706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16722</w:t>
      </w:r>
      <w:r>
        <w:rPr>
          <w:rFonts w:ascii="IRNazanin" w:hAnsi="IRNazanin" w:eastAsia="IRNazanin"/>
          <w:b w:val="false"/>
          <w:b w:val="false"/>
          <w:bCs w:val="false"/>
          <w:i w:val="false"/>
          <w:i w:val="false"/>
          <w:iCs w:val="false"/>
          <w:color w:val="333333"/>
          <w:sz w:val="20"/>
          <w:sz w:val="20"/>
          <w:szCs w:val="20"/>
          <w:rtl w:val="true"/>
        </w:rPr>
        <w:t>، لكن برواية الشيخ له عن موسى بن القاسم عن صفوان وابن أبي عمير عن عاصم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14/168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26172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النكاح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المصنّف لذلك في غير مورد، منها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في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جريان الاستصحاب في الاعتقادات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15/350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 الجملة الخبريّة على الوجوب</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المدارك</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المستند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الفصول المختارة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يشهد</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16712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18/307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16728</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الفاضل الهندي في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 صاحب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18/435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16779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3/229</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5/349</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16747</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15/422</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16746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16849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16727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16758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7/314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7/242</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18/339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16871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16526</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16527</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لإبن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18/344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7/297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7/337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16816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16903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15/458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18/359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17439</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وتلبيتك من المسجد</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7/342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11/387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الهندي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17007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17047</w:t>
      </w:r>
      <w:r>
        <w:rPr>
          <w:rFonts w:ascii="IRNazanin" w:hAnsi="IRNazanin" w:eastAsia="IRNazanin"/>
          <w:b w:val="false"/>
          <w:b w:val="false"/>
          <w:bCs w:val="false"/>
          <w:i w:val="false"/>
          <w:i w:val="false"/>
          <w:iCs w:val="false"/>
          <w:color w:val="333333"/>
          <w:sz w:val="20"/>
          <w:sz w:val="20"/>
          <w:szCs w:val="20"/>
          <w:rtl w:val="true"/>
        </w:rPr>
        <w:t xml:space="preserve">، المقنعة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6/317</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18/368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السيّد الكلبايكاني في 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17022</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5/1903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72735</Words>
  <Characters>327635</Characters>
  <CharactersWithSpaces>397245</CharactersWithSpaces>
  <Paragraphs>5001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2026-08-22T08:01:24Z</dcterms:created>
  <dc:creator>ghaemiyeh.com</dc:creator>
  <dc:description/>
  <dc:language>en-US</dc:language>
  <cp:lastModifiedBy/>
  <dcterms:modified xsi:type="dcterms:W3CDTF">2026-08-22T11:31:41Z</dcterms:modified>
  <cp:revision>1</cp:revision>
  <dc:subject/>
  <dc:title>فقه الصادق علیه السلام جلد 15</dc:title>
</cp:coreProperties>
</file>

<file path=docProps/custom.xml><?xml version="1.0" encoding="utf-8"?>
<Properties xmlns="http://schemas.openxmlformats.org/officeDocument/2006/custom-properties" xmlns:vt="http://schemas.openxmlformats.org/officeDocument/2006/docPropsVTypes"/>
</file>