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7967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57967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579674_73709187">
            <w:r>
              <w:rPr>
                <w:webHidden/>
                <w:rStyle w:val="IndexLink"/>
                <w:rtl w:val="true"/>
              </w:rPr>
              <w:t>كتابُ الخمس</w:t>
            </w:r>
            <w:r>
              <w:rPr>
                <w:rStyle w:val="IndexLink"/>
                <w:rtl w:val="true"/>
              </w:rPr>
              <w:tab/>
            </w:r>
            <w:r>
              <w:rPr>
                <w:rStyle w:val="IndexLink"/>
              </w:rPr>
              <w:t>12</w:t>
            </w:r>
          </w:hyperlink>
        </w:p>
        <w:p>
          <w:pPr>
            <w:pStyle w:val="Contents3"/>
            <w:tabs>
              <w:tab w:val="clear" w:pos="8459"/>
              <w:tab w:val="right" w:pos="9026" w:leader="dot"/>
            </w:tabs>
            <w:rPr/>
          </w:pPr>
          <w:hyperlink w:anchor="__RefHeading___Toc10579676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0579678_73709187">
            <w:r>
              <w:rPr>
                <w:webHidden/>
                <w:rStyle w:val="IndexLink"/>
                <w:rtl w:val="true"/>
              </w:rPr>
              <w:t>الدُّنيا وما فيها للإمام عليه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0579680_73709187">
            <w:r>
              <w:rPr>
                <w:webHidden/>
                <w:rStyle w:val="IndexLink"/>
                <w:rtl w:val="true"/>
              </w:rPr>
              <w:t>غنائم دار الحرب</w:t>
            </w:r>
            <w:r>
              <w:rPr>
                <w:rStyle w:val="IndexLink"/>
                <w:rtl w:val="true"/>
              </w:rPr>
              <w:tab/>
            </w:r>
            <w:r>
              <w:rPr>
                <w:rStyle w:val="IndexLink"/>
              </w:rPr>
              <w:t>15</w:t>
            </w:r>
          </w:hyperlink>
        </w:p>
        <w:p>
          <w:pPr>
            <w:pStyle w:val="Contents3"/>
            <w:tabs>
              <w:tab w:val="clear" w:pos="8459"/>
              <w:tab w:val="right" w:pos="9026" w:leader="dot"/>
            </w:tabs>
            <w:rPr/>
          </w:pPr>
          <w:hyperlink w:anchor="__RefHeading___Toc10579682_73709187">
            <w:r>
              <w:rPr>
                <w:webHidden/>
                <w:rStyle w:val="IndexLink"/>
                <w:rtl w:val="true"/>
              </w:rPr>
              <w:t>الخُمس في الغنائم الّتي حواها العسكر وما لم يحوه</w:t>
            </w:r>
            <w:r>
              <w:rPr>
                <w:rStyle w:val="IndexLink"/>
                <w:rtl w:val="true"/>
              </w:rPr>
              <w:tab/>
            </w:r>
            <w:r>
              <w:rPr>
                <w:rStyle w:val="IndexLink"/>
              </w:rPr>
              <w:t>16</w:t>
            </w:r>
          </w:hyperlink>
        </w:p>
        <w:p>
          <w:pPr>
            <w:pStyle w:val="Contents3"/>
            <w:tabs>
              <w:tab w:val="clear" w:pos="8459"/>
              <w:tab w:val="right" w:pos="9026" w:leader="dot"/>
            </w:tabs>
            <w:rPr/>
          </w:pPr>
          <w:hyperlink w:anchor="__RefHeading___Toc10579684_73709187">
            <w:r>
              <w:rPr>
                <w:webHidden/>
                <w:rStyle w:val="IndexLink"/>
                <w:rtl w:val="true"/>
              </w:rPr>
              <w:t>إباحة خُمس غنائم دار الحرب</w:t>
            </w:r>
            <w:r>
              <w:rPr>
                <w:rStyle w:val="IndexLink"/>
                <w:rtl w:val="true"/>
              </w:rPr>
              <w:tab/>
            </w:r>
            <w:r>
              <w:rPr>
                <w:rStyle w:val="IndexLink"/>
              </w:rPr>
              <w:t>19</w:t>
            </w:r>
          </w:hyperlink>
        </w:p>
        <w:p>
          <w:pPr>
            <w:pStyle w:val="Contents3"/>
            <w:tabs>
              <w:tab w:val="clear" w:pos="8459"/>
              <w:tab w:val="right" w:pos="9026" w:leader="dot"/>
            </w:tabs>
            <w:rPr/>
          </w:pPr>
          <w:hyperlink w:anchor="__RefHeading___Toc10579686_73709187">
            <w:r>
              <w:rPr>
                <w:webHidden/>
                <w:rStyle w:val="IndexLink"/>
                <w:rtl w:val="true"/>
              </w:rPr>
              <w:t>ثبوت الخُمس بعد إخراج المُؤن</w:t>
            </w:r>
            <w:r>
              <w:rPr>
                <w:rStyle w:val="IndexLink"/>
                <w:rtl w:val="true"/>
              </w:rPr>
              <w:tab/>
            </w:r>
            <w:r>
              <w:rPr>
                <w:rStyle w:val="IndexLink"/>
              </w:rPr>
              <w:t>20</w:t>
            </w:r>
          </w:hyperlink>
        </w:p>
        <w:p>
          <w:pPr>
            <w:pStyle w:val="Contents3"/>
            <w:tabs>
              <w:tab w:val="clear" w:pos="8459"/>
              <w:tab w:val="right" w:pos="9026" w:leader="dot"/>
            </w:tabs>
            <w:rPr/>
          </w:pPr>
          <w:hyperlink w:anchor="__RefHeading___Toc10579688_73709187">
            <w:r>
              <w:rPr>
                <w:webHidden/>
                <w:rStyle w:val="IndexLink"/>
                <w:rtl w:val="true"/>
              </w:rPr>
              <w:t>اعتبار أنْ لا تكون الغنيمة غصباً</w:t>
            </w:r>
            <w:r>
              <w:rPr>
                <w:rStyle w:val="IndexLink"/>
                <w:rtl w:val="true"/>
              </w:rPr>
              <w:tab/>
            </w:r>
            <w:r>
              <w:rPr>
                <w:rStyle w:val="IndexLink"/>
              </w:rPr>
              <w:t>22</w:t>
            </w:r>
          </w:hyperlink>
        </w:p>
        <w:p>
          <w:pPr>
            <w:pStyle w:val="Contents3"/>
            <w:tabs>
              <w:tab w:val="clear" w:pos="8459"/>
              <w:tab w:val="right" w:pos="9026" w:leader="dot"/>
            </w:tabs>
            <w:rPr/>
          </w:pPr>
          <w:hyperlink w:anchor="__RefHeading___Toc10579690_73709187">
            <w:r>
              <w:rPr>
                <w:webHidden/>
                <w:rStyle w:val="IndexLink"/>
                <w:rtl w:val="true"/>
              </w:rPr>
              <w:t>ما يُؤخذ من الكفّار بالسَّرقة أو الغيلة</w:t>
            </w:r>
            <w:r>
              <w:rPr>
                <w:rStyle w:val="IndexLink"/>
                <w:rtl w:val="true"/>
              </w:rPr>
              <w:tab/>
            </w:r>
            <w:r>
              <w:rPr>
                <w:rStyle w:val="IndexLink"/>
              </w:rPr>
              <w:t>25</w:t>
            </w:r>
          </w:hyperlink>
        </w:p>
        <w:p>
          <w:pPr>
            <w:pStyle w:val="Contents3"/>
            <w:tabs>
              <w:tab w:val="clear" w:pos="8459"/>
              <w:tab w:val="right" w:pos="9026" w:leader="dot"/>
            </w:tabs>
            <w:rPr/>
          </w:pPr>
          <w:hyperlink w:anchor="__RefHeading___Toc10579692_73709187">
            <w:r>
              <w:rPr>
                <w:webHidden/>
                <w:rStyle w:val="IndexLink"/>
                <w:rtl w:val="true"/>
              </w:rPr>
              <w:t>مال النّاصب</w:t>
            </w:r>
            <w:r>
              <w:rPr>
                <w:rStyle w:val="IndexLink"/>
                <w:rtl w:val="true"/>
              </w:rPr>
              <w:tab/>
            </w:r>
            <w:r>
              <w:rPr>
                <w:rStyle w:val="IndexLink"/>
              </w:rPr>
              <w:t>26</w:t>
            </w:r>
          </w:hyperlink>
        </w:p>
        <w:p>
          <w:pPr>
            <w:pStyle w:val="Contents3"/>
            <w:tabs>
              <w:tab w:val="clear" w:pos="8459"/>
              <w:tab w:val="right" w:pos="9026" w:leader="dot"/>
            </w:tabs>
            <w:rPr/>
          </w:pPr>
          <w:hyperlink w:anchor="__RefHeading___Toc10579694_73709187">
            <w:r>
              <w:rPr>
                <w:webHidden/>
                <w:rStyle w:val="IndexLink"/>
                <w:rtl w:val="true"/>
              </w:rPr>
              <w:t>المعادن</w:t>
            </w:r>
            <w:r>
              <w:rPr>
                <w:rStyle w:val="IndexLink"/>
                <w:rtl w:val="true"/>
              </w:rPr>
              <w:tab/>
            </w:r>
            <w:r>
              <w:rPr>
                <w:rStyle w:val="IndexLink"/>
              </w:rPr>
              <w:t>30</w:t>
            </w:r>
          </w:hyperlink>
        </w:p>
        <w:p>
          <w:pPr>
            <w:pStyle w:val="Contents3"/>
            <w:tabs>
              <w:tab w:val="clear" w:pos="8459"/>
              <w:tab w:val="right" w:pos="9026" w:leader="dot"/>
            </w:tabs>
            <w:rPr/>
          </w:pPr>
          <w:hyperlink w:anchor="__RefHeading___Toc10579696_73709187">
            <w:r>
              <w:rPr>
                <w:webHidden/>
                <w:rStyle w:val="IndexLink"/>
                <w:rtl w:val="true"/>
              </w:rPr>
              <w:t>ثبوت الخمس في المعدن مطلقاً</w:t>
            </w:r>
            <w:r>
              <w:rPr>
                <w:rStyle w:val="IndexLink"/>
                <w:rtl w:val="true"/>
              </w:rPr>
              <w:tab/>
            </w:r>
            <w:r>
              <w:rPr>
                <w:rStyle w:val="IndexLink"/>
              </w:rPr>
              <w:t>33</w:t>
            </w:r>
          </w:hyperlink>
        </w:p>
        <w:p>
          <w:pPr>
            <w:pStyle w:val="Contents3"/>
            <w:tabs>
              <w:tab w:val="clear" w:pos="8459"/>
              <w:tab w:val="right" w:pos="9026" w:leader="dot"/>
            </w:tabs>
            <w:rPr/>
          </w:pPr>
          <w:hyperlink w:anchor="__RefHeading___Toc10579698_73709187">
            <w:r>
              <w:rPr>
                <w:webHidden/>
                <w:rStyle w:val="IndexLink"/>
                <w:rtl w:val="true"/>
              </w:rPr>
              <w:t>إذا وُجِد مقدار من المعدن مُخْرَجاً</w:t>
            </w:r>
            <w:r>
              <w:rPr>
                <w:rStyle w:val="IndexLink"/>
                <w:rtl w:val="true"/>
              </w:rPr>
              <w:tab/>
            </w:r>
            <w:r>
              <w:rPr>
                <w:rStyle w:val="IndexLink"/>
              </w:rPr>
              <w:t>35</w:t>
            </w:r>
          </w:hyperlink>
        </w:p>
        <w:p>
          <w:pPr>
            <w:pStyle w:val="Contents3"/>
            <w:tabs>
              <w:tab w:val="clear" w:pos="8459"/>
              <w:tab w:val="right" w:pos="9026" w:leader="dot"/>
            </w:tabs>
            <w:rPr/>
          </w:pPr>
          <w:hyperlink w:anchor="__RefHeading___Toc10579700_73709187">
            <w:r>
              <w:rPr>
                <w:webHidden/>
                <w:rStyle w:val="IndexLink"/>
                <w:rtl w:val="true"/>
              </w:rPr>
              <w:t>استيجار الغير لإخراج المعدن</w:t>
            </w:r>
            <w:r>
              <w:rPr>
                <w:rStyle w:val="IndexLink"/>
                <w:rtl w:val="true"/>
              </w:rPr>
              <w:tab/>
            </w:r>
            <w:r>
              <w:rPr>
                <w:rStyle w:val="IndexLink"/>
              </w:rPr>
              <w:t>36</w:t>
            </w:r>
          </w:hyperlink>
        </w:p>
        <w:p>
          <w:pPr>
            <w:pStyle w:val="Contents3"/>
            <w:tabs>
              <w:tab w:val="clear" w:pos="8459"/>
              <w:tab w:val="right" w:pos="9026" w:leader="dot"/>
            </w:tabs>
            <w:rPr/>
          </w:pPr>
          <w:hyperlink w:anchor="__RefHeading___Toc10579702_73709187">
            <w:r>
              <w:rPr>
                <w:webHidden/>
                <w:rStyle w:val="IndexLink"/>
                <w:rtl w:val="true"/>
              </w:rPr>
              <w:t>المعدن في أرض مملوكة</w:t>
            </w:r>
            <w:r>
              <w:rPr>
                <w:rStyle w:val="IndexLink"/>
                <w:rtl w:val="true"/>
              </w:rPr>
              <w:tab/>
            </w:r>
            <w:r>
              <w:rPr>
                <w:rStyle w:val="IndexLink"/>
              </w:rPr>
              <w:t>38</w:t>
            </w:r>
          </w:hyperlink>
        </w:p>
        <w:p>
          <w:pPr>
            <w:pStyle w:val="Contents3"/>
            <w:tabs>
              <w:tab w:val="clear" w:pos="8459"/>
              <w:tab w:val="right" w:pos="9026" w:leader="dot"/>
            </w:tabs>
            <w:rPr/>
          </w:pPr>
          <w:hyperlink w:anchor="__RefHeading___Toc10579704_73709187">
            <w:r>
              <w:rPr>
                <w:webHidden/>
                <w:rStyle w:val="IndexLink"/>
                <w:rtl w:val="true"/>
              </w:rPr>
              <w:t>الغوص</w:t>
            </w:r>
            <w:r>
              <w:rPr>
                <w:rStyle w:val="IndexLink"/>
                <w:rtl w:val="true"/>
              </w:rPr>
              <w:tab/>
            </w:r>
            <w:r>
              <w:rPr>
                <w:rStyle w:val="IndexLink"/>
              </w:rPr>
              <w:t>40</w:t>
            </w:r>
          </w:hyperlink>
        </w:p>
        <w:p>
          <w:pPr>
            <w:pStyle w:val="Contents3"/>
            <w:tabs>
              <w:tab w:val="clear" w:pos="8459"/>
              <w:tab w:val="right" w:pos="9026" w:leader="dot"/>
            </w:tabs>
            <w:rPr/>
          </w:pPr>
          <w:hyperlink w:anchor="__RefHeading___Toc10579706_73709187">
            <w:r>
              <w:rPr>
                <w:webHidden/>
                <w:rStyle w:val="IndexLink"/>
                <w:rtl w:val="true"/>
              </w:rPr>
              <w:t>نصاب الغوص</w:t>
            </w:r>
            <w:r>
              <w:rPr>
                <w:rStyle w:val="IndexLink"/>
                <w:rtl w:val="true"/>
              </w:rPr>
              <w:tab/>
            </w:r>
            <w:r>
              <w:rPr>
                <w:rStyle w:val="IndexLink"/>
              </w:rPr>
              <w:t>46</w:t>
            </w:r>
          </w:hyperlink>
        </w:p>
        <w:p>
          <w:pPr>
            <w:pStyle w:val="Contents3"/>
            <w:tabs>
              <w:tab w:val="clear" w:pos="8459"/>
              <w:tab w:val="right" w:pos="9026" w:leader="dot"/>
            </w:tabs>
            <w:rPr/>
          </w:pPr>
          <w:hyperlink w:anchor="__RefHeading___Toc10579708_73709187">
            <w:r>
              <w:rPr>
                <w:webHidden/>
                <w:rStyle w:val="IndexLink"/>
                <w:rtl w:val="true"/>
              </w:rPr>
              <w:t>أرباح المكاسب ثبوت الخمس في أرباح المكاسب</w:t>
            </w:r>
            <w:r>
              <w:rPr>
                <w:rStyle w:val="IndexLink"/>
                <w:rtl w:val="true"/>
              </w:rPr>
              <w:tab/>
            </w:r>
            <w:r>
              <w:rPr>
                <w:rStyle w:val="IndexLink"/>
              </w:rPr>
              <w:t>50</w:t>
            </w:r>
          </w:hyperlink>
        </w:p>
        <w:p>
          <w:pPr>
            <w:pStyle w:val="Contents3"/>
            <w:tabs>
              <w:tab w:val="clear" w:pos="8459"/>
              <w:tab w:val="right" w:pos="9026" w:leader="dot"/>
            </w:tabs>
            <w:rPr/>
          </w:pPr>
          <w:hyperlink w:anchor="__RefHeading___Toc10579710_73709187">
            <w:r>
              <w:rPr>
                <w:webHidden/>
                <w:rStyle w:val="IndexLink"/>
                <w:rtl w:val="true"/>
              </w:rPr>
              <w:t>أخبار التحليل</w:t>
            </w:r>
            <w:r>
              <w:rPr>
                <w:rStyle w:val="IndexLink"/>
                <w:rtl w:val="true"/>
              </w:rPr>
              <w:tab/>
            </w:r>
            <w:r>
              <w:rPr>
                <w:rStyle w:val="IndexLink"/>
              </w:rPr>
              <w:t>56</w:t>
            </w:r>
          </w:hyperlink>
        </w:p>
        <w:p>
          <w:pPr>
            <w:pStyle w:val="Contents3"/>
            <w:tabs>
              <w:tab w:val="clear" w:pos="8459"/>
              <w:tab w:val="right" w:pos="9026" w:leader="dot"/>
            </w:tabs>
            <w:rPr/>
          </w:pPr>
          <w:hyperlink w:anchor="__RefHeading___Toc10579712_73709187">
            <w:r>
              <w:rPr>
                <w:webHidden/>
                <w:rStyle w:val="IndexLink"/>
                <w:rtl w:val="true"/>
              </w:rPr>
              <w:t>الحقّ في الجواب عن أخبار التحليل</w:t>
            </w:r>
            <w:r>
              <w:rPr>
                <w:rStyle w:val="IndexLink"/>
                <w:rtl w:val="true"/>
              </w:rPr>
              <w:tab/>
            </w:r>
            <w:r>
              <w:rPr>
                <w:rStyle w:val="IndexLink"/>
              </w:rPr>
              <w:t>62</w:t>
            </w:r>
          </w:hyperlink>
        </w:p>
        <w:p>
          <w:pPr>
            <w:pStyle w:val="Contents3"/>
            <w:tabs>
              <w:tab w:val="clear" w:pos="8459"/>
              <w:tab w:val="right" w:pos="9026" w:leader="dot"/>
            </w:tabs>
            <w:rPr/>
          </w:pPr>
          <w:hyperlink w:anchor="__RefHeading___Toc10579714_73709187">
            <w:r>
              <w:rPr>
                <w:webHidden/>
                <w:rStyle w:val="IndexLink"/>
                <w:rtl w:val="true"/>
              </w:rPr>
              <w:t>متعلّق خُمس الأرباح مطلق الفائدة</w:t>
            </w:r>
            <w:r>
              <w:rPr>
                <w:rStyle w:val="IndexLink"/>
                <w:rtl w:val="true"/>
              </w:rPr>
              <w:tab/>
            </w:r>
            <w:r>
              <w:rPr>
                <w:rStyle w:val="IndexLink"/>
              </w:rPr>
              <w:t>66</w:t>
            </w:r>
          </w:hyperlink>
        </w:p>
        <w:p>
          <w:pPr>
            <w:pStyle w:val="Contents3"/>
            <w:tabs>
              <w:tab w:val="clear" w:pos="8459"/>
              <w:tab w:val="right" w:pos="9026" w:leader="dot"/>
            </w:tabs>
            <w:rPr/>
          </w:pPr>
          <w:hyperlink w:anchor="__RefHeading___Toc10579716_73709187">
            <w:r>
              <w:rPr>
                <w:webHidden/>
                <w:rStyle w:val="IndexLink"/>
                <w:rtl w:val="true"/>
              </w:rPr>
              <w:t>تعلّق الخُمس بالهبة</w:t>
            </w:r>
            <w:r>
              <w:rPr>
                <w:rStyle w:val="IndexLink"/>
                <w:rtl w:val="true"/>
              </w:rPr>
              <w:tab/>
            </w:r>
            <w:r>
              <w:rPr>
                <w:rStyle w:val="IndexLink"/>
              </w:rPr>
              <w:t>71</w:t>
            </w:r>
          </w:hyperlink>
        </w:p>
        <w:p>
          <w:pPr>
            <w:pStyle w:val="Contents3"/>
            <w:tabs>
              <w:tab w:val="clear" w:pos="8459"/>
              <w:tab w:val="right" w:pos="9026" w:leader="dot"/>
            </w:tabs>
            <w:rPr/>
          </w:pPr>
          <w:hyperlink w:anchor="__RefHeading___Toc10579718_73709187">
            <w:r>
              <w:rPr>
                <w:webHidden/>
                <w:rStyle w:val="IndexLink"/>
                <w:rtl w:val="true"/>
              </w:rPr>
              <w:t>تعلّق الخُمس بالميراث غير المحتسب</w:t>
            </w:r>
            <w:r>
              <w:rPr>
                <w:rStyle w:val="IndexLink"/>
                <w:rtl w:val="true"/>
              </w:rPr>
              <w:tab/>
            </w:r>
            <w:r>
              <w:rPr>
                <w:rStyle w:val="IndexLink"/>
              </w:rPr>
              <w:t>76</w:t>
            </w:r>
          </w:hyperlink>
        </w:p>
        <w:p>
          <w:pPr>
            <w:pStyle w:val="Contents3"/>
            <w:tabs>
              <w:tab w:val="clear" w:pos="8459"/>
              <w:tab w:val="right" w:pos="9026" w:leader="dot"/>
            </w:tabs>
            <w:rPr/>
          </w:pPr>
          <w:hyperlink w:anchor="__RefHeading___Toc10579720_73709187">
            <w:r>
              <w:rPr>
                <w:webHidden/>
                <w:rStyle w:val="IndexLink"/>
                <w:rtl w:val="true"/>
              </w:rPr>
              <w:t>تعلّق الخُمس بالصداق</w:t>
            </w:r>
            <w:r>
              <w:rPr>
                <w:rStyle w:val="IndexLink"/>
                <w:rtl w:val="true"/>
              </w:rPr>
              <w:tab/>
            </w:r>
            <w:r>
              <w:rPr>
                <w:rStyle w:val="IndexLink"/>
              </w:rPr>
              <w:t>78</w:t>
            </w:r>
          </w:hyperlink>
        </w:p>
        <w:p>
          <w:pPr>
            <w:pStyle w:val="Contents3"/>
            <w:tabs>
              <w:tab w:val="clear" w:pos="8459"/>
              <w:tab w:val="right" w:pos="9026" w:leader="dot"/>
            </w:tabs>
            <w:rPr/>
          </w:pPr>
          <w:hyperlink w:anchor="__RefHeading___Toc10579722_73709187">
            <w:r>
              <w:rPr>
                <w:webHidden/>
                <w:rStyle w:val="IndexLink"/>
                <w:rtl w:val="true"/>
              </w:rPr>
              <w:t>ما ملك بالخُمس أو الزّكاة</w:t>
            </w:r>
            <w:r>
              <w:rPr>
                <w:rStyle w:val="IndexLink"/>
                <w:rtl w:val="true"/>
              </w:rPr>
              <w:tab/>
            </w:r>
            <w:r>
              <w:rPr>
                <w:rStyle w:val="IndexLink"/>
              </w:rPr>
              <w:t>80</w:t>
            </w:r>
          </w:hyperlink>
        </w:p>
        <w:p>
          <w:pPr>
            <w:pStyle w:val="Contents3"/>
            <w:tabs>
              <w:tab w:val="clear" w:pos="8459"/>
              <w:tab w:val="right" w:pos="9026" w:leader="dot"/>
            </w:tabs>
            <w:rPr/>
          </w:pPr>
          <w:hyperlink w:anchor="__RefHeading___Toc10579724_73709187">
            <w:r>
              <w:rPr>
                <w:webHidden/>
                <w:rStyle w:val="IndexLink"/>
                <w:rtl w:val="true"/>
              </w:rPr>
              <w:t>تعلّق الخُمس بالنماء المتّصل والمنفصل</w:t>
            </w:r>
            <w:r>
              <w:rPr>
                <w:rStyle w:val="IndexLink"/>
                <w:rtl w:val="true"/>
              </w:rPr>
              <w:tab/>
            </w:r>
            <w:r>
              <w:rPr>
                <w:rStyle w:val="IndexLink"/>
              </w:rPr>
              <w:t>84</w:t>
            </w:r>
          </w:hyperlink>
        </w:p>
        <w:p>
          <w:pPr>
            <w:pStyle w:val="Contents3"/>
            <w:tabs>
              <w:tab w:val="clear" w:pos="8459"/>
              <w:tab w:val="right" w:pos="9026" w:leader="dot"/>
            </w:tabs>
            <w:rPr/>
          </w:pPr>
          <w:hyperlink w:anchor="__RefHeading___Toc10579726_73709187">
            <w:r>
              <w:rPr>
                <w:webHidden/>
                <w:rStyle w:val="IndexLink"/>
                <w:rtl w:val="true"/>
              </w:rPr>
              <w:t>تعلّق الخمس بزيادة القيمة السوقيّة</w:t>
            </w:r>
            <w:r>
              <w:rPr>
                <w:rStyle w:val="IndexLink"/>
                <w:rtl w:val="true"/>
              </w:rPr>
              <w:tab/>
            </w:r>
            <w:r>
              <w:rPr>
                <w:rStyle w:val="IndexLink"/>
              </w:rPr>
              <w:t>85</w:t>
            </w:r>
          </w:hyperlink>
        </w:p>
        <w:p>
          <w:pPr>
            <w:pStyle w:val="Contents3"/>
            <w:tabs>
              <w:tab w:val="clear" w:pos="8459"/>
              <w:tab w:val="right" w:pos="9026" w:leader="dot"/>
            </w:tabs>
            <w:rPr/>
          </w:pPr>
          <w:hyperlink w:anchor="__RefHeading___Toc10579728_73709187">
            <w:r>
              <w:rPr>
                <w:webHidden/>
                <w:rStyle w:val="IndexLink"/>
                <w:rtl w:val="true"/>
              </w:rPr>
              <w:t>المعاملة على العين قبل أداء الخُمس فروع</w:t>
            </w:r>
            <w:r>
              <w:rPr>
                <w:rStyle w:val="IndexLink"/>
                <w:rtl w:val="true"/>
              </w:rPr>
              <w:t>:</w:t>
              <w:tab/>
            </w:r>
            <w:r>
              <w:rPr>
                <w:rStyle w:val="IndexLink"/>
              </w:rPr>
              <w:t>88</w:t>
            </w:r>
          </w:hyperlink>
        </w:p>
        <w:p>
          <w:pPr>
            <w:pStyle w:val="Contents3"/>
            <w:tabs>
              <w:tab w:val="clear" w:pos="8459"/>
              <w:tab w:val="right" w:pos="9026" w:leader="dot"/>
            </w:tabs>
            <w:rPr/>
          </w:pPr>
          <w:hyperlink w:anchor="__RefHeading___Toc10579730_73709187">
            <w:r>
              <w:rPr>
                <w:webHidden/>
                <w:rStyle w:val="IndexLink"/>
                <w:rtl w:val="true"/>
              </w:rPr>
              <w:t>إذا زادت القيمة ثمّ تنزّلت</w:t>
            </w:r>
            <w:r>
              <w:rPr>
                <w:rStyle w:val="IndexLink"/>
                <w:rtl w:val="true"/>
              </w:rPr>
              <w:tab/>
            </w:r>
            <w:r>
              <w:rPr>
                <w:rStyle w:val="IndexLink"/>
              </w:rPr>
              <w:t>92</w:t>
            </w:r>
          </w:hyperlink>
        </w:p>
        <w:p>
          <w:pPr>
            <w:pStyle w:val="Contents3"/>
            <w:tabs>
              <w:tab w:val="clear" w:pos="8459"/>
              <w:tab w:val="right" w:pos="9026" w:leader="dot"/>
            </w:tabs>
            <w:rPr/>
          </w:pPr>
          <w:hyperlink w:anchor="__RefHeading___Toc10579732_73709187">
            <w:r>
              <w:rPr>
                <w:webHidden/>
                <w:rStyle w:val="IndexLink"/>
                <w:rtl w:val="true"/>
              </w:rPr>
              <w:t>حكم الأرباح المتجدّدة خلال السَّنة</w:t>
            </w:r>
            <w:r>
              <w:rPr>
                <w:rStyle w:val="IndexLink"/>
                <w:rtl w:val="true"/>
              </w:rPr>
              <w:tab/>
            </w:r>
            <w:r>
              <w:rPr>
                <w:rStyle w:val="IndexLink"/>
              </w:rPr>
              <w:t>94</w:t>
            </w:r>
          </w:hyperlink>
        </w:p>
        <w:p>
          <w:pPr>
            <w:pStyle w:val="Contents3"/>
            <w:tabs>
              <w:tab w:val="clear" w:pos="8459"/>
              <w:tab w:val="right" w:pos="9026" w:leader="dot"/>
            </w:tabs>
            <w:rPr/>
          </w:pPr>
          <w:hyperlink w:anchor="__RefHeading___Toc10579734_73709187">
            <w:r>
              <w:rPr>
                <w:webHidden/>
                <w:rStyle w:val="IndexLink"/>
                <w:rtl w:val="true"/>
              </w:rPr>
              <w:t>حكم الشراء المربح خياريّاً</w:t>
            </w:r>
            <w:r>
              <w:rPr>
                <w:rStyle w:val="IndexLink"/>
                <w:rtl w:val="true"/>
              </w:rPr>
              <w:tab/>
            </w:r>
            <w:r>
              <w:rPr>
                <w:rStyle w:val="IndexLink"/>
              </w:rPr>
              <w:t>99</w:t>
            </w:r>
          </w:hyperlink>
        </w:p>
        <w:p>
          <w:pPr>
            <w:pStyle w:val="Contents3"/>
            <w:tabs>
              <w:tab w:val="clear" w:pos="8459"/>
              <w:tab w:val="right" w:pos="9026" w:leader="dot"/>
            </w:tabs>
            <w:rPr/>
          </w:pPr>
          <w:hyperlink w:anchor="__RefHeading___Toc10579736_73709187">
            <w:r>
              <w:rPr>
                <w:webHidden/>
                <w:rStyle w:val="IndexLink"/>
                <w:rtl w:val="true"/>
              </w:rPr>
              <w:t>حكم رأس المال</w:t>
            </w:r>
            <w:r>
              <w:rPr>
                <w:rStyle w:val="IndexLink"/>
                <w:rtl w:val="true"/>
              </w:rPr>
              <w:tab/>
            </w:r>
            <w:r>
              <w:rPr>
                <w:rStyle w:val="IndexLink"/>
              </w:rPr>
              <w:t>101</w:t>
            </w:r>
          </w:hyperlink>
        </w:p>
        <w:p>
          <w:pPr>
            <w:pStyle w:val="Contents3"/>
            <w:tabs>
              <w:tab w:val="clear" w:pos="8459"/>
              <w:tab w:val="right" w:pos="9026" w:leader="dot"/>
            </w:tabs>
            <w:rPr/>
          </w:pPr>
          <w:hyperlink w:anchor="__RefHeading___Toc10579738_73709187">
            <w:r>
              <w:rPr>
                <w:webHidden/>
                <w:rStyle w:val="IndexLink"/>
                <w:rtl w:val="true"/>
              </w:rPr>
              <w:t>تحديد مبدأ السَّنة</w:t>
            </w:r>
            <w:r>
              <w:rPr>
                <w:rStyle w:val="IndexLink"/>
                <w:rtl w:val="true"/>
              </w:rPr>
              <w:tab/>
            </w:r>
            <w:r>
              <w:rPr>
                <w:rStyle w:val="IndexLink"/>
              </w:rPr>
              <w:t>103</w:t>
            </w:r>
          </w:hyperlink>
        </w:p>
        <w:p>
          <w:pPr>
            <w:pStyle w:val="Contents3"/>
            <w:tabs>
              <w:tab w:val="clear" w:pos="8459"/>
              <w:tab w:val="right" w:pos="9026" w:leader="dot"/>
            </w:tabs>
            <w:rPr/>
          </w:pPr>
          <w:hyperlink w:anchor="__RefHeading___Toc10579740_73709187">
            <w:r>
              <w:rPr>
                <w:webHidden/>
                <w:rStyle w:val="IndexLink"/>
                <w:rtl w:val="true"/>
              </w:rPr>
              <w:t>وجوبُ الخُمس في الكنوز</w:t>
            </w:r>
            <w:r>
              <w:rPr>
                <w:rStyle w:val="IndexLink"/>
                <w:rtl w:val="true"/>
              </w:rPr>
              <w:tab/>
            </w:r>
            <w:r>
              <w:rPr>
                <w:rStyle w:val="IndexLink"/>
              </w:rPr>
              <w:t>107</w:t>
            </w:r>
          </w:hyperlink>
        </w:p>
        <w:p>
          <w:pPr>
            <w:pStyle w:val="Contents3"/>
            <w:tabs>
              <w:tab w:val="clear" w:pos="8459"/>
              <w:tab w:val="right" w:pos="9026" w:leader="dot"/>
            </w:tabs>
            <w:rPr/>
          </w:pPr>
          <w:hyperlink w:anchor="__RefHeading___Toc10579742_73709187">
            <w:r>
              <w:rPr>
                <w:webHidden/>
                <w:rStyle w:val="IndexLink"/>
                <w:rtl w:val="true"/>
              </w:rPr>
              <w:t>تعريف الكنز</w:t>
            </w:r>
            <w:r>
              <w:rPr>
                <w:rStyle w:val="IndexLink"/>
                <w:rtl w:val="true"/>
              </w:rPr>
              <w:tab/>
            </w:r>
            <w:r>
              <w:rPr>
                <w:rStyle w:val="IndexLink"/>
              </w:rPr>
              <w:t>108</w:t>
            </w:r>
          </w:hyperlink>
        </w:p>
        <w:p>
          <w:pPr>
            <w:pStyle w:val="Contents3"/>
            <w:tabs>
              <w:tab w:val="clear" w:pos="8459"/>
              <w:tab w:val="right" w:pos="9026" w:leader="dot"/>
            </w:tabs>
            <w:rPr/>
          </w:pPr>
          <w:hyperlink w:anchor="__RefHeading___Toc10579744_73709187">
            <w:r>
              <w:rPr>
                <w:webHidden/>
                <w:rStyle w:val="IndexLink"/>
                <w:rtl w:val="true"/>
              </w:rPr>
              <w:t>أقسام الكَنز</w:t>
            </w:r>
            <w:r>
              <w:rPr>
                <w:rStyle w:val="IndexLink"/>
                <w:rtl w:val="true"/>
              </w:rPr>
              <w:tab/>
            </w:r>
            <w:r>
              <w:rPr>
                <w:rStyle w:val="IndexLink"/>
              </w:rPr>
              <w:t>111</w:t>
            </w:r>
          </w:hyperlink>
        </w:p>
        <w:p>
          <w:pPr>
            <w:pStyle w:val="Contents3"/>
            <w:tabs>
              <w:tab w:val="clear" w:pos="8459"/>
              <w:tab w:val="right" w:pos="9026" w:leader="dot"/>
            </w:tabs>
            <w:rPr/>
          </w:pPr>
          <w:hyperlink w:anchor="__RefHeading___Toc10579746_73709187">
            <w:r>
              <w:rPr>
                <w:webHidden/>
                <w:rStyle w:val="IndexLink"/>
                <w:rtl w:val="true"/>
              </w:rPr>
              <w:t>لو كان في أرضٍ مبتاعة مع احتمال كونه للبائع</w:t>
            </w:r>
            <w:r>
              <w:rPr>
                <w:rStyle w:val="IndexLink"/>
                <w:rtl w:val="true"/>
              </w:rPr>
              <w:tab/>
            </w:r>
            <w:r>
              <w:rPr>
                <w:rStyle w:val="IndexLink"/>
              </w:rPr>
              <w:t>118</w:t>
            </w:r>
          </w:hyperlink>
        </w:p>
        <w:p>
          <w:pPr>
            <w:pStyle w:val="Contents3"/>
            <w:tabs>
              <w:tab w:val="clear" w:pos="8459"/>
              <w:tab w:val="right" w:pos="9026" w:leader="dot"/>
            </w:tabs>
            <w:rPr/>
          </w:pPr>
          <w:hyperlink w:anchor="__RefHeading___Toc10579748_73709187">
            <w:r>
              <w:rPr>
                <w:webHidden/>
                <w:rStyle w:val="IndexLink"/>
                <w:rtl w:val="true"/>
              </w:rPr>
              <w:t>لو وجد الكنز في مِلْك الغير فروع</w:t>
            </w:r>
            <w:r>
              <w:rPr>
                <w:rStyle w:val="IndexLink"/>
                <w:rtl w:val="true"/>
              </w:rPr>
              <w:t>:</w:t>
              <w:tab/>
            </w:r>
            <w:r>
              <w:rPr>
                <w:rStyle w:val="IndexLink"/>
              </w:rPr>
              <w:t>123</w:t>
            </w:r>
          </w:hyperlink>
        </w:p>
        <w:p>
          <w:pPr>
            <w:pStyle w:val="Contents3"/>
            <w:tabs>
              <w:tab w:val="clear" w:pos="8459"/>
              <w:tab w:val="right" w:pos="9026" w:leader="dot"/>
            </w:tabs>
            <w:rPr/>
          </w:pPr>
          <w:hyperlink w:anchor="__RefHeading___Toc10579750_73709187">
            <w:r>
              <w:rPr>
                <w:webHidden/>
                <w:rStyle w:val="IndexLink"/>
                <w:rtl w:val="true"/>
              </w:rPr>
              <w:t>التداعي في ملكيّة الكَنز</w:t>
            </w:r>
            <w:r>
              <w:rPr>
                <w:rStyle w:val="IndexLink"/>
                <w:rtl w:val="true"/>
              </w:rPr>
              <w:tab/>
            </w:r>
            <w:r>
              <w:rPr>
                <w:rStyle w:val="IndexLink"/>
              </w:rPr>
              <w:t>125</w:t>
            </w:r>
          </w:hyperlink>
        </w:p>
        <w:p>
          <w:pPr>
            <w:pStyle w:val="Contents3"/>
            <w:tabs>
              <w:tab w:val="clear" w:pos="8459"/>
              <w:tab w:val="right" w:pos="9026" w:leader="dot"/>
            </w:tabs>
            <w:rPr/>
          </w:pPr>
          <w:hyperlink w:anchor="__RefHeading___Toc10579752_73709187">
            <w:r>
              <w:rPr>
                <w:webHidden/>
                <w:rStyle w:val="IndexLink"/>
                <w:rtl w:val="true"/>
              </w:rPr>
              <w:t>لو علم كون الكنز لمسلم</w:t>
            </w:r>
            <w:r>
              <w:rPr>
                <w:rStyle w:val="IndexLink"/>
                <w:rtl w:val="true"/>
              </w:rPr>
              <w:tab/>
            </w:r>
            <w:r>
              <w:rPr>
                <w:rStyle w:val="IndexLink"/>
              </w:rPr>
              <w:t>129</w:t>
            </w:r>
          </w:hyperlink>
        </w:p>
        <w:p>
          <w:pPr>
            <w:pStyle w:val="Contents3"/>
            <w:tabs>
              <w:tab w:val="clear" w:pos="8459"/>
              <w:tab w:val="right" w:pos="9026" w:leader="dot"/>
            </w:tabs>
            <w:rPr/>
          </w:pPr>
          <w:hyperlink w:anchor="__RefHeading___Toc10579754_73709187">
            <w:r>
              <w:rPr>
                <w:webHidden/>
                <w:rStyle w:val="IndexLink"/>
                <w:rtl w:val="true"/>
              </w:rPr>
              <w:t>حكم ما في جوف الدابّة</w:t>
            </w:r>
            <w:r>
              <w:rPr>
                <w:rStyle w:val="IndexLink"/>
                <w:rtl w:val="true"/>
              </w:rPr>
              <w:tab/>
            </w:r>
            <w:r>
              <w:rPr>
                <w:rStyle w:val="IndexLink"/>
              </w:rPr>
              <w:t>130</w:t>
            </w:r>
          </w:hyperlink>
        </w:p>
        <w:p>
          <w:pPr>
            <w:pStyle w:val="Contents3"/>
            <w:tabs>
              <w:tab w:val="clear" w:pos="8459"/>
              <w:tab w:val="right" w:pos="9026" w:leader="dot"/>
            </w:tabs>
            <w:rPr/>
          </w:pPr>
          <w:hyperlink w:anchor="__RefHeading___Toc10579756_73709187">
            <w:r>
              <w:rPr>
                <w:webHidden/>
                <w:rStyle w:val="IndexLink"/>
                <w:rtl w:val="true"/>
              </w:rPr>
              <w:t>الأرض التي اشتراها الذّمي من المُسلم</w:t>
            </w:r>
            <w:r>
              <w:rPr>
                <w:rStyle w:val="IndexLink"/>
                <w:rtl w:val="true"/>
              </w:rPr>
              <w:tab/>
            </w:r>
            <w:r>
              <w:rPr>
                <w:rStyle w:val="IndexLink"/>
              </w:rPr>
              <w:t>134</w:t>
            </w:r>
          </w:hyperlink>
        </w:p>
        <w:p>
          <w:pPr>
            <w:pStyle w:val="Contents3"/>
            <w:tabs>
              <w:tab w:val="clear" w:pos="8459"/>
              <w:tab w:val="right" w:pos="9026" w:leader="dot"/>
            </w:tabs>
            <w:rPr/>
          </w:pPr>
          <w:hyperlink w:anchor="__RefHeading___Toc10579758_73709187">
            <w:r>
              <w:rPr>
                <w:webHidden/>
                <w:rStyle w:val="IndexLink"/>
                <w:rtl w:val="true"/>
              </w:rPr>
              <w:t>ثبوت الخُمس في الأرض سواءٌ أكانت مزرعاً أو مسكناً</w:t>
            </w:r>
            <w:r>
              <w:rPr>
                <w:rStyle w:val="IndexLink"/>
                <w:rtl w:val="true"/>
              </w:rPr>
              <w:tab/>
            </w:r>
            <w:r>
              <w:rPr>
                <w:rStyle w:val="IndexLink"/>
              </w:rPr>
              <w:t>136</w:t>
            </w:r>
          </w:hyperlink>
        </w:p>
        <w:p>
          <w:pPr>
            <w:pStyle w:val="Contents3"/>
            <w:tabs>
              <w:tab w:val="clear" w:pos="8459"/>
              <w:tab w:val="right" w:pos="9026" w:leader="dot"/>
            </w:tabs>
            <w:rPr/>
          </w:pPr>
          <w:hyperlink w:anchor="__RefHeading___Toc10579760_73709187">
            <w:r>
              <w:rPr>
                <w:webHidden/>
                <w:rStyle w:val="IndexLink"/>
                <w:rtl w:val="true"/>
              </w:rPr>
              <w:t>الأرض المفتوحة عنوة</w:t>
            </w:r>
            <w:r>
              <w:rPr>
                <w:rStyle w:val="IndexLink"/>
                <w:rtl w:val="true"/>
              </w:rPr>
              <w:tab/>
            </w:r>
            <w:r>
              <w:rPr>
                <w:rStyle w:val="IndexLink"/>
              </w:rPr>
              <w:t>138</w:t>
            </w:r>
          </w:hyperlink>
        </w:p>
        <w:p>
          <w:pPr>
            <w:pStyle w:val="Contents3"/>
            <w:tabs>
              <w:tab w:val="clear" w:pos="8459"/>
              <w:tab w:val="right" w:pos="9026" w:leader="dot"/>
            </w:tabs>
            <w:rPr/>
          </w:pPr>
          <w:hyperlink w:anchor="__RefHeading___Toc10579762_73709187">
            <w:r>
              <w:rPr>
                <w:webHidden/>
                <w:rStyle w:val="IndexLink"/>
                <w:rtl w:val="true"/>
              </w:rPr>
              <w:t>عدم سقوط هذا الخُمس بالإقالة والفسخ</w:t>
            </w:r>
            <w:r>
              <w:rPr>
                <w:rStyle w:val="IndexLink"/>
                <w:rtl w:val="true"/>
              </w:rPr>
              <w:tab/>
            </w:r>
            <w:r>
              <w:rPr>
                <w:rStyle w:val="IndexLink"/>
              </w:rPr>
              <w:t>140</w:t>
            </w:r>
          </w:hyperlink>
        </w:p>
        <w:p>
          <w:pPr>
            <w:pStyle w:val="Contents3"/>
            <w:tabs>
              <w:tab w:val="clear" w:pos="8459"/>
              <w:tab w:val="right" w:pos="9026" w:leader="dot"/>
            </w:tabs>
            <w:rPr/>
          </w:pPr>
          <w:hyperlink w:anchor="__RefHeading___Toc10579764_73709187">
            <w:r>
              <w:rPr>
                <w:webHidden/>
                <w:rStyle w:val="IndexLink"/>
                <w:rtl w:val="true"/>
              </w:rPr>
              <w:t>الحلال المختلط بالحرام</w:t>
            </w:r>
            <w:r>
              <w:rPr>
                <w:rStyle w:val="IndexLink"/>
                <w:rtl w:val="true"/>
              </w:rPr>
              <w:tab/>
            </w:r>
            <w:r>
              <w:rPr>
                <w:rStyle w:val="IndexLink"/>
              </w:rPr>
              <w:t>143</w:t>
            </w:r>
          </w:hyperlink>
        </w:p>
        <w:p>
          <w:pPr>
            <w:pStyle w:val="Contents3"/>
            <w:tabs>
              <w:tab w:val="clear" w:pos="8459"/>
              <w:tab w:val="right" w:pos="9026" w:leader="dot"/>
            </w:tabs>
            <w:rPr/>
          </w:pPr>
          <w:hyperlink w:anchor="__RefHeading___Toc10579766_73709187">
            <w:r>
              <w:rPr>
                <w:webHidden/>
                <w:rStyle w:val="IndexLink"/>
                <w:rtl w:val="true"/>
              </w:rPr>
              <w:t>مصرف هذا الخُمس مصرف سائر الأخماس</w:t>
            </w:r>
            <w:r>
              <w:rPr>
                <w:rStyle w:val="IndexLink"/>
                <w:rtl w:val="true"/>
              </w:rPr>
              <w:tab/>
            </w:r>
            <w:r>
              <w:rPr>
                <w:rStyle w:val="IndexLink"/>
              </w:rPr>
              <w:t>148</w:t>
            </w:r>
          </w:hyperlink>
        </w:p>
        <w:p>
          <w:pPr>
            <w:pStyle w:val="Contents3"/>
            <w:tabs>
              <w:tab w:val="clear" w:pos="8459"/>
              <w:tab w:val="right" w:pos="9026" w:leader="dot"/>
            </w:tabs>
            <w:rPr/>
          </w:pPr>
          <w:hyperlink w:anchor="__RefHeading___Toc10579768_73709187">
            <w:r>
              <w:rPr>
                <w:webHidden/>
                <w:rStyle w:val="IndexLink"/>
                <w:rtl w:val="true"/>
              </w:rPr>
              <w:t>الحرام المخلوط بالحلال مع العلم بقدره</w:t>
            </w:r>
            <w:r>
              <w:rPr>
                <w:rStyle w:val="IndexLink"/>
                <w:rtl w:val="true"/>
              </w:rPr>
              <w:tab/>
            </w:r>
            <w:r>
              <w:rPr>
                <w:rStyle w:val="IndexLink"/>
              </w:rPr>
              <w:t>150</w:t>
            </w:r>
          </w:hyperlink>
        </w:p>
        <w:p>
          <w:pPr>
            <w:pStyle w:val="Contents3"/>
            <w:tabs>
              <w:tab w:val="clear" w:pos="8459"/>
              <w:tab w:val="right" w:pos="9026" w:leader="dot"/>
            </w:tabs>
            <w:rPr/>
          </w:pPr>
          <w:hyperlink w:anchor="__RefHeading___Toc10579770_73709187">
            <w:r>
              <w:rPr>
                <w:webHidden/>
                <w:rStyle w:val="IndexLink"/>
                <w:rtl w:val="true"/>
              </w:rPr>
              <w:t>إذا عرف المالك وجَهل المقدار</w:t>
            </w:r>
            <w:r>
              <w:rPr>
                <w:rStyle w:val="IndexLink"/>
                <w:rtl w:val="true"/>
              </w:rPr>
              <w:tab/>
            </w:r>
            <w:r>
              <w:rPr>
                <w:rStyle w:val="IndexLink"/>
              </w:rPr>
              <w:t>157</w:t>
            </w:r>
          </w:hyperlink>
        </w:p>
        <w:p>
          <w:pPr>
            <w:pStyle w:val="Contents3"/>
            <w:tabs>
              <w:tab w:val="clear" w:pos="8459"/>
              <w:tab w:val="right" w:pos="9026" w:leader="dot"/>
            </w:tabs>
            <w:rPr/>
          </w:pPr>
          <w:hyperlink w:anchor="__RefHeading___Toc10579772_73709187">
            <w:r>
              <w:rPr>
                <w:webHidden/>
                <w:rStyle w:val="IndexLink"/>
                <w:rtl w:val="true"/>
              </w:rPr>
              <w:t>إذا كان كلّ من المالك والمقدار مجهولاً</w:t>
            </w:r>
            <w:r>
              <w:rPr>
                <w:rStyle w:val="IndexLink"/>
                <w:rtl w:val="true"/>
              </w:rPr>
              <w:tab/>
            </w:r>
            <w:r>
              <w:rPr>
                <w:rStyle w:val="IndexLink"/>
              </w:rPr>
              <w:t>160</w:t>
            </w:r>
          </w:hyperlink>
        </w:p>
        <w:p>
          <w:pPr>
            <w:pStyle w:val="Contents3"/>
            <w:tabs>
              <w:tab w:val="clear" w:pos="8459"/>
              <w:tab w:val="right" w:pos="9026" w:leader="dot"/>
            </w:tabs>
            <w:rPr/>
          </w:pPr>
          <w:hyperlink w:anchor="__RefHeading___Toc10579774_73709187">
            <w:r>
              <w:rPr>
                <w:webHidden/>
                <w:rStyle w:val="IndexLink"/>
                <w:rtl w:val="true"/>
              </w:rPr>
              <w:t>حكم العلم بمقدار الحرام مع الجهل بصاحبه</w:t>
            </w:r>
            <w:r>
              <w:rPr>
                <w:rStyle w:val="IndexLink"/>
                <w:rtl w:val="true"/>
              </w:rPr>
              <w:tab/>
            </w:r>
            <w:r>
              <w:rPr>
                <w:rStyle w:val="IndexLink"/>
              </w:rPr>
              <w:t>163</w:t>
            </w:r>
          </w:hyperlink>
        </w:p>
        <w:p>
          <w:pPr>
            <w:pStyle w:val="Contents3"/>
            <w:tabs>
              <w:tab w:val="clear" w:pos="8459"/>
              <w:tab w:val="right" w:pos="9026" w:leader="dot"/>
            </w:tabs>
            <w:rPr/>
          </w:pPr>
          <w:hyperlink w:anchor="__RefHeading___Toc10579776_73709187">
            <w:r>
              <w:rPr>
                <w:webHidden/>
                <w:rStyle w:val="IndexLink"/>
                <w:rtl w:val="true"/>
              </w:rPr>
              <w:t>ثبوت حقّ الغير في الذّمة</w:t>
            </w:r>
            <w:r>
              <w:rPr>
                <w:rStyle w:val="IndexLink"/>
                <w:rtl w:val="true"/>
              </w:rPr>
              <w:tab/>
            </w:r>
            <w:r>
              <w:rPr>
                <w:rStyle w:val="IndexLink"/>
              </w:rPr>
              <w:t>166</w:t>
            </w:r>
          </w:hyperlink>
        </w:p>
        <w:p>
          <w:pPr>
            <w:pStyle w:val="Contents3"/>
            <w:tabs>
              <w:tab w:val="clear" w:pos="8459"/>
              <w:tab w:val="right" w:pos="9026" w:leader="dot"/>
            </w:tabs>
            <w:rPr/>
          </w:pPr>
          <w:hyperlink w:anchor="__RefHeading___Toc10579778_73709187">
            <w:r>
              <w:rPr>
                <w:webHidden/>
                <w:rStyle w:val="IndexLink"/>
                <w:rtl w:val="true"/>
              </w:rPr>
              <w:t>لو تبيّن المالك بعد إخراج الخُمس</w:t>
            </w:r>
            <w:r>
              <w:rPr>
                <w:rStyle w:val="IndexLink"/>
                <w:rtl w:val="true"/>
              </w:rPr>
              <w:tab/>
            </w:r>
            <w:r>
              <w:rPr>
                <w:rStyle w:val="IndexLink"/>
              </w:rPr>
              <w:t>169</w:t>
            </w:r>
          </w:hyperlink>
        </w:p>
        <w:p>
          <w:pPr>
            <w:pStyle w:val="Contents3"/>
            <w:tabs>
              <w:tab w:val="clear" w:pos="8459"/>
              <w:tab w:val="right" w:pos="9026" w:leader="dot"/>
            </w:tabs>
            <w:rPr/>
          </w:pPr>
          <w:hyperlink w:anchor="__RefHeading___Toc10579780_73709187">
            <w:r>
              <w:rPr>
                <w:webHidden/>
                <w:rStyle w:val="IndexLink"/>
                <w:rtl w:val="true"/>
              </w:rPr>
              <w:t>حكم خلط الحرام المجهول مالكه</w:t>
            </w:r>
            <w:r>
              <w:rPr>
                <w:rStyle w:val="IndexLink"/>
                <w:rtl w:val="true"/>
              </w:rPr>
              <w:tab/>
            </w:r>
            <w:r>
              <w:rPr>
                <w:rStyle w:val="IndexLink"/>
              </w:rPr>
              <w:t>171</w:t>
            </w:r>
          </w:hyperlink>
        </w:p>
        <w:p>
          <w:pPr>
            <w:pStyle w:val="Contents3"/>
            <w:tabs>
              <w:tab w:val="clear" w:pos="8459"/>
              <w:tab w:val="right" w:pos="9026" w:leader="dot"/>
            </w:tabs>
            <w:rPr/>
          </w:pPr>
          <w:hyperlink w:anchor="__RefHeading___Toc10579782_73709187">
            <w:r>
              <w:rPr>
                <w:webHidden/>
                <w:rStyle w:val="IndexLink"/>
                <w:rtl w:val="true"/>
              </w:rPr>
              <w:t>حكم التصرّف في المال المختلط قبل إخراج الخُمس</w:t>
            </w:r>
            <w:r>
              <w:rPr>
                <w:rStyle w:val="IndexLink"/>
                <w:rtl w:val="true"/>
              </w:rPr>
              <w:tab/>
            </w:r>
            <w:r>
              <w:rPr>
                <w:rStyle w:val="IndexLink"/>
              </w:rPr>
              <w:t>174</w:t>
            </w:r>
          </w:hyperlink>
        </w:p>
        <w:p>
          <w:pPr>
            <w:pStyle w:val="Contents3"/>
            <w:tabs>
              <w:tab w:val="clear" w:pos="8459"/>
              <w:tab w:val="right" w:pos="9026" w:leader="dot"/>
            </w:tabs>
            <w:rPr/>
          </w:pPr>
          <w:hyperlink w:anchor="__RefHeading___Toc10579784_73709187">
            <w:r>
              <w:rPr>
                <w:webHidden/>
                <w:rStyle w:val="IndexLink"/>
                <w:rtl w:val="true"/>
              </w:rPr>
              <w:t>البحث عن شرائط وجوب الخُمس نصاب المعدن</w:t>
            </w:r>
            <w:r>
              <w:rPr>
                <w:rStyle w:val="IndexLink"/>
                <w:rtl w:val="true"/>
              </w:rPr>
              <w:tab/>
            </w:r>
            <w:r>
              <w:rPr>
                <w:rStyle w:val="IndexLink"/>
              </w:rPr>
              <w:t>178</w:t>
            </w:r>
          </w:hyperlink>
        </w:p>
        <w:p>
          <w:pPr>
            <w:pStyle w:val="Contents3"/>
            <w:tabs>
              <w:tab w:val="clear" w:pos="8459"/>
              <w:tab w:val="right" w:pos="9026" w:leader="dot"/>
            </w:tabs>
            <w:rPr/>
          </w:pPr>
          <w:hyperlink w:anchor="__RefHeading___Toc10579786_73709187">
            <w:r>
              <w:rPr>
                <w:webHidden/>
                <w:rStyle w:val="IndexLink"/>
                <w:rtl w:val="true"/>
              </w:rPr>
              <w:t>أنّ الخُمس في المعدن بعد المؤونة فروع</w:t>
            </w:r>
            <w:r>
              <w:rPr>
                <w:rStyle w:val="IndexLink"/>
                <w:rtl w:val="true"/>
              </w:rPr>
              <w:t>:</w:t>
              <w:tab/>
            </w:r>
            <w:r>
              <w:rPr>
                <w:rStyle w:val="IndexLink"/>
              </w:rPr>
              <w:t>185</w:t>
            </w:r>
          </w:hyperlink>
        </w:p>
        <w:p>
          <w:pPr>
            <w:pStyle w:val="Contents3"/>
            <w:tabs>
              <w:tab w:val="clear" w:pos="8459"/>
              <w:tab w:val="right" w:pos="9026" w:leader="dot"/>
            </w:tabs>
            <w:rPr/>
          </w:pPr>
          <w:hyperlink w:anchor="__RefHeading___Toc10579788_73709187">
            <w:r>
              <w:rPr>
                <w:webHidden/>
                <w:rStyle w:val="IndexLink"/>
                <w:rtl w:val="true"/>
              </w:rPr>
              <w:t>عدم اعتبار الإخراج دفعة في نصاب المعدن</w:t>
            </w:r>
            <w:r>
              <w:rPr>
                <w:rStyle w:val="IndexLink"/>
                <w:rtl w:val="true"/>
              </w:rPr>
              <w:tab/>
            </w:r>
            <w:r>
              <w:rPr>
                <w:rStyle w:val="IndexLink"/>
              </w:rPr>
              <w:t>188</w:t>
            </w:r>
          </w:hyperlink>
        </w:p>
        <w:p>
          <w:pPr>
            <w:pStyle w:val="Contents3"/>
            <w:tabs>
              <w:tab w:val="clear" w:pos="8459"/>
              <w:tab w:val="right" w:pos="9026" w:leader="dot"/>
            </w:tabs>
            <w:rPr/>
          </w:pPr>
          <w:hyperlink w:anchor="__RefHeading___Toc10579790_73709187">
            <w:r>
              <w:rPr>
                <w:webHidden/>
                <w:rStyle w:val="IndexLink"/>
                <w:rtl w:val="true"/>
              </w:rPr>
              <w:t>الإخراج قبل التصفية</w:t>
            </w:r>
            <w:r>
              <w:rPr>
                <w:rStyle w:val="IndexLink"/>
                <w:rtl w:val="true"/>
              </w:rPr>
              <w:tab/>
            </w:r>
            <w:r>
              <w:rPr>
                <w:rStyle w:val="IndexLink"/>
              </w:rPr>
              <w:t>193</w:t>
            </w:r>
          </w:hyperlink>
        </w:p>
        <w:p>
          <w:pPr>
            <w:pStyle w:val="Contents3"/>
            <w:tabs>
              <w:tab w:val="clear" w:pos="8459"/>
              <w:tab w:val="right" w:pos="9026" w:leader="dot"/>
            </w:tabs>
            <w:rPr/>
          </w:pPr>
          <w:hyperlink w:anchor="__RefHeading___Toc10579792_73709187">
            <w:r>
              <w:rPr>
                <w:webHidden/>
                <w:rStyle w:val="IndexLink"/>
                <w:rtl w:val="true"/>
              </w:rPr>
              <w:t>اعتبار النصاب في الكنز</w:t>
            </w:r>
            <w:r>
              <w:rPr>
                <w:rStyle w:val="IndexLink"/>
                <w:rtl w:val="true"/>
              </w:rPr>
              <w:tab/>
            </w:r>
            <w:r>
              <w:rPr>
                <w:rStyle w:val="IndexLink"/>
              </w:rPr>
              <w:t>195</w:t>
            </w:r>
          </w:hyperlink>
        </w:p>
        <w:p>
          <w:pPr>
            <w:pStyle w:val="Contents3"/>
            <w:tabs>
              <w:tab w:val="clear" w:pos="8459"/>
              <w:tab w:val="right" w:pos="9026" w:leader="dot"/>
            </w:tabs>
            <w:rPr/>
          </w:pPr>
          <w:hyperlink w:anchor="__RefHeading___Toc10579794_73709187">
            <w:r>
              <w:rPr>
                <w:webHidden/>
                <w:rStyle w:val="IndexLink"/>
                <w:rtl w:val="true"/>
              </w:rPr>
              <w:t>اشتراط الزيادة عن المؤونة</w:t>
            </w:r>
            <w:r>
              <w:rPr>
                <w:rStyle w:val="IndexLink"/>
                <w:rtl w:val="true"/>
              </w:rPr>
              <w:tab/>
            </w:r>
            <w:r>
              <w:rPr>
                <w:rStyle w:val="IndexLink"/>
              </w:rPr>
              <w:t>198</w:t>
            </w:r>
          </w:hyperlink>
        </w:p>
        <w:p>
          <w:pPr>
            <w:pStyle w:val="Contents3"/>
            <w:tabs>
              <w:tab w:val="clear" w:pos="8459"/>
              <w:tab w:val="right" w:pos="9026" w:leader="dot"/>
            </w:tabs>
            <w:rPr/>
          </w:pPr>
          <w:hyperlink w:anchor="__RefHeading___Toc10579796_73709187">
            <w:r>
              <w:rPr>
                <w:webHidden/>
                <w:rStyle w:val="IndexLink"/>
                <w:rtl w:val="true"/>
              </w:rPr>
              <w:t>فروع</w:t>
            </w:r>
            <w:r>
              <w:rPr>
                <w:rStyle w:val="IndexLink"/>
                <w:rtl w:val="true"/>
              </w:rPr>
              <w:t>:</w:t>
              <w:tab/>
            </w:r>
            <w:r>
              <w:rPr>
                <w:rStyle w:val="IndexLink"/>
              </w:rPr>
              <w:t>200</w:t>
            </w:r>
          </w:hyperlink>
        </w:p>
        <w:p>
          <w:pPr>
            <w:pStyle w:val="Contents3"/>
            <w:tabs>
              <w:tab w:val="clear" w:pos="8459"/>
              <w:tab w:val="right" w:pos="9026" w:leader="dot"/>
            </w:tabs>
            <w:rPr/>
          </w:pPr>
          <w:hyperlink w:anchor="__RefHeading___Toc10579798_73709187">
            <w:r>
              <w:rPr>
                <w:webHidden/>
                <w:rStyle w:val="IndexLink"/>
                <w:rtl w:val="true"/>
              </w:rPr>
              <w:t>المرجع في المؤونة إلى العرف</w:t>
            </w:r>
            <w:r>
              <w:rPr>
                <w:rStyle w:val="IndexLink"/>
                <w:rtl w:val="true"/>
              </w:rPr>
              <w:tab/>
            </w:r>
            <w:r>
              <w:rPr>
                <w:rStyle w:val="IndexLink"/>
              </w:rPr>
              <w:t>200</w:t>
            </w:r>
          </w:hyperlink>
        </w:p>
        <w:p>
          <w:pPr>
            <w:pStyle w:val="Contents3"/>
            <w:tabs>
              <w:tab w:val="clear" w:pos="8459"/>
              <w:tab w:val="right" w:pos="9026" w:leader="dot"/>
            </w:tabs>
            <w:rPr/>
          </w:pPr>
          <w:hyperlink w:anchor="__RefHeading___Toc10579800_73709187">
            <w:r>
              <w:rPr>
                <w:webHidden/>
                <w:rStyle w:val="IndexLink"/>
                <w:rtl w:val="true"/>
              </w:rPr>
              <w:t>ما ينتفع به مع بقاء عينه</w:t>
            </w:r>
            <w:r>
              <w:rPr>
                <w:rStyle w:val="IndexLink"/>
                <w:rtl w:val="true"/>
              </w:rPr>
              <w:tab/>
            </w:r>
            <w:r>
              <w:rPr>
                <w:rStyle w:val="IndexLink"/>
              </w:rPr>
              <w:t>203</w:t>
            </w:r>
          </w:hyperlink>
        </w:p>
        <w:p>
          <w:pPr>
            <w:pStyle w:val="Contents3"/>
            <w:tabs>
              <w:tab w:val="clear" w:pos="8459"/>
              <w:tab w:val="right" w:pos="9026" w:leader="dot"/>
            </w:tabs>
            <w:rPr/>
          </w:pPr>
          <w:hyperlink w:anchor="__RefHeading___Toc10579802_73709187">
            <w:r>
              <w:rPr>
                <w:webHidden/>
                <w:rStyle w:val="IndexLink"/>
                <w:rtl w:val="true"/>
              </w:rPr>
              <w:t>لا تُخرَج المؤونة من مالٍ لا خُمس فيه</w:t>
            </w:r>
            <w:r>
              <w:rPr>
                <w:rStyle w:val="IndexLink"/>
                <w:rtl w:val="true"/>
              </w:rPr>
              <w:tab/>
            </w:r>
            <w:r>
              <w:rPr>
                <w:rStyle w:val="IndexLink"/>
              </w:rPr>
              <w:t>206</w:t>
            </w:r>
          </w:hyperlink>
        </w:p>
        <w:p>
          <w:pPr>
            <w:pStyle w:val="Contents3"/>
            <w:tabs>
              <w:tab w:val="clear" w:pos="8459"/>
              <w:tab w:val="right" w:pos="9026" w:leader="dot"/>
            </w:tabs>
            <w:rPr/>
          </w:pPr>
          <w:hyperlink w:anchor="__RefHeading___Toc10579804_73709187">
            <w:r>
              <w:rPr>
                <w:webHidden/>
                <w:rStyle w:val="IndexLink"/>
                <w:rtl w:val="true"/>
              </w:rPr>
              <w:t>لو قتَّر على نفسه</w:t>
            </w:r>
            <w:r>
              <w:rPr>
                <w:rStyle w:val="IndexLink"/>
                <w:rtl w:val="true"/>
              </w:rPr>
              <w:tab/>
            </w:r>
            <w:r>
              <w:rPr>
                <w:rStyle w:val="IndexLink"/>
              </w:rPr>
              <w:t>209</w:t>
            </w:r>
          </w:hyperlink>
        </w:p>
        <w:p>
          <w:pPr>
            <w:pStyle w:val="Contents3"/>
            <w:tabs>
              <w:tab w:val="clear" w:pos="8459"/>
              <w:tab w:val="right" w:pos="9026" w:leader="dot"/>
            </w:tabs>
            <w:rPr/>
          </w:pPr>
          <w:hyperlink w:anchor="__RefHeading___Toc10579806_73709187">
            <w:r>
              <w:rPr>
                <w:webHidden/>
                <w:rStyle w:val="IndexLink"/>
                <w:rtl w:val="true"/>
              </w:rPr>
              <w:t>مصارف الحجّ من مؤونة عام الإستطاعة</w:t>
            </w:r>
            <w:r>
              <w:rPr>
                <w:rStyle w:val="IndexLink"/>
                <w:rtl w:val="true"/>
              </w:rPr>
              <w:tab/>
            </w:r>
            <w:r>
              <w:rPr>
                <w:rStyle w:val="IndexLink"/>
              </w:rPr>
              <w:t>211</w:t>
            </w:r>
          </w:hyperlink>
        </w:p>
        <w:p>
          <w:pPr>
            <w:pStyle w:val="Contents3"/>
            <w:tabs>
              <w:tab w:val="clear" w:pos="8459"/>
              <w:tab w:val="right" w:pos="9026" w:leader="dot"/>
            </w:tabs>
            <w:rPr/>
          </w:pPr>
          <w:hyperlink w:anchor="__RefHeading___Toc10579808_73709187">
            <w:r>
              <w:rPr>
                <w:webHidden/>
                <w:rStyle w:val="IndexLink"/>
                <w:rtl w:val="true"/>
              </w:rPr>
              <w:t>حكم أداء الدَّين</w:t>
            </w:r>
            <w:r>
              <w:rPr>
                <w:rStyle w:val="IndexLink"/>
                <w:rtl w:val="true"/>
              </w:rPr>
              <w:tab/>
            </w:r>
            <w:r>
              <w:rPr>
                <w:rStyle w:val="IndexLink"/>
              </w:rPr>
              <w:t>212</w:t>
            </w:r>
          </w:hyperlink>
        </w:p>
        <w:p>
          <w:pPr>
            <w:pStyle w:val="Contents3"/>
            <w:tabs>
              <w:tab w:val="clear" w:pos="8459"/>
              <w:tab w:val="right" w:pos="9026" w:leader="dot"/>
            </w:tabs>
            <w:rPr/>
          </w:pPr>
          <w:hyperlink w:anchor="__RefHeading___Toc10579810_73709187">
            <w:r>
              <w:rPr>
                <w:webHidden/>
                <w:rStyle w:val="IndexLink"/>
                <w:rtl w:val="true"/>
              </w:rPr>
              <w:t>وقت تعلّق الخُمس</w:t>
            </w:r>
            <w:r>
              <w:rPr>
                <w:rStyle w:val="IndexLink"/>
                <w:rtl w:val="true"/>
              </w:rPr>
              <w:tab/>
            </w:r>
            <w:r>
              <w:rPr>
                <w:rStyle w:val="IndexLink"/>
              </w:rPr>
              <w:t>216</w:t>
            </w:r>
          </w:hyperlink>
        </w:p>
        <w:p>
          <w:pPr>
            <w:pStyle w:val="Contents3"/>
            <w:tabs>
              <w:tab w:val="clear" w:pos="8459"/>
              <w:tab w:val="right" w:pos="9026" w:leader="dot"/>
            </w:tabs>
            <w:rPr/>
          </w:pPr>
          <w:hyperlink w:anchor="__RefHeading___Toc10579812_73709187">
            <w:r>
              <w:rPr>
                <w:webHidden/>
                <w:rStyle w:val="IndexLink"/>
                <w:rtl w:val="true"/>
              </w:rPr>
              <w:t>الخسران أو التلف يُجبر بالربح</w:t>
            </w:r>
            <w:r>
              <w:rPr>
                <w:rStyle w:val="IndexLink"/>
                <w:rtl w:val="true"/>
              </w:rPr>
              <w:tab/>
            </w:r>
            <w:r>
              <w:rPr>
                <w:rStyle w:val="IndexLink"/>
              </w:rPr>
              <w:t>219</w:t>
            </w:r>
          </w:hyperlink>
        </w:p>
        <w:p>
          <w:pPr>
            <w:pStyle w:val="Contents3"/>
            <w:tabs>
              <w:tab w:val="clear" w:pos="8459"/>
              <w:tab w:val="right" w:pos="9026" w:leader="dot"/>
            </w:tabs>
            <w:rPr/>
          </w:pPr>
          <w:hyperlink w:anchor="__RefHeading___Toc10579814_73709187">
            <w:r>
              <w:rPr>
                <w:webHidden/>
                <w:rStyle w:val="IndexLink"/>
                <w:rtl w:val="true"/>
              </w:rPr>
              <w:t>الخُمس متعلّق بالعين</w:t>
            </w:r>
            <w:r>
              <w:rPr>
                <w:rStyle w:val="IndexLink"/>
                <w:rtl w:val="true"/>
              </w:rPr>
              <w:tab/>
            </w:r>
            <w:r>
              <w:rPr>
                <w:rStyle w:val="IndexLink"/>
              </w:rPr>
              <w:t>222</w:t>
            </w:r>
          </w:hyperlink>
        </w:p>
        <w:p>
          <w:pPr>
            <w:pStyle w:val="Contents3"/>
            <w:tabs>
              <w:tab w:val="clear" w:pos="8459"/>
              <w:tab w:val="right" w:pos="9026" w:leader="dot"/>
            </w:tabs>
            <w:rPr/>
          </w:pPr>
          <w:hyperlink w:anchor="__RefHeading___Toc10579816_73709187">
            <w:r>
              <w:rPr>
                <w:webHidden/>
                <w:rStyle w:val="IndexLink"/>
                <w:rtl w:val="true"/>
              </w:rPr>
              <w:t>حُكم ربح ما تعلّق به الخُمس</w:t>
            </w:r>
            <w:r>
              <w:rPr>
                <w:rStyle w:val="IndexLink"/>
                <w:rtl w:val="true"/>
              </w:rPr>
              <w:tab/>
            </w:r>
            <w:r>
              <w:rPr>
                <w:rStyle w:val="IndexLink"/>
              </w:rPr>
              <w:t>226</w:t>
            </w:r>
          </w:hyperlink>
        </w:p>
        <w:p>
          <w:pPr>
            <w:pStyle w:val="Contents3"/>
            <w:tabs>
              <w:tab w:val="clear" w:pos="8459"/>
              <w:tab w:val="right" w:pos="9026" w:leader="dot"/>
            </w:tabs>
            <w:rPr/>
          </w:pPr>
          <w:hyperlink w:anchor="__RefHeading___Toc10579818_73709187">
            <w:r>
              <w:rPr>
                <w:webHidden/>
                <w:rStyle w:val="IndexLink"/>
                <w:rtl w:val="true"/>
              </w:rPr>
              <w:t>جواز تعجيل إخراج خُمس الأرباح</w:t>
            </w:r>
            <w:r>
              <w:rPr>
                <w:rStyle w:val="IndexLink"/>
                <w:rtl w:val="true"/>
              </w:rPr>
              <w:tab/>
            </w:r>
            <w:r>
              <w:rPr>
                <w:rStyle w:val="IndexLink"/>
              </w:rPr>
              <w:t>228</w:t>
            </w:r>
          </w:hyperlink>
        </w:p>
        <w:p>
          <w:pPr>
            <w:pStyle w:val="Contents3"/>
            <w:tabs>
              <w:tab w:val="clear" w:pos="8459"/>
              <w:tab w:val="right" w:pos="9026" w:leader="dot"/>
            </w:tabs>
            <w:rPr/>
          </w:pPr>
          <w:hyperlink w:anchor="__RefHeading___Toc10579820_73709187">
            <w:r>
              <w:rPr>
                <w:webHidden/>
                <w:rStyle w:val="IndexLink"/>
                <w:rtl w:val="true"/>
              </w:rPr>
              <w:t>عدم اشتراط الكمال في تعلّق الخُمس</w:t>
            </w:r>
            <w:r>
              <w:rPr>
                <w:rStyle w:val="IndexLink"/>
                <w:rtl w:val="true"/>
              </w:rPr>
              <w:tab/>
            </w:r>
            <w:r>
              <w:rPr>
                <w:rStyle w:val="IndexLink"/>
              </w:rPr>
              <w:t>231</w:t>
            </w:r>
          </w:hyperlink>
        </w:p>
        <w:p>
          <w:pPr>
            <w:pStyle w:val="Contents3"/>
            <w:tabs>
              <w:tab w:val="clear" w:pos="8459"/>
              <w:tab w:val="right" w:pos="9026" w:leader="dot"/>
            </w:tabs>
            <w:rPr/>
          </w:pPr>
          <w:hyperlink w:anchor="__RefHeading___Toc10579822_73709187">
            <w:r>
              <w:rPr>
                <w:webHidden/>
                <w:rStyle w:val="IndexLink"/>
                <w:rtl w:val="true"/>
              </w:rPr>
              <w:t>قسمة الخُمس ومستحقّه</w:t>
            </w:r>
            <w:r>
              <w:rPr>
                <w:rStyle w:val="IndexLink"/>
                <w:rtl w:val="true"/>
              </w:rPr>
              <w:tab/>
            </w:r>
            <w:r>
              <w:rPr>
                <w:rStyle w:val="IndexLink"/>
              </w:rPr>
              <w:t>234</w:t>
            </w:r>
          </w:hyperlink>
        </w:p>
        <w:p>
          <w:pPr>
            <w:pStyle w:val="Contents3"/>
            <w:tabs>
              <w:tab w:val="clear" w:pos="8459"/>
              <w:tab w:val="right" w:pos="9026" w:leader="dot"/>
            </w:tabs>
            <w:rPr/>
          </w:pPr>
          <w:hyperlink w:anchor="__RefHeading___Toc10579824_73709187">
            <w:r>
              <w:rPr>
                <w:webHidden/>
                <w:rStyle w:val="IndexLink"/>
                <w:rtl w:val="true"/>
              </w:rPr>
              <w:t>ما قبضه النبيّ صلى الله عليه و آله أو الإمام عليه السلام ينتقل إلى وارثه</w:t>
            </w:r>
            <w:r>
              <w:rPr>
                <w:rStyle w:val="IndexLink"/>
                <w:rtl w:val="true"/>
              </w:rPr>
              <w:tab/>
            </w:r>
            <w:r>
              <w:rPr>
                <w:rStyle w:val="IndexLink"/>
              </w:rPr>
              <w:t>241</w:t>
            </w:r>
          </w:hyperlink>
        </w:p>
        <w:p>
          <w:pPr>
            <w:pStyle w:val="Contents3"/>
            <w:tabs>
              <w:tab w:val="clear" w:pos="8459"/>
              <w:tab w:val="right" w:pos="9026" w:leader="dot"/>
            </w:tabs>
            <w:rPr/>
          </w:pPr>
          <w:hyperlink w:anchor="__RefHeading___Toc10579826_73709187">
            <w:r>
              <w:rPr>
                <w:webHidden/>
                <w:rStyle w:val="IndexLink"/>
                <w:rtl w:val="true"/>
              </w:rPr>
              <w:t>حُكم نقل الخُمس مع وجود المستحقّ‌</w:t>
            </w:r>
            <w:r>
              <w:rPr>
                <w:rStyle w:val="IndexLink"/>
                <w:rtl w:val="true"/>
              </w:rPr>
              <w:tab/>
            </w:r>
            <w:r>
              <w:rPr>
                <w:rStyle w:val="IndexLink"/>
              </w:rPr>
              <w:t>244</w:t>
            </w:r>
          </w:hyperlink>
        </w:p>
        <w:p>
          <w:pPr>
            <w:pStyle w:val="Contents3"/>
            <w:tabs>
              <w:tab w:val="clear" w:pos="8459"/>
              <w:tab w:val="right" w:pos="9026" w:leader="dot"/>
            </w:tabs>
            <w:rPr/>
          </w:pPr>
          <w:hyperlink w:anchor="__RefHeading___Toc10579828_73709187">
            <w:r>
              <w:rPr>
                <w:webHidden/>
                <w:rStyle w:val="IndexLink"/>
                <w:rtl w:val="true"/>
              </w:rPr>
              <w:t>لا يجب البسط على الأصناف</w:t>
            </w:r>
            <w:r>
              <w:rPr>
                <w:rStyle w:val="IndexLink"/>
                <w:rtl w:val="true"/>
              </w:rPr>
              <w:tab/>
            </w:r>
            <w:r>
              <w:rPr>
                <w:rStyle w:val="IndexLink"/>
              </w:rPr>
              <w:t>247</w:t>
            </w:r>
          </w:hyperlink>
        </w:p>
        <w:p>
          <w:pPr>
            <w:pStyle w:val="Contents3"/>
            <w:tabs>
              <w:tab w:val="clear" w:pos="8459"/>
              <w:tab w:val="right" w:pos="9026" w:leader="dot"/>
            </w:tabs>
            <w:rPr/>
          </w:pPr>
          <w:hyperlink w:anchor="__RefHeading___Toc10579830_73709187">
            <w:r>
              <w:rPr>
                <w:webHidden/>
                <w:rStyle w:val="IndexLink"/>
                <w:rtl w:val="true"/>
              </w:rPr>
              <w:t>في وجوب استيعاب الأفراد وعدمه</w:t>
            </w:r>
            <w:r>
              <w:rPr>
                <w:rStyle w:val="IndexLink"/>
                <w:rtl w:val="true"/>
              </w:rPr>
              <w:tab/>
            </w:r>
            <w:r>
              <w:rPr>
                <w:rStyle w:val="IndexLink"/>
              </w:rPr>
              <w:t>251</w:t>
            </w:r>
          </w:hyperlink>
        </w:p>
        <w:p>
          <w:pPr>
            <w:pStyle w:val="Contents3"/>
            <w:tabs>
              <w:tab w:val="clear" w:pos="8459"/>
              <w:tab w:val="right" w:pos="9026" w:leader="dot"/>
            </w:tabs>
            <w:rPr/>
          </w:pPr>
          <w:hyperlink w:anchor="__RefHeading___Toc10579832_73709187">
            <w:r>
              <w:rPr>
                <w:webHidden/>
                <w:rStyle w:val="IndexLink"/>
                <w:rtl w:val="true"/>
              </w:rPr>
              <w:t>اختصاص الخُمس بولد عبد المطّلب</w:t>
            </w:r>
            <w:r>
              <w:rPr>
                <w:rStyle w:val="IndexLink"/>
                <w:rtl w:val="true"/>
              </w:rPr>
              <w:tab/>
            </w:r>
            <w:r>
              <w:rPr>
                <w:rStyle w:val="IndexLink"/>
              </w:rPr>
              <w:t>252</w:t>
            </w:r>
          </w:hyperlink>
        </w:p>
        <w:p>
          <w:pPr>
            <w:pStyle w:val="Contents3"/>
            <w:tabs>
              <w:tab w:val="clear" w:pos="8459"/>
              <w:tab w:val="right" w:pos="9026" w:leader="dot"/>
            </w:tabs>
            <w:rPr/>
          </w:pPr>
          <w:hyperlink w:anchor="__RefHeading___Toc10579834_73709187">
            <w:r>
              <w:rPr>
                <w:webHidden/>
                <w:rStyle w:val="IndexLink"/>
                <w:rtl w:val="true"/>
              </w:rPr>
              <w:t>اعتبار الانتساب إلى عبد المطّلب بالأب</w:t>
            </w:r>
            <w:r>
              <w:rPr>
                <w:rStyle w:val="IndexLink"/>
                <w:rtl w:val="true"/>
              </w:rPr>
              <w:tab/>
            </w:r>
            <w:r>
              <w:rPr>
                <w:rStyle w:val="IndexLink"/>
              </w:rPr>
              <w:t>253</w:t>
            </w:r>
          </w:hyperlink>
        </w:p>
        <w:p>
          <w:pPr>
            <w:pStyle w:val="Contents3"/>
            <w:tabs>
              <w:tab w:val="clear" w:pos="8459"/>
              <w:tab w:val="right" w:pos="9026" w:leader="dot"/>
            </w:tabs>
            <w:rPr/>
          </w:pPr>
          <w:hyperlink w:anchor="__RefHeading___Toc10579836_73709187">
            <w:r>
              <w:rPr>
                <w:webHidden/>
                <w:rStyle w:val="IndexLink"/>
                <w:rtl w:val="true"/>
              </w:rPr>
              <w:t>مصرف سهم الإمام عليه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0579838_73709187">
            <w:r>
              <w:rPr>
                <w:webHidden/>
                <w:rStyle w:val="IndexLink"/>
                <w:rtl w:val="true"/>
              </w:rPr>
              <w:t>موارد صرف حصّة سائر الأصناف</w:t>
            </w:r>
            <w:r>
              <w:rPr>
                <w:rStyle w:val="IndexLink"/>
                <w:rtl w:val="true"/>
              </w:rPr>
              <w:tab/>
            </w:r>
            <w:r>
              <w:rPr>
                <w:rStyle w:val="IndexLink"/>
              </w:rPr>
              <w:t>263</w:t>
            </w:r>
          </w:hyperlink>
        </w:p>
        <w:p>
          <w:pPr>
            <w:pStyle w:val="Contents3"/>
            <w:tabs>
              <w:tab w:val="clear" w:pos="8459"/>
              <w:tab w:val="right" w:pos="9026" w:leader="dot"/>
            </w:tabs>
            <w:rPr/>
          </w:pPr>
          <w:hyperlink w:anchor="__RefHeading___Toc10579840_73709187">
            <w:r>
              <w:rPr>
                <w:webHidden/>
                <w:rStyle w:val="IndexLink"/>
                <w:rtl w:val="true"/>
              </w:rPr>
              <w:t>اعتبار الإيمان في مستحقّ الخُمس</w:t>
            </w:r>
            <w:r>
              <w:rPr>
                <w:rStyle w:val="IndexLink"/>
                <w:rtl w:val="true"/>
              </w:rPr>
              <w:tab/>
            </w:r>
            <w:r>
              <w:rPr>
                <w:rStyle w:val="IndexLink"/>
              </w:rPr>
              <w:t>267</w:t>
            </w:r>
          </w:hyperlink>
        </w:p>
        <w:p>
          <w:pPr>
            <w:pStyle w:val="Contents3"/>
            <w:tabs>
              <w:tab w:val="clear" w:pos="8459"/>
              <w:tab w:val="right" w:pos="9026" w:leader="dot"/>
            </w:tabs>
            <w:rPr/>
          </w:pPr>
          <w:hyperlink w:anchor="__RefHeading___Toc10579842_73709187">
            <w:r>
              <w:rPr>
                <w:webHidden/>
                <w:rStyle w:val="IndexLink"/>
                <w:rtl w:val="true"/>
              </w:rPr>
              <w:t>اعتبار الفقر في اليتيم وعدمه</w:t>
            </w:r>
            <w:r>
              <w:rPr>
                <w:rStyle w:val="IndexLink"/>
                <w:rtl w:val="true"/>
              </w:rPr>
              <w:tab/>
            </w:r>
            <w:r>
              <w:rPr>
                <w:rStyle w:val="IndexLink"/>
              </w:rPr>
              <w:t>268</w:t>
            </w:r>
          </w:hyperlink>
        </w:p>
        <w:p>
          <w:pPr>
            <w:pStyle w:val="Contents3"/>
            <w:tabs>
              <w:tab w:val="clear" w:pos="8459"/>
              <w:tab w:val="right" w:pos="9026" w:leader="dot"/>
            </w:tabs>
            <w:rPr/>
          </w:pPr>
          <w:hyperlink w:anchor="__RefHeading___Toc10579844_73709187">
            <w:r>
              <w:rPr>
                <w:webHidden/>
                <w:rStyle w:val="IndexLink"/>
                <w:rtl w:val="true"/>
              </w:rPr>
              <w:t>ابن السبيل لا يعتبر فيه الفقر</w:t>
            </w:r>
            <w:r>
              <w:rPr>
                <w:rStyle w:val="IndexLink"/>
                <w:rtl w:val="true"/>
              </w:rPr>
              <w:tab/>
            </w:r>
            <w:r>
              <w:rPr>
                <w:rStyle w:val="IndexLink"/>
              </w:rPr>
              <w:t>271</w:t>
            </w:r>
          </w:hyperlink>
        </w:p>
        <w:p>
          <w:pPr>
            <w:pStyle w:val="Contents3"/>
            <w:tabs>
              <w:tab w:val="clear" w:pos="8459"/>
              <w:tab w:val="right" w:pos="9026" w:leader="dot"/>
            </w:tabs>
            <w:rPr/>
          </w:pPr>
          <w:hyperlink w:anchor="__RefHeading___Toc10579846_73709187">
            <w:r>
              <w:rPr>
                <w:webHidden/>
                <w:rStyle w:val="IndexLink"/>
                <w:rtl w:val="true"/>
              </w:rPr>
              <w:t>عدم اعتبار العدالة في مستحقّ الخُمس</w:t>
            </w:r>
            <w:r>
              <w:rPr>
                <w:rStyle w:val="IndexLink"/>
                <w:rtl w:val="true"/>
              </w:rPr>
              <w:tab/>
            </w:r>
            <w:r>
              <w:rPr>
                <w:rStyle w:val="IndexLink"/>
              </w:rPr>
              <w:t>273</w:t>
            </w:r>
          </w:hyperlink>
        </w:p>
        <w:p>
          <w:pPr>
            <w:pStyle w:val="Contents3"/>
            <w:tabs>
              <w:tab w:val="clear" w:pos="8459"/>
              <w:tab w:val="right" w:pos="9026" w:leader="dot"/>
            </w:tabs>
            <w:rPr/>
          </w:pPr>
          <w:hyperlink w:anchor="__RefHeading___Toc10579848_73709187">
            <w:r>
              <w:rPr>
                <w:webHidden/>
                <w:rStyle w:val="IndexLink"/>
                <w:rtl w:val="true"/>
              </w:rPr>
              <w:t>خاتمةٌ في الأنفال</w:t>
            </w:r>
            <w:r>
              <w:rPr>
                <w:rStyle w:val="IndexLink"/>
                <w:rtl w:val="true"/>
              </w:rPr>
              <w:tab/>
            </w:r>
            <w:r>
              <w:rPr>
                <w:rStyle w:val="IndexLink"/>
              </w:rPr>
              <w:t>276</w:t>
            </w:r>
          </w:hyperlink>
        </w:p>
        <w:p>
          <w:pPr>
            <w:pStyle w:val="Contents3"/>
            <w:tabs>
              <w:tab w:val="clear" w:pos="8459"/>
              <w:tab w:val="right" w:pos="9026" w:leader="dot"/>
            </w:tabs>
            <w:rPr/>
          </w:pPr>
          <w:hyperlink w:anchor="__RefHeading___Toc10579850_73709187">
            <w:r>
              <w:rPr>
                <w:webHidden/>
                <w:rStyle w:val="IndexLink"/>
                <w:rtl w:val="true"/>
              </w:rPr>
              <w:t>من الأنفال الأرض الخربة</w:t>
            </w:r>
            <w:r>
              <w:rPr>
                <w:rStyle w:val="IndexLink"/>
                <w:rtl w:val="true"/>
              </w:rPr>
              <w:tab/>
            </w:r>
            <w:r>
              <w:rPr>
                <w:rStyle w:val="IndexLink"/>
              </w:rPr>
              <w:t>278</w:t>
            </w:r>
          </w:hyperlink>
        </w:p>
        <w:p>
          <w:pPr>
            <w:pStyle w:val="Contents3"/>
            <w:tabs>
              <w:tab w:val="clear" w:pos="8459"/>
              <w:tab w:val="right" w:pos="9026" w:leader="dot"/>
            </w:tabs>
            <w:rPr/>
          </w:pPr>
          <w:hyperlink w:anchor="__RefHeading___Toc10579852_73709187">
            <w:r>
              <w:rPr>
                <w:webHidden/>
                <w:rStyle w:val="IndexLink"/>
                <w:rtl w:val="true"/>
              </w:rPr>
              <w:t>الأرض الخربة التي انجلى أهلها</w:t>
            </w:r>
            <w:r>
              <w:rPr>
                <w:rStyle w:val="IndexLink"/>
                <w:rtl w:val="true"/>
              </w:rPr>
              <w:tab/>
            </w:r>
            <w:r>
              <w:rPr>
                <w:rStyle w:val="IndexLink"/>
              </w:rPr>
              <w:t>280</w:t>
            </w:r>
          </w:hyperlink>
        </w:p>
        <w:p>
          <w:pPr>
            <w:pStyle w:val="Contents3"/>
            <w:tabs>
              <w:tab w:val="clear" w:pos="8459"/>
              <w:tab w:val="right" w:pos="9026" w:leader="dot"/>
            </w:tabs>
            <w:rPr/>
          </w:pPr>
          <w:hyperlink w:anchor="__RefHeading___Toc10579854_73709187">
            <w:r>
              <w:rPr>
                <w:webHidden/>
                <w:rStyle w:val="IndexLink"/>
                <w:rtl w:val="true"/>
              </w:rPr>
              <w:t>حكم الأرض الخربة التي لا تكون من الأنفال</w:t>
            </w:r>
            <w:r>
              <w:rPr>
                <w:rStyle w:val="IndexLink"/>
                <w:rtl w:val="true"/>
              </w:rPr>
              <w:tab/>
            </w:r>
            <w:r>
              <w:rPr>
                <w:rStyle w:val="IndexLink"/>
              </w:rPr>
              <w:t>284</w:t>
            </w:r>
          </w:hyperlink>
        </w:p>
        <w:p>
          <w:pPr>
            <w:pStyle w:val="Contents3"/>
            <w:tabs>
              <w:tab w:val="clear" w:pos="8459"/>
              <w:tab w:val="right" w:pos="9026" w:leader="dot"/>
            </w:tabs>
            <w:rPr/>
          </w:pPr>
          <w:hyperlink w:anchor="__RefHeading___Toc10579856_73709187">
            <w:r>
              <w:rPr>
                <w:webHidden/>
                <w:rStyle w:val="IndexLink"/>
                <w:rtl w:val="true"/>
              </w:rPr>
              <w:t>عدم خروج الأرض بالخراب عن مِلْك مالكها</w:t>
            </w:r>
            <w:r>
              <w:rPr>
                <w:rStyle w:val="IndexLink"/>
                <w:rtl w:val="true"/>
              </w:rPr>
              <w:tab/>
            </w:r>
            <w:r>
              <w:rPr>
                <w:rStyle w:val="IndexLink"/>
              </w:rPr>
              <w:t>288</w:t>
            </w:r>
          </w:hyperlink>
        </w:p>
        <w:p>
          <w:pPr>
            <w:pStyle w:val="Contents3"/>
            <w:tabs>
              <w:tab w:val="clear" w:pos="8459"/>
              <w:tab w:val="right" w:pos="9026" w:leader="dot"/>
            </w:tabs>
            <w:rPr/>
          </w:pPr>
          <w:hyperlink w:anchor="__RefHeading___Toc10579858_73709187">
            <w:r>
              <w:rPr>
                <w:webHidden/>
                <w:rStyle w:val="IndexLink"/>
                <w:rtl w:val="true"/>
              </w:rPr>
              <w:t>هل إحياء غير المالك للأرض سببٌ للخروج عن ملكه</w:t>
            </w:r>
            <w:r>
              <w:rPr>
                <w:rStyle w:val="IndexLink"/>
                <w:rtl w:val="true"/>
              </w:rPr>
              <w:tab/>
            </w:r>
            <w:r>
              <w:rPr>
                <w:rStyle w:val="IndexLink"/>
              </w:rPr>
              <w:t>292</w:t>
            </w:r>
          </w:hyperlink>
        </w:p>
        <w:p>
          <w:pPr>
            <w:pStyle w:val="Contents3"/>
            <w:tabs>
              <w:tab w:val="clear" w:pos="8459"/>
              <w:tab w:val="right" w:pos="9026" w:leader="dot"/>
            </w:tabs>
            <w:rPr/>
          </w:pPr>
          <w:hyperlink w:anchor="__RefHeading___Toc10579860_73709187">
            <w:r>
              <w:rPr>
                <w:webHidden/>
                <w:rStyle w:val="IndexLink"/>
                <w:rtl w:val="true"/>
              </w:rPr>
              <w:t>فروع الأرض الخراجيّة</w:t>
            </w:r>
            <w:r>
              <w:rPr>
                <w:rStyle w:val="IndexLink"/>
                <w:rtl w:val="true"/>
              </w:rPr>
              <w:tab/>
            </w:r>
            <w:r>
              <w:rPr>
                <w:rStyle w:val="IndexLink"/>
              </w:rPr>
              <w:t>298</w:t>
            </w:r>
          </w:hyperlink>
        </w:p>
        <w:p>
          <w:pPr>
            <w:pStyle w:val="Contents3"/>
            <w:tabs>
              <w:tab w:val="clear" w:pos="8459"/>
              <w:tab w:val="right" w:pos="9026" w:leader="dot"/>
            </w:tabs>
            <w:rPr/>
          </w:pPr>
          <w:hyperlink w:anchor="__RefHeading___Toc10579862_73709187">
            <w:r>
              <w:rPr>
                <w:webHidden/>
                <w:rStyle w:val="IndexLink"/>
                <w:rtl w:val="true"/>
              </w:rPr>
              <w:t>الأرض المملوكة بغير قتال</w:t>
            </w:r>
            <w:r>
              <w:rPr>
                <w:rStyle w:val="IndexLink"/>
                <w:rtl w:val="true"/>
              </w:rPr>
              <w:tab/>
            </w:r>
            <w:r>
              <w:rPr>
                <w:rStyle w:val="IndexLink"/>
              </w:rPr>
              <w:t>301</w:t>
            </w:r>
          </w:hyperlink>
        </w:p>
        <w:p>
          <w:pPr>
            <w:pStyle w:val="Contents3"/>
            <w:tabs>
              <w:tab w:val="clear" w:pos="8459"/>
              <w:tab w:val="right" w:pos="9026" w:leader="dot"/>
            </w:tabs>
            <w:rPr/>
          </w:pPr>
          <w:hyperlink w:anchor="__RefHeading___Toc10579864_73709187">
            <w:r>
              <w:rPr>
                <w:webHidden/>
                <w:rStyle w:val="IndexLink"/>
                <w:rtl w:val="true"/>
              </w:rPr>
              <w:t>رؤوس الجبال وبطون الأودية من الأنفال</w:t>
            </w:r>
            <w:r>
              <w:rPr>
                <w:rStyle w:val="IndexLink"/>
                <w:rtl w:val="true"/>
              </w:rPr>
              <w:tab/>
            </w:r>
            <w:r>
              <w:rPr>
                <w:rStyle w:val="IndexLink"/>
              </w:rPr>
              <w:t>303</w:t>
            </w:r>
          </w:hyperlink>
        </w:p>
        <w:p>
          <w:pPr>
            <w:pStyle w:val="Contents3"/>
            <w:tabs>
              <w:tab w:val="clear" w:pos="8459"/>
              <w:tab w:val="right" w:pos="9026" w:leader="dot"/>
            </w:tabs>
            <w:rPr/>
          </w:pPr>
          <w:hyperlink w:anchor="__RefHeading___Toc10579866_73709187">
            <w:r>
              <w:rPr>
                <w:webHidden/>
                <w:rStyle w:val="IndexLink"/>
                <w:rtl w:val="true"/>
              </w:rPr>
              <w:t>الأرض الموات من الأنفال</w:t>
            </w:r>
            <w:r>
              <w:rPr>
                <w:rStyle w:val="IndexLink"/>
                <w:rtl w:val="true"/>
              </w:rPr>
              <w:tab/>
            </w:r>
            <w:r>
              <w:rPr>
                <w:rStyle w:val="IndexLink"/>
              </w:rPr>
              <w:t>307</w:t>
            </w:r>
          </w:hyperlink>
        </w:p>
        <w:p>
          <w:pPr>
            <w:pStyle w:val="Contents3"/>
            <w:tabs>
              <w:tab w:val="clear" w:pos="8459"/>
              <w:tab w:val="right" w:pos="9026" w:leader="dot"/>
            </w:tabs>
            <w:rPr/>
          </w:pPr>
          <w:hyperlink w:anchor="__RefHeading___Toc10579868_73709187">
            <w:r>
              <w:rPr>
                <w:webHidden/>
                <w:rStyle w:val="IndexLink"/>
                <w:rtl w:val="true"/>
              </w:rPr>
              <w:t>الإحياء سببٌ لدخول الأرض في ملك المُحيي</w:t>
            </w:r>
            <w:r>
              <w:rPr>
                <w:rStyle w:val="IndexLink"/>
                <w:rtl w:val="true"/>
              </w:rPr>
              <w:tab/>
            </w:r>
            <w:r>
              <w:rPr>
                <w:rStyle w:val="IndexLink"/>
              </w:rPr>
              <w:t>312</w:t>
            </w:r>
          </w:hyperlink>
        </w:p>
        <w:p>
          <w:pPr>
            <w:pStyle w:val="Contents3"/>
            <w:tabs>
              <w:tab w:val="clear" w:pos="8459"/>
              <w:tab w:val="right" w:pos="9026" w:leader="dot"/>
            </w:tabs>
            <w:rPr/>
          </w:pPr>
          <w:hyperlink w:anchor="__RefHeading___Toc10579870_73709187">
            <w:r>
              <w:rPr>
                <w:webHidden/>
                <w:rStyle w:val="IndexLink"/>
                <w:rtl w:val="true"/>
              </w:rPr>
              <w:t>اعتبار إذن الإمام عليه السلام في التملّك</w:t>
            </w:r>
            <w:r>
              <w:rPr>
                <w:rStyle w:val="IndexLink"/>
                <w:rtl w:val="true"/>
              </w:rPr>
              <w:tab/>
            </w:r>
            <w:r>
              <w:rPr>
                <w:rStyle w:val="IndexLink"/>
              </w:rPr>
              <w:t>318</w:t>
            </w:r>
          </w:hyperlink>
        </w:p>
        <w:p>
          <w:pPr>
            <w:pStyle w:val="Contents3"/>
            <w:tabs>
              <w:tab w:val="clear" w:pos="8459"/>
              <w:tab w:val="right" w:pos="9026" w:leader="dot"/>
            </w:tabs>
            <w:rPr/>
          </w:pPr>
          <w:hyperlink w:anchor="__RefHeading___Toc10579872_73709187">
            <w:r>
              <w:rPr>
                <w:webHidden/>
                <w:rStyle w:val="IndexLink"/>
                <w:rtl w:val="true"/>
              </w:rPr>
              <w:t>البحث عن المُحيي للأرض</w:t>
            </w:r>
            <w:r>
              <w:rPr>
                <w:rStyle w:val="IndexLink"/>
                <w:rtl w:val="true"/>
              </w:rPr>
              <w:tab/>
            </w:r>
            <w:r>
              <w:rPr>
                <w:rStyle w:val="IndexLink"/>
              </w:rPr>
              <w:t>320</w:t>
            </w:r>
          </w:hyperlink>
        </w:p>
        <w:p>
          <w:pPr>
            <w:pStyle w:val="Contents3"/>
            <w:tabs>
              <w:tab w:val="clear" w:pos="8459"/>
              <w:tab w:val="right" w:pos="9026" w:leader="dot"/>
            </w:tabs>
            <w:rPr/>
          </w:pPr>
          <w:hyperlink w:anchor="__RefHeading___Toc10579874_73709187">
            <w:r>
              <w:rPr>
                <w:webHidden/>
                <w:rStyle w:val="IndexLink"/>
                <w:rtl w:val="true"/>
              </w:rPr>
              <w:t>في لزوم أداء الخراج على المُحيي وعدمه</w:t>
            </w:r>
            <w:r>
              <w:rPr>
                <w:rStyle w:val="IndexLink"/>
                <w:rtl w:val="true"/>
              </w:rPr>
              <w:tab/>
            </w:r>
            <w:r>
              <w:rPr>
                <w:rStyle w:val="IndexLink"/>
              </w:rPr>
              <w:t>322</w:t>
            </w:r>
          </w:hyperlink>
        </w:p>
        <w:p>
          <w:pPr>
            <w:pStyle w:val="Contents3"/>
            <w:tabs>
              <w:tab w:val="clear" w:pos="8459"/>
              <w:tab w:val="right" w:pos="9026" w:leader="dot"/>
            </w:tabs>
            <w:rPr/>
          </w:pPr>
          <w:hyperlink w:anchor="__RefHeading___Toc10579876_73709187">
            <w:r>
              <w:rPr>
                <w:webHidden/>
                <w:rStyle w:val="IndexLink"/>
                <w:rtl w:val="true"/>
              </w:rPr>
              <w:t>الأرض العامرة</w:t>
            </w:r>
            <w:r>
              <w:rPr>
                <w:rStyle w:val="IndexLink"/>
                <w:rtl w:val="true"/>
              </w:rPr>
              <w:tab/>
            </w:r>
            <w:r>
              <w:rPr>
                <w:rStyle w:val="IndexLink"/>
              </w:rPr>
              <w:t>323</w:t>
            </w:r>
          </w:hyperlink>
        </w:p>
        <w:p>
          <w:pPr>
            <w:pStyle w:val="Contents3"/>
            <w:tabs>
              <w:tab w:val="clear" w:pos="8459"/>
              <w:tab w:val="right" w:pos="9026" w:leader="dot"/>
            </w:tabs>
            <w:rPr/>
          </w:pPr>
          <w:hyperlink w:anchor="__RefHeading___Toc10579878_73709187">
            <w:r>
              <w:rPr>
                <w:webHidden/>
                <w:rStyle w:val="IndexLink"/>
                <w:rtl w:val="true"/>
              </w:rPr>
              <w:t>الأرض العامرة بعد الموت</w:t>
            </w:r>
            <w:r>
              <w:rPr>
                <w:rStyle w:val="IndexLink"/>
                <w:rtl w:val="true"/>
              </w:rPr>
              <w:tab/>
            </w:r>
            <w:r>
              <w:rPr>
                <w:rStyle w:val="IndexLink"/>
              </w:rPr>
              <w:t>327</w:t>
            </w:r>
          </w:hyperlink>
        </w:p>
        <w:p>
          <w:pPr>
            <w:pStyle w:val="Contents3"/>
            <w:tabs>
              <w:tab w:val="clear" w:pos="8459"/>
              <w:tab w:val="right" w:pos="9026" w:leader="dot"/>
            </w:tabs>
            <w:rPr/>
          </w:pPr>
          <w:hyperlink w:anchor="__RefHeading___Toc10579880_73709187">
            <w:r>
              <w:rPr>
                <w:webHidden/>
                <w:rStyle w:val="IndexLink"/>
                <w:rtl w:val="true"/>
              </w:rPr>
              <w:t>الآجام من الأنفال</w:t>
            </w:r>
            <w:r>
              <w:rPr>
                <w:rStyle w:val="IndexLink"/>
                <w:rtl w:val="true"/>
              </w:rPr>
              <w:tab/>
            </w:r>
            <w:r>
              <w:rPr>
                <w:rStyle w:val="IndexLink"/>
              </w:rPr>
              <w:t>328</w:t>
            </w:r>
          </w:hyperlink>
        </w:p>
        <w:p>
          <w:pPr>
            <w:pStyle w:val="Contents3"/>
            <w:tabs>
              <w:tab w:val="clear" w:pos="8459"/>
              <w:tab w:val="right" w:pos="9026" w:leader="dot"/>
            </w:tabs>
            <w:rPr/>
          </w:pPr>
          <w:hyperlink w:anchor="__RefHeading___Toc10579882_73709187">
            <w:r>
              <w:rPr>
                <w:webHidden/>
                <w:rStyle w:val="IndexLink"/>
                <w:rtl w:val="true"/>
              </w:rPr>
              <w:t>صَوافي الملوك من الأنفال</w:t>
            </w:r>
            <w:r>
              <w:rPr>
                <w:rStyle w:val="IndexLink"/>
                <w:rtl w:val="true"/>
              </w:rPr>
              <w:tab/>
            </w:r>
            <w:r>
              <w:rPr>
                <w:rStyle w:val="IndexLink"/>
              </w:rPr>
              <w:t>330</w:t>
            </w:r>
          </w:hyperlink>
        </w:p>
        <w:p>
          <w:pPr>
            <w:pStyle w:val="Contents3"/>
            <w:tabs>
              <w:tab w:val="clear" w:pos="8459"/>
              <w:tab w:val="right" w:pos="9026" w:leader="dot"/>
            </w:tabs>
            <w:rPr/>
          </w:pPr>
          <w:hyperlink w:anchor="__RefHeading___Toc10579884_73709187">
            <w:r>
              <w:rPr>
                <w:webHidden/>
                <w:rStyle w:val="IndexLink"/>
                <w:rtl w:val="true"/>
              </w:rPr>
              <w:t>للإمام أن يَصطفي من الغنيمة ما شاء</w:t>
            </w:r>
            <w:r>
              <w:rPr>
                <w:rStyle w:val="IndexLink"/>
                <w:rtl w:val="true"/>
              </w:rPr>
              <w:tab/>
            </w:r>
            <w:r>
              <w:rPr>
                <w:rStyle w:val="IndexLink"/>
              </w:rPr>
              <w:t>333</w:t>
            </w:r>
          </w:hyperlink>
        </w:p>
        <w:p>
          <w:pPr>
            <w:pStyle w:val="Contents3"/>
            <w:tabs>
              <w:tab w:val="clear" w:pos="8459"/>
              <w:tab w:val="right" w:pos="9026" w:leader="dot"/>
            </w:tabs>
            <w:rPr/>
          </w:pPr>
          <w:hyperlink w:anchor="__RefHeading___Toc10579886_73709187">
            <w:r>
              <w:rPr>
                <w:webHidden/>
                <w:rStyle w:val="IndexLink"/>
                <w:rtl w:val="true"/>
              </w:rPr>
              <w:t>حُكم المعادن</w:t>
            </w:r>
            <w:r>
              <w:rPr>
                <w:rStyle w:val="IndexLink"/>
                <w:rtl w:val="true"/>
              </w:rPr>
              <w:tab/>
            </w:r>
            <w:r>
              <w:rPr>
                <w:rStyle w:val="IndexLink"/>
              </w:rPr>
              <w:t>336</w:t>
            </w:r>
          </w:hyperlink>
        </w:p>
        <w:p>
          <w:pPr>
            <w:pStyle w:val="Contents3"/>
            <w:tabs>
              <w:tab w:val="clear" w:pos="8459"/>
              <w:tab w:val="right" w:pos="9026" w:leader="dot"/>
            </w:tabs>
            <w:rPr/>
          </w:pPr>
          <w:hyperlink w:anchor="__RefHeading___Toc10579888_73709187">
            <w:r>
              <w:rPr>
                <w:webHidden/>
                <w:rStyle w:val="IndexLink"/>
                <w:rtl w:val="true"/>
              </w:rPr>
              <w:t>ميراثُ من لا وارث له من الأنفال</w:t>
            </w:r>
            <w:r>
              <w:rPr>
                <w:rStyle w:val="IndexLink"/>
                <w:rtl w:val="true"/>
              </w:rPr>
              <w:tab/>
            </w:r>
            <w:r>
              <w:rPr>
                <w:rStyle w:val="IndexLink"/>
              </w:rPr>
              <w:t>338</w:t>
            </w:r>
          </w:hyperlink>
        </w:p>
        <w:p>
          <w:pPr>
            <w:pStyle w:val="Contents3"/>
            <w:tabs>
              <w:tab w:val="clear" w:pos="8459"/>
              <w:tab w:val="right" w:pos="9026" w:leader="dot"/>
            </w:tabs>
            <w:rPr/>
          </w:pPr>
          <w:hyperlink w:anchor="__RefHeading___Toc10579890_73709187">
            <w:r>
              <w:rPr>
                <w:webHidden/>
                <w:rStyle w:val="IndexLink"/>
                <w:rtl w:val="true"/>
              </w:rPr>
              <w:t>الغنائم المأخوذة بغير إذن الإمام عليه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10579892_73709187">
            <w:r>
              <w:rPr>
                <w:webHidden/>
                <w:rStyle w:val="IndexLink"/>
                <w:rtl w:val="true"/>
              </w:rPr>
              <w:t>حكم الأنفال في زمان الغيبة</w:t>
            </w:r>
            <w:r>
              <w:rPr>
                <w:rStyle w:val="IndexLink"/>
                <w:rtl w:val="true"/>
              </w:rPr>
              <w:tab/>
            </w:r>
            <w:r>
              <w:rPr>
                <w:rStyle w:val="IndexLink"/>
              </w:rPr>
              <w:t>347</w:t>
            </w:r>
          </w:hyperlink>
        </w:p>
        <w:p>
          <w:pPr>
            <w:pStyle w:val="Contents3"/>
            <w:tabs>
              <w:tab w:val="clear" w:pos="8459"/>
              <w:tab w:val="right" w:pos="9026" w:leader="dot"/>
            </w:tabs>
            <w:rPr/>
          </w:pPr>
          <w:hyperlink w:anchor="__RefHeading___Toc10579894_73709187">
            <w:r>
              <w:rPr>
                <w:webHidden/>
                <w:rStyle w:val="IndexLink"/>
                <w:rtl w:val="true"/>
              </w:rPr>
              <w:t>في إباحتهم عليهم السلام المناكح والمساكن والمتاجر في زمان الغيبة</w:t>
            </w:r>
            <w:r>
              <w:rPr>
                <w:rStyle w:val="IndexLink"/>
                <w:rtl w:val="true"/>
              </w:rPr>
              <w:tab/>
            </w:r>
            <w:r>
              <w:rPr>
                <w:rStyle w:val="IndexLink"/>
              </w:rPr>
              <w:t>353</w:t>
            </w:r>
          </w:hyperlink>
        </w:p>
        <w:p>
          <w:pPr>
            <w:pStyle w:val="Contents3"/>
            <w:tabs>
              <w:tab w:val="clear" w:pos="8459"/>
              <w:tab w:val="right" w:pos="9026" w:leader="dot"/>
            </w:tabs>
            <w:rPr/>
          </w:pPr>
          <w:hyperlink w:anchor="__RefHeading___Toc10579896_73709187">
            <w:r>
              <w:rPr>
                <w:webHidden/>
                <w:rStyle w:val="IndexLink"/>
                <w:rtl w:val="true"/>
              </w:rPr>
              <w:t>فهرس الموضوعات</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4_116426"/>
      <w:bookmarkStart w:id="1" w:name="pg11804_116426"/>
      <w:bookmarkEnd w:id="1"/>
    </w:p>
    <w:p>
      <w:pPr>
        <w:pStyle w:val="Heading2"/>
        <w:numPr>
          <w:ilvl w:val="1"/>
          <w:numId w:val="1"/>
        </w:numPr>
        <w:rPr/>
      </w:pPr>
      <w:bookmarkStart w:id="2" w:name="pg11804_116426"/>
      <w:bookmarkStart w:id="3" w:name="__RefHeading___Toc1057967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79672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نعمائه، وله الشُّكر على آلائه، والصَّلاة على محمّدٍ المبعوث إلى كافّة الأنام، وعلى آله هُداة الخلق، وأعلام الحقّ‌، واللّعن الدّائم على أعدائهم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 من فروض اللّه على عباده لتطهير أموالهم، وتزكية نفوسهم أن أمرهم بالخُمس، وقد وفّقنا اللّه للنظر في أحكام هذا الواجب بشتّى تفريعاته واستدلالاته، فكان من ثمارها هذا الجزء من كتابنا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لطبعه، والمرجوّ من اللّه تعالى التوفيق لنشر بقيّة الأجزاء، إنّه وليّ‌التوفيق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4_116432"/>
      <w:bookmarkStart w:id="8" w:name="pg11804_116432"/>
      <w:bookmarkEnd w:id="8"/>
    </w:p>
    <w:p>
      <w:pPr>
        <w:pStyle w:val="BookText"/>
        <w:rPr/>
      </w:pPr>
      <w:bookmarkStart w:id="9" w:name="pg11804_116432"/>
      <w:bookmarkEnd w:id="9"/>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579674_73709187"/>
      <w:bookmarkStart w:id="11" w:name="_Toc3"/>
      <w:bookmarkEnd w:id="10"/>
      <w:r>
        <w:rPr>
          <w:rtl w:val="true"/>
        </w:rPr>
        <w:t>كتابُ الخمس</w:t>
      </w:r>
      <w:bookmarkEnd w:id="11"/>
    </w:p>
    <w:p>
      <w:pPr>
        <w:pStyle w:val="Heading3"/>
        <w:numPr>
          <w:ilvl w:val="2"/>
          <w:numId w:val="1"/>
        </w:numPr>
        <w:rPr/>
      </w:pPr>
      <w:bookmarkStart w:id="12" w:name="__RefHeading___Toc10579676_73709187"/>
      <w:bookmarkStart w:id="13" w:name="_Toc4"/>
      <w:bookmarkEnd w:id="12"/>
      <w:r>
        <w:rPr>
          <w:rtl w:val="true"/>
        </w:rPr>
        <w:t>اشارة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لغةً رابع الكسور، وشرعاً حقٌّ مالي محدودٌ برابع الكسور، فَرضه اللّه على عباده للحجّة عليه السلام وقبيله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حقيقة شرعيّة ولا متشرّعيّة، بل المعنى المعهود عند المتشرّعة هو أحد مصاديق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الخمس عند المتشرّعة يُستعمل في هذا الفرد الذي له مصرفٌ خاصّ بلا قرينة، وحيثُ أنّ استعمال اللّفظ الموضوع للكلّي في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تقيّده بقيدٍ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مجازاً، فيستكشف من استعمال الخمس في المعنى المعهود بلا قرينة، ثبوت حقيقة شرعيّة أو تشرّعيّة له، لذا نلتزم في الموارد التي ورد الأمر فيها بإخراج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كالحلال الُمختلط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مصرفه مصرف سائر أقسام الخمس،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وما فيها للإمام عليه السلام</w:t>
      </w:r>
    </w:p>
    <w:p>
      <w:pPr>
        <w:pStyle w:val="Heading3"/>
        <w:numPr>
          <w:ilvl w:val="2"/>
          <w:numId w:val="1"/>
        </w:numPr>
        <w:rPr/>
      </w:pPr>
      <w:bookmarkStart w:id="14" w:name="__RefHeading___Toc10579678_73709187"/>
      <w:bookmarkStart w:id="15" w:name="_Toc5"/>
      <w:bookmarkEnd w:id="14"/>
      <w:r>
        <w:rPr>
          <w:rtl w:val="true"/>
        </w:rPr>
        <w:t>الدُّنيا وما فيها للإمام عليه السلام</w:t>
      </w:r>
      <w:bookmarkEnd w:id="1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مقاصد هذا الباب، لا بأس بالتنبيه على أمر وهو</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يظهر من جملةٍ من النصوص أنّ الدُّنيا وما فيها للحُجّة عليه السلام، وأنّ له التصرّف فيها كيف ما 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مكاتبة ابن الرّيان إلى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أنْ ليس لرسول اللّه صلى الله عليه و آله من الدُّنيا إلّاالخُمس‌؟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وما عليها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أحمد بن 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وما فيها للّه ولرسوله ولنا، فمن غلب علي شيء منها فليتّق اللّه، الحديث</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الإمام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يا أبا محمّد، أما علمت أنّ الدُّنيا والآخرة للإمام عليه السلام، يضعها حيث يشاء، ويدفعها إلى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النصوص مصادمة للضرورة وللكتاب والسُنّة، حيث أنّهما يدلّان على ثبوت الخمس، ولو كان الدُّنيا وما فيها للحُجّة عليه السلام لما كان لجعل الخمس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هذه الأخبار ثبوت السلطنة الثابتة للّه تعالى على أموال الناس، من غير جعل جاعلٍ للرسول صلى الله عليه و آله والإمام عليه السلام بالجعل، وهذا المعنى من الملكيّة لا ينافي مع ملكيّة الناس، وإنْ شئتَ فعبّر عن ذلك بأولويّة الحجّة بالتصرّف فيها من المالكين لها، وهذه الملكيّة أقوى من ملكيّة ما يملكه العبد لسيّده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مخاصمة ابن أبي عُمير، مع أبي مالك في أنّ الدُّنيا وما فيها للإمام عليه السلام، وهَجْره هِشاماً بعدما حكم لأبي مالك من عدم كونها له، إذ لا يُظنّ بابن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عُمير التزامه بملكيّتها له عليه السلام بنحوٍ لا تجامع مالكيّة سائر الناس، والتزام الأئمّة عليهم السلام بالتجنّب عمّا في أيدي الناس، وعدم استباحة شيء من ذلك إلّابسببٍ لا ينافي ذلك، لعدم دلالته على عدم كونه لهم واقعاً، ولذا تصرف الإمام موسى بن جعفر عليه السلام في بستان مخالفه، مع تصريحه بعدم رضاه بذلك، واسترضائه بعد ذلك لا يوجبُ جواز التصرّف قبله، ولم يكن ذلك إلّالما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فوجوب الخمس في الجملة ممّا لا ريب فيه ولا كلام،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الدالّة عليه متواترة، سيمرّ عليك جملة منها إنْ شاء اللّه تعالى‌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ما يجبُ فيه الخُمس يتحقّق بالبحث في 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 w:name="pg11804_116435"/>
    </w:p>
    <w:p>
      <w:pPr>
        <w:pStyle w:val="BookText"/>
        <w:rPr/>
      </w:pPr>
      <w:bookmarkEnd w:id="16"/>
      <w:r>
        <w:rPr>
          <w:rFonts w:ascii="Amiri" w:hAnsi="Amiri" w:eastAsia="Amiri" w:cs="Amiri"/>
          <w:color w:val="111111"/>
          <w:sz w:val="28"/>
          <w:sz w:val="28"/>
          <w:szCs w:val="28"/>
          <w:rtl w:val="true"/>
          <w:lang w:bidi="ar-SA"/>
        </w:rPr>
        <w:t>وهو واجبٌ في غَنائم دار الحرب</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0579680_73709187"/>
      <w:bookmarkStart w:id="18" w:name="_Toc6"/>
      <w:bookmarkEnd w:id="17"/>
      <w:r>
        <w:rPr>
          <w:rtl w:val="true"/>
        </w:rPr>
        <w:t>غنائم دار الحرب</w:t>
      </w:r>
      <w:bookmarkEnd w:id="1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واجبٌ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أشياء، بناءً على وجوبه في الأرض التي اشتراها الذّمي من المسلم، وفي الحلال المختلط بالحرام كما هو الأقوى على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غنائم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بإذن الإمام عليه السلام، من غير خلافٍ فيه،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أو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مجمعٌ عليه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Style w:val="FootnoteAnchor"/>
          <w:rtl w:val="true"/>
        </w:rPr>
        <w:footnoteReference w:id="6"/>
      </w:r>
      <w:r>
        <w:rPr>
          <w:rFonts w:ascii="Amiri" w:hAnsi="Amiri" w:eastAsia="Amiri" w:cs="Amiri"/>
          <w:color w:val="111111"/>
          <w:sz w:val="28"/>
          <w:sz w:val="28"/>
          <w:szCs w:val="28"/>
          <w:rtl w:val="true"/>
          <w:lang w:bidi="ar-SA"/>
        </w:rPr>
        <w:t>إذ هي القدر المتيقّن ممّا اُريد من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اُريد بها كلّ ما استُفِيد أو خصوص ما أُخذ من الكفّار مع القتال، فسيأتي في خُمس الأرباح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وكثيرٌ من الأخبار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قُوتل عليه </w:t>
      </w:r>
      <w:bookmarkStart w:id="19" w:name="pg11804_116436"/>
    </w:p>
    <w:p>
      <w:pPr>
        <w:pStyle w:val="BookText"/>
        <w:rPr/>
      </w:pPr>
      <w:bookmarkEnd w:id="19"/>
      <w:r>
        <w:rPr>
          <w:rFonts w:ascii="Amiri" w:hAnsi="Amiri" w:eastAsia="Amiri" w:cs="Amiri"/>
          <w:color w:val="111111"/>
          <w:sz w:val="28"/>
          <w:sz w:val="28"/>
          <w:szCs w:val="28"/>
          <w:rtl w:val="true"/>
          <w:lang w:bidi="ar-SA"/>
        </w:rPr>
        <w:t>على شهادة أنْ لا إله إلّااللّه، وأنّ محمّداً رسول اللّه صلى الله عليه و آله، فإنّ لنا خُمسه، ولا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حمّاد، عن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 ومن الكنوز الحديث</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في الغنائم الّتي حواها العسكر وما لم يحوه</w:t>
      </w:r>
    </w:p>
    <w:p>
      <w:pPr>
        <w:pStyle w:val="Heading3"/>
        <w:numPr>
          <w:ilvl w:val="2"/>
          <w:numId w:val="1"/>
        </w:numPr>
        <w:rPr/>
      </w:pPr>
      <w:bookmarkStart w:id="20" w:name="__RefHeading___Toc10579682_73709187"/>
      <w:bookmarkStart w:id="21" w:name="_Toc7"/>
      <w:bookmarkEnd w:id="20"/>
      <w:r>
        <w:rPr>
          <w:rtl w:val="true"/>
        </w:rPr>
        <w:t>الخُمس في الغنائم الّتي حواها العسكر وما لم يحوه</w:t>
      </w:r>
      <w:bookmarkEnd w:id="21"/>
    </w:p>
    <w:p>
      <w:pPr>
        <w:pStyle w:val="BookText"/>
        <w:rPr/>
      </w:pPr>
      <w:r>
        <w:rPr>
          <w:rFonts w:ascii="Amiri" w:hAnsi="Amiri" w:eastAsia="Amiri" w:cs="Amiri"/>
          <w:color w:val="111111"/>
          <w:sz w:val="28"/>
          <w:sz w:val="28"/>
          <w:szCs w:val="28"/>
          <w:rtl w:val="true"/>
          <w:lang w:bidi="ar-SA"/>
        </w:rPr>
        <w:t>وقد وقع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كلمات جماعة من الأصحاب، وصريح جمع آخرين أنّ الغنيمة التي يجب فيها الخمس، هي جميع أموال أهل الحرب ممّا ينقل ويُحوّل وغيره ممّا حواها العسكر أو لم يحوها،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إجماع المسلمين عليه، وخالفهم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
      </w:r>
      <w:r>
        <w:rPr>
          <w:rFonts w:ascii="IRNazanin" w:hAnsi="IRNazanin" w:eastAsia="IRNazanin"/>
          <w:color w:val="111111"/>
          <w:sz w:val="28"/>
          <w:sz w:val="28"/>
          <w:szCs w:val="28"/>
          <w:rtl w:val="true"/>
          <w:lang w:bidi="fa-IR"/>
        </w:rPr>
        <w:t>واختار اختصاصه بالمال المنقول، وتبعه بعض من تأخّر عنه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انحصار مخرج الخُمس في غنيمتهم، على ما هو صريح الآية الشريفة</w:t>
      </w:r>
      <w:r>
        <w:rPr>
          <w:rStyle w:val="FootnoteAnchor"/>
          <w:rtl w:val="true"/>
        </w:rPr>
        <w:footnoteReference w:id="12"/>
      </w:r>
      <w:r>
        <w:rPr>
          <w:rFonts w:ascii="Amiri" w:hAnsi="Amiri" w:eastAsia="Amiri" w:cs="Amiri"/>
          <w:color w:val="111111"/>
          <w:sz w:val="28"/>
          <w:sz w:val="28"/>
          <w:szCs w:val="28"/>
          <w:rtl w:val="true"/>
          <w:lang w:bidi="ar-SA"/>
        </w:rPr>
        <w:t>، حيث أضاف الخمس إلى ما أضافه إلى الغانمين، فلا تشمل الآية الأراضي التي اتّفقوا على أنّها فيءٌ للمسلمين قاطبةً‌، ممّن وُجِد منهم ذلك اليوم ومن يتجدّد إلى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وهو أنّه لا دليل على التعميم، سوى ظاهر الآية الشريفة، فإنّ الظاهر من الروايات كصحيح ربعي الآتي وغيره، المتضمّنة قسمة الخُمس، اختصاص ذلك بالأموال المنقولة، وليس فيها ما يدلّ على دخول الأرض ونحوها فيه، أمّا الآية الشريفة فيمكن تخصيصها بما دلّت عليه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مقتضى إطلاق ما دلّ على أنّ أرض الخراج فيءٌ للمسلمين، هو عدم ثبوت الخمس فيها، وحيث أنّ إطلاق الخاص مقدّمٌ على عموم العام فيقدّم ذلك على عموم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الواردة في أحكام الأراضي الخَراجيّة</w:t>
      </w:r>
      <w:r>
        <w:rPr>
          <w:rStyle w:val="FootnoteAnchor"/>
          <w:rtl w:val="true"/>
        </w:rPr>
        <w:footnoteReference w:id="14"/>
      </w:r>
      <w:r>
        <w:rPr>
          <w:rFonts w:ascii="Amiri" w:hAnsi="Amiri" w:eastAsia="Amiri" w:cs="Amiri"/>
          <w:color w:val="111111"/>
          <w:sz w:val="28"/>
          <w:sz w:val="28"/>
          <w:szCs w:val="28"/>
          <w:rtl w:val="true"/>
          <w:lang w:bidi="ar-SA"/>
        </w:rPr>
        <w:t>، فإنّه لا تعرّض في شيءٍ منها لوجوب الخمس مع ذكر الزكاة فيها، ولو كان ثابتاً فيها لكان أولى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إطلاق الآية، ثبوت الخُمس فيما يضاف إلى الغانمين ولو بما أنّهم من المسلمين، ولا يختصّ بما يُضاف إليهم بما أنّهم من المقاتلين، فالأراضي بما أنّها فيءٌ لهم بما هم مسلمون تشملها الآية الكريمة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فلأنّه مضافاً إلى أنّ مقتضى جملة من النصوص أيضاً ثبوت الخُمس فيها، وعدم اختصاص دليل الثبوت بالآية، كما ادّعاه رحمه الله، فضلاً عن أنّ‌ن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أخبار يجب ملاحظتها مثل خبر أبي بصير المتقدّم، ومرسل حمّاد بن عيسى عن بعض أصحابنا،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 ومن الكنوز، ومن المعادن، والملاحة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ونحوهما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النصوص المختصّة بالأموال المنقولة لا مفهوم لها كي تدلّ على عدم ثبوت الخمس في غيرها، فتخصّص بها الآية الشريفة، ومنطوقها لا يعارضها، فلا وجه لتقييد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تلك النصوص، ورودها في مقام بيان أنّ الأراضي تغاير غيرها من الغنائم المختصّة بالمقاتلين، فإنّها فيءٌ للمسلمين، وأمّا كون ذلك قبل إخراج الخمس أو بعده، فهي ساكتة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ثبوت الإطلاق لها من هذه الجهة، فلا ريب في أظهريّة آية الخُمس</w:t>
      </w:r>
      <w:r>
        <w:rPr>
          <w:rStyle w:val="FootnoteAnchor"/>
          <w:rtl w:val="true"/>
        </w:rPr>
        <w:footnoteReference w:id="16"/>
      </w:r>
      <w:r>
        <w:rPr>
          <w:rFonts w:ascii="Amiri" w:hAnsi="Amiri" w:eastAsia="Amiri" w:cs="Amiri"/>
          <w:color w:val="111111"/>
          <w:sz w:val="28"/>
          <w:sz w:val="28"/>
          <w:szCs w:val="28"/>
          <w:rtl w:val="true"/>
          <w:lang w:bidi="ar-SA"/>
        </w:rPr>
        <w:t xml:space="preserve">عنها، فتُقدّم عليها بناءً على ما حقّقناه في التعادل والترجيح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تبعاً للعلّامة الأنصاري رحمه الله</w:t>
      </w:r>
      <w:r>
        <w:rPr>
          <w:rStyle w:val="FootnoteAnchor"/>
          <w:rtl w:val="true"/>
        </w:rPr>
        <w:footnoteReference w:id="18"/>
      </w:r>
      <w:r>
        <w:rPr>
          <w:rFonts w:ascii="Amiri" w:hAnsi="Amiri" w:eastAsia="Amiri" w:cs="Amiri"/>
          <w:color w:val="111111"/>
          <w:sz w:val="28"/>
          <w:sz w:val="28"/>
          <w:szCs w:val="28"/>
          <w:rtl w:val="true"/>
          <w:lang w:bidi="ar-SA"/>
        </w:rPr>
        <w:t>من أنّ إطلاق الخاص لا يقدّم على العام مطلقاً، إلّاإذا كان أظهر، وفي المقام بما أنّ الأمر بالعكس فيقدّم إطلاق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تلك النصوص في عدم وجوب إخراج الخمس بعد الخراج وإنْ كان لا يُنكر، إلّاأنّ من الممكن كون ذلك إرفاقاً بالشيعة، واجتزاءً بما يأخذه السلطان باسم الخراج، كالإجتزاء بما يأخذه باسم الزكاة والخمس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التعميم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 w:name="pg11804_116439"/>
    </w:p>
    <w:p>
      <w:pPr>
        <w:pStyle w:val="BookText"/>
        <w:rPr/>
      </w:pPr>
      <w:bookmarkEnd w:id="22"/>
      <w:r>
        <w:rPr>
          <w:rFonts w:ascii="Amiri" w:hAnsi="Amiri" w:eastAsia="Amiri" w:cs="Amiri"/>
          <w:color w:val="111111"/>
          <w:sz w:val="28"/>
          <w:sz w:val="28"/>
          <w:szCs w:val="28"/>
          <w:rtl w:val="true"/>
          <w:lang w:bidi="ar-SA"/>
        </w:rPr>
        <w:t>إباحة خُمس غنائم دار الحرب</w:t>
      </w:r>
    </w:p>
    <w:p>
      <w:pPr>
        <w:pStyle w:val="Heading3"/>
        <w:numPr>
          <w:ilvl w:val="2"/>
          <w:numId w:val="1"/>
        </w:numPr>
        <w:rPr/>
      </w:pPr>
      <w:bookmarkStart w:id="23" w:name="__RefHeading___Toc10579684_73709187"/>
      <w:bookmarkStart w:id="24" w:name="_Toc8"/>
      <w:bookmarkEnd w:id="23"/>
      <w:r>
        <w:rPr>
          <w:rtl w:val="true"/>
        </w:rPr>
        <w:t>إباحة خُمس غنائم دار الحرب</w:t>
      </w:r>
      <w:bookmarkEnd w:id="24"/>
    </w:p>
    <w:p>
      <w:pPr>
        <w:pStyle w:val="BookText"/>
        <w:rPr/>
      </w:pPr>
      <w:r>
        <w:rPr>
          <w:rFonts w:ascii="Amiri" w:hAnsi="Amiri" w:eastAsia="Amiri" w:cs="Amiri"/>
          <w:color w:val="111111"/>
          <w:sz w:val="28"/>
          <w:sz w:val="28"/>
          <w:szCs w:val="28"/>
          <w:rtl w:val="true"/>
          <w:lang w:bidi="ar-SA"/>
        </w:rPr>
        <w:t>ثمّ إنّ الأصحاب بعد اتّفاقهم على ثبوت هذا الخُمس، اختلفوا في أنّه هل اُبيح ذلك للشيعة في زمان الغيبة أم لا؟</w:t>
      </w:r>
    </w:p>
    <w:p>
      <w:pPr>
        <w:pStyle w:val="BookText"/>
        <w:rPr/>
      </w:pPr>
      <w:r>
        <w:rPr>
          <w:rFonts w:ascii="Amiri" w:hAnsi="Amiri" w:eastAsia="Amiri" w:cs="Amiri"/>
          <w:color w:val="111111"/>
          <w:sz w:val="28"/>
          <w:sz w:val="28"/>
          <w:szCs w:val="28"/>
          <w:rtl w:val="true"/>
          <w:lang w:bidi="ar-SA"/>
        </w:rPr>
        <w:t xml:space="preserve">ذهب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والقائلون بعدم الإباحة اختلفوا في أنّه هل يُخرج الخُمس من حاصلها كما اختاره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يُفرز من العين،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حكاية ذلك عن الشيخ رحمه الله‌؟</w:t>
      </w:r>
    </w:p>
    <w:p>
      <w:pPr>
        <w:pStyle w:val="BookText"/>
        <w:rPr/>
      </w:pPr>
      <w:r>
        <w:rPr>
          <w:rFonts w:ascii="Amiri" w:hAnsi="Amiri" w:eastAsia="Amiri" w:cs="Amiri"/>
          <w:color w:val="111111"/>
          <w:sz w:val="28"/>
          <w:sz w:val="28"/>
          <w:szCs w:val="28"/>
          <w:rtl w:val="true"/>
          <w:lang w:bidi="ar-SA"/>
        </w:rPr>
        <w:t xml:space="preserve">أم يتخيّر بين إفراز الخمس من عين الأرض، أو من حاصلها كلّ سنةٍ‌،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اختياره‌؟</w:t>
      </w:r>
    </w:p>
    <w:p>
      <w:pPr>
        <w:pStyle w:val="BookText"/>
        <w:rPr/>
      </w:pPr>
      <w:r>
        <w:rPr>
          <w:rFonts w:ascii="Amiri" w:hAnsi="Amiri" w:eastAsia="Amiri" w:cs="Amiri"/>
          <w:color w:val="111111"/>
          <w:sz w:val="28"/>
          <w:sz w:val="28"/>
          <w:szCs w:val="28"/>
          <w:rtl w:val="true"/>
          <w:lang w:bidi="ar-SA"/>
        </w:rPr>
        <w:t>واستدلّ للتحليل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بروايات إحلال الأئمّة عليهم السلام حقوقهم لشيعتهم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ما كان في أيدي شيعتنا من الأرض، فهم فيه محلّلون، يحلّ لهم ذلك إلى أن يقوم قائمنا، فيُجيبهم طِسْق ما كان في أيديهم، ويترك الأرض في أيديهم، وأمّا ما كان في أيدي غيرهم، فإنّ‌ </w:t>
      </w:r>
      <w:bookmarkStart w:id="25" w:name="pg11804_116440"/>
    </w:p>
    <w:p>
      <w:pPr>
        <w:pStyle w:val="BookText"/>
        <w:rPr/>
      </w:pPr>
      <w:bookmarkEnd w:id="25"/>
      <w:r>
        <w:rPr>
          <w:rFonts w:ascii="Amiri" w:hAnsi="Amiri" w:eastAsia="Amiri" w:cs="Amiri"/>
          <w:color w:val="111111"/>
          <w:sz w:val="28"/>
          <w:sz w:val="28"/>
          <w:szCs w:val="28"/>
          <w:rtl w:val="true"/>
          <w:lang w:bidi="ar-SA"/>
        </w:rPr>
        <w:t>كسبهم من الأرض حرامٌ عليهم حتّى يقوم قائمنا فيأخذ الأرض من أيديهم، ويخرجهم عنها صغرة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نصوص التحليل سيمرّ عليك عدم تماميّة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وروده في مقام بيان حكم ما كان من الأنفال لا مطلقاً، مع أنّه لو سُلّم إطلاقه، يتعيّن تقييده بذلك للإجماع على عدم جواز التصرّف في أرض الخراج من غير أداء خراجه إلى السلطان أو نائب الإمام، وظاهره جواز ذلك، وقد عرفت آنفاً أنّ مقتضى ما ورد في بيان أحكام أرض الخراج، عدم وجوب الخُمس على من تقبّلها إذا أدّى خراجها، وإلّا فيجبُ إفراز الخمس من عينها كسائر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ثبوت الخُمس بعد إخراج المُؤن</w:t>
      </w:r>
    </w:p>
    <w:p>
      <w:pPr>
        <w:pStyle w:val="Heading3"/>
        <w:numPr>
          <w:ilvl w:val="2"/>
          <w:numId w:val="1"/>
        </w:numPr>
        <w:rPr/>
      </w:pPr>
      <w:bookmarkStart w:id="26" w:name="__RefHeading___Toc10579686_73709187"/>
      <w:bookmarkStart w:id="27" w:name="_Toc9"/>
      <w:bookmarkEnd w:id="26"/>
      <w:r>
        <w:rPr>
          <w:rtl w:val="true"/>
        </w:rPr>
        <w:t>ثبوت الخُمس بعد إخراج المُؤن</w:t>
      </w:r>
      <w:bookmarkEnd w:id="27"/>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منهم المحقّق</w:t>
      </w:r>
      <w:r>
        <w:rPr>
          <w:rStyle w:val="FootnoteAnchor"/>
          <w:rtl w:val="true"/>
        </w:rPr>
        <w:footnoteReference w:id="26"/>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رحمه الله أنّه إنّما يجبُ الخمس بعد إخراج المُؤن الّتي اُنفقت على الغنيمة بعد تحصيلها،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الجهاد</w:t>
      </w:r>
      <w:r>
        <w:rPr>
          <w:rStyle w:val="FootnoteAnchor"/>
          <w:rtl w:val="true"/>
        </w:rPr>
        <w:footnoteReference w:id="2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والشهيدين</w:t>
      </w:r>
      <w:r>
        <w:rPr>
          <w:rStyle w:val="FootnoteAnchor"/>
          <w:rtl w:val="true"/>
        </w:rPr>
        <w:footnoteReference w:id="30"/>
      </w:r>
      <w:r>
        <w:rPr>
          <w:rFonts w:ascii="Amiri" w:hAnsi="Amiri" w:eastAsia="Amiri" w:cs="Amiri"/>
          <w:color w:val="111111"/>
          <w:sz w:val="28"/>
          <w:sz w:val="28"/>
          <w:szCs w:val="28"/>
          <w:rtl w:val="true"/>
          <w:lang w:bidi="ar-SA"/>
        </w:rPr>
        <w:t>وغيرهم</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لا نظر فيه إلى هذه الجهة، كي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تقييده بما دلّ من النصوص على أنّ الخُمس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الإخراج للعدل، إذ المفروض كون المؤونة عليجميع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الغنيمة لا تصدق على ماهو مأخوذٌ من المال إلّابعد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يُجاب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الآية وجوب الخمس في جميع ما يَغنم، وصَرْفُ مقدارٍ منه في حفظ الباقي لا يوجبُ عدم شمول الآية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تلك النصوص كونها في مقام بيان استثناء المُؤن السابقة على التحصيل، الّتي لا إشكال في عدم استثنائها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الموافقة للعدل، لا يصلح أنْ يكون مستنداً للحكم، إلّا أنْ يرجع إلى ما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الغنيمة حين حصولها صادقة على الجميع، وما يصرف فيها بعد تحصيلها لا يوجب عدم صدقها على ما يقبله،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إذا كان بإذن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المأخوذة من دار الحرب خُمسها للحجّة عليه السلام وقبيله، فلا محالة يكون المغنم مأذوناً من قبله عليه السلام في الإنفاق عليها بحفظٍ وحملٍ ورَعي ونحوها، فلا محالة يوزع المُؤن على الجميع، فلا وجه لاختصاصها ببعضها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على مسلك القوم، القائلين بأنّ الخُمس إنّما يتعلّق بالعين على نحو الإشاعة أو الكلّي في المعين، وأمّا بناءً على المسلك الحقّ‌، من كون تعلّقه على نحو الحقّ في العين، فلا يتمّ‌، إذ المؤونة إنّما تكون على العين لا على الحقّ‌</w:t>
      </w:r>
      <w:r>
        <w:rPr>
          <w:rFonts w:eastAsia="Amiri" w:cs="Amiri" w:ascii="Amiri" w:hAnsi="Amiri"/>
          <w:color w:val="111111"/>
          <w:sz w:val="28"/>
          <w:szCs w:val="28"/>
          <w:rtl w:val="true"/>
          <w:lang w:bidi="ar-SA"/>
        </w:rPr>
        <w:t xml:space="preserve">. </w:t>
      </w:r>
      <w:bookmarkStart w:id="28" w:name="pg11804_116442"/>
    </w:p>
    <w:p>
      <w:pPr>
        <w:pStyle w:val="BookText"/>
        <w:rPr/>
      </w:pPr>
      <w:bookmarkEnd w:id="28"/>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مؤونة موضوع الحقّ تكون مؤونته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الذي يؤخذ من أهل الحرب،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وغيرها</w:t>
      </w:r>
      <w:r>
        <w:rPr>
          <w:rStyle w:val="FootnoteAnchor"/>
          <w:rtl w:val="true"/>
        </w:rPr>
        <w:footnoteReference w:id="37"/>
      </w:r>
      <w:r>
        <w:rPr>
          <w:rFonts w:ascii="Amiri" w:hAnsi="Amiri" w:eastAsia="Amiri" w:cs="Amiri"/>
          <w:color w:val="111111"/>
          <w:sz w:val="28"/>
          <w:sz w:val="28"/>
          <w:szCs w:val="28"/>
          <w:rtl w:val="true"/>
          <w:lang w:bidi="ar-SA"/>
        </w:rPr>
        <w:t>، لأنّه بدل ما اغتنم، فيصدق عليه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صدق الغنيمة بالمعنى الأخصّ‌، على ما لو كان بعد الغلبة، فلا تشمل ما كان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في اعتبار القتال في صدقها، ولذا لا تصدق على الجزية، ولكن اعتبار الغلبة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حكم ما صُولح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أنْ لا تكون الغنيمة غصباً</w:t>
      </w:r>
    </w:p>
    <w:p>
      <w:pPr>
        <w:pStyle w:val="Heading3"/>
        <w:numPr>
          <w:ilvl w:val="2"/>
          <w:numId w:val="1"/>
        </w:numPr>
        <w:rPr/>
      </w:pPr>
      <w:bookmarkStart w:id="29" w:name="__RefHeading___Toc10579688_73709187"/>
      <w:bookmarkStart w:id="30" w:name="_Toc10"/>
      <w:bookmarkEnd w:id="29"/>
      <w:r>
        <w:rPr>
          <w:rtl w:val="true"/>
        </w:rPr>
        <w:t>اعتبار أنْ لا تكون الغنيمة غصباً</w:t>
      </w:r>
      <w:bookmarkEnd w:id="30"/>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المَغنم أنْ لا يكون غصبا من محترم المال، وإلّا فيجبُ ردّه إلى صاحبه كما هو المشهور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احترام ماله، وخبر طربال عن الإمام الباقر عليه السلام، </w:t>
      </w:r>
    </w:p>
    <w:p>
      <w:pPr>
        <w:pStyle w:val="BookText"/>
        <w:rPr/>
      </w:pPr>
      <w:r>
        <w:rPr>
          <w:rFonts w:ascii="Amiri" w:hAnsi="Amiri" w:eastAsia="Amiri" w:cs="Amiri"/>
          <w:color w:val="111111"/>
          <w:sz w:val="28"/>
          <w:sz w:val="28"/>
          <w:szCs w:val="28"/>
          <w:rtl w:val="true"/>
          <w:lang w:bidi="ar-SA"/>
        </w:rPr>
        <w:t>المرويّ في كتاب 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له جارية، فأغار عليه المشركون فأخذوها منه، ثمّ إنّ المسلمين بعد غزوهم فأخذوها فيما غنموا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 الغنائم وأقام البيّنة على أنّ المشركين أغاروا عليهم، فأخذوها منه، رُدّت عليه</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للمقاتلة، مع غرامة الإمام عليه السلام لأربابه الأثمان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بما في مرسل هشام بن سالم،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السبي يأخذ العدوّ من المسلمين، ثمّ إنّ المسلمين أخذوهم منهم بعد القتال،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المماليك فإنّهم يقامون في سهام المسلمين، فيباعون، وتُعطى مواليهم قيمة أثمانهم من بيت مال المسلمين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لمعارضته مع جملةٍ من النصوص التي منها خبره الآخر الدالّة على أنّ المسلم أحقّ بماله أينما وجده، يتعيّن حمله على ما لو لم يصبهم إلّابعد تفرّق الناس، وتقسيم جميع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لذلك بعض النصوص، وإنْ كان مقتضى بعضها خلاف ذلك، وتمام الكلام في محلّه من كتاب الجهاد</w:t>
      </w:r>
      <w:r>
        <w:rPr>
          <w:rStyle w:val="FootnoteAnchor"/>
          <w:rtl w:val="true"/>
        </w:rPr>
        <w:footnoteReference w:id="41"/>
      </w:r>
      <w:r>
        <w:rPr>
          <w:rFonts w:ascii="Amiri" w:hAnsi="Amiri" w:eastAsia="Amiri" w:cs="Amiri"/>
          <w:color w:val="111111"/>
          <w:sz w:val="28"/>
          <w:sz w:val="28"/>
          <w:szCs w:val="28"/>
          <w:rtl w:val="true"/>
          <w:lang w:bidi="ar-SA"/>
        </w:rPr>
        <w:t>في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مغصوباً من غير محترم المال، فحكمه حكم أمواله، لإطلاق الأدلّة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Style w:val="FootnoteAnchor"/>
          <w:rtl w:val="true"/>
        </w:rPr>
        <w:footnoteReference w:id="42"/>
      </w:r>
      <w:r>
        <w:rPr>
          <w:rFonts w:ascii="Amiri" w:hAnsi="Amiri" w:eastAsia="Amiri" w:cs="Amiri"/>
          <w:color w:val="111111"/>
          <w:sz w:val="28"/>
          <w:sz w:val="28"/>
          <w:szCs w:val="28"/>
          <w:rtl w:val="true"/>
          <w:lang w:bidi="ar-SA"/>
        </w:rPr>
        <w:t xml:space="preserve">إلى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السَّلب إذا جُعل للسّالب،ا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يجبُ إخراج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والشهيدين</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الخمس مقدّماً عليه، وهو الذي 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بناءً على ما هو الحقّ من عدم كون السَّلب للمقاتل، ما لم يجعل له إذ حينئذٍ يكون كسائر الجعائل، لا يجب إخراج خمسه لمرسل حمّاد، عن العبد الصالح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وللإمام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يسدّ بذلك المال جميع ما ينوبه، من مثل إعطاء المؤلّفة قلوبهم، وغير ذلك ممّا ينوبه، فإنْ بقي بعد ذلك شيءٌ أخرج الخمس منه فقسّمه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إرساله بعد كون المُرسِل من أصحاب الإجماع، وبه يقيّد إطلاق الآية الكريمة الذي استدلّ به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الخُمس في الغنائم، بلوغ النصاب عشرين ديناراً، لإطلاق الأدلّة، فما عن المفيد</w:t>
      </w:r>
      <w:r>
        <w:rPr>
          <w:rStyle w:val="FootnoteAnchor"/>
          <w:rtl w:val="true"/>
        </w:rPr>
        <w:footnoteReference w:id="47"/>
      </w:r>
      <w:r>
        <w:rPr>
          <w:rFonts w:ascii="Amiri" w:hAnsi="Amiri" w:eastAsia="Amiri" w:cs="Amiri"/>
          <w:color w:val="111111"/>
          <w:sz w:val="28"/>
          <w:sz w:val="28"/>
          <w:szCs w:val="28"/>
          <w:rtl w:val="true"/>
          <w:lang w:bidi="ar-SA"/>
        </w:rPr>
        <w:t>من اعتبار ذلك لا وجه 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كانت الحرب بإذن الإمام عليه السلام، وأمّا إنْ كانت بغير إذنه، فسيأتي حكمه في مبحث الأنفال</w:t>
      </w:r>
      <w:r>
        <w:rPr>
          <w:rStyle w:val="FootnoteAnchor"/>
          <w:rtl w:val="true"/>
        </w:rPr>
        <w:footnoteReference w:id="48"/>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31" w:name="pg11804_116445"/>
    </w:p>
    <w:p>
      <w:pPr>
        <w:pStyle w:val="BookText"/>
        <w:rPr/>
      </w:pPr>
      <w:bookmarkEnd w:id="31"/>
      <w:r>
        <w:rPr>
          <w:rFonts w:ascii="Amiri" w:hAnsi="Amiri" w:eastAsia="Amiri" w:cs="Amiri"/>
          <w:color w:val="111111"/>
          <w:sz w:val="28"/>
          <w:sz w:val="28"/>
          <w:szCs w:val="28"/>
          <w:rtl w:val="true"/>
          <w:lang w:bidi="ar-SA"/>
        </w:rPr>
        <w:t>ما يُؤخذ من الكفّار بالسَّرقة أو الغيلة</w:t>
      </w:r>
    </w:p>
    <w:p>
      <w:pPr>
        <w:pStyle w:val="Heading3"/>
        <w:numPr>
          <w:ilvl w:val="2"/>
          <w:numId w:val="1"/>
        </w:numPr>
        <w:rPr/>
      </w:pPr>
      <w:bookmarkStart w:id="32" w:name="__RefHeading___Toc10579690_73709187"/>
      <w:bookmarkStart w:id="33" w:name="_Toc11"/>
      <w:bookmarkEnd w:id="32"/>
      <w:r>
        <w:rPr>
          <w:rtl w:val="true"/>
        </w:rPr>
        <w:t>ما يُؤخذ من الكفّار بالسَّرقة أو الغيلة</w:t>
      </w:r>
      <w:bookmarkEnd w:id="3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في المقام أمورٌ لابدَّ من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الكفّار بغير الحرب والقتال، كما لو أخذ منهم بالسّرقة أو الغيلة أو الرّباء ونحوها، هل يجبُ فيه الخمس‌؟</w:t>
      </w:r>
    </w:p>
    <w:p>
      <w:pPr>
        <w:pStyle w:val="BookText"/>
        <w:rPr/>
      </w:pPr>
      <w:r>
        <w:rPr>
          <w:rFonts w:ascii="Amiri" w:hAnsi="Amiri" w:eastAsia="Amiri" w:cs="Amiri"/>
          <w:color w:val="111111"/>
          <w:sz w:val="28"/>
          <w:sz w:val="28"/>
          <w:szCs w:val="28"/>
          <w:rtl w:val="true"/>
          <w:lang w:bidi="ar-SA"/>
        </w:rPr>
        <w:t xml:space="preserve">أو لا يجبُ عليه شيءٌ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يكون ملحقاً بالفوائد المكتسبة، فتعتبر فيه الزيادة عن مؤونة السَّنة،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يجبُ إخراج خمسه مطلقاً كما عن جماعةٍ‌</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يفصّل بين المأخوذ بالسرقة أو الغيلة، فيجب إخراج خمسه مطلقاً، وبين المأخوذ بالرباء أو بالدعوى الباطلة، فلا يجب إلّاإذا زاد عن مؤونة السَّنة‌؟</w:t>
      </w:r>
    </w:p>
    <w:p>
      <w:pPr>
        <w:pStyle w:val="BookText"/>
        <w:rPr/>
      </w:pPr>
      <w:r>
        <w:rPr>
          <w:rFonts w:ascii="Amiri" w:hAnsi="Amiri" w:eastAsia="Amiri" w:cs="Amiri"/>
          <w:color w:val="111111"/>
          <w:sz w:val="28"/>
          <w:sz w:val="28"/>
          <w:szCs w:val="28"/>
          <w:rtl w:val="true"/>
          <w:lang w:bidi="ar-SA"/>
        </w:rPr>
        <w:t xml:space="preserve">وجوهٌ‌، أقواها الثاني، إذ الغنيمة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موضوع وجوب الخُمس قبل إخراج مؤونة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صادقة في المقام، إذ يعتبر فيها الحرب والقتال، كما يظهر من النصوص الواردة في تقسيم الغنائم، وخبر أبي بصير المتقدّم، وخبر 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والغُنم الذي يقاتل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تصدق حينئذٍ الغنيمة بالمعنى الأعمّ‌، وهي مطلق الفائدة، ومقتضى إطلاق الآية حينئذٍ وجوب الخمس في المقام، إلّاأنّه لإطلاق ما دلّ على أنّ خمس </w:t>
      </w:r>
      <w:bookmarkStart w:id="34" w:name="pg11804_116446"/>
    </w:p>
    <w:p>
      <w:pPr>
        <w:pStyle w:val="BookText"/>
        <w:rPr/>
      </w:pPr>
      <w:bookmarkEnd w:id="34"/>
      <w:r>
        <w:rPr>
          <w:rFonts w:ascii="Amiri" w:hAnsi="Amiri" w:eastAsia="Amiri" w:cs="Amiri"/>
          <w:color w:val="111111"/>
          <w:sz w:val="28"/>
          <w:sz w:val="28"/>
          <w:szCs w:val="28"/>
          <w:rtl w:val="true"/>
          <w:lang w:bidi="ar-SA"/>
        </w:rPr>
        <w:t>الفائدة إنّما يجبُ بعد مؤونة السَّنة، يتعيّن الالتزام بوجوبه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 الفائدة إنّما يجبُ في الفوائد المكتسبة، لا في مثل المقام، وعليه فالأظهر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سيأتي في محلّه من وجوبه في مطلق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أنّ الأخذ بالسرقة والغيلة، يعدّ من أنحاء الحرب والجدال، فالقول الرابع أظهر،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ورد في مال الناصب الآتي في 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 من لزوم تقييده في غنائم الكسب بما دلّ على أنّ الخمس فيها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التعدّي عن الناصب الذي هو أنجس من الكلب، إلى الكافر لايخرج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الأوّل، وهو وجوب الخمس فيه بعد مؤونة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النّاصب</w:t>
      </w:r>
    </w:p>
    <w:p>
      <w:pPr>
        <w:pStyle w:val="Heading3"/>
        <w:numPr>
          <w:ilvl w:val="2"/>
          <w:numId w:val="1"/>
        </w:numPr>
        <w:rPr/>
      </w:pPr>
      <w:bookmarkStart w:id="35" w:name="__RefHeading___Toc10579692_73709187"/>
      <w:bookmarkStart w:id="36" w:name="_Toc12"/>
      <w:bookmarkEnd w:id="35"/>
      <w:r>
        <w:rPr>
          <w:rtl w:val="true"/>
        </w:rPr>
        <w:t>مال النّاصب</w:t>
      </w:r>
      <w:bookmarkEnd w:id="3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مال الناصب أينما وُجِد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جملةٌ من النصوص</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حفص بن البختري،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حيثما وجدته، وادفع إلينا الخُمس</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الناصب وكلّ شيء يملكه حلالٌ إلّاامرأته فإنّ نكاح أهل الشرك جائز</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ابن إدريس</w:t>
      </w:r>
      <w:r>
        <w:rPr>
          <w:rStyle w:val="FootnoteAnchor"/>
          <w:rtl w:val="true"/>
        </w:rPr>
        <w:footnoteReference w:id="55"/>
      </w:r>
      <w:r>
        <w:rPr>
          <w:rFonts w:ascii="Amiri" w:hAnsi="Amiri" w:eastAsia="Amiri" w:cs="Amiri"/>
          <w:color w:val="111111"/>
          <w:sz w:val="28"/>
          <w:sz w:val="28"/>
          <w:szCs w:val="28"/>
          <w:rtl w:val="true"/>
          <w:lang w:bidi="ar-SA"/>
        </w:rPr>
        <w:t>رحمه الله من أنّ المراد من الناصب في هذه النصوص، هو من نصب الحرب من الكفّار، لا الناصب لأهل البيت عليهم السلام، ضعيفٌ لمعروفيّة غير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إخراج الخمس منه مطلقاً،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وادفع إلينا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يقيّد بما دلّ على أنّ الخمس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 الدليلين في بادي النظر وإنْ كانت عموماً من وجه، ولكن بعد التأمّل يكون الظاهر من أخبار استثناء المؤونة، استثنائها من ما يجب فيه الخمس بعنوان الفائدة، ولا تشمل المقام الذي ثبت فيه الخمس بعنوان أنّه مالٌ مأخوذٌ من الناصب، وحملها على إرادة وجوب الخمس فيه بما أنّه من الفوائد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وسلّمنا شمول نصوص الاستثناء للمقام، فإنّه لا ريب في أظهريّة نصوص الباب، فتقدّم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إخراج خمسه مطلقاً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حواه العسكر ممّا ينقل ويحوّل من مال البغاة، إذا كانوا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النواصب ممّا لا كلام في حليّته، وإنّما الإشكال فيما إذا لم يكونوا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نسبتها إلى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 والمحقّق</w:t>
      </w:r>
      <w:r>
        <w:rPr>
          <w:rStyle w:val="FootnoteAnchor"/>
          <w:rtl w:val="true"/>
        </w:rPr>
        <w:footnoteReference w:id="59"/>
      </w:r>
      <w:r>
        <w:rPr>
          <w:rFonts w:ascii="Amiri" w:hAnsi="Amiri" w:eastAsia="Amiri" w:cs="Amiri"/>
          <w:color w:val="111111"/>
          <w:sz w:val="28"/>
          <w:sz w:val="28"/>
          <w:szCs w:val="28"/>
          <w:rtl w:val="true"/>
          <w:lang w:bidi="ar-SA"/>
        </w:rPr>
        <w:t xml:space="preserve">رحمه الله في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أظهر، واستدلّ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بسيرة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دعوى سيرة الإمام أمير المؤمنين عليه السلام معارضة بدعوى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وغيره</w:t>
      </w:r>
      <w:r>
        <w:rPr>
          <w:rStyle w:val="FootnoteAnchor"/>
          <w:rtl w:val="true"/>
        </w:rPr>
        <w:footnoteReference w:id="61"/>
      </w:r>
      <w:r>
        <w:rPr>
          <w:rFonts w:ascii="Amiri" w:hAnsi="Amiri" w:eastAsia="Amiri" w:cs="Amiri"/>
          <w:color w:val="111111"/>
          <w:sz w:val="28"/>
          <w:sz w:val="28"/>
          <w:szCs w:val="28"/>
          <w:rtl w:val="true"/>
          <w:lang w:bidi="ar-SA"/>
        </w:rPr>
        <w:t>من أنّ سيرة الإمام عليه السلام على العدم، ولعلّها الأظهر كما يظهر من مراجعة ما دلّ على أنّه عليه السلام أمر بردّ أموال أهل البصرة، فأخذت حتّى القدور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قسمة أموالهم في أوّل الأمر تدلّ على الحِلّ‌، والردّ أعمٌّ من الحرمة، لإمكان كونه على نحو المَنّ‌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من الأدلّة أنّه عليه السلام قسّم الأموال بين المقاتلين ابتداءً حتّى يستدلّ بفعله، وتصرّفهم فيها أعمّ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إلى دعواه، بعد حكاية المنع عن السيّد</w:t>
      </w:r>
      <w:r>
        <w:rPr>
          <w:rStyle w:val="FootnoteAnchor"/>
          <w:rtl w:val="true"/>
        </w:rPr>
        <w:footnoteReference w:id="62"/>
      </w:r>
      <w:r>
        <w:rPr>
          <w:rFonts w:ascii="Amiri" w:hAnsi="Amiri" w:eastAsia="Amiri" w:cs="Amiri"/>
          <w:color w:val="111111"/>
          <w:sz w:val="28"/>
          <w:sz w:val="28"/>
          <w:szCs w:val="28"/>
          <w:rtl w:val="true"/>
          <w:lang w:bidi="ar-SA"/>
        </w:rPr>
        <w:t>، والحِلّي</w:t>
      </w:r>
      <w:r>
        <w:rPr>
          <w:rStyle w:val="FootnoteAnchor"/>
          <w:rtl w:val="true"/>
        </w:rPr>
        <w:footnoteReference w:id="63"/>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64"/>
      </w:r>
      <w:r>
        <w:rPr>
          <w:rFonts w:ascii="Amiri" w:hAnsi="Amiri" w:eastAsia="Amiri" w:cs="Amiri"/>
          <w:color w:val="111111"/>
          <w:sz w:val="28"/>
          <w:sz w:val="28"/>
          <w:szCs w:val="28"/>
          <w:rtl w:val="true"/>
          <w:lang w:bidi="ar-SA"/>
        </w:rPr>
        <w:t>، والمحقّق</w:t>
      </w:r>
      <w:r>
        <w:rPr>
          <w:rStyle w:val="FootnoteAnchor"/>
          <w:rtl w:val="true"/>
        </w:rPr>
        <w:footnoteReference w:id="65"/>
      </w:r>
      <w:r>
        <w:rPr>
          <w:rFonts w:ascii="Amiri" w:hAnsi="Amiri" w:eastAsia="Amiri" w:cs="Amiri"/>
          <w:color w:val="111111"/>
          <w:sz w:val="28"/>
          <w:sz w:val="28"/>
          <w:szCs w:val="28"/>
          <w:rtl w:val="true"/>
          <w:lang w:bidi="ar-SA"/>
        </w:rPr>
        <w:t>والشهيد</w:t>
      </w:r>
      <w:r>
        <w:rPr>
          <w:rStyle w:val="FootnoteAnchor"/>
          <w:rtl w:val="true"/>
        </w:rPr>
        <w:footnoteReference w:id="66"/>
      </w:r>
      <w:r>
        <w:rPr>
          <w:rFonts w:ascii="Amiri" w:hAnsi="Amiri" w:eastAsia="Amiri" w:cs="Amiri"/>
          <w:color w:val="111111"/>
          <w:sz w:val="28"/>
          <w:sz w:val="28"/>
          <w:szCs w:val="28"/>
          <w:rtl w:val="true"/>
          <w:lang w:bidi="ar-SA"/>
        </w:rPr>
        <w:t>الثانيين، ودعوى جماعة منهم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ثابتة، وما أرسله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من أنّ ما يحويه العسكر من الأموال، فإنّه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أيضاً من أنّه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لمّا هزم النّاس يوم الجمل،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نأخذ أموالهم‌؟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تحرّموا بحرمة الإسلام، فلا تَحلّ أموالهم في دار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الحليّة ما لم يدخلوا في عنوان الناصب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7" w:name="pg11804_116450"/>
    </w:p>
    <w:p>
      <w:pPr>
        <w:pStyle w:val="BookText"/>
        <w:rPr/>
      </w:pPr>
      <w:bookmarkEnd w:id="37"/>
      <w:r>
        <w:rPr>
          <w:rFonts w:ascii="IRNazanin" w:hAnsi="IRNazanin" w:eastAsia="IRNazanin"/>
          <w:color w:val="111111"/>
          <w:sz w:val="28"/>
          <w:sz w:val="28"/>
          <w:szCs w:val="28"/>
          <w:rtl w:val="true"/>
          <w:lang w:bidi="fa-IR"/>
        </w:rPr>
        <w:t>والمعادن</w:t>
      </w:r>
      <w:r>
        <w:rPr>
          <w:rFonts w:eastAsia="IRNazanin" w:cs="IRNazanin"/>
          <w:color w:val="111111"/>
          <w:sz w:val="28"/>
          <w:szCs w:val="28"/>
          <w:rtl w:val="true"/>
          <w:lang w:bidi="fa-IR"/>
        </w:rPr>
        <w:t>.</w:t>
      </w:r>
    </w:p>
    <w:p>
      <w:pPr>
        <w:pStyle w:val="Heading3"/>
        <w:numPr>
          <w:ilvl w:val="2"/>
          <w:numId w:val="1"/>
        </w:numPr>
        <w:rPr/>
      </w:pPr>
      <w:bookmarkStart w:id="38" w:name="__RefHeading___Toc10579694_73709187"/>
      <w:bookmarkStart w:id="39" w:name="_Toc13"/>
      <w:bookmarkEnd w:id="38"/>
      <w:r>
        <w:rPr>
          <w:rtl w:val="true"/>
        </w:rPr>
        <w:t>المعادن</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 ممّا يجب فيه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ثبوته فيه،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وغيرها</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 بعضهم</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بين المسلمين في معدن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معادن الذهب والفضّة والصفر والحديد والرصاص‌؟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الكنز كَمْ فيه‌؟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وعن المعادن كَمْ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وعن الرصاص والصفر والحديد، وما كان من المعادن كَمْ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منها كما يُؤخذ من </w:t>
      </w:r>
    </w:p>
    <w:p>
      <w:pPr>
        <w:pStyle w:val="BookText"/>
        <w:rPr/>
      </w:pPr>
      <w:r>
        <w:rPr>
          <w:rFonts w:ascii="Amiri" w:hAnsi="Amiri" w:eastAsia="Amiri" w:cs="Amiri"/>
          <w:color w:val="111111"/>
          <w:sz w:val="28"/>
          <w:sz w:val="28"/>
          <w:szCs w:val="28"/>
          <w:rtl w:val="true"/>
          <w:lang w:bidi="ar-SA"/>
        </w:rPr>
        <w:t>معادن الذهب والفضّة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الملاحة‌؟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الملاحة‌؟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سبخة مالحة، يجتمع فيها الماء، فيصير مِلْحاً؟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المعدن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والكبريت والنفط يخرج من الأرض‌؟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وأشباهه فيه الخمس</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هذه النصوص على الذهب والفضّة والرصاص والكبريت والنفط والملح وأشباهها، والمتيقّن من أشباهها كلّ ما خَرَج من الأرض ممّا يخلق فيها من غيرها، ممّا له قيمة، فثبوت الخمس في هذه الاُمور ممّا لا إشكال فيه، كما أنّ جملة من النصوص مشتملة على ثبوت الخمس في المعدن مطلقاً، وكلمات العلماء واللّغويين في تفسيره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معدن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ونهاية ابن الأثير</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منبتُ الجواهر من ذهب ونحوه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 ما يخرج من الأرض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يخلق فيها من غيرها ممّا له قيمة، ثمّ نسب ذلك إلى علمائناأجمع</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رسالة شيخنا الأعظم</w:t>
      </w:r>
      <w:r>
        <w:rPr>
          <w:rStyle w:val="FootnoteAnchor"/>
          <w:rtl w:val="true"/>
        </w:rPr>
        <w:footnoteReference w:id="85"/>
      </w:r>
      <w:r>
        <w:rPr>
          <w:rFonts w:ascii="Amiri" w:hAnsi="Amiri" w:eastAsia="Amiri" w:cs="Amiri"/>
          <w:color w:val="111111"/>
          <w:sz w:val="28"/>
          <w:sz w:val="28"/>
          <w:szCs w:val="28"/>
          <w:rtl w:val="true"/>
          <w:lang w:bidi="ar-SA"/>
        </w:rPr>
        <w:t xml:space="preserve">رحمه الله، ونحو ذلك عن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 ما استخرج من الأرض ما كان أصله منها، ثمّ اشتمل على خصوصيّة يعظم الانتفاع بها، وعَدّ منها الجِصّ وطين الغَسل، وحجارة الرَّحى، وزاد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للنصوص والعُرف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بالجوهر مطلق ما يقابل وَجه الأرض من غير النباتات، فهو يرجع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كلّ حَجَرٍ يستخرج منه شيء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خلافُ ما تضمّن من النصوص ثبوت الخُمس في الكبريت والنفط والملح، وقد صرّح عليه السلام في صحيح محمّد بن مسلم بأنّ الملح من المعدن، فيدور الأمر بين التفسيرين الأخيرين، والأقوى هو الأوّل منهما، إذ المنساق إلى الذهن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وأمّا ما استخرج من الأرض، ممّا كان منها مشتملاً على خصوصيّة يعظم الانتفاع بها، فهو بنظر العرف كسائر قطع الأرض، ولا يُسمّى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0" w:name="pg11804_116453"/>
    </w:p>
    <w:p>
      <w:pPr>
        <w:pStyle w:val="BookText"/>
        <w:rPr/>
      </w:pPr>
      <w:bookmarkEnd w:id="40"/>
      <w:r>
        <w:rPr>
          <w:rFonts w:ascii="Amiri" w:hAnsi="Amiri" w:eastAsia="Amiri" w:cs="Amiri"/>
          <w:color w:val="111111"/>
          <w:sz w:val="28"/>
          <w:sz w:val="28"/>
          <w:szCs w:val="28"/>
          <w:rtl w:val="true"/>
          <w:lang w:bidi="ar-SA"/>
        </w:rPr>
        <w:t>عندهم معدناً، هذا مضافاً إلى دعوى المصنّف رحمه الله الإجماع عليه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فرض التنزّل وتسليم الإجمال، فلابدَّ من الرجوع في الزائد عن مقدار المتيقّن إلى الأصل، وهو يقتضي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تنقيح القول في هذا الأصل في أرباح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يجبُ الخُمس من حيث المعدنيّة في الجِصّ والنُّورة، وطين الغَسل، وحَجَر الرَّحي والمَغرّة، وإنْ كان الأحوط إخراج الخُمس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اللّغويون المعدن بالَمحلّ‌، والفقهاء فسّروه بالحال، وما أفاده اللّغويون وإنْ كان أظهر، لكونه موافقاً لوضعه بحسب الهيئة كما لا يخفى‌، إلّاأنّ الغرض حيث يكون بيان ما هو الموضوع للحكم الشرعي وهو الحال، فلذلك فسّروه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الخمس في المعدن مطلقاً</w:t>
      </w:r>
    </w:p>
    <w:p>
      <w:pPr>
        <w:pStyle w:val="Heading3"/>
        <w:numPr>
          <w:ilvl w:val="2"/>
          <w:numId w:val="1"/>
        </w:numPr>
        <w:rPr/>
      </w:pPr>
      <w:bookmarkStart w:id="41" w:name="__RefHeading___Toc10579696_73709187"/>
      <w:bookmarkStart w:id="42" w:name="_Toc14"/>
      <w:bookmarkEnd w:id="41"/>
      <w:r>
        <w:rPr>
          <w:rtl w:val="true"/>
        </w:rPr>
        <w:t>ثبوت الخمس في المعدن مطلقاً</w:t>
      </w:r>
      <w:bookmarkEnd w:id="42"/>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إخراج خُمس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أنْ يكون في أرضٍ مباحة أو مملوكة، 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بين أنْ يكون الُمخرِج مكلّفاً أو غير مكلّفٍ‌، بلا خلافٍ‌، بل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والمحقّق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وسيأتي في آخر مسألةٍ من مسائل أرباح المكاسب تنقيح القول في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بين أنْ يكون الُمخرِج مسلماً أو كافراً، إذ الكفّار مكلّفون بالفروع كما هم </w:t>
      </w:r>
    </w:p>
    <w:p>
      <w:pPr>
        <w:pStyle w:val="BookText"/>
        <w:rPr/>
      </w:pPr>
      <w:r>
        <w:rPr>
          <w:rFonts w:ascii="Amiri" w:hAnsi="Amiri" w:eastAsia="Amiri" w:cs="Amiri"/>
          <w:color w:val="111111"/>
          <w:sz w:val="28"/>
          <w:sz w:val="28"/>
          <w:szCs w:val="28"/>
          <w:rtl w:val="true"/>
          <w:lang w:bidi="ar-SA"/>
        </w:rPr>
        <w:t>مكلّفون بالاُصول ويشهد له عموم أدلّة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بما أنّ الخُمس من العبادات، فيعتبر فيه قصد القربة المتوقّف على الإسلام،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بكونه مكلّفاً به، لزوم أدائه حال الكفر، فهو لا يتمكّن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لزومه بعد إسلامه، كما هو المراد بذلك في سائر العبادات، فهو منافٍ لما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مضافاً إلى ماعرفت في كتاب الزكاة</w:t>
      </w:r>
      <w:r>
        <w:rPr>
          <w:rStyle w:val="FootnoteAnchor"/>
          <w:rtl w:val="true"/>
        </w:rPr>
        <w:footnoteReference w:id="93"/>
      </w:r>
      <w:r>
        <w:rPr>
          <w:rFonts w:ascii="Amiri" w:hAnsi="Amiri" w:eastAsia="Amiri" w:cs="Amiri"/>
          <w:color w:val="111111"/>
          <w:sz w:val="28"/>
          <w:sz w:val="28"/>
          <w:szCs w:val="28"/>
          <w:rtl w:val="true"/>
          <w:lang w:bidi="ar-SA"/>
        </w:rPr>
        <w:t xml:space="preserve">من الكلام في دلالة الحديث على سقوط الزكاة والخُمس مع بقاء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نقول إنّ أثر ثبوت الخمس وضعاً جواز انتزاع الحاكم من في يده قهراً أو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لو تمّ فإنّما هو بالنسبة إلى حكمه التكليفي، دون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جواز الانتزاع‌؟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ما دلّ على ولاية الحاكم الشرعي على الفقراء باستيفاء حقوقهم، وعدم صحّة إعطاء الكافر بنفسه، لعدم تمكّنه من التقرّب به، لايستلزمُ عدم إمكان استيفاء حقوق الفقراء من المال بوجهٍ‌، مع أنّ اعتبار قصد القربة في الخُمس وكونه من العبادات غير ثابت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 فيما أخرجه من المعدن قبل إخراج خُمسه عملاً أوجبَ زيادة قيمته، كما لو سكّه دراهم أو دنانير، أو جعله حُليّاً، اعتبر الخُمس في الأصل الذي هو المادّة، وانطبق على الزائد حُكم المكاسب، فيقوّم حينئذٍ سبيكةً ويُخرّج خُمسه، كما هو واضح، وبه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كذا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3" w:name="pg11804_116455"/>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وهو متين، إذ الصفة بتمامها لعاملها، ولأرباب الخمس خُمس المادّة، فلا وجه لاشتراكهم مع عامل الصِّفة في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مقدار من المعدن مُخْرَجاً</w:t>
      </w:r>
    </w:p>
    <w:p>
      <w:pPr>
        <w:pStyle w:val="Heading3"/>
        <w:numPr>
          <w:ilvl w:val="2"/>
          <w:numId w:val="1"/>
        </w:numPr>
        <w:rPr/>
      </w:pPr>
      <w:bookmarkStart w:id="44" w:name="__RefHeading___Toc10579698_73709187"/>
      <w:bookmarkStart w:id="45" w:name="_Toc15"/>
      <w:bookmarkEnd w:id="44"/>
      <w:r>
        <w:rPr>
          <w:rtl w:val="true"/>
        </w:rPr>
        <w:t>إذا وُجِد مقدار من المعدن مُخْرَجاً</w:t>
      </w:r>
      <w:bookmarkEnd w:id="45"/>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مقدارٌ من المعدن مُخْرَجاً مطروحاً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أنّ الُمخْرِج له إنسانٌ‌، وقصد تملّكه بذلك، فحكمه حكم اللُّقطة وخارجٌ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وإنْ‌عَلم أنّه خَرج بمثل السِّيل، أو أخرجه حيوانٌ أو إنسان، لم يقصد حيازته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إخراجُ خُمسه من حيث المعدنيّة‌؟</w:t>
      </w:r>
    </w:p>
    <w:p>
      <w:pPr>
        <w:pStyle w:val="BookText"/>
        <w:rPr/>
      </w:pPr>
      <w:r>
        <w:rPr>
          <w:rFonts w:ascii="Amiri" w:hAnsi="Amiri" w:eastAsia="Amiri" w:cs="Amiri"/>
          <w:color w:val="111111"/>
          <w:sz w:val="28"/>
          <w:sz w:val="28"/>
          <w:szCs w:val="28"/>
          <w:rtl w:val="true"/>
          <w:lang w:bidi="ar-SA"/>
        </w:rPr>
        <w:t>أم لا يجب كما عن كاشف الغطاء</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يفصّل بين ما لو أخرجه إنسانٌ فيجب، وبين ما لو أخرجه حيوانٌ‌، أو خَرَج بمثل السِّيل، فلا يجب، كما قوّاه المحقّق الهمداني</w:t>
      </w:r>
      <w:r>
        <w:rPr>
          <w:rStyle w:val="FootnoteAnchor"/>
          <w:rtl w:val="true"/>
        </w:rPr>
        <w:footnoteReference w:id="98"/>
      </w:r>
      <w:r>
        <w:rPr>
          <w:rFonts w:ascii="IRNazanin" w:hAnsi="IRNazanin" w:eastAsia="IRNazanin"/>
          <w:color w:val="111111"/>
          <w:sz w:val="28"/>
          <w:sz w:val="28"/>
          <w:szCs w:val="28"/>
          <w:rtl w:val="true"/>
          <w:lang w:bidi="fa-IR"/>
        </w:rPr>
        <w:t>رحمه الله‌؟</w:t>
      </w:r>
    </w:p>
    <w:p>
      <w:pPr>
        <w:pStyle w:val="BookText"/>
        <w:rPr/>
      </w:pPr>
      <w:r>
        <w:rPr>
          <w:rFonts w:ascii="Amiri" w:hAnsi="Amiri" w:eastAsia="Amiri" w:cs="Amiri"/>
          <w:color w:val="111111"/>
          <w:sz w:val="28"/>
          <w:sz w:val="28"/>
          <w:szCs w:val="28"/>
          <w:rtl w:val="true"/>
          <w:lang w:bidi="ar-SA"/>
        </w:rPr>
        <w:t>وجوهٌ أقواها الأوّل، لإطلاق ما دلّ على ثبوت الخمس في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الأدلّة اعتبار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ظاهر صحيح البزنطي وغيره، أنّ العبرة بالُمخرِج لا بالإخراج، وذِكْرُ الإخراج في بعض النصوص إنّما هو لطريقيّته إلى الخروج</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الإخراج لا مفهوم له كي يقيّد به إطلاق النصوص، مع أنّ الملاحة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الأرض السَّبخة المالحة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فيها خُمس المعدن، مع أنّه لا </w:t>
      </w:r>
      <w:bookmarkStart w:id="46" w:name="pg11804_116456"/>
    </w:p>
    <w:p>
      <w:pPr>
        <w:pStyle w:val="BookText"/>
        <w:rPr/>
      </w:pPr>
      <w:bookmarkEnd w:id="46"/>
      <w:r>
        <w:rPr>
          <w:rFonts w:ascii="Amiri" w:hAnsi="Amiri" w:eastAsia="Amiri" w:cs="Amiri"/>
          <w:color w:val="111111"/>
          <w:sz w:val="28"/>
          <w:sz w:val="28"/>
          <w:szCs w:val="28"/>
          <w:rtl w:val="true"/>
          <w:lang w:bidi="ar-SA"/>
        </w:rPr>
        <w:t>إخراج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الأكثر</w:t>
      </w:r>
      <w:r>
        <w:rPr>
          <w:rStyle w:val="FootnoteAnchor"/>
          <w:rtl w:val="true"/>
        </w:rPr>
        <w:footnoteReference w:id="99"/>
      </w:r>
      <w:r>
        <w:rPr>
          <w:rFonts w:ascii="IRNazanin" w:hAnsi="IRNazanin" w:eastAsia="IRNazanin"/>
          <w:color w:val="111111"/>
          <w:sz w:val="28"/>
          <w:sz w:val="28"/>
          <w:szCs w:val="28"/>
          <w:rtl w:val="true"/>
          <w:lang w:bidi="fa-IR"/>
        </w:rPr>
        <w:t>من أنّ العنبر المأخوذ من وجه الأرض معدنٌ‌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الأدلّة، اعتبار الاستخراج، سواءٌ ملكه الُمخرِج أم لا، غاية الأمر قراره على من دخل في مِلْكه، فخصوصيّة الفاعل ملغاة لدى العرف، ولكن لا على وجهٍ يتعدّى إلى مثل السيل وهبوب الريح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الدليل على اعتبار الاستخراج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استيجار الغير لإخراج المعدن</w:t>
      </w:r>
    </w:p>
    <w:p>
      <w:pPr>
        <w:pStyle w:val="Heading3"/>
        <w:numPr>
          <w:ilvl w:val="2"/>
          <w:numId w:val="1"/>
        </w:numPr>
        <w:rPr/>
      </w:pPr>
      <w:bookmarkStart w:id="47" w:name="__RefHeading___Toc10579700_73709187"/>
      <w:bookmarkStart w:id="48" w:name="_Toc16"/>
      <w:bookmarkEnd w:id="47"/>
      <w:r>
        <w:rPr>
          <w:rtl w:val="true"/>
        </w:rPr>
        <w:t>استيجار الغير لإخراج المعدن</w:t>
      </w:r>
      <w:bookmarkEnd w:id="48"/>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نقاش في جواز استئجار الغير لإخراج المعدن، ويملكه المُستأجر إنْ كان مالكاً للأرض، أو له حقّ اختصاص بها، أو كان الأجير قاصداً بكونه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المرتكز في أذهان العرف، كون الحيازة من العناوين القابلة للنيابة والوكالة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قصد الأجير حيازته لنفسه، مع كون الأرض من المباحات، فيُشكل الحكم بكونه للمستأجر، إذ غاية ما قيل في وجه كونه له اُمورٌ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مملوكٌ للمستأجر بالإجارة، فلا محالة تكون نتيجة هذا العمل المملوك أيضاً له بالتبع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إنّما توجب ملكيّة الحيازة، ولا توجب استناد الحيازة إلى المستأجر، والدليل دلّ على أنّ ما يحوزه الحائز يكون لمن تستند إليه الحيازة، لا لمن هو مالكٌ للحيازة، والفرق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الحيازة موجبة لمالكيّة مالك الحيازة قهراً، وهي من الأسباب القهريّة، فالمتاجر يملك ما حازه الأجير، لكون الحيازة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كونها من الأسباب 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فهي سببٌ لملكيّته لمن انتسبت إليه الحيازة قهراً، وهو الأجير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ما حازه من آثار ومنافع الحيازة، فتتبع ملكيّة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ملكيّته من آثار نفس الحيازة المنتسبة إلى الحائز، لا من آثار ملكيّتها، كما يظهر من أدلّة مملكيّة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عدم صيرورته مِلْكاً للمؤجّر، بل يصبح ملكاً للأجير، فإنّ مقتضى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أظفر بما تضمّن هذه العبارة في كتب الحديث، إلّاأنّ بمضمونها رواية، وهي الذي تضمّن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للعينِ ما رأت ولليد ما أخذت</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هذا المضمون في غيرها، هو كونه مِلكاً للأجير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حكم فرعٍ آخر، وهو ما لو أخرجه العبد، فإنّه إنْ قصد كونه لمولاه فله، وعليه الخمس، وإلّا فلنفسه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المعدن في أرض مملوكة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9" w:name="pg11804_116458"/>
    </w:p>
    <w:p>
      <w:pPr>
        <w:pStyle w:val="Heading3"/>
        <w:numPr>
          <w:ilvl w:val="2"/>
          <w:numId w:val="1"/>
        </w:numPr>
        <w:rPr/>
      </w:pPr>
      <w:bookmarkStart w:id="50" w:name="__RefHeading___Toc10579702_73709187"/>
      <w:bookmarkStart w:id="51" w:name="_Toc17"/>
      <w:bookmarkEnd w:id="49"/>
      <w:bookmarkEnd w:id="50"/>
      <w:r>
        <w:rPr>
          <w:rtl w:val="true"/>
        </w:rPr>
        <w:t>المعدن في أرض مملوكة</w:t>
      </w:r>
      <w:bookmarkEnd w:id="51"/>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حكم أقسام محلّ المعدن، 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في أرضٍ 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في معمور الأرض المفتوحة عنوة الّتي هي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في الأرض الموات حال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لو كان في أرض مملوكة، فهو لمالكها، بلا خلافٍ أجده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للتبعيّة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استخراج المعدن إحياءٌ له، ومقتضى عموم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كونه للمُحيي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في الموات غير المملوك، وأمّا المملوك ولو بتبع ملك الأرض، فهو لمالكه، ولا يكون مشمولاً للعموم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كان في معمور الأرض المفتوحة عنوةً‌، فمقتضى دليل التبعيّة كونه مِلكاً للمسلمين لا للمُخرِج، إلّابناءً على كون المعادن بأنفسها من الأنفال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التعرّض له في باب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المعدن المزبور حينئذٍ يكون للإمام، ومقتضى أخبار التحليل تكون ملكيّته للمُخرِج إنْ كان مؤمناً وإلّا فلا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يظهر من كلمات الفقهاء ثبوت السيرة المستمرّة على تملّك المعادن المستخرجة من هذا القسم، سواءٌ أكان المخرج مؤمناً أم لم يكن، بل ادّعى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03"/>
      </w:r>
      <w:r>
        <w:rPr>
          <w:rFonts w:ascii="Amiri" w:hAnsi="Amiri" w:eastAsia="Amiri" w:cs="Amiri"/>
          <w:color w:val="111111"/>
          <w:sz w:val="28"/>
          <w:sz w:val="28"/>
          <w:szCs w:val="28"/>
          <w:rtl w:val="true"/>
          <w:lang w:bidi="ar-SA"/>
        </w:rPr>
        <w:t>ثبوت السيرة على أنّ الناس شَرعٌ سواء في المعادن، فتملّك المسلم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تملّك الذّمي، فهو يتوقّف على ثبوت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وحيث لم يثبت فتملّكه لا يخلو عن إشكال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لا يشمل ما لو كانت الأرض مِلْكاً لشخصٍ خاصّ غير الإمام عليه السلام، أو جماعة مخصوصة، وإنْ كان المعدن في الأرض الموات حال الفتح، فحيثُ أنّ ظاهر كلماتهم المفروغيّة عن أنّ استخراج المعدن إحياء مملّك، فتملّك المسلم ممّا لا كلام فيه، لعموم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السيرة التي تقدّمت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الذّمي فتملّكه يبتني على القول بشمول العموم المذكور له، وحيثُ أنّ الأظهر هو ذلك، فالأقوى تملّكه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52" w:name="pg11804_116460"/>
    </w:p>
    <w:p>
      <w:pPr>
        <w:pStyle w:val="BookText"/>
        <w:rPr/>
      </w:pPr>
      <w:bookmarkEnd w:id="52"/>
      <w:r>
        <w:rPr>
          <w:rFonts w:ascii="IRNazanin" w:hAnsi="IRNazanin" w:eastAsia="IRNazanin"/>
          <w:color w:val="111111"/>
          <w:sz w:val="28"/>
          <w:sz w:val="28"/>
          <w:szCs w:val="28"/>
          <w:rtl w:val="true"/>
          <w:lang w:bidi="fa-IR"/>
        </w:rPr>
        <w:t>والغوص</w:t>
      </w:r>
      <w:r>
        <w:rPr>
          <w:rFonts w:eastAsia="IRNazanin" w:cs="IRNazanin"/>
          <w:color w:val="111111"/>
          <w:sz w:val="28"/>
          <w:szCs w:val="28"/>
          <w:rtl w:val="true"/>
          <w:lang w:bidi="fa-IR"/>
        </w:rPr>
        <w:t>.</w:t>
      </w:r>
    </w:p>
    <w:p>
      <w:pPr>
        <w:pStyle w:val="Heading3"/>
        <w:numPr>
          <w:ilvl w:val="2"/>
          <w:numId w:val="1"/>
        </w:numPr>
        <w:rPr/>
      </w:pPr>
      <w:bookmarkStart w:id="53" w:name="__RefHeading___Toc10579704_73709187"/>
      <w:bookmarkStart w:id="54" w:name="_Toc18"/>
      <w:bookmarkEnd w:id="53"/>
      <w:r>
        <w:rPr>
          <w:rtl w:val="true"/>
        </w:rPr>
        <w:t>الغوص</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الثالث ممّا يجب فيه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المشهور شهرة عظيمة، بل ممّا لا خلاف فيه، كما اعترف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 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العنبر وغوص اللّؤلؤ؟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عمّار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أحمد بن محمّد بن أبي نصر، عن محمّد بن على بن أبي عبداللّه، </w:t>
      </w:r>
    </w:p>
    <w:p>
      <w:p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يخرج من البحر من اللّؤلؤ والياقوت والزبرجد، وعن معادن الذهب والفضّة، هل فيها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 ونسي ابن أبي عُمير الخامس</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حمّاد مع ذكر الخامس وهو الملاحة</w:t>
      </w:r>
      <w:r>
        <w:rPr>
          <w:rStyle w:val="FootnoteAnchor"/>
          <w:rtl w:val="true"/>
        </w:rPr>
        <w:footnoteReference w:id="114"/>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فأصل الحكم ممّا لا ينبغي الارتياب فيه، كما لا ينبغي التوقّف في شموله لكلّ ما يخرج من البحر بالغوص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من الخدشة في ذلك، مستنداً إلى عدم الدليل عليه سوى صحيح الحلبي القاصر عن إفادة العموم، ضعيفٌ لابتنائه على ما أسّسه من عدم حجيّة الخبر إذا لم يكن متّصفاً بالصحّة، وقد حقّقناه في محلّه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وبيّنا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تضمّنت عنوانين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 لاحظ أغلب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البحر، لاحظ خبري عمّار ومحمّد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العنوانين عمومٌ من وجه، لشمول الأوّل للغوص في الأنهار والشطوط، وشمول الثاني لما أُخرج بالآلة، ولما أُخذ من وجه الماء، ولأجله قيل</w:t>
      </w:r>
      <w:r>
        <w:rPr>
          <w:rStyle w:val="FootnoteAnchor"/>
          <w:rtl w:val="true"/>
        </w:rPr>
        <w:footnoteReference w:id="117"/>
      </w:r>
      <w:r>
        <w:rPr>
          <w:rFonts w:ascii="Amiri" w:hAnsi="Amiri" w:eastAsia="Amiri" w:cs="Amiri"/>
          <w:color w:val="111111"/>
          <w:sz w:val="28"/>
          <w:sz w:val="28"/>
          <w:szCs w:val="28"/>
          <w:rtl w:val="true"/>
          <w:lang w:bidi="ar-SA"/>
        </w:rPr>
        <w:t>في وجه الجمع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يدور بين تقييد كلٍّ منهما بالآخر، وإرجاع الأوّل إلى الثاني والعكس، والأخذ بكلٍّ من العنوانين أو العنوان المشترك بينهما الصادق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أنّ المراد بالغوص في المقام ليس معناه اللّغوي، بل المعنى العرفي المجعول مهنةً‌، وصدقه على الغوص في النهر أو الشط غير ظاهر، كما اعترف 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ومالَ إليه شيخنا الأعظم الأنصاري رحمه الله</w:t>
      </w:r>
      <w:r>
        <w:rPr>
          <w:rStyle w:val="FootnoteAnchor"/>
          <w:rtl w:val="true"/>
        </w:rPr>
        <w:footnoteReference w:id="119"/>
      </w:r>
      <w:r>
        <w:rPr>
          <w:rFonts w:ascii="Amiri" w:hAnsi="Amiri" w:eastAsia="Amiri" w:cs="Amiri"/>
          <w:color w:val="111111"/>
          <w:sz w:val="28"/>
          <w:sz w:val="28"/>
          <w:szCs w:val="28"/>
          <w:rtl w:val="true"/>
          <w:lang w:bidi="ar-SA"/>
        </w:rPr>
        <w:t>، وعليه فالأمر يدور بين تقييد الثاني بالأوّل، أو الأخذ بإطلاق الثاني، ولا ثالث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الأوّل، إذ الطائفتان المتضمّنتان للعنوانين، وإنْ كانتا مثبتتين، إلّا أنّه لأجل كون النصوص المشتملة على الغوص في مقام الحصر، ولها مفهوم يتعيّن تقييد ما تضمّن ما يخرج من البحر بها، فتكون النتيجة اعتبار صدق كلا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المانع من الأخذ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باستقلاله بالموضوعيّة في مقابل الغوص‌؟</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ذلك ما دلّ من الأخبار وكلمات علمائنا الأبرار، على عدم كون ذلك عنواناً مستقلّاً في مقابله، لاحظ نصوص الحصر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تلتزم بحمل ذكر الغوص على الغالب‌؟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خلاف ظاهر الكلام، فإنّ الظاهر من أخذ كلّ قيدٍ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إذا كان في مقام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فيه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ثبوت الحكم في الإخراج بطريق الغوص، وأمّا الإخراج بالآلة أو من وجه الماء، فلا دليل على ثبوت هذا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غاص وشدّه بآلةٍ ثمّ أخرج وجب فيه الخمس، لأنّه يصدق عليه أنّه أخرجه بالغوص، كما اعترف به جماعة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التنزّل وتسليم كون النسبة عموماً من وجه، فإنّ الأظهر هو ذلك أيضاً، لما عرفت من كون نصوص الغوص في مقام الحصر، خلافاً لنصوص الإخراج، فيتعيّن تقييدها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فرعٍ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الأنهار العظيمة كدجلة والفرات ليس حكمها حكم البحر في ذلك، فلا يجبُ الخمس فيما يُخرج منها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مالَ إليه الشيخ الأعظم</w:t>
      </w:r>
      <w:r>
        <w:rPr>
          <w:rStyle w:val="FootnoteAnchor"/>
          <w:rtl w:val="true"/>
        </w:rPr>
        <w:footnoteReference w:id="121"/>
      </w:r>
      <w:r>
        <w:rPr>
          <w:rFonts w:ascii="Amiri" w:hAnsi="Amiri" w:eastAsia="Amiri" w:cs="Amiri"/>
          <w:color w:val="111111"/>
          <w:sz w:val="28"/>
          <w:sz w:val="28"/>
          <w:szCs w:val="28"/>
          <w:rtl w:val="true"/>
          <w:lang w:bidi="ar-SA"/>
        </w:rPr>
        <w:t>رحمه الله؛ لعدم صدق الغوص بمعناه العرفي عليه، وإنْ كان هو أحوط إذا فرض تكوّن الجوهر فيها كالبحر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هذا الحكم بالجواهر المستخرجة من البحر، ولا يعمّ مثل السَّمك ونحوه من الحيوانات، لعدم صدق الغوص بالمعنى العرفي المجعول مهنةً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فما عن الشيخ</w:t>
      </w:r>
      <w:r>
        <w:rPr>
          <w:rStyle w:val="FootnoteAnchor"/>
          <w:rtl w:val="true"/>
        </w:rPr>
        <w:footnoteReference w:id="122"/>
      </w:r>
      <w:r>
        <w:rPr>
          <w:rFonts w:ascii="Amiri" w:hAnsi="Amiri" w:eastAsia="Amiri" w:cs="Amiri"/>
          <w:color w:val="111111"/>
          <w:sz w:val="28"/>
          <w:sz w:val="28"/>
          <w:szCs w:val="28"/>
          <w:rtl w:val="true"/>
          <w:lang w:bidi="ar-SA"/>
        </w:rPr>
        <w:t>، وبعض معاصري الشهيد</w:t>
      </w:r>
      <w:r>
        <w:rPr>
          <w:rStyle w:val="FootnoteAnchor"/>
          <w:rtl w:val="true"/>
        </w:rPr>
        <w:footnoteReference w:id="123"/>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من دعوى عمومه له، مستنداً إلى عموم مراسيل أحمد وحمّاد وابن أبي عمير، ومصحّح عمّار المتقدّمة،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 معدن من مثل العقيق أو الياقوت أو نحوهما تحت الماء، فأخرج منه شيئاً بالغوص، فلا ريب في وجوب الخمس فيه، لأنّه إمّا معدن أو غوصٌ‌، وهذا ثابت لا نقاش فيه، إنّما الكلام في أنّه هل يعتبر فيه نصاب المعدن أم نصاب الغوص، بعد معلوميّة عدم وجوب تخميسه مرّتين، كما سيأتي تحقيقه‌؟</w:t>
      </w:r>
    </w:p>
    <w:p>
      <w:pPr>
        <w:pStyle w:val="BookText"/>
        <w:rPr/>
      </w:pPr>
      <w:r>
        <w:rPr>
          <w:rFonts w:ascii="Amiri" w:hAnsi="Amiri" w:eastAsia="Amiri" w:cs="Amiri"/>
          <w:color w:val="111111"/>
          <w:sz w:val="28"/>
          <w:sz w:val="28"/>
          <w:szCs w:val="28"/>
          <w:rtl w:val="true"/>
          <w:lang w:bidi="ar-SA"/>
        </w:rPr>
        <w:t>الأظهر هو الثاني، لأنّه قد نصّ في نصوص الغوص بالزَّبرجد والياقوت الّذين هما من المعادن، ولا سبيل إلى دعوى اختصاصها بما إذا كانا في البحر تحت الماء، ومحلّ الكلام هو ما إذا كان تحت الماء معدنٌ‌، وكانا فيه، لإطلاق نصوص الغوص، ولما عرفت في المعادن من أنّ الحكم في المعادن لا يختصّ بما إذا أُخرج من بطن الأرض، فراجع</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 الإيراد على المحقّق الهمداني</w:t>
      </w:r>
      <w:r>
        <w:rPr>
          <w:rStyle w:val="FootnoteAnchor"/>
          <w:rtl w:val="true"/>
        </w:rPr>
        <w:footnoteReference w:id="126"/>
      </w:r>
      <w:r>
        <w:rPr>
          <w:rFonts w:ascii="Amiri" w:hAnsi="Amiri" w:eastAsia="Amiri" w:cs="Amiri"/>
          <w:color w:val="111111"/>
          <w:sz w:val="28"/>
          <w:sz w:val="28"/>
          <w:szCs w:val="28"/>
          <w:rtl w:val="true"/>
          <w:lang w:bidi="ar-SA"/>
        </w:rPr>
        <w:t>رحمه الله المستدلّ على هذا الحكم، بإطلاق دليل وجوب الخُمس في الغوص، بأنّه معارضٌ بإطلاق ما دلّ على وجوبه في المعادن في غير محلّه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غاص لا بقصد الانتفاع والاغتنام، بل لغرضٍ آخر كالغُسل،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يجبُ فيه خُمس الغوص، كما عن كاشف الغطاء</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أم لا؟</w:t>
      </w:r>
    </w:p>
    <w:p>
      <w:pPr>
        <w:pStyle w:val="BookText"/>
        <w:rPr/>
      </w:pPr>
      <w:r>
        <w:rPr>
          <w:rFonts w:ascii="Amiri" w:hAnsi="Amiri" w:eastAsia="Amiri" w:cs="Amiri"/>
          <w:color w:val="111111"/>
          <w:sz w:val="28"/>
          <w:sz w:val="28"/>
          <w:szCs w:val="28"/>
          <w:rtl w:val="true"/>
          <w:lang w:bidi="ar-SA"/>
        </w:rPr>
        <w:t xml:space="preserve">وقد توقّف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والمحقّق الهمداني</w:t>
      </w:r>
      <w:r>
        <w:rPr>
          <w:rStyle w:val="FootnoteAnchor"/>
          <w:rtl w:val="true"/>
        </w:rPr>
        <w:footnoteReference w:id="128"/>
      </w:r>
      <w:r>
        <w:rPr>
          <w:rFonts w:ascii="Amiri" w:hAnsi="Amiri" w:eastAsia="Amiri" w:cs="Amiri"/>
          <w:color w:val="111111"/>
          <w:sz w:val="28"/>
          <w:sz w:val="28"/>
          <w:szCs w:val="28"/>
          <w:rtl w:val="true"/>
          <w:lang w:bidi="ar-SA"/>
        </w:rPr>
        <w:t>لإطلاق الأدلّة، ولإمكان دعوى انصرافها إلى ما لو كان بقصد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الأظهر هو الأوّل، إذ لا وجه لدعوى الانصراف المذكور، فإنّه بدوي يزول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شيءٌ في البحر وانقطع أمل صاحبه عن حصوله، فترك التعرّض لإخراجه كما هو المتعارف، فمقتضى القواعد وإنْ هو عدم ملكيّته لمن أخرجه بالغوص، ما لم يَعرِض عنه، إلّاأنّ النصوص الخاصّة دلّت على التفصيل بين ما لو قَذَف به البحر على ساحله، وبين ما لو أخرجه الغوّاص، كخبر السّكوني، عن أبي عبد اللّه عليه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غَرِقت السّفينة وما فيها، فأصابه الناس، فما قذف به البحر على ساحله فهو لأهله، وهم أحقّ به، وما غاص عليه النّاس وتركه صاحبه فهو لهم</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فهل يجب فيه خُمس الغوص، أم لا؟ وجهان أقواهما ذلك، لإطلاق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بأنّ النصوص والفتاوى ظاهرة في غيره، كما ترى‌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أنّ ما يخرج من البحر، إذا كان عليه أثر الإسلام، فهو للغائص، إذ</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5" w:name="pg11804_116466"/>
    </w:p>
    <w:p>
      <w:pPr>
        <w:pStyle w:val="BookText"/>
        <w:rPr/>
      </w:pPr>
      <w:bookmarkEnd w:id="55"/>
      <w:r>
        <w:rPr>
          <w:rFonts w:ascii="Amiri" w:hAnsi="Amiri" w:eastAsia="Amiri" w:cs="Amiri"/>
          <w:color w:val="111111"/>
          <w:sz w:val="28"/>
          <w:sz w:val="28"/>
          <w:szCs w:val="28"/>
          <w:rtl w:val="true"/>
          <w:lang w:bidi="ar-SA"/>
        </w:rPr>
        <w:t>بعد ترك صاحبه التعرّض له، يكون هو لمَن أخرجه بمقتضى الروايتين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المحقّق</w:t>
      </w:r>
      <w:r>
        <w:rPr>
          <w:rStyle w:val="FootnoteAnchor"/>
          <w:rtl w:val="true"/>
        </w:rPr>
        <w:footnoteReference w:id="130"/>
      </w:r>
      <w:r>
        <w:rPr>
          <w:rFonts w:ascii="Amiri" w:hAnsi="Amiri" w:eastAsia="Amiri" w:cs="Amiri"/>
          <w:color w:val="111111"/>
          <w:sz w:val="28"/>
          <w:sz w:val="28"/>
          <w:szCs w:val="28"/>
          <w:rtl w:val="true"/>
          <w:lang w:bidi="ar-SA"/>
        </w:rPr>
        <w:t>، والشهيد</w:t>
      </w:r>
      <w:r>
        <w:rPr>
          <w:rStyle w:val="FootnoteAnchor"/>
          <w:rtl w:val="true"/>
        </w:rPr>
        <w:footnoteReference w:id="131"/>
      </w:r>
      <w:r>
        <w:rPr>
          <w:rFonts w:ascii="Amiri" w:hAnsi="Amiri" w:eastAsia="Amiri" w:cs="Amiri"/>
          <w:color w:val="111111"/>
          <w:sz w:val="28"/>
          <w:sz w:val="28"/>
          <w:szCs w:val="28"/>
          <w:rtl w:val="true"/>
          <w:lang w:bidi="ar-SA"/>
        </w:rPr>
        <w:t xml:space="preserve">الثانيين، من كونه في حكم مال المسلم وأنّه لقطة، ضعيف، كما أنّه لا وجه لتردّد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بالغوص حيواناً، وكان في بطنه شيءٌ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كاشف الغطاء</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كان معتاداً، فيجب فيه الخُمس، وبين ما لو كان من باب الاتّفاق فلا يجب،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وهو الأقوى‌، لصدق الغوص في الأوّل دون الثاني،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نصاب الغوص</w:t>
      </w:r>
    </w:p>
    <w:p>
      <w:pPr>
        <w:pStyle w:val="Heading3"/>
        <w:numPr>
          <w:ilvl w:val="2"/>
          <w:numId w:val="1"/>
        </w:numPr>
        <w:rPr/>
      </w:pPr>
      <w:bookmarkStart w:id="56" w:name="__RefHeading___Toc10579706_73709187"/>
      <w:bookmarkStart w:id="57" w:name="_Toc19"/>
      <w:bookmarkEnd w:id="56"/>
      <w:r>
        <w:rPr>
          <w:rtl w:val="true"/>
        </w:rPr>
        <w:t>نصاب الغوص</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 وجوب الخُمس في الغوص، أنْ يبلغ قيمة ما أُخرج ديناراً فصاعداً، بل عن غير واحدٍ،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دعوى الإجماع عليه، ويشهد له خبر محمّد بن علي المتقدّم، وضعفه به منجبرٌ بعمل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عشرين ديناراً، ولم يظهر وجهه كما صرّح به غير واحد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سنذكره في المعدن، يظهر لك ما هو الحقّ في المقام، فيقع البحث في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إخراج المُؤن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النصاب بعده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الدفعة والدفعات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الُمخرَج بعضه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المباحث لاتّحاد مناط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وجوب الخُمس في العَنبر، بل عن جماعةٍ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 في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نصابه، فالمنسوبُ إلى الأكثر</w:t>
      </w:r>
      <w:r>
        <w:rPr>
          <w:rStyle w:val="FootnoteAnchor"/>
          <w:rtl w:val="true"/>
        </w:rPr>
        <w:footnoteReference w:id="141"/>
      </w:r>
      <w:r>
        <w:rPr>
          <w:rFonts w:ascii="Amiri" w:hAnsi="Amiri" w:eastAsia="Amiri" w:cs="Amiri"/>
          <w:color w:val="111111"/>
          <w:sz w:val="28"/>
          <w:sz w:val="28"/>
          <w:szCs w:val="28"/>
          <w:rtl w:val="true"/>
          <w:lang w:bidi="ar-SA"/>
        </w:rPr>
        <w:t>أنّه إنْ أُخرج بالغوص روعي فيه نصابه، وإنْ جنى من وجه الماء أو من الساحل، كان له حكم المعدن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نصابه عشرون ديناراً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نصاب له، بل يجبُ الخُمس في قليله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كاشف الغطاء</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العنبر من الغوص أو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العنبر إمّا من المعدن أو ملحقٌ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إمّا أنْ يكون من عينٍ في البحر،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البيان</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فهو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يكون رجيع دواب بحريّة،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أنّه نباتٌ في البحر،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وإنْ لم يكن منه، إلّاأنّه من جهة التسالم على انحصار ما يجبُ فيه في السبعة، يتعيّن إلحاقه بأحدها، وحيث أنّه أشبه بالمعادن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له مكاناً مخصوصاً وكلّ ما كان كذلك يُطلق على مكانه بالمعدن توسّعاً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ملحقاً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إنْ أُخرج بالغوص، جرى عليه حكمه، لما تقدّم من اختصاص حكم المعدن بما يخرج لا بطريق الغوص، وإلّا فيجري عليه حكم المعدن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بالمال الذي يُؤخذ من الناصب، فإنّه يجبُ فيه الخُمس، ولا يعتبر فيه شيءٌ ممّا يعتبر في الأقسام السبعة،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التسالم على الانحصار المزبور ليس إجماعاً تعبّديّاً، على أنّه لو كان كذلك، فحكمه حكم النصوص الدالّة على الحصر في الأربعة أو الخمسة أو السبعة، فيكون قابلاً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فبما أنّ المختار حجيّة خبر الثقة في الموضوعات، فقول الشيخ وإخباره حجّة علينا، فهو ليس من المعدن، ولا ملحقاً به، فإنْ أُخذ بغير طريق الغوص، فلا مجال لإجراء حكم الغوص ولا المعدن عليه، بل يتعيّن الرجوع إلى إطلاق الصحيح، القاضي بعدم اعتبار النصاب، وكذلك إنْ أُخذ بالغوص، إذ المتبادر من دليل الغوص غيره، لما عرفت من أنّ الموضوع هو الغوص بالمعنى العرفي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عطف الغوص عليه في الصحيح، المُشعر بالتغاير، وعليه فالأقوى هو القول الثالث، وهو عدم النصاب 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حقّقناه ظهر ضعف القول الثاني، لإبتنائه على كونه من المعدن، وكذلك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bookmarkStart w:id="58" w:name="pg11804_116470"/>
    </w:p>
    <w:p>
      <w:pPr>
        <w:pStyle w:val="Heading3"/>
        <w:numPr>
          <w:ilvl w:val="2"/>
          <w:numId w:val="1"/>
        </w:numPr>
        <w:rPr/>
      </w:pPr>
      <w:bookmarkStart w:id="59" w:name="__RefHeading___Toc10579708_73709187"/>
      <w:bookmarkStart w:id="60" w:name="_Toc20"/>
      <w:bookmarkEnd w:id="58"/>
      <w:bookmarkEnd w:id="59"/>
      <w:r>
        <w:rPr>
          <w:rtl w:val="true"/>
        </w:rPr>
        <w:t>أرباح المكاسب ثبوت الخمس في أرباح المكاسب</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الرابع من 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عن مؤونة السَّنة له ولعياله،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أرباح التجارات، والصِّناعات، والزّراعات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وغيرهم</w:t>
      </w:r>
      <w:r>
        <w:rPr>
          <w:rStyle w:val="FootnoteAnchor"/>
          <w:rtl w:val="true"/>
        </w:rPr>
        <w:footnoteReference w:id="156"/>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القديمين</w:t>
      </w:r>
      <w:r>
        <w:rPr>
          <w:rStyle w:val="FootnoteAnchor"/>
          <w:rtl w:val="true"/>
        </w:rPr>
        <w:footnoteReference w:id="157"/>
      </w:r>
      <w:r>
        <w:rPr>
          <w:rFonts w:ascii="Amiri" w:hAnsi="Amiri" w:eastAsia="Amiri" w:cs="Amiri"/>
          <w:color w:val="111111"/>
          <w:sz w:val="28"/>
          <w:sz w:val="28"/>
          <w:szCs w:val="28"/>
          <w:rtl w:val="true"/>
          <w:lang w:bidi="ar-SA"/>
        </w:rPr>
        <w:t>، بل ظاهر ابن الجُنيد</w:t>
      </w:r>
      <w:r>
        <w:rPr>
          <w:rStyle w:val="FootnoteAnchor"/>
          <w:rtl w:val="true"/>
        </w:rPr>
        <w:footnoteReference w:id="158"/>
      </w:r>
      <w:r>
        <w:rPr>
          <w:rFonts w:ascii="Amiri" w:hAnsi="Amiri" w:eastAsia="Amiri" w:cs="Amiri"/>
          <w:color w:val="111111"/>
          <w:sz w:val="28"/>
          <w:sz w:val="28"/>
          <w:szCs w:val="28"/>
          <w:rtl w:val="true"/>
          <w:lang w:bidi="ar-SA"/>
        </w:rPr>
        <w:t>وجود المخالف في المسألة قبله،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استُفيد من ميراث أو كديد أو صلة أخٍ أو ربحِ تجارةٍ‌، أو نحو ذلك، فالأحوط إخراجه، لإختلاف الرواية في ذلك، ولأنّ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هذا المعنى، فلو لم يخرجه الإنسان، لم يكن كتارك الزكاة التي لا خلاف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بما أنّه جعل الإخراج مورد اختلاف الرواية، ووجود المخالف في </w:t>
      </w:r>
    </w:p>
    <w:p>
      <w:pPr>
        <w:pStyle w:val="BookText"/>
        <w:rPr/>
      </w:pPr>
      <w:r>
        <w:rPr>
          <w:rFonts w:ascii="Amiri" w:hAnsi="Amiri" w:eastAsia="Amiri" w:cs="Amiri"/>
          <w:color w:val="111111"/>
          <w:sz w:val="28"/>
          <w:sz w:val="28"/>
          <w:szCs w:val="28"/>
          <w:rtl w:val="true"/>
          <w:lang w:bidi="ar-SA"/>
        </w:rPr>
        <w:t>وجوبه، لا أصل ثبوته، فالظاهر أنّه قائلٌ بالعفو والإباحة، وكذا من نقل خلافه مخالفٌ في القول بعدم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أصل وجوب الخُمس في هذا القسم، وتشهد له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59"/>
      </w:r>
      <w:r>
        <w:rPr>
          <w:rFonts w:ascii="Amiri" w:hAnsi="Amiri" w:eastAsia="Amiri" w:cs="Amiri"/>
          <w:color w:val="111111"/>
          <w:sz w:val="28"/>
          <w:sz w:val="28"/>
          <w:szCs w:val="28"/>
          <w:rtl w:val="true"/>
          <w:lang w:bidi="ar-SA"/>
        </w:rPr>
        <w:t>، إذ الغنيمة على ما يظهر من كلمات جماعةٍ‌</w:t>
      </w:r>
      <w:r>
        <w:rPr>
          <w:rStyle w:val="FootnoteAnchor"/>
          <w:rtl w:val="true"/>
        </w:rPr>
        <w:footnoteReference w:id="160"/>
      </w:r>
      <w:r>
        <w:rPr>
          <w:rFonts w:ascii="Amiri" w:hAnsi="Amiri" w:eastAsia="Amiri" w:cs="Amiri"/>
          <w:color w:val="111111"/>
          <w:sz w:val="28"/>
          <w:sz w:val="28"/>
          <w:szCs w:val="28"/>
          <w:rtl w:val="true"/>
          <w:lang w:bidi="ar-SA"/>
        </w:rPr>
        <w:t>، هي كلّ ما استفيد واكتسب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والطبرسي</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الغنيمة في الآية هي الفائدة المكتسبة،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ممّا يقتضيه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مقابل الغُرم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الوارد في تفسير الآية الشريفة، وقد صرّح فيه عليه السلام بأنّ الغنيمة هي الفائدة، كصحيح علي بن مهزيار الآتي،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فالغنائم والفوائد يَرحَمك اللّه، فهي الغنيمة، يغنمها المرء، والفائدة يفيدها، والجائزة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الآية الشريفة في ضمن الآيات المتضمّنة لحكم الجهاد، لا يكون قرينةً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لإرادة خصوص غنيمة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الآية مستلزمٌ لتخصيص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من موارد عدم وجوب الخُمس، إنّما هي الموارد التي أباح صاحب الخُمس فيها، ورفع اليد عن حقّه، لا أنّه لا يجبُ فيها في أصل الشرع، وجملةٌ من تلك الموارد لا تصدق الغنيمة عليها، مع أنّ دعوى أكثريّة موارد عدم الوجوب من موارد الوجوب،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في غنائم دار الحرب، إنّما يجبُ على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يُقسّم الغنائم يُخرج خمسه، لا أنّه يكلّف كلّ فردٍ بأدائه، وهذا بخلاف أرباح المكاسب، فإنّ مَنْ يجبُ عليه الإخراج، هو كلّ فردٍ بنفسه ومستقلّاً، فإرادة الوجوب فيهما بدليلٍ واحد، مستلزمة للجمع بين اللّحاظين، إذ لحاظ كلّ فرد من الأفراد في الأُولى لحاظٌ تبعي واندكاكي، ولحاظه في الثانية استقلالي انفرادي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بعد فرض إناطة الحكم بجامعٍ يجمع العنوانين، كعنوان المالك مثلاً، فإنّ معنى الإطلاق هو رفض القيود لا الجمع بينها، ولذا ترى أنّه لا يشكّ أحدٌ في ترتيب جميع الأحكام المترتّبة على عنوان المالك، سواءٌ أكان هو الفرد أو الهيئة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بعض اللّغويين</w:t>
      </w:r>
      <w:r>
        <w:rPr>
          <w:rStyle w:val="FootnoteAnchor"/>
          <w:rtl w:val="true"/>
        </w:rPr>
        <w:footnoteReference w:id="167"/>
      </w:r>
      <w:r>
        <w:rPr>
          <w:rFonts w:ascii="Amiri" w:hAnsi="Amiri" w:eastAsia="Amiri" w:cs="Amiri"/>
          <w:color w:val="111111"/>
          <w:sz w:val="28"/>
          <w:sz w:val="28"/>
          <w:szCs w:val="28"/>
          <w:rtl w:val="true"/>
          <w:lang w:bidi="ar-SA"/>
        </w:rPr>
        <w:t xml:space="preserve">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أُخذ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الكفّار عن طريق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عند معارضته مع قول جماعة آخرين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 أحد معاني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ذلك، لكن لم يصرّح أحدٌ بأنّ هذه المادّة معناها ذلك، في ضمن أيّ هيئة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تفسيره عليه السلام للآية، لا يبقى موردٌ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ينبغي التوقّف في عموم الآية الشريفة وشمولها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الدالّة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مهزيار، عن محمّد بن الحسن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 الرّجل من قليلٍ وكثيرٍ، من جميع الضروب، وعلى الصناع، وكيف ذلك‌؟ 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عليّ بن محمّد بن الشجاع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من ضيعته مائة كُرّ من الحنطة، ما يُزكّى فأخذ منه العُشر عَشرة أكرار، وذهب منه بسبب عمّارة الضيعة ثلاثون كُرّاً وبقى في يده ستّون كُرّاً، ما الذي يجب لك من ذلك‌؟ وهل يجبُ لأصحابه من ذلك عليه شيء؟ فوقّع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الخمس ممّا يفضل عن مؤونته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اُجيبه‌؟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وصنائعهم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محمّد بن زيد الطبري،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من تجّار فارس من بعض موالي أبي الحسن الرِّضا عليه السلام يسأله الإذن في الخُمس،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إنّ اللّه واسعٌ كريم، ضَمِن على العمل الثواب، وعلى الضيّق الهمّ‌، لا يحلّ مالٌ إلّامن وجهٍ أحلّه اللّه، إنّ الخُمس عوننا على ديننا، وعلى عيالاتنا، وعلى موالينا وما نبذله ونشتري من أعراضنا ممّن نخاف سطوته، فلا تزووه عنَّا، ولا تحرموا أنفسكم دعائنا ما قدرتم عليه، فإنّ إخراجه مفتاحُرزقكم، وتمحيص ذنوبكم، وما تمهِّدون لأنفسكم ليوم فاقتكم، والمسلم من يَفي للّه بما عهد إليه، وليس المسلم من أجاب باللِّسان، وخالف بالقلب، والسَّلام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بإسناده أيضاً عن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قومٌ من خراسان إلى أبي الحسن الرضا عليه السلام، فسألوه أن يجعلهم في حِلٍّ من الخُمس‌؟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تمحضونا المودّة بألسنتكم، وتزوون عنّا حقّاً جعله اللّه لنا وجعلنا له، وهو الخُمس، لا نجعل لا نجعل لا نجعل لأحدٍ منكم في حِلّ‌</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الريّان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 مولاي في غِلة رحى في أرض في قطيعة لي، وفي ثمن سَمك وبَردي وقصبٍ أبيعه من أجمة هذه القطيعة‌؟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فيه الخمس إن شاء اللّه تعالى‌</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المؤونة مؤونة الضيعة وخراجها، لا مؤونة الرّجل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وقرأه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مؤونته ومؤونة عياله، وبعد خراج السلطان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الخامس الطويل،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والغنائم والفوائد يرحمك اللّه فهي الغنيمة يغنمها المرء والفائدة يفيدها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 الواردة بهذا المضمون، فلا مجال للارتياب في وجوب الخمس في هذا القسم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1" w:name="pg11804_116476"/>
    </w:p>
    <w:p>
      <w:pPr>
        <w:pStyle w:val="BookText"/>
        <w:rPr/>
      </w:pPr>
      <w:bookmarkEnd w:id="61"/>
      <w:r>
        <w:rPr>
          <w:rFonts w:ascii="Amiri" w:hAnsi="Amiri" w:eastAsia="Amiri" w:cs="Amiri"/>
          <w:color w:val="111111"/>
          <w:sz w:val="28"/>
          <w:sz w:val="28"/>
          <w:szCs w:val="28"/>
          <w:rtl w:val="true"/>
          <w:lang w:bidi="ar-SA"/>
        </w:rPr>
        <w:t>أخبار التحليل</w:t>
      </w:r>
    </w:p>
    <w:p>
      <w:pPr>
        <w:pStyle w:val="Heading3"/>
        <w:numPr>
          <w:ilvl w:val="2"/>
          <w:numId w:val="1"/>
        </w:numPr>
        <w:rPr/>
      </w:pPr>
      <w:bookmarkStart w:id="62" w:name="__RefHeading___Toc10579710_73709187"/>
      <w:bookmarkStart w:id="63" w:name="_Toc21"/>
      <w:bookmarkEnd w:id="62"/>
      <w:r>
        <w:rPr>
          <w:rtl w:val="true"/>
        </w:rPr>
        <w:t>أخبار التحليل</w:t>
      </w:r>
      <w:bookmarkEnd w:id="6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دلالة الأخبار الآنفة على ثبوت أصل الخُمس، يقع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اُبيح الخُمس في هذا القسم أو مطلقاً للشيعة بتمامه، كما عن القديمين</w:t>
      </w:r>
      <w:r>
        <w:rPr>
          <w:rStyle w:val="FootnoteAnchor"/>
          <w:rtl w:val="true"/>
        </w:rPr>
        <w:footnoteReference w:id="177"/>
      </w:r>
      <w:r>
        <w:rPr>
          <w:rFonts w:ascii="Amiri" w:hAnsi="Amiri" w:eastAsia="Amiri" w:cs="Amiri"/>
          <w:color w:val="111111"/>
          <w:sz w:val="28"/>
          <w:sz w:val="28"/>
          <w:szCs w:val="28"/>
          <w:rtl w:val="true"/>
          <w:lang w:bidi="ar-SA"/>
        </w:rPr>
        <w:t>، والديلمي</w:t>
      </w:r>
      <w:r>
        <w:rPr>
          <w:rStyle w:val="FootnoteAnchor"/>
          <w:rtl w:val="true"/>
        </w:rPr>
        <w:footnoteReference w:id="1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نسبته إلى شيخه الشيخ عبد اللّه ابن صالح وإلى جملة من معاصريه‌؟</w:t>
      </w:r>
    </w:p>
    <w:p>
      <w:pPr>
        <w:pStyle w:val="BookText"/>
        <w:rPr/>
      </w:pPr>
      <w:r>
        <w:rPr>
          <w:rFonts w:ascii="Amiri" w:hAnsi="Amiri" w:eastAsia="Amiri" w:cs="Amiri"/>
          <w:color w:val="111111"/>
          <w:sz w:val="28"/>
          <w:sz w:val="28"/>
          <w:szCs w:val="28"/>
          <w:rtl w:val="true"/>
          <w:lang w:bidi="ar-SA"/>
        </w:rPr>
        <w:t xml:space="preserve">أم أنّه اُبيح نصفه الذي للإمام عليه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قوم من المتقدّمين‌؟</w:t>
      </w:r>
    </w:p>
    <w:p>
      <w:pPr>
        <w:pStyle w:val="BookText"/>
        <w:rPr/>
      </w:pPr>
      <w:r>
        <w:rPr>
          <w:rFonts w:ascii="Amiri" w:hAnsi="Amiri" w:eastAsia="Amiri" w:cs="Amiri"/>
          <w:color w:val="111111"/>
          <w:sz w:val="28"/>
          <w:sz w:val="28"/>
          <w:szCs w:val="28"/>
          <w:rtl w:val="true"/>
          <w:lang w:bidi="ar-SA"/>
        </w:rPr>
        <w:t xml:space="preserve">أم اُبيح إذا لم يكن من الأصناف الثلاثة، وإلّا وجب صرفه فيهم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لم يُبح شى ءٌمنه، إلّا في موارد خاصّة، كما هو المعروف بين الأصحاب‌؟ وجوه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تشهد للأخير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أصالة عدم العفو، الّتي هي كأصالة عدم النسخ يعتمد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المتقدّمة آنفاً، كما لا يخفى على مَن لاحظها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كثيرة، وجملة منها وإنْ وردت في موارد خاصّة، التي استثنيت كما سيمرّ عليك، إلّاأنّ جملة اُخرى منها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خديجة،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أبو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خادمةً يشتريها، أو امرأة يتزوّجها، أو ميراثاً يُصيبه، أو تجارةً أو شيئاً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لشيعتنا حلالٌ‌، الشاهد منهم والغائب، والميّت منهم والحَيّ‌، وما يولد منهم إلى يوم القيامة، فهو لهم حلالٌ‌، أما واللّه لا يَحلّ إلّالمن أحللنا له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الحارث بن المغيرة النضري،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وتجاراتٍ ونحو ذلك، وقد علمت أنّ لك فيها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أحللنا إذاً لشيعتنا، إلّالتطيب ولادتهم، وكلّ من والى آبائي فهو في حِلٍّ ممّا في أيديهم من حقّنا، فليبلّغ الشاهدُ الغائبَ‌</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وفروجهم، لأنّهم لم يؤدّوا إلينا حقّنا، ألا وإنّ شيعتنا من ذلك وآبائهم في حِلّ‌</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حكيم،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87"/>
      </w:r>
      <w:r>
        <w:rPr>
          <w:rFonts w:ascii="Amiri" w:hAnsi="Amiri" w:eastAsia="Amiri" w:cs="Amiri"/>
          <w:color w:val="111111"/>
          <w:sz w:val="28"/>
          <w:sz w:val="28"/>
          <w:szCs w:val="28"/>
          <w:rtl w:val="true"/>
          <w:lang w:bidi="ar-SA"/>
        </w:rPr>
        <w:t>، هي واللّه الإفادة يوماً بيوم، ألا إنّ أبي جعل شيعته في حِلّ ليزكوا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امرءٍ غنمٌ أو اكتسب الخمُس ممّا أصاب، لفاطمة عليها السلام ولمن يلي أمرها من بعدها من ذرّيتها الحُجَج على النّاس، فذلك لهم خاصّة، يضعونه حيث شاؤوا، وحَرُم عليهم الصَّدقة، حتّى الخيّاط يخيط قميصاً بخمسة دوانيق، فلنا منه دانق، إلّامن أحللناه من شيعتنا لتطيب لهم به الولادة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الشريف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عصام الكليني، عن محمّد بن يعقوب الكليني، عن إسحاق بن يعقوب، فيما ورد عليه من التوقيعات بخطّ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الخُمس فقد اُبيح لشيعتنا، وجعلوا منه في حِلّ إلى أن يظهر أمرنا، لتطيب ولادتهم ولا تَخبُث</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الأحسائي،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حال شيعتكم فيما خَصّكم اللّه إذا غاب غائبكم واستتر قائمكم‌؟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أنصفناهم إنْ واخذناهم، ولا أحببناهم إنْ عاقبناهم، بل نُبيح لهم المساكن لتصحّ عباداتهم، ونُبيح لهم المناكح لتطيب ولادتهم، ونُبيح لهم المتاجر لتَزكوا أموالهم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عن بعضٍ‌</w:t>
      </w:r>
      <w:r>
        <w:rPr>
          <w:rStyle w:val="FootnoteAnchor"/>
          <w:rtl w:val="true"/>
        </w:rPr>
        <w:footnoteReference w:id="192"/>
      </w:r>
      <w:r>
        <w:rPr>
          <w:rFonts w:ascii="Amiri" w:hAnsi="Amiri" w:eastAsia="Amiri" w:cs="Amiri"/>
          <w:color w:val="111111"/>
          <w:sz w:val="28"/>
          <w:sz w:val="28"/>
          <w:szCs w:val="28"/>
          <w:rtl w:val="true"/>
          <w:lang w:bidi="ar-SA"/>
        </w:rPr>
        <w:t>من أنّ نصوص التحليل واردة في موارد خاصّة، وليس فيها ما يدلّ على التحليل المطلق،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ما ورد عن المجلسي</w:t>
      </w:r>
      <w:r>
        <w:rPr>
          <w:rStyle w:val="FootnoteAnchor"/>
          <w:rtl w:val="true"/>
        </w:rPr>
        <w:footnoteReference w:id="193"/>
      </w:r>
      <w:r>
        <w:rPr>
          <w:rFonts w:ascii="Amiri" w:hAnsi="Amiri" w:eastAsia="Amiri" w:cs="Amiri"/>
          <w:color w:val="111111"/>
          <w:sz w:val="28"/>
          <w:sz w:val="28"/>
          <w:szCs w:val="28"/>
          <w:rtl w:val="true"/>
          <w:lang w:bidi="ar-SA"/>
        </w:rPr>
        <w:t>رحمه الله من أنّه لم يرد عنه عليه السلام ما يدلّ على التحليل في زمان الغيبة،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ذهب إلى تحليل الخُمس بتمامه، استند إلى بعض هذه النصوص، ومن اختار إباحة خصوص حصّة الإمام، استند إلى ما تضمّن إباحة حقّهم عليهم السلام كصحيح الفضلاء، ومن اختار إباحة حصّته عليه السلام في زمان الغيبة،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رحمه الله استند إلى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مقام الجواب عن هذه النصوص 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المشهور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لم يعرضوا عن هذه النصوص، وإنّما حَمَلوها على الموارد الخاصّة، جمعاً بينها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إسنادها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سُلّم في جملة منها كخبر حكيم لجهالته، وخبر عبد اللّه بن سنان، لأنّ من جملة رجاله عبد اللّه بن القاسم الحضرمي، الذي وصفه النجاشي بأنّه كان كذّاباً، والتوقيع على ما ستعرف، والمرسل، إلّاأنّ جملة منها صحيحة سنداً ومعتبرة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من الشرع أنّهم عليهم السلام خَزَنة علم اللّه سبحانه، وحَفَظة شرعه القويم، يحكمون فيه بما استودعهم الرسول صلى الله عليه و آله، وأنّهم لا يغيّرون الأحكام بعد انقطاع الوحي، فكيف يستقيم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أحللنا لشيعتنا وأبحنا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حقّهم، وإباحة حقّهم كإباحة غيرهم حقّه، لا يعدّ تصرّفاً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الحكم وتغييراً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ذلك لابدّ من الاقتصار على خصوص حصّته عليه السلام، لا حقّ السادات، ولا حقّ الإمام اللّاحق، مع أنّ إباحة غير الحقّ الثابت حين التحليل من قبيل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بالدليل أنّ للنبيّ صلى الله عليه و آله والأئمّة عليهم السلام العفو عمّا وضعه اللّه، والوضع لا يكون إلّابعد العفو، ولذا عَفى النبيّ صلى الله عليه و آله الزكاة عمّا عدا التسعة بعدما وضعت وشرّعت أوّلاً على جميع الأموال، ووضعها عليّ عليه السلام بعد عفو النبيّ صلى الله عليه و آله على الفَرَس، والنبيّ صلى الله عليه و آله جَعل السُّدس طُعمة الجَدّ في الإرث، مع أنّه لم يجعل اللّه تعالى له شيئاً، ووضع دية العين ودية النفس، وحَرّم النبيذ وكُلّ مسكرٍ، مع أنّه تعالى لم يُحرّم إلّا الخمر، وألحقَ الرّكعتين، وسَنَّ صلى الله عليه و آله صوم شعبان، وثلاثة أيّام في كلّ شهر، وزاد النبيّ صلى الله عليه و آله على الوضوء الثابت بحسب أصل الشرع مرّةً‌، ووضعه اثنين اثنين، إلى غير ذلك من الموارد، ولتفويض هذا المقام إليهم، لهم الحقّ في أن يتصرّفوا في بيت المال ما يرون، ويعطون مَن يشاءون، ويمنعونه عمّن شاؤوا، كما نطقت بجميع ذلك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محذور في عفوه عن حقّ السادات وحقّ الإمام اللّاحق، وليس من قبيل إسقاط ما لم يجب، بل يكون عفوهم بنحو القضيّة الحقيقيّة فتدبّر، فإنّ هذا غير النَسخ، فإنّه عبارة عن رفع الحكم، وهذا إغماضٌ وعفوٌ عمّا ثبت عليه الحكم، مع بقاء الحكم على حاله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جملة من النصوص تضمّنت أنّ الدُّنيا للإمام، ففي خبر أبي سيّار،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ومالنا من الأرض وما أخرج اللّه منها إلّاالخمس، يا أبا سيّار </w:t>
      </w:r>
    </w:p>
    <w:p>
      <w:pPr>
        <w:pStyle w:val="BookText"/>
        <w:rPr/>
      </w:pPr>
      <w:r>
        <w:rPr>
          <w:rFonts w:ascii="Amiri" w:hAnsi="Amiri" w:eastAsia="Amiri" w:cs="Amiri"/>
          <w:color w:val="111111"/>
          <w:sz w:val="28"/>
          <w:sz w:val="28"/>
          <w:szCs w:val="28"/>
          <w:rtl w:val="true"/>
          <w:lang w:bidi="ar-SA"/>
        </w:rPr>
        <w:t>الأرض كلّها لنا، فما أخرج اللّه منها من شيءٍ‌، فهو لنا</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مفاد هذه النصوص الملكيّة بنحوٍ لا تُجامع مع ملكيّة غيرهم، كي ترد بمخالفتها للضرورة، بل الملكيّة الثابتة بها من قبيل الملكيّة الثابتة للّه تعالى لما في أيدي الناس، التي جعلها اللّه لنبيّه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196"/>
      </w:r>
      <w:r>
        <w:rPr>
          <w:rFonts w:ascii="Amiri" w:hAnsi="Amiri" w:eastAsia="Amiri" w:cs="Amiri"/>
          <w:color w:val="111111"/>
          <w:sz w:val="28"/>
          <w:sz w:val="28"/>
          <w:szCs w:val="28"/>
          <w:rtl w:val="true"/>
          <w:lang w:bidi="ar-SA"/>
        </w:rPr>
        <w:t>وجَعَلها النبيّ صلى الله عليه و آله للأوصياء من بعده، غير المنافية لملكيّة العباد، وهذه هي التي أرادها ابن أبي عمير في منازعته مع أبي مالك الحضرمي،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للإمام، على جهة المِلْك وأنّه أولى بها من الذين في أيديهم، فإنكار الحضرمي كتصديق هِشام في غير محلّه، وعليه فله التصرّف في الخُمس من غير فرقٍ بين حقّ السادات وحقّه عليه السلام، وغيرهما من الأموال كيف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التزموا عليهم السلام في الظاهر بعدم استباحة شيء ممّا في أيدى الناس، إلّابسببٍ من الأسباب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المجلسي</w:t>
      </w:r>
      <w:r>
        <w:rPr>
          <w:rStyle w:val="FootnoteAnchor"/>
          <w:rtl w:val="true"/>
        </w:rPr>
        <w:footnoteReference w:id="197"/>
      </w:r>
      <w:r>
        <w:rPr>
          <w:rFonts w:ascii="Amiri" w:hAnsi="Amiri" w:eastAsia="Amiri" w:cs="Amiri"/>
          <w:color w:val="111111"/>
          <w:sz w:val="28"/>
          <w:sz w:val="28"/>
          <w:szCs w:val="28"/>
          <w:rtl w:val="true"/>
          <w:lang w:bidi="ar-SA"/>
        </w:rPr>
        <w:t>رحمه الله وهو أنّ أخبار التحليل إنّما تدلّ على حليّة التصرّف في مال الخمس قبل إخراجه، مع ضمان الخمس في الذّمة، وهذا يلائم مع نصوص وجوبه، وعدم العفو عنه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منافٍ لظهور مادّة التحليل، ولذا ترى أنّ الفقهاء في جملةٍ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كالمناكح والمساكن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التزموا بالعفو، استناداً إلى ما تضمّن التحليل فيها، مع أنّ بعضها كالصريح في العفو، كصحيح الفضلاء المتقدّم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4" w:name="pg11804_116482"/>
    </w:p>
    <w:p>
      <w:pPr>
        <w:pStyle w:val="BookText"/>
        <w:rPr/>
      </w:pPr>
      <w:bookmarkEnd w:id="64"/>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للحكمة المقتضية لتشريعه، من استغناءبني هاشم به عن وجوه الصدقات، فلابدّ من حملها على خصوص قسمٍ خاصّ أوزمانٍمخصوص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وجهٌ استحساني، لا يوجب تقييد المطلقات، مع اختصاصه بحقّ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في الجواب عن أخبار التحليل</w:t>
      </w:r>
    </w:p>
    <w:p>
      <w:pPr>
        <w:pStyle w:val="Heading3"/>
        <w:numPr>
          <w:ilvl w:val="2"/>
          <w:numId w:val="1"/>
        </w:numPr>
        <w:rPr/>
      </w:pPr>
      <w:bookmarkStart w:id="65" w:name="__RefHeading___Toc10579712_73709187"/>
      <w:bookmarkStart w:id="66" w:name="_Toc22"/>
      <w:bookmarkEnd w:id="65"/>
      <w:r>
        <w:rPr>
          <w:rtl w:val="true"/>
        </w:rPr>
        <w:t>الحقّ في الجواب عن أخبار التحليل</w:t>
      </w:r>
      <w:bookmarkEnd w:id="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مقام الجمع بين النصوص، يقتضي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عدا التوقيع الشريف، والمرسل، وخبر أبي خديجة من النصوص إنّما صدرت عن الصادقين عليهما السلام، حيث عفيا عن الخمس، إلّاأنّ من بعدهما من الأئمّة عليهم السلام أثبتوه، بل شدّدوا عليه، وصرّحوا بعدم الحِليّة، لاحظ النصوص المتقدّمة آنفاً، ولا يخفى أنّه بحسب اعتقادنا؛ كما أنّ لهما العفو كذلك لهم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التحليل في خصوص المناكح، كما يدلّ عليه نصّ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لإرساله وضعف 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التوقيع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ضعف سنده، لا لكون محمّد بن محمّد بن عصام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ينصّ أحدٌ على وثاقته، لأنّه من مشايخ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للجهل بحال إسحاق بن يعقوب، إذ جمعٌ من الرجاليّين وإنْ وثّقوه، إلّاأنّ توثيقهم إيّاه إنّما يكون لأجل التوقيع الوارد عليه من صاحب الأمر عليه السلام في جواب مسائل أُشكلت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سألتَ عنه أرشَدَك اللّه وثبّتك من أمر المنكرين لي من أهل بيتنا، وبني </w:t>
      </w:r>
    </w:p>
    <w:p>
      <w:pPr>
        <w:pStyle w:val="BookText"/>
        <w:rPr/>
      </w:pPr>
      <w:r>
        <w:rPr>
          <w:rFonts w:ascii="Amiri" w:hAnsi="Amiri" w:eastAsia="Amiri" w:cs="Amiri"/>
          <w:color w:val="111111"/>
          <w:sz w:val="28"/>
          <w:sz w:val="28"/>
          <w:szCs w:val="28"/>
          <w:rtl w:val="true"/>
          <w:lang w:bidi="ar-SA"/>
        </w:rPr>
        <w:t xml:space="preserve">عمّنا، فاعلم أنّه ليس بين اللّه عزّ وجلّ وبين أحدٍ قرابة، ومن أنكر فليس منّي، وسبيله سبيل ابن نوح، وأمّا سبيل عمّي جعفر وولده، فسبيل إخوة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الانتفاع بي في غيبتي، فكالانتفاع بالشمس إذا غيّبها عن الأبصار السحاب، وإنّي لأمانٌ لأهل الأرض، كما أنّ النجوم أمانٌ لأهل السماء، فاغلقوا أبواب السؤال عمّا لا يُعنيكم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يا إسحاق بن يعقوب، وعلى من اتّبع الهدى‌</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التوقيع لا يدلّ على وثاقته، بل يدلّ على أنّه كان متردّداً في أمره عليه السلام لشبهات كانت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الراوي له، فكيف يمكن الاعتماد عليه في وثاقته‌؟</w:t>
      </w:r>
    </w:p>
    <w:p>
      <w:pPr>
        <w:pStyle w:val="BookText"/>
        <w:rPr/>
      </w:pP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جوابٌ عمّا سأله، ولعلّ السؤال كان عن قسمٍ خاصّ‌، 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واُبيح شيعتنا وجعلوا منه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تحليل مَنْ قَبله من الأئمّة يقتضي تحليل قسمٍ خاصّ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بل يشهد به، تعليله الحليّة بطِيب الولادة، وعدم خُبثها، فإنّه يقتضي تحليل خصوص ما يتعلّق بالمناكح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المحقّق الهمداني رحمه الله عن التوقيع الشريف، بجوابين آخرين، 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بأخبار مرويّة عنه، مثل ما رواه سعيد بن هبة اللّه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المسترق، عن الحسين بن عبداللّه بن حمدان، عن عمّه الحسين، في حديثٍ عن صاحب الزمان عليه السلام أنّه رآه وتحته بغلةٌ شهباء، إلى أنْ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كم ترزأ على الناحية، ولم تمنع أصحابي عن خمس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مضيتَ إلى الموضع الذي تُريده، تدخله عفواً، وكسبت ماكسبت، تحمل خُمسه إلى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العُمري أتاه وأخذ خُمس ماله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الصدوق أنّه ورد عنه عليه السلام في جواب مسائل محمّد بن جعفر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وأمّاماسألتَ‌عنه من أمر مَن يستحلُّ مافي يده من أموالنا، ويتصرّف فيه تصرّفه في ماله، من غير أمرنا، فمن فَعَل ذلك فهو ملعونٌونحن خُصَمائه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توقيعٌ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ليس من الأحكام الشرعيّة، بل من قبيل الموضوعات الخارجيّة، فلا يكفي في ثبوته إلّاالعلم أو البيّنة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 النجاشي الحسين بن حمدان الذي هو الراوي للتوقيع الأوّل بقوله</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فاسد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عنه ابن الغضائري</w:t>
      </w:r>
      <w:r>
        <w:rPr>
          <w:rStyle w:val="FootnoteAnchor"/>
          <w:rtl w:val="true"/>
        </w:rPr>
        <w:footnoteReference w:id="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فاسد المذهب، صاحب مقالة ملعونة، ولا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متضمّنٌ لحكم شخصٍ واحد، وعدم العفو عنه، لا يلازم عدم العفو عن غيره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التوقيعان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إنّما يتضمّنان اللّعن على مَنْ أكل أموالهم مستحلّاً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 إذنه، وهذا لا ربط له بمن يتصرّف فيها بإذنه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مراراً في هذا الشرح، من أنّ خبر الواحد حجّة في الموضوعات أيضاً، فضلاً عن أنّ الدليل الذي اُقيم لعدم حجيّته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أمثال هذا الموضوع الخارجي،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ما ذكرناه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المعتمد في زمان الغيبة الكبرى‌، هو ما دلّ على عدم الإباحة والحِليّة، فلا إشكال في تعلّق الخُمس بأرباح المكاسب، ولكن بما يفضل منها عن مؤونة السَّنة، على ما سيأتي تنقيح القول في هذا الشرط عند تعرّض المصنّف رحمه الله له</w:t>
      </w:r>
      <w:r>
        <w:rPr>
          <w:rFonts w:eastAsia="Amiri" w:cs="Amiri" w:ascii="Amiri" w:hAnsi="Amiri"/>
          <w:color w:val="111111"/>
          <w:sz w:val="28"/>
          <w:szCs w:val="28"/>
          <w:rtl w:val="true"/>
          <w:lang w:bidi="ar-SA"/>
        </w:rPr>
        <w:t>.</w:t>
      </w:r>
      <w:bookmarkStart w:id="67" w:name="pg11804_116486"/>
    </w:p>
    <w:p>
      <w:pPr>
        <w:pStyle w:val="BookText"/>
        <w:rPr/>
      </w:pPr>
      <w:bookmarkEnd w:id="67"/>
      <w:r>
        <w:rPr>
          <w:rFonts w:ascii="Amiri" w:hAnsi="Amiri" w:eastAsia="Amiri" w:cs="Amiri"/>
          <w:color w:val="111111"/>
          <w:sz w:val="28"/>
          <w:sz w:val="28"/>
          <w:szCs w:val="28"/>
          <w:rtl w:val="true"/>
          <w:lang w:bidi="ar-SA"/>
        </w:rPr>
        <w:t>متعلّق خُمس الأرباح مطلق الفائدة</w:t>
      </w:r>
    </w:p>
    <w:p>
      <w:pPr>
        <w:pStyle w:val="Heading3"/>
        <w:numPr>
          <w:ilvl w:val="2"/>
          <w:numId w:val="1"/>
        </w:numPr>
        <w:rPr/>
      </w:pPr>
      <w:bookmarkStart w:id="68" w:name="__RefHeading___Toc10579714_73709187"/>
      <w:bookmarkStart w:id="69" w:name="_Toc23"/>
      <w:bookmarkEnd w:id="68"/>
      <w:r>
        <w:rPr>
          <w:rtl w:val="true"/>
        </w:rPr>
        <w:t>متعلّق خُمس الأرباح مطلق الفائدة</w:t>
      </w:r>
      <w:bookmarkEnd w:id="69"/>
    </w:p>
    <w:p>
      <w:pPr>
        <w:pStyle w:val="BookText"/>
        <w:rPr/>
      </w:pPr>
      <w:r>
        <w:rPr>
          <w:rFonts w:ascii="Amiri" w:hAnsi="Amiri" w:eastAsia="Amiri" w:cs="Amiri"/>
          <w:color w:val="111111"/>
          <w:sz w:val="28"/>
          <w:sz w:val="28"/>
          <w:szCs w:val="28"/>
          <w:rtl w:val="true"/>
          <w:lang w:bidi="ar-SA"/>
        </w:rPr>
        <w:t>اختلفت كلمات القوم في فتاويهم، ومعاقد إجماعاتهم، في تحديد موضوع الخمس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جميع المستفاد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الخمس في جميع المستفاد من أرباح التجارات والمكاسب، وفيمايفضل من الغلّات والزراعات على اختلاف أجناسها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جماعةٍ منهم إناطة الحكم بعنوان التكسّب على اختلاف عباراتهم، حيث اقتصر بعضهم على أرباح التجارات، وآخر على المكاسب، وثالث على حاصل أنواع التكسّبات من التجارة والزراعة والصناعة، 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 الجميع واحدٌ، بقرينة دعوى الإجماع على كلٍّ من العبارتين، واشتمال الكتاب الواحد عليهما، بحمل الثانية على المثال، ولذا اقتصر بعضهم على خصوص المكاسب، وآخر على أرباح التجارة، بل لا يبعد دعوى أنّ مراد الجميع وجوب الخمس في كلّ فائدة، وإنْ لم تكن بقصد، ولذا استثنى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عن ذلك الميراث والهديّة والصَّدقة، ولا يخفى أنّ الاستثناء فرع الشمول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فترجع الأقوال الثلاثة إلى قولٍ واحد، وهو ما قوّاه الشيخ </w:t>
      </w:r>
    </w:p>
    <w:p>
      <w:pPr>
        <w:pStyle w:val="BookText"/>
        <w:rPr/>
      </w:pPr>
      <w:r>
        <w:rPr>
          <w:rFonts w:ascii="IRNazanin" w:hAnsi="IRNazanin" w:eastAsia="IRNazanin"/>
          <w:color w:val="111111"/>
          <w:sz w:val="28"/>
          <w:sz w:val="28"/>
          <w:szCs w:val="28"/>
          <w:rtl w:val="true"/>
          <w:lang w:bidi="fa-IR"/>
        </w:rPr>
        <w:t>الأعظم</w:t>
      </w:r>
      <w:r>
        <w:rPr>
          <w:rStyle w:val="FootnoteAnchor"/>
          <w:rtl w:val="true"/>
        </w:rPr>
        <w:footnoteReference w:id="206"/>
      </w:r>
      <w:r>
        <w:rPr>
          <w:rFonts w:ascii="Amiri" w:hAnsi="Amiri" w:eastAsia="Amiri" w:cs="Amiri"/>
          <w:color w:val="111111"/>
          <w:sz w:val="28"/>
          <w:sz w:val="28"/>
          <w:szCs w:val="28"/>
          <w:rtl w:val="true"/>
          <w:lang w:bidi="ar-SA"/>
        </w:rPr>
        <w:t>رحمه الله من وجوب الخُمس في كلّ ما يملكه ولو بإرثٍ ونحوه، وهو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هي مطلق الفائدة، وهيئة المجرّد موضوعة للنسبة الأعمّ من الطوعي وعدمه، فتشمل الآية ما هو قهريّ كالإرث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قال سبحانه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مختصّة بما يملكه باختياره، لأنّ هذه الهيئة وضعت لإفادة الإرتباط إلى الفاعل على سبيل الرغبة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فالغنائم والفوائد يرحمك اللّه، فهي الغنيمة يغنمها المرء، والفائدة يفيدها، والجائزة من الإنسان للإنسان التي لها خطر، والميراث الذي لا يُحتسب من غير أبٍ ولا ابن، ومثل عدوّ يصطلم فيؤخذ ماله، ومثل مالٍ يوجد ولا يُعرف له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كالصريح، من جهة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يشمل الميراث كما هو المختار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 تعلّمني ما الفائدة، وما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حَدّها؟ رأيك أبقاك اللّه أن تمُنّ عَليَّ ببيان ذلك، لكي لا أكون مُقيماً على حرامٍ‌، لا صلاة لي ولا صوم‌؟</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ممّا يفيد إليك في تجارةٍ من ربحها، وحرث بعد الغرام، أو جائزة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في موثّق سماعة تظهر دلالة هذا الخبر أيضاً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هذه النصوص صحيحٍ آخر لابن مهزيار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هذه النصوص ظاهر بعض النصوص، المقتضي لاختصاص الوجوب بكلّ فائدةٍ حاصلة باختيار الشخص، لأنّ منطوقه موافق لها ولا مفهوم له كي تقيّد به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على هذه الأدلّة، انتصاراً للقائلين بعدم وجوبه في غير ما اشتهر بين العلماء، و هو أرباح التجارات والصناعات، و سائر أنواع التكسّبات، بوجوه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إعراض المشهور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مخالفتها للنصوص الحاصرة للخُمس في خمسة أو في أربعة، وفي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الخُمس إلّافي الغنائم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على فرض تعلّقه بكلّ فائدة لايظهر للحصر وجه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ريب في عدم تعارف الخُمس في مثل الميراث والهبة ونحوهما في زمان النبيّ صلى الله عليه و آله والأئمّة عليهم السلام، وإلّا لم يختفٍ مثل هذا الحكم مع عموم الابتلاء به على النساء والصبيان، فضلاً عن صيرورة خلافه مشهوراً بين العلماء، وهو دليلٌ عدم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عليّ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اُجيبه‌؟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وصنائعهم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واردٌ في مقام بيان ما يتعلّق به الخمس، فيدلّ على عدم وجوبه في غير المتاع والصنعة كالنقد المنتقل إليه بإرث ونحوه، أو غير ذلك ممّا لا يطلق عليه عند العرف عنوان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أنّه من المحتمل قويّاً إفتاء المشهور بذلك، مع أنّ إعراضهم عن ظاهر الآية الشريفة، لأجل توهّم عدم دلالتها على العموم، لا يمنع عن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النصوص الحاصرة أيضاً تدلّ على وجوب الخُمس في كلّ غنيمةٍ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وجهٌ حينئذٍ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يكون الحصر بالإضافة إلى ما يملكه بالعوض</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زمان الأئمّة، حيث أنّهم عليهم السلام كانوا معزولين عن مقامهم الذي جَعَله اللّه لهم، ولذا أباحوا الخُمس بتمامه في برهةٍ من الزمان، فعدم تعارفه في تلك الأزمنة، لا يكون دليلاً لعدم الوجوب في مثل هذا الحكم الذي 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مساسٌ بأمر الخلافة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وغيره</w:t>
      </w:r>
      <w:r>
        <w:rPr>
          <w:rStyle w:val="FootnoteAnchor"/>
          <w:rtl w:val="true"/>
        </w:rPr>
        <w:footnoteReference w:id="214"/>
      </w:r>
      <w:r>
        <w:rPr>
          <w:rFonts w:ascii="Amiri" w:hAnsi="Amiri" w:eastAsia="Amiri" w:cs="Amiri"/>
          <w:color w:val="111111"/>
          <w:sz w:val="28"/>
          <w:sz w:val="28"/>
          <w:szCs w:val="28"/>
          <w:rtl w:val="true"/>
          <w:lang w:bidi="ar-SA"/>
        </w:rPr>
        <w:t>هو المنفعة، وهي تشمل كلّ فائدةٍ‌، بل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الخمس في كلّ فائدة ويصل إلى الإنسان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0" w:name="pg11804_116491"/>
    </w:p>
    <w:p>
      <w:pPr>
        <w:pStyle w:val="BookText"/>
        <w:rPr/>
      </w:pPr>
      <w:bookmarkEnd w:id="70"/>
      <w:r>
        <w:rPr>
          <w:rFonts w:ascii="Amiri" w:hAnsi="Amiri" w:eastAsia="Amiri" w:cs="Amiri"/>
          <w:color w:val="111111"/>
          <w:sz w:val="28"/>
          <w:sz w:val="28"/>
          <w:szCs w:val="28"/>
          <w:rtl w:val="true"/>
          <w:lang w:bidi="ar-SA"/>
        </w:rPr>
        <w:t>تعلّق الخُمس بالهبة</w:t>
      </w:r>
    </w:p>
    <w:p>
      <w:pPr>
        <w:pStyle w:val="Heading3"/>
        <w:numPr>
          <w:ilvl w:val="2"/>
          <w:numId w:val="1"/>
        </w:numPr>
        <w:rPr/>
      </w:pPr>
      <w:bookmarkStart w:id="71" w:name="__RefHeading___Toc10579716_73709187"/>
      <w:bookmarkStart w:id="72" w:name="_Toc24"/>
      <w:bookmarkEnd w:id="71"/>
      <w:r>
        <w:rPr>
          <w:rtl w:val="true"/>
        </w:rPr>
        <w:t>تعلّق الخُمس بالهبة</w:t>
      </w:r>
      <w:bookmarkEnd w:id="7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موارد يجب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الحلبي</w:t>
      </w:r>
      <w:r>
        <w:rPr>
          <w:rStyle w:val="FootnoteAnchor"/>
          <w:rtl w:val="true"/>
        </w:rPr>
        <w:footnoteReference w:id="2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بثبوت الخُمس فيها، وقوّاه شيخنا الأعظم الأنصاري رحمه الله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w:t>
      </w:r>
      <w:r>
        <w:rPr>
          <w:rStyle w:val="FootnoteAnchor"/>
          <w:rtl w:val="true"/>
        </w:rPr>
        <w:footnoteReference w:id="223"/>
      </w:r>
      <w:r>
        <w:rPr>
          <w:rFonts w:ascii="Amiri" w:hAnsi="Amiri" w:eastAsia="Amiri" w:cs="Amiri"/>
          <w:color w:val="111111"/>
          <w:sz w:val="28"/>
          <w:sz w:val="28"/>
          <w:szCs w:val="28"/>
          <w:rtl w:val="true"/>
          <w:lang w:bidi="ar-SA"/>
        </w:rPr>
        <w:t>إلى المشهور العدم، بل عن الحِلّي</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منشأ هذه النسبة عدم تعرّضهم لوجوب الخُمس فيها، مع تعبيرهم عن ما يجب فيه الخُمس بالتكسّب أو نحوه، غير الشامل لقبول الهديّة، </w:t>
      </w:r>
    </w:p>
    <w:p>
      <w:pPr>
        <w:pStyle w:val="BookText"/>
        <w:rPr/>
      </w:pPr>
      <w:r>
        <w:rPr>
          <w:rFonts w:ascii="Amiri" w:hAnsi="Amiri" w:eastAsia="Amiri" w:cs="Amiri"/>
          <w:color w:val="111111"/>
          <w:sz w:val="28"/>
          <w:sz w:val="28"/>
          <w:szCs w:val="28"/>
          <w:rtl w:val="true"/>
          <w:lang w:bidi="ar-SA"/>
        </w:rPr>
        <w:t>ولكن عدم التعرّض أعمٌّ من القول بالعدم، لا سيّما مع فرض شمول ما أخذوه موضوعاً للوجوب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وتعبيرهم بالتكسّب قد مرَّ أنّه لا يدلّ على ذلك، لأنّ الظاهر إرادة الأعمّ منه، مع أنّ قبول الهديّة والهبة يعدّ نوعاً من التكسّب، ولذا ترى إفتائهم بوجوبه إذا وجب ذلك، كالاكتساب للنفقة وعدمه حيث لا يجب، وكالاكتساب للحجّ‌، بل عن كثيرٍ من الأصحاب التصريح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ندَّع أنّ المشهور بين الأصحاب هو الوجوب، لا نُسلّم كون المشهور عدمه، ولذا نَسب المحقّق</w:t>
      </w:r>
      <w:r>
        <w:rPr>
          <w:rStyle w:val="FootnoteAnchor"/>
          <w:rtl w:val="true"/>
        </w:rPr>
        <w:footnoteReference w:id="225"/>
      </w:r>
      <w:r>
        <w:rPr>
          <w:rFonts w:ascii="Amiri" w:hAnsi="Amiri" w:eastAsia="Amiri" w:cs="Amiri"/>
          <w:color w:val="111111"/>
          <w:sz w:val="28"/>
          <w:sz w:val="28"/>
          <w:szCs w:val="28"/>
          <w:rtl w:val="true"/>
          <w:lang w:bidi="ar-SA"/>
        </w:rPr>
        <w:t>القول بعدم الوجوب إلى بعض المتأخّرين، ومراده الحِلّي</w:t>
      </w:r>
      <w:r>
        <w:rPr>
          <w:rStyle w:val="FootnoteAnchor"/>
          <w:rtl w:val="true"/>
        </w:rPr>
        <w:footnoteReference w:id="226"/>
      </w:r>
      <w:r>
        <w:rPr>
          <w:rFonts w:ascii="Amiri" w:hAnsi="Amiri" w:eastAsia="Amiri" w:cs="Amiri"/>
          <w:color w:val="111111"/>
          <w:sz w:val="28"/>
          <w:sz w:val="28"/>
          <w:szCs w:val="28"/>
          <w:rtl w:val="true"/>
          <w:lang w:bidi="ar-SA"/>
        </w:rPr>
        <w:t xml:space="preserve">، وكذا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 الآية والنصوص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خبر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يَهدي إليه مولاه والمنقطع إليه هديّة تبلغ ألفي درهم أو أقلّ أو أكثر، هل عليه فيها الخمس‌؟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 ابن مهزيار</w:t>
      </w:r>
      <w:r>
        <w:rPr>
          <w:rStyle w:val="FootnoteAnchor"/>
          <w:rtl w:val="true"/>
        </w:rPr>
        <w:footnoteReference w:id="229"/>
      </w:r>
      <w:r>
        <w:rPr>
          <w:rFonts w:ascii="Amiri" w:hAnsi="Amiri" w:eastAsia="Amiri" w:cs="Amiri"/>
          <w:color w:val="111111"/>
          <w:sz w:val="28"/>
          <w:sz w:val="28"/>
          <w:szCs w:val="28"/>
          <w:rtl w:val="true"/>
          <w:lang w:bidi="ar-SA"/>
        </w:rPr>
        <w:t>، وخبر يزيد</w:t>
      </w:r>
      <w:r>
        <w:rPr>
          <w:rStyle w:val="FootnoteAnchor"/>
          <w:rtl w:val="true"/>
        </w:rPr>
        <w:footnoteReference w:id="230"/>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إليه أيضاً خبر علي بن الحسين بن عبد ربّه،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الرِّضا عليه السلام بصلة إلى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 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 أنّ وجه عدم وجوبه ليس كونه تسريحاً، بل كون المسرّح به صاحب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وبمكاتبة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دفع إليه مالٌ يحجّ به، هل عليه في ذلك المال حين يصير إليه الخُمس، أو على ما فضل في يده بعد الحجّ؟</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الخُمس</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حملها على ما إذا كان الدفع من باب الصِّلة، وصرف المال في سبيل اللّه، والتسبيب لعمل الخير، لأنّه الظاهر من السؤال، لا الاُجرة حتّى يدخل في أرباح المكاسب، فينافي مع الأدلّة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خديجة، عن الإمام الصادق عليه السلام المتقدّم، الدالّ على تحليل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في الهبة إلى يوم القيامة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يرجع إليه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ظاهرها السؤال عن اُجرة الحجّ‌، ومخالفتها لسائر الأدلّة لا توجب حملها على الصِّلة، فيتعيّن طرحها، أو حملها على القسم الأوّل من السؤال، ولعلّه الظاهر، من جهة أنّ الظاهر من السؤال المفروغيّة عن وجوب الخُمس في ذلك المال، وإنّما الشكّ كان من جهة وجوبه قبل الحجّ‌، أو فيما فَضُل في يده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234"/>
      </w:r>
      <w:r>
        <w:rPr>
          <w:rFonts w:ascii="Amiri" w:hAnsi="Amiri" w:eastAsia="Amiri" w:cs="Amiri"/>
          <w:color w:val="111111"/>
          <w:sz w:val="28"/>
          <w:sz w:val="28"/>
          <w:szCs w:val="28"/>
          <w:rtl w:val="true"/>
          <w:lang w:bidi="ar-SA"/>
        </w:rPr>
        <w:t>حيث أنّه التزم بعدم الوجوب في أمثال هذا المال المأخوذ بعنوان الاُجرة، بدعوى أنّها تُؤخذ في مقابل الأعمال لا مجّاناً، فلا تكون فوائد وغنائم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وجوب الخمس في شيء من أرباح المكاسب، إذ كلّها إنّما تكون في مقابل الأعمال، مع أنّه عليه السلام صرّح بوجوب الخمس في ما يأخذه الخيّاط في مقابل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الجواب عن أخبار التحليل أنّ خبر أبي خديجة مختصٌّ بالمناكح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الخمس في الهبة والهديّة والجائزة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تقييد الجائزة في المكاتبة بما كان له خَطَرٌ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أنْ يكون من جهة أنّ ما لا يكون كذلك من المؤونة غالباً، كما اختاره شيخنا الأنصاري رحمه الله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من جهة أنّ ما لا يكون كذلك، لا يعدّ في العرف غنيمةً وفائدة، وإنّما يعتبر في صدق هذا العنوان أنْ يكون لها قدر ومنزلة كما قيل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73" w:name="pg11804_116496"/>
    </w:p>
    <w:p>
      <w:pPr>
        <w:pStyle w:val="BookText"/>
        <w:rPr/>
      </w:pPr>
      <w:bookmarkEnd w:id="73"/>
      <w:r>
        <w:rPr>
          <w:rFonts w:ascii="Amiri" w:hAnsi="Amiri" w:eastAsia="Amiri" w:cs="Amiri"/>
          <w:color w:val="111111"/>
          <w:sz w:val="28"/>
          <w:sz w:val="28"/>
          <w:szCs w:val="28"/>
          <w:rtl w:val="true"/>
          <w:lang w:bidi="ar-SA"/>
        </w:rPr>
        <w:t>تعلّق الخُمس بالميراث غير المحتسب</w:t>
      </w:r>
    </w:p>
    <w:p>
      <w:pPr>
        <w:pStyle w:val="Heading3"/>
        <w:numPr>
          <w:ilvl w:val="2"/>
          <w:numId w:val="1"/>
        </w:numPr>
        <w:rPr/>
      </w:pPr>
      <w:bookmarkStart w:id="74" w:name="__RefHeading___Toc10579718_73709187"/>
      <w:bookmarkStart w:id="75" w:name="_Toc25"/>
      <w:bookmarkEnd w:id="74"/>
      <w:r>
        <w:rPr>
          <w:rtl w:val="true"/>
        </w:rPr>
        <w:t>تعلّق الخُمس بالميراث غير المحتسب</w:t>
      </w:r>
      <w:bookmarkEnd w:id="75"/>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وجوبه فيه هي الأقوال في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لوجوبه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مكاتبة ابن مهزيار، المصرّحة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المتقدّم، لأنّه لا يعتبر في صدق الإفادة أنْ يكون وصول الفائدة إلى الشخص باختياره، كما لايخفى‌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خديجة الوارد في تحليل ما أصابه ميراثاً، إذ لو لم يكن واجباً في أصل الشرع، لما كان وجهٌ لتحليله عليه السلام قسماً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المكاتبة واردة في مقام بيان ما يتعلّق به الخمس غير أرباح التجارات، وقيّد الميراث بالذي لا يحتسب، فتدلّ بالمفهوم على عدم وجوبه في الميراث الذي يُحتسب، ولعلّ العرف يساعد على اعتبار كون الميراث من حيث لا يُحتسب يصدق عليه عنوان الغنيمة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أبٍ ولا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من باب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قيداً لغير المحتسب، فيعتبر في وجوبه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المورث رَحِماً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كون الوارث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تفسيراً له، فلا يعتبر سوى عدم كونه رَحِماً قريباً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الأوّل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لعدم وجوبه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دليل عليه سوى المكاتبة، وحيث لم ينقل الالتزام بمفادها عن أحدٍ، فإنّ من حُكي عنه القول بثبوت الخمس في المواريث، لم يفصّل بين مصاديقها، فيتعيّن طرحها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خبرأبي خديجة يدلّ على التحليل الأبدي في عدّة أشياء منها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سقوط الخبر الصحيح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بعض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ثبوت الإعراض، وفي هذه المسألة بما أنّه يحتمل أنْ يكون نظر القائلين بعدم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في غير الُمحتَسب إلى أحد الوجوه المذكورة، والنصوص التي توهم دلالتها على التحليل من خبر أبي خديجة وغيره، ونظر القائلين بوجوبه كذلك إلي عدم دلالة المكاتبة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الإعراض، مع أنّ جماعةً من القدماء لم تنقل فتاويهم، ولعلّهم كانوا يفتون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اختصاصه بالمناكح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شموله لمطلق الميراث فإنّه مرويٌّ عن الإمام الصادق عليه السلام في مطلق الميراث، وهذه الرواية مرويّة عن أبي جعفر الثاني عليه السلام في خصوص قسمٍ منه، ولا شبهة في تقدّمها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فالأقوى وجوب الخمس في الميراث الذي لا يُحتسب</w:t>
      </w:r>
      <w:r>
        <w:rPr>
          <w:rFonts w:eastAsia="Amiri" w:cs="Amiri" w:ascii="Amiri" w:hAnsi="Amiri"/>
          <w:color w:val="111111"/>
          <w:sz w:val="28"/>
          <w:szCs w:val="28"/>
          <w:rtl w:val="true"/>
          <w:lang w:bidi="ar-SA"/>
        </w:rPr>
        <w:t>.</w:t>
      </w:r>
      <w:bookmarkStart w:id="76" w:name="pg11804_116498"/>
    </w:p>
    <w:p>
      <w:pPr>
        <w:pStyle w:val="BookText"/>
        <w:rPr/>
      </w:pPr>
      <w:bookmarkEnd w:id="76"/>
      <w:r>
        <w:rPr>
          <w:rFonts w:ascii="Amiri" w:hAnsi="Amiri" w:eastAsia="Amiri" w:cs="Amiri"/>
          <w:color w:val="111111"/>
          <w:sz w:val="28"/>
          <w:sz w:val="28"/>
          <w:szCs w:val="28"/>
          <w:rtl w:val="true"/>
          <w:lang w:bidi="ar-SA"/>
        </w:rPr>
        <w:t>تعلّق الخُمس بالصداق</w:t>
      </w:r>
    </w:p>
    <w:p>
      <w:pPr>
        <w:pStyle w:val="Heading3"/>
        <w:numPr>
          <w:ilvl w:val="2"/>
          <w:numId w:val="1"/>
        </w:numPr>
        <w:rPr/>
      </w:pPr>
      <w:bookmarkStart w:id="77" w:name="__RefHeading___Toc10579720_73709187"/>
      <w:bookmarkStart w:id="78" w:name="_Toc26"/>
      <w:bookmarkEnd w:id="77"/>
      <w:r>
        <w:rPr>
          <w:rtl w:val="true"/>
        </w:rPr>
        <w:t>تعلّق الخُمس بالصداق</w:t>
      </w:r>
      <w:bookmarkEnd w:id="78"/>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الصِّداق، وفيه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فقد استدلّ لعدم وجوب الخُمس فيه، بأنّ الصداق عوض البُضع كثمن المبيع، فلا يكون من قبيل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كذلك، كما سيأتي تحقيقه في كتاب النكاح</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غاية الأمر كونه كسائر ما يؤخذ في مقابل الأعمال ومنافع الإنسان، وقد عرفت وجوب الخُمس فيما يؤخذ بإزائها، بل وجوبه فيه من ما لاخلاف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له بعض المحقّقين رحمه الله بأنّ رجوع المال ثانياً إلى من أرجعه إلى الغير بالإعطاء له ينافي الإعطاء، ومن القبيح بمكان، وحيث أنّ الخُمس للّه تعالى‌، ورجوعه إلى الرسول صلى الله عليه و آله والإمام عليه السلام إنّما هو بالخلافة عنه تعالى‌، والصداق أيضاً عطيّة منه تعالى إلى النساء، كما تشهد له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Style w:val="FootnoteAnchor"/>
          <w:rtl w:val="true"/>
        </w:rPr>
        <w:footnoteReference w:id="238"/>
      </w:r>
      <w:r>
        <w:rPr>
          <w:rFonts w:ascii="Amiri" w:hAnsi="Amiri" w:eastAsia="Amiri" w:cs="Amiri"/>
          <w:color w:val="111111"/>
          <w:sz w:val="28"/>
          <w:sz w:val="28"/>
          <w:szCs w:val="28"/>
          <w:rtl w:val="true"/>
          <w:lang w:bidi="ar-SA"/>
        </w:rPr>
        <w:t>أي عطيّة، فرجوعه إليه ثانياً ينافي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الصداق عطيّة، فإنّما هو عطيّةٌ من الزوج لها، لكنّها مجعولة من قِبل اللّه تعالى لا أنّه عطيّة مباشرة من اللّه تعالى لها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الصداق كالهدايا والجوائز، فبناءً على ما هو الحقّ من وجوب الخُمس في كلّ فائدة، يكون واجباً فيه، ومنه يظهر حكمِ عوض الخُلع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الصَّدقة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كالهبة والهديّة، غاية الأمر يعتبر فيها قصد القربة، وذلك لا يوجب الفرق في وجوب الخُمس المتوقّف على صدق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تماميّة ما اختاره جماعةٌ من محقّقي عصرنا</w:t>
      </w:r>
      <w:r>
        <w:rPr>
          <w:rStyle w:val="FootnoteAnchor"/>
          <w:rtl w:val="true"/>
        </w:rPr>
        <w:footnoteReference w:id="239"/>
      </w:r>
      <w:r>
        <w:rPr>
          <w:rFonts w:ascii="Amiri" w:hAnsi="Amiri" w:eastAsia="Amiri" w:cs="Amiri"/>
          <w:color w:val="111111"/>
          <w:sz w:val="28"/>
          <w:sz w:val="28"/>
          <w:szCs w:val="28"/>
          <w:rtl w:val="true"/>
          <w:lang w:bidi="ar-SA"/>
        </w:rPr>
        <w:t>وما يقرب من هذا العصر، من عدم وجوب الخُمس في هذه الثلاثة، مع بنائهم على وجوبه في كلّ فائدة، أو التوقّف في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9" w:name="pg11804_116500"/>
    </w:p>
    <w:p>
      <w:pPr>
        <w:pStyle w:val="BookText"/>
        <w:rPr/>
      </w:pPr>
      <w:bookmarkEnd w:id="79"/>
      <w:r>
        <w:rPr>
          <w:rFonts w:ascii="Amiri" w:hAnsi="Amiri" w:eastAsia="Amiri" w:cs="Amiri"/>
          <w:color w:val="111111"/>
          <w:sz w:val="28"/>
          <w:sz w:val="28"/>
          <w:szCs w:val="28"/>
          <w:rtl w:val="true"/>
          <w:lang w:bidi="ar-SA"/>
        </w:rPr>
        <w:t>ما ملك بالخُمس أو الزّكاة</w:t>
      </w:r>
    </w:p>
    <w:p>
      <w:pPr>
        <w:pStyle w:val="Heading3"/>
        <w:numPr>
          <w:ilvl w:val="2"/>
          <w:numId w:val="1"/>
        </w:numPr>
        <w:rPr/>
      </w:pPr>
      <w:bookmarkStart w:id="80" w:name="__RefHeading___Toc10579722_73709187"/>
      <w:bookmarkStart w:id="81" w:name="_Toc27"/>
      <w:bookmarkEnd w:id="80"/>
      <w:r>
        <w:rPr>
          <w:rtl w:val="true"/>
        </w:rPr>
        <w:t>ما ملك بالخُمس أو الزّكاة</w:t>
      </w:r>
      <w:bookmarkEnd w:id="81"/>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الخُمس فيما ملك بالخُمس أو الزكاة إنْ زاد عن مؤونة السَّنة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الأعظم</w:t>
      </w:r>
      <w:r>
        <w:rPr>
          <w:rStyle w:val="FootnoteAnchor"/>
          <w:rtl w:val="true"/>
        </w:rPr>
        <w:footnoteReference w:id="240"/>
      </w:r>
      <w:r>
        <w:rPr>
          <w:rFonts w:ascii="Amiri" w:hAnsi="Amiri" w:eastAsia="Amiri" w:cs="Amiri"/>
          <w:color w:val="111111"/>
          <w:sz w:val="28"/>
          <w:sz w:val="28"/>
          <w:szCs w:val="28"/>
          <w:rtl w:val="true"/>
          <w:lang w:bidi="ar-SA"/>
        </w:rPr>
        <w:t>للثاني، بأنّه مِلْكٌ للسّادة أو الفقراء، فكأنّه يدفع إليهم ما يطلبونه، فيُشكل صدق الفائدة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الإمام عليه السلام فهو يدفع إليه ثمّ يتملّك أو يملك من قبله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يطلبه هو الإمام، ومن يدفع إليه غيره، فهذه الملكيّة تصدق عليها الفائدة والغُنم، وأمّا حقّ السّادة والفقراء فهو ليس مِلْكاً لمن يدفع إليه قبل الدفع، وإنّما يصير مِلْكاً له بذلك فيصدق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بعض المحقّقين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 المال ثانياً إلى من أرجعه إلى الغير بالإعطاء له، ينافي الإعطاء، ومن القبيح بمكان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مرسل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المشايخ الثلاثة، المعوّل عليه عند الأصحاب، لأنّ مُرسله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في مال الخُمس زكاة، لأنّ فقراء الناس جُعل أرزاقهم في أموال الناس على ثمانية أسهم، فلم يبق منهم أحدٌ، وجُعل للفقراء قرابة الرسول صلى الله عليه و آله نصف الخُمس، فأغناهم به عن صدقات الناس، وصدقات النبيّ صلى الله عليه و آله ووليّ الأمر، فلم يبق فقيرٌ من فقراء النّاس، ولم يبق فقير من فقراء قرابة الرسول صلى الله عليه و آله إلّاوقد </w:t>
      </w:r>
    </w:p>
    <w:p>
      <w:pPr>
        <w:pStyle w:val="BookText"/>
        <w:rPr/>
      </w:pPr>
      <w:r>
        <w:rPr>
          <w:rFonts w:ascii="Amiri" w:hAnsi="Amiri" w:eastAsia="Amiri" w:cs="Amiri"/>
          <w:color w:val="111111"/>
          <w:sz w:val="28"/>
          <w:sz w:val="28"/>
          <w:szCs w:val="28"/>
          <w:rtl w:val="true"/>
          <w:lang w:bidi="ar-SA"/>
        </w:rPr>
        <w:t>استغنى‌، فلا فقير، ولذلك لم يكن على مال النبيّ والوليّ زكاةٌ‌، لأنّه لم يبق فقيرٌ محتاج، الحديث</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عدم وجوب الزكاة في مال الخُمس، وحيث أنّ الخُمس بدل عن الزكاة، فيلحقه حكمها، فلا خُمس في مال الخمس أيضاً، ويثبت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الزكاة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بعموم علّته يدلّ على أنّ تشريع الخُمس والزكاة إنّما يكون في سائر الأموال غير الخُمس والزكاة، فلا خُمس في الخُمس ولا في الزكاة، كما لا زكاة في الخُمس ولا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وجهٌ استحساني لا يصلح عدّه مستنداً للحكم الشرعي، مع أنّه لا يتمّ في حقّ السادات، لأنّه إذا انتقل إلى السيّد وزيد عن مؤونة سنته، ووجب فيه الخُمس، لا يلزم منه رجوع المال إلى من أعطاه،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عموم البدليّة، وإنّما الدليل دلَّ على قيامه مقامها في سَدّ الخُلّة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التعليل يختصّ بصورة بسط يد الإمام، ونقل كلّ الخُمس والزكاة إليه، بحيث يسعهُ القيام بمؤونة جميع الفقراء من الهاشميين وغيرهم، وفي مثل ذلك لا يجوزُ إعطاء هاشمي أكثر من 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فيه الخُمس، ولذا ترى أنّه لم يستدلّ الأصحاب بهذا المرسل في المقام، ولا في مسألة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وجوب الزكاة في مال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لهذا الحكم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الحسين المتقدّم في الهبة،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فإنّه يدلّ على عدم وجوب الخمس في مال الخُمس إذا سُرّح به إلى الغير، فعدم وجوبه فيه إذا كان عنده أولى منه كما لا يخفى‌، فإذا ثبت فيه يثبت في مال الزكاة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كلّ حكم متقدم عليه رتبة، فلا يعقل شمول الحكم لما يوجد به، ويكون متأخّراً عنه، فإنّه يلزم تقدّم ما هو متأخّر رتبة وهو محال، وفي المقام ملكيّة السادات والإمام لمال الخُمس إنّما تثبت بما دلّ على وجوب الخمس، فيستحيل أنْ تكون موضوعة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مختصٌّ بالإمام الذي هو صاحب الخُمس كلّه، ويجب إيصاله بتمامه إليه، مع أنّه ليس فيه ما يدلّ على أنّ ما سُرّح به كان من مال الخُمس، أضف إلى ذلك منع الأولويّة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بما أنّ الحكم المُنشَأ بآية الخمس</w:t>
      </w:r>
      <w:r>
        <w:rPr>
          <w:rStyle w:val="FootnoteAnchor"/>
          <w:rtl w:val="true"/>
        </w:rPr>
        <w:footnoteReference w:id="243"/>
      </w:r>
      <w:r>
        <w:rPr>
          <w:rFonts w:ascii="Amiri" w:hAnsi="Amiri" w:eastAsia="Amiri" w:cs="Amiri"/>
          <w:color w:val="111111"/>
          <w:sz w:val="28"/>
          <w:sz w:val="28"/>
          <w:szCs w:val="28"/>
          <w:rtl w:val="true"/>
          <w:lang w:bidi="ar-SA"/>
        </w:rPr>
        <w:t xml:space="preserve">وغيرها من الأدلّة، ليس حكماً واحداً شخصيّاً، بل هي أحكام عديدة اُنشأت بإنشاءٍ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يكون أحد تلك الأحكام مُثبتاً وموجداً لموضوع الآخر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شيءٍ من الوجوه الخمسة المذكورة لعدم وجوب الخُمس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 مَلِك بالخُمس أو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بناءً على المختار من وجوب الخُمس في كلّ فائدةٍ‌، ثبوته في المقام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جواز إعطاء الهاشمي أكثر من مؤونة سنته، وإلّا فيجبُ ردّ جميع ما زاد عنها لا خُمسه</w:t>
      </w:r>
      <w:r>
        <w:rPr>
          <w:rFonts w:eastAsia="Amiri" w:cs="Amiri" w:ascii="Amiri" w:hAnsi="Amiri"/>
          <w:color w:val="111111"/>
          <w:sz w:val="28"/>
          <w:szCs w:val="28"/>
          <w:rtl w:val="true"/>
          <w:lang w:bidi="ar-SA"/>
        </w:rPr>
        <w:t>.</w:t>
      </w:r>
      <w:bookmarkStart w:id="82" w:name="pg11804_116504"/>
    </w:p>
    <w:p>
      <w:pPr>
        <w:pStyle w:val="BookText"/>
        <w:rPr/>
      </w:pPr>
      <w:bookmarkEnd w:id="82"/>
      <w:r>
        <w:rPr>
          <w:rFonts w:ascii="IRNazanin" w:hAnsi="IRNazanin" w:eastAsia="IRNazanin"/>
          <w:color w:val="111111"/>
          <w:sz w:val="28"/>
          <w:sz w:val="28"/>
          <w:szCs w:val="28"/>
          <w:rtl w:val="true"/>
          <w:lang w:bidi="fa-IR"/>
        </w:rPr>
        <w:t>تعلّق الخُمس بالنماء المتّصل والمنفصل</w:t>
      </w:r>
    </w:p>
    <w:p>
      <w:pPr>
        <w:pStyle w:val="Heading3"/>
        <w:numPr>
          <w:ilvl w:val="2"/>
          <w:numId w:val="1"/>
        </w:numPr>
        <w:rPr/>
      </w:pPr>
      <w:bookmarkStart w:id="83" w:name="__RefHeading___Toc10579724_73709187"/>
      <w:bookmarkStart w:id="84" w:name="_Toc28"/>
      <w:bookmarkEnd w:id="83"/>
      <w:r>
        <w:rPr>
          <w:rtl w:val="true"/>
        </w:rPr>
        <w:t>تعلّق الخُمس بالنماء المتّصل والمنفصل</w:t>
      </w:r>
      <w:bookmarkEnd w:id="84"/>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الزيادة في الأعيان الموجودة عند المكلّفين،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عنده من الأعيان الّتي لم يتعلّق بها الخمس، أو تعلّق بها ولكن أدّاه فزادت زيادةً متّصلة أو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يجب الخُمس في ذلك النماء مطلقاً، كما عن جماعة التصريح به، منهم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يثبت الخُمس فيما إذا قصد به الاسترباح والتكسّب، كما عن كاشف الغطاء</w:t>
      </w:r>
      <w:r>
        <w:rPr>
          <w:rStyle w:val="FootnoteAnchor"/>
          <w:rtl w:val="true"/>
        </w:rPr>
        <w:footnoteReference w:id="246"/>
      </w:r>
      <w:r>
        <w:rPr>
          <w:rFonts w:ascii="Amiri" w:hAnsi="Amiri" w:eastAsia="Amiri" w:cs="Amiri"/>
          <w:color w:val="111111"/>
          <w:sz w:val="28"/>
          <w:sz w:val="28"/>
          <w:szCs w:val="28"/>
          <w:rtl w:val="true"/>
          <w:lang w:bidi="ar-SA"/>
        </w:rPr>
        <w:t>، واختاره المحقّق الهمداني</w:t>
      </w:r>
      <w:r>
        <w:rPr>
          <w:rStyle w:val="FootnoteAnchor"/>
          <w:rtl w:val="true"/>
        </w:rPr>
        <w:footnoteReference w:id="247"/>
      </w:r>
      <w:r>
        <w:rPr>
          <w:rFonts w:ascii="Amiri" w:hAnsi="Amiri" w:eastAsia="Amiri" w:cs="Amiri"/>
          <w:color w:val="111111"/>
          <w:sz w:val="28"/>
          <w:sz w:val="28"/>
          <w:szCs w:val="28"/>
          <w:rtl w:val="true"/>
          <w:lang w:bidi="ar-SA"/>
        </w:rPr>
        <w:t>، وجملةٌ ممّن تأخّر عنهما</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يثبت الخمس في ذلك النماء مطلقاً؟</w:t>
      </w:r>
    </w:p>
    <w:p>
      <w:pPr>
        <w:pStyle w:val="BookText"/>
        <w:rPr/>
      </w:pPr>
      <w:r>
        <w:rPr>
          <w:rFonts w:ascii="Amiri" w:hAnsi="Amiri" w:eastAsia="Amiri" w:cs="Amiri"/>
          <w:color w:val="111111"/>
          <w:sz w:val="28"/>
          <w:sz w:val="28"/>
          <w:szCs w:val="28"/>
          <w:rtl w:val="true"/>
          <w:lang w:bidi="ar-SA"/>
        </w:rPr>
        <w:t>أم يجب التفصيل بين النماء المنفصل، فيجب في صورة قصد الاسترباح أو مطلقاً، وبين النماء المتّصل فلا يجب مطلقاً؟</w:t>
      </w:r>
    </w:p>
    <w:p>
      <w:pPr>
        <w:pStyle w:val="BookText"/>
        <w:rPr/>
      </w:pPr>
      <w:r>
        <w:rPr>
          <w:rFonts w:ascii="Amiri" w:hAnsi="Amiri" w:eastAsia="Amiri" w:cs="Amiri"/>
          <w:color w:val="111111"/>
          <w:sz w:val="28"/>
          <w:sz w:val="28"/>
          <w:szCs w:val="28"/>
          <w:rtl w:val="true"/>
          <w:lang w:bidi="ar-SA"/>
        </w:rPr>
        <w:t>وجوهٌوأقوال، أقواهاالأوّل، لما عرفت من وجوب الخُمس في مطلق الفائدة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الفائدة على النماء المتّصل كالسّمُن، تندفع بالمراجعة إلى العرف</w:t>
      </w:r>
      <w:r>
        <w:rPr>
          <w:rFonts w:eastAsia="Amiri" w:cs="Amiri" w:ascii="Amiri" w:hAnsi="Amiri"/>
          <w:color w:val="111111"/>
          <w:sz w:val="28"/>
          <w:szCs w:val="28"/>
          <w:rtl w:val="true"/>
          <w:lang w:bidi="ar-SA"/>
        </w:rPr>
        <w:t xml:space="preserve">. </w:t>
      </w:r>
      <w:bookmarkStart w:id="85" w:name="pg11804_116505"/>
    </w:p>
    <w:p>
      <w:pPr>
        <w:pStyle w:val="BookText"/>
        <w:rPr/>
      </w:pPr>
      <w:bookmarkEnd w:id="85"/>
      <w:r>
        <w:rPr>
          <w:rFonts w:ascii="Amiri" w:hAnsi="Amiri" w:eastAsia="Amiri" w:cs="Amiri"/>
          <w:color w:val="111111"/>
          <w:sz w:val="28"/>
          <w:sz w:val="28"/>
          <w:szCs w:val="28"/>
          <w:rtl w:val="true"/>
          <w:lang w:bidi="ar-SA"/>
        </w:rPr>
        <w:t>تعلّق الخمس بزيادة القيمة السوقيّة</w:t>
      </w:r>
    </w:p>
    <w:p>
      <w:pPr>
        <w:pStyle w:val="Heading3"/>
        <w:numPr>
          <w:ilvl w:val="2"/>
          <w:numId w:val="1"/>
        </w:numPr>
        <w:rPr/>
      </w:pPr>
      <w:bookmarkStart w:id="86" w:name="__RefHeading___Toc10579726_73709187"/>
      <w:bookmarkStart w:id="87" w:name="_Toc29"/>
      <w:bookmarkEnd w:id="86"/>
      <w:r>
        <w:rPr>
          <w:rtl w:val="true"/>
        </w:rPr>
        <w:t>تعلّق الخمس بزيادة القيمة السوقيّة</w:t>
      </w:r>
      <w:bookmarkEnd w:id="87"/>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القيمة السوقيّة للعين من غير زيادة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خُمس تلك الزيادة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باعها فيجب، وبين ما قبل البيع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شيخنا المرتضى</w:t>
      </w:r>
      <w:r>
        <w:rPr>
          <w:rStyle w:val="FootnoteAnchor"/>
          <w:rtl w:val="true"/>
        </w:rPr>
        <w:footnoteReference w:id="252"/>
      </w:r>
      <w:r>
        <w:rPr>
          <w:rFonts w:ascii="IRNazanin" w:hAnsi="IRNazanin" w:eastAsia="IRNazanin"/>
          <w:color w:val="111111"/>
          <w:sz w:val="28"/>
          <w:sz w:val="28"/>
          <w:szCs w:val="28"/>
          <w:rtl w:val="true"/>
          <w:lang w:bidi="fa-IR"/>
        </w:rPr>
        <w:t xml:space="preserve">رحمه الله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وغيرهما من المتأخّرين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إذا كان المقصود من شرائها أو إبقائها في ملكه الاتّجار بها، والانتفاع بها، فيجب مطلقاً كما عن بعضهم، أو في صورة البيع كما عن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لو لم يقصد به ذلك،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المتأخّرين</w:t>
      </w:r>
      <w:r>
        <w:rPr>
          <w:rStyle w:val="FootnoteAnchor"/>
          <w:rtl w:val="true"/>
        </w:rPr>
        <w:footnoteReference w:id="255"/>
      </w:r>
      <w:r>
        <w:rPr>
          <w:rFonts w:ascii="Amiri" w:hAnsi="Amiri" w:eastAsia="Amiri" w:cs="Amiri"/>
          <w:color w:val="111111"/>
          <w:sz w:val="28"/>
          <w:sz w:val="28"/>
          <w:szCs w:val="28"/>
          <w:rtl w:val="true"/>
          <w:lang w:bidi="ar-SA"/>
        </w:rPr>
        <w:t>إلى التفصيل بين ما إذا ملكها بغير معاوضة، كما لو ورثها، فلا يجب الخمس، وبين ما إذا ملكها بها فيجب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لعدم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الظاهر من الغنيمة والفائدة </w:t>
      </w:r>
    </w:p>
    <w:p>
      <w:pPr>
        <w:pStyle w:val="BookText"/>
        <w:rPr/>
      </w:pPr>
      <w:r>
        <w:rPr>
          <w:rFonts w:ascii="Amiri" w:hAnsi="Amiri" w:eastAsia="Amiri" w:cs="Amiri"/>
          <w:color w:val="111111"/>
          <w:sz w:val="28"/>
          <w:sz w:val="28"/>
          <w:szCs w:val="28"/>
          <w:rtl w:val="true"/>
          <w:lang w:bidi="ar-SA"/>
        </w:rPr>
        <w:t>الزيادة في المال، وذلك لا يتحقّق بزيادة القيمة، إذ لا زيادة في المال معها، وإنّما تكون الزيادة في الماليّة الّتي هي من قبيل الأمر الاعتباري المنتزع من وجود الراغب والباذل، ومنه يظهر أنّه لا فرق بين البيع وعدمه، إذ البيع إنّما يقتضي تبديل المال بمالٍ آخر لا زيادة مال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الخُمس في موارد الزيادة الماليّة، وأمّا الزيادة في المال، فهي ليست مناطاً لوجوب الخُمس إلّابملاحظتها، ألا ترى أنّه لو فرض أنّ التاجر في أوّل سنته كان عنده مقدارٌ من العين المعيّنة كالقطن، ثمّ اتّجر بها وباعها واشترى عيناً آخر، فكان رابحاً في معاملته، فهل يمكن الالتزام بعدم وجوب الخُمس عليه، لأنّه لم يزد في ماله بل بدّله بغيره، كما أنّه لو زاد في ماله مع النقص في ماليّته، هل يمكن الالتزام بوجوبه عليه‌؟</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تمام المناط هو الزيادة الماليّة، لا الزيادة في المال، لعدم صدق الفائدة والغنيمة إلّافي موارد الزيادة الماليّة، ولو صدقت في موارد الزيادة في المال، فإنّما هو بملاحظتها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المقصود من الاشتراء أو الإبقاء في ملكه الإتّجار بها، والوجوب فيما إذا كان المقصود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التكسّب، ولا صدق حصول الفائدة في الصورة الأُولى، لا سيّما إذا لم يبعها، وصدقهما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صدق التكسّب، فهو لا كلام فيه، إلّاأنّه قد عرفت عدم اعتباره في وجوبه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صدق الفائدة، فهو غير تامّ‌، لما عرفت من أنّ صدق الفائدة إنّما يكون باعتبار الماليّة، حتّى في موارد الزيادة في المال، ولذا لو زاد مال التاجر </w:t>
      </w:r>
    </w:p>
    <w:p>
      <w:pPr>
        <w:pStyle w:val="BookText"/>
        <w:rPr/>
      </w:pPr>
      <w:r>
        <w:rPr>
          <w:rFonts w:ascii="Amiri" w:hAnsi="Amiri" w:eastAsia="Amiri" w:cs="Amiri"/>
          <w:color w:val="111111"/>
          <w:sz w:val="28"/>
          <w:sz w:val="28"/>
          <w:szCs w:val="28"/>
          <w:rtl w:val="true"/>
          <w:lang w:bidi="ar-SA"/>
        </w:rPr>
        <w:t>ونقصت ماليّته، لا يصدق أنّه ربح واستفاد في سنته هذه، بل يقال إنّه خسر فيها ولم يستفد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زادت الماليّة يصدق حصول الفائدة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نظر المفصّلين إلى أنّه إذا كان المقصود من شراء العين أو إبقائها في ملكه، الاتّجار بها، بحيث يستند عرفاً حصول الفائدة إلى المالك، وفي غير هذه الصورة لا يُستند إليه، بل يكون منتزعاً من وجود الراغب والباذل، ولهذا يجبُ في الصورة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أنّ الأظهر وجوب الخُمس في مطلق الفائدة، ولو كان حصولها بغير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للتفصيل بين قبل البيع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النصوص وجوب الخُمس في الفائدة الفعليّة لا الفائدة بالقوّة، وفي مورد ارتفاع القيمة السوقيّة لو سُلّم صدق الفائدة، فإنّما هي تعدّ فائدة بالقوّة قبل البيع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صدق الفائدة إنّما يكون باعتبار الماليّة، فإذا زادت الماليّة تصدق الفائدة الفعليّة، من غير توقّفٍ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قبل ارتفاع قيمتهاالسوقيّة، كانت عوضاً عن مقدارٍ معيّن من المال، وبعده بما أنّها تصبح عوضاً عن مقدارٍ زائد عليه يصدق الفائدة عرفاً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الخُمس عند ارتفاع القيمة السوقيّة إذا أمكن بيعها وأخذ قيمتها مطلقاً</w:t>
      </w:r>
      <w:r>
        <w:rPr>
          <w:rFonts w:eastAsia="Amiri" w:cs="Amiri" w:ascii="Amiri" w:hAnsi="Amiri"/>
          <w:color w:val="111111"/>
          <w:sz w:val="28"/>
          <w:szCs w:val="28"/>
          <w:rtl w:val="true"/>
          <w:lang w:bidi="ar-SA"/>
        </w:rPr>
        <w:t>.</w:t>
      </w:r>
      <w:bookmarkStart w:id="88" w:name="pg11804_116508"/>
    </w:p>
    <w:p>
      <w:pPr>
        <w:pStyle w:val="BookText"/>
        <w:rPr/>
      </w:pPr>
      <w:bookmarkEnd w:id="88"/>
      <w:r>
        <w:rPr>
          <w:rFonts w:ascii="Amiri" w:hAnsi="Amiri" w:eastAsia="Amiri" w:cs="Amiri"/>
          <w:color w:val="111111"/>
          <w:sz w:val="28"/>
          <w:sz w:val="28"/>
          <w:szCs w:val="28"/>
          <w:rtl w:val="true"/>
          <w:lang w:bidi="ar-SA"/>
        </w:rPr>
        <w:t>المعاملة على العين قبل أداء الخُمس</w:t>
      </w:r>
    </w:p>
    <w:p>
      <w:pPr>
        <w:pStyle w:val="Heading3"/>
        <w:numPr>
          <w:ilvl w:val="2"/>
          <w:numId w:val="1"/>
        </w:numPr>
        <w:rPr/>
      </w:pPr>
      <w:bookmarkStart w:id="89" w:name="__RefHeading___Toc10579728_73709187"/>
      <w:bookmarkStart w:id="90" w:name="_Toc30"/>
      <w:bookmarkEnd w:id="89"/>
      <w:r>
        <w:rPr>
          <w:rtl w:val="true"/>
        </w:rPr>
        <w:t>المعاملة على العين قبل أداء الخُمس فروع</w:t>
      </w:r>
      <w:r>
        <w:rPr>
          <w:rtl w:val="true"/>
        </w:rPr>
        <w:t>:</w:t>
      </w:r>
      <w:bookmarkEnd w:id="90"/>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شيئاً ثمّ علم أنّ البائع لم يؤدِّ خُمسه، فهل يصحّ البيع بالنسبة إلى مقدار الخُمس بلا حاجةٍ إلى الإجازة، أم تتوقّف عليها؟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المقام يقتضي البحث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بحسب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بتعلّق الخُمس بالذمّة، فلا إشكال في صحّة البيع، وعدم توقّفه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تعلّقه بالعين، سواءٌ أكان حقّاً متعلّقاً بالعين نظير حقّ الرهانة أو الجُعالة، أم كان خُمس المال لصاحب الخُمس بنحو الإشاعة أو الكلّي في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له الولاية على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ببعيدٍ على ما سيأتي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البيع، بلا حاجةٍ إلى الإجازة في صورة العلم به أو احتماله، أمّا في الأُولى فواضح، وأمّا في الثانية فلقاعدة اليد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لم تكن له الولاية، أو كانت له الولاية، ولكن علمنا بعدم التبديل، تكون المعاملة بالنسبة إلى خُمس المال فضوليّة، فإنْ أجاز الحاكم رجع عليه بالثمن، </w:t>
      </w:r>
    </w:p>
    <w:p>
      <w:pPr>
        <w:pStyle w:val="BookText"/>
        <w:rPr/>
      </w:pPr>
      <w:r>
        <w:rPr>
          <w:rFonts w:ascii="Amiri" w:hAnsi="Amiri" w:eastAsia="Amiri" w:cs="Amiri"/>
          <w:color w:val="111111"/>
          <w:sz w:val="28"/>
          <w:sz w:val="28"/>
          <w:szCs w:val="28"/>
          <w:rtl w:val="true"/>
          <w:lang w:bidi="ar-SA"/>
        </w:rPr>
        <w:t>وإلّا فإنْ أدّى المالك الخُمس من ماله الآخر، فبناءً على كونه حقّاً متعلّقاً بالعين، لا يحتاج إلى الإجازة، لأنّه حينئذٍ نظير ما لو باع الراهن المال المرهون ثمّ فكّه عن الرهن، وبناءً على كون المستحقّ نفس العين، تكون من باب من باع شيئاً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جملةٍ من النصوص جواز إيقاع المعاملة على المال الذي فيه الخُمس، فينتقل الخُمس من العين إلى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الرّيان بن الصلت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يامولاي في غِلّة رَحى أرضٍ في قطيعة لي، وفي ثمن سَمكٍ وبَرديّ وقَصَبٍ أبيعه من أجمة هذه القطيعة‌؟</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فيه الخمس</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الإمام الصادق عليه السلام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في داره البستان، فيه الفاكهة يأكله العيال، إنّما يبيع منه الشيء بمائة درهم أو خمسين درهماً، هل عليه الخمس‌؟</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أكل فلا، وأمّا البيع فنعم هو كسائر الضياع</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الحارث بن حصيرة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ركازاً فباعه‌؟</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خُمس ما أخذتَ فإنّ الخُمس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والاجتزاء بخُمس الثمن في هذه الأخبار، محمولٌ على الغالب من عدم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نقصان الثمن عن القيمة، وإلّا فلا اعتبار بالثمن، كذا فى رسالة شيخنا المرتضى رحمه الله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مقابلها نصوصٌ تدلّ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عبدٌ اشترى من الخُمس شيئاً أنْ يقول يا ربّ اشتريته بمالي، حتّى يأذن له أهلُ الخُمس</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مقام الجمع بين الطائفتين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على إرادة انتقال الخُمس إلى ذمّة المالك بمجرّد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تلك النصوص الجاهل بوجوب الخُمس، فهي ظاهرة في صورة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النصوص الأولى على صورة الأداء، وحَمل الثانية على صورة عدمه، فيكون الأداء نظير الإجازة في عقد الفضولي، فإنْ تحقّق صحّ التصرّف، ولو مع نيّة عدمه، وإنْ لم يتحقّق لم يصحّ ولو مع نيّته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تلك النصوص صحّة المعاملة، وانتقال الثمن بتمامه إلى المالك قبل أداء الخمس، ولذا حكم عليه السلام بأداء الخمس من الثمن، ولو لم تكن المعاملة صحيحة، والثمن منتقلاً إلى المالك، لما كان وجهٌ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النصوص الأولى على ما قبل تمام الحول، أخذاً بالقَدَر المتيقّن، لأنّه لا إطلاق لها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الحارث واردٌ في الركاز الذي لم يستثن منه مؤونة السَّنة، كي لا يتنجّز التكليف فيه قبل مُضيّ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عدم ورودها في مقام البيان من هذه الجهة ممنوعة، ولا أقلّ من الشكّ في ذلك، ومقتضى القاعدة هو كونه في مقام البيان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مقام الجمع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الأولى أخصّ من الثانية، لاختصاصها بصورة عدم البناء على عدم الإعطاء، كما لايخفى، فتُحمل عليها النصوص الثانية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بناءً على عدم التبديل صحّة المعاملة، بلا توقّفٍ على الإجازة، في صورة البناء على إعطاء الخُمس، بل عدم البناء على عدم الإعطاء، و تتوقّف صحّتها على الإجازة في صورة البناء على عدم الإعطاء</w:t>
      </w:r>
      <w:r>
        <w:rPr>
          <w:rFonts w:eastAsia="Amiri" w:cs="Amiri" w:ascii="Amiri" w:hAnsi="Amiri"/>
          <w:color w:val="111111"/>
          <w:sz w:val="28"/>
          <w:szCs w:val="28"/>
          <w:rtl w:val="true"/>
          <w:lang w:bidi="ar-SA"/>
        </w:rPr>
        <w:t>.</w:t>
      </w:r>
      <w:bookmarkStart w:id="91" w:name="pg11804_116512"/>
    </w:p>
    <w:p>
      <w:pPr>
        <w:pStyle w:val="BookText"/>
        <w:rPr/>
      </w:pPr>
      <w:bookmarkEnd w:id="91"/>
      <w:r>
        <w:rPr>
          <w:rFonts w:ascii="Amiri" w:hAnsi="Amiri" w:eastAsia="Amiri" w:cs="Amiri"/>
          <w:color w:val="111111"/>
          <w:sz w:val="28"/>
          <w:sz w:val="28"/>
          <w:szCs w:val="28"/>
          <w:rtl w:val="true"/>
          <w:lang w:bidi="ar-SA"/>
        </w:rPr>
        <w:t>إذا زادت القيمة ثمّ تنزّلت</w:t>
      </w:r>
    </w:p>
    <w:p>
      <w:pPr>
        <w:pStyle w:val="Heading3"/>
        <w:numPr>
          <w:ilvl w:val="2"/>
          <w:numId w:val="1"/>
        </w:numPr>
        <w:rPr/>
      </w:pPr>
      <w:bookmarkStart w:id="92" w:name="__RefHeading___Toc10579730_73709187"/>
      <w:bookmarkStart w:id="93" w:name="_Toc31"/>
      <w:bookmarkEnd w:id="92"/>
      <w:r>
        <w:rPr>
          <w:rtl w:val="true"/>
        </w:rPr>
        <w:t>إذا زادت القيمة ثمّ تنزّلت</w:t>
      </w:r>
      <w:bookmarkEnd w:id="9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عيناً فزادت قيمتها السوقيّة أوّلاً، ثمّ هبطت إلى رأس مالها أو أقلّ قبل تمام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بعدم وجوب الخُمس فيها ما لم يبعها، 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بوجوبه بمجرّد ظهور الربح كما بنينا عليه، ففيه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تنزّلت بالمقدار المذكور قبل تمام السَّنة، وكان عدم البيع غفلة أو طلباً للزيادة أو غيرهما ممّا يكون عُذراً في ترك البيع، فإنّه لا إشكال في عدم ضمان خُمس تلك الزيادة،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التأخير في الأداء إلى مُضيّ الحول، يوجبُ كون الخُمس في يد المالك أمانة شرعيّة، وحيث إنّه لم يفرّط في إتلافه، فلا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الخسرأنْ يكون داخلاً في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من التعليل بعدم تحقّقها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صدق الفائدة بمجرّد ظهور الربح، مع أنّه عليه لا وجه لحكمه في الفرع السابق بوجوب الخُمس إذا أمكن بيعها، وأخذ قيمتها، إذ مع فرض عدم تحقّق الزيادة ما لم يبع، كيف يُحكم بوجوب الخمس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بيعها عمداً، وكان هبوط القيمة قبل نهاية السَّنة، فإنّ الحكم في هذه الصورة يبتني على شمول المؤونة المستثناة لجميع ما خَرج عن ملك </w:t>
      </w:r>
    </w:p>
    <w:p>
      <w:pPr>
        <w:pStyle w:val="BookText"/>
        <w:rPr/>
      </w:pPr>
      <w:r>
        <w:rPr>
          <w:rFonts w:ascii="Amiri" w:hAnsi="Amiri" w:eastAsia="Amiri" w:cs="Amiri"/>
          <w:color w:val="111111"/>
          <w:sz w:val="28"/>
          <w:sz w:val="28"/>
          <w:szCs w:val="28"/>
          <w:rtl w:val="true"/>
          <w:lang w:bidi="ar-SA"/>
        </w:rPr>
        <w:t>المالك، ولو بصَرفه بنحو الإسراف والإتلاف العمدي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ضامناً لخُمس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ضامنٌ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تنقيح القول في المبني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ترك بيعها عمداً بعد تمام السَّنة، فإنّه لا إشكال في ضمانه، لعدم كون الخسارة في هذه الصورة من المؤونة، فحيث أنّه فرّط فيه 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ترك بيعها بعده غفلةً أو طلباً للزيادة، أو غيرهما ممّا يعدّ عُذراً في ترك البيع، فقد يقال بعدم ضمانه بدعوى أنّ هذا ليس تفريطاً موجباً للضمان، والأصل البراءة منه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الغير إذا كان عند الشخص بعنوان الأمانة، وتلف بغير تفريطٍ منه لا يكون ضامناً، وإلّا فهو ضامن، حتّى مع عدم التفريط، كما هو واضح، وفي المقام بما أنّه لا يكون حقّ الإمام وحقّ السادات عند المالك بعنوان الأمانة، وبترخيصٍ من صاحب الخُمس، فلا محالة يكون ضامناً</w:t>
      </w:r>
      <w:r>
        <w:rPr>
          <w:rFonts w:eastAsia="Amiri" w:cs="Amiri" w:ascii="Amiri" w:hAnsi="Amiri"/>
          <w:color w:val="111111"/>
          <w:sz w:val="28"/>
          <w:szCs w:val="28"/>
          <w:rtl w:val="true"/>
          <w:lang w:bidi="ar-SA"/>
        </w:rPr>
        <w:t>.</w:t>
      </w:r>
      <w:bookmarkStart w:id="94" w:name="pg11804_116514"/>
    </w:p>
    <w:p>
      <w:pPr>
        <w:pStyle w:val="BookText"/>
        <w:rPr/>
      </w:pPr>
      <w:bookmarkEnd w:id="94"/>
      <w:r>
        <w:rPr>
          <w:rFonts w:ascii="Amiri" w:hAnsi="Amiri" w:eastAsia="Amiri" w:cs="Amiri"/>
          <w:color w:val="111111"/>
          <w:sz w:val="28"/>
          <w:sz w:val="28"/>
          <w:szCs w:val="28"/>
          <w:rtl w:val="true"/>
          <w:lang w:bidi="ar-SA"/>
        </w:rPr>
        <w:t>حكم الأرباح المتجدّدة خلال السَّنة</w:t>
      </w:r>
    </w:p>
    <w:p>
      <w:pPr>
        <w:pStyle w:val="Heading3"/>
        <w:numPr>
          <w:ilvl w:val="2"/>
          <w:numId w:val="1"/>
        </w:numPr>
        <w:rPr/>
      </w:pPr>
      <w:bookmarkStart w:id="95" w:name="__RefHeading___Toc10579732_73709187"/>
      <w:bookmarkStart w:id="96" w:name="_Toc32"/>
      <w:bookmarkEnd w:id="95"/>
      <w:r>
        <w:rPr>
          <w:rtl w:val="true"/>
        </w:rPr>
        <w:t>حكم الأرباح المتجدّدة خلال السَّنة</w:t>
      </w:r>
      <w:bookmarkEnd w:id="96"/>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ربحٌ بعد ربح في سنةٍ واحدة، ففيه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يلاحظ في آخر السَّنة مجموعُ ما استفاده، فيجبُ عليه خُمس ما حصل منها بعد إخراج مؤونته، سواءٌ اتّحد جنس التجارة وكان للأرباح جامعٌ واحدٌ، أم تعدّد ولم يكن لها جامعٌ واحد، كما إذا كان له رأسُ مال يتّجر به، وأرض يزرعها، وهذا هو المنسوب إلى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والمحقّق الثاني،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والمحقّق السبزواري</w:t>
      </w:r>
      <w:r>
        <w:rPr>
          <w:rStyle w:val="FootnoteAnchor"/>
          <w:rtl w:val="true"/>
        </w:rPr>
        <w:footnoteReference w:id="267"/>
      </w:r>
      <w:r>
        <w:rPr>
          <w:rFonts w:ascii="Amiri" w:hAnsi="Amiri" w:eastAsia="Amiri" w:cs="Amiri"/>
          <w:color w:val="111111"/>
          <w:sz w:val="28"/>
          <w:sz w:val="28"/>
          <w:szCs w:val="28"/>
          <w:rtl w:val="true"/>
          <w:lang w:bidi="ar-SA"/>
        </w:rPr>
        <w:t>، وجمعٌ آخر</w:t>
      </w:r>
      <w:r>
        <w:rPr>
          <w:rStyle w:val="FootnoteAnchor"/>
          <w:rtl w:val="true"/>
        </w:rPr>
        <w:footnoteReference w:id="268"/>
      </w:r>
      <w:r>
        <w:rPr>
          <w:rFonts w:ascii="Amiri" w:hAnsi="Amiri" w:eastAsia="Amiri" w:cs="Amiri"/>
          <w:color w:val="111111"/>
          <w:sz w:val="28"/>
          <w:sz w:val="28"/>
          <w:szCs w:val="28"/>
          <w:rtl w:val="true"/>
          <w:lang w:bidi="ar-SA"/>
        </w:rPr>
        <w:t>، ولعلّه المشهور في هذا العصر وما يقرب منه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لكلّ ربحٍ حولٌ بانفراده مطلقاً، وتُوزّع المؤونة في الزمان المشترك بين كلّ ربحٍ وبين ما سبق عليه، ويختصّ كلٌّ بمؤونة زمانه المختصّ به، فلو ربح في أوّل المحرّم مائة دينار، ثمّ ربح كذلك في أوّل رجب، استثنى من الأوّل مؤونة السَّنة التي تنتهي بأوّل المحرّم القادم، ومن الفائدة الثانية مؤونة سنةٍ تنتهي بأوّل رجب القادم، فمؤونة ما بين المحرّم الأوّل ورجب الأوّل، تستثنى من خصوص الربح الأوّل، ومؤونة ما بين رجب والمحرّم القادم توزّع عليهما، ومؤونة ما بين المحرّم الثاني ورجب الثاني القادمان تستثنى من الربح الثاني، وهذا هو الذي اختاره </w:t>
      </w:r>
    </w:p>
    <w:p>
      <w:pPr>
        <w:pStyle w:val="BookText"/>
        <w:rPr/>
      </w:pP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وغيرهما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اتّحاد جنس التجارة فالأوّل، وعدمه فالثاني، وهذا هو المنسوب إلى جماعة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المستفاد من الأدلّة، وجوب الخُمس في كلّ فائدة، واستثنى من ذلك مؤونة السّنة، فيكون الجمع بين الدليلين مقتضياً لوجوب الخُمس في كلّ ربحٍ بعد إخراج مؤونة السَّنة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على القول الآخر يتعيّن تقييد الأرباح بالسّنة، بخلاف هذا القول، وحيثُ لا قرينة على هذا التقييد، فلابدّ من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للأرباح المتعدّدة جامعٌ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لها جامع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لزوم ملاحظة المجموع من حيث المجموع، لا كلّ ربحٍ مستقلّاً، لأنّ ملاحظة ما يُصرف فيما بين الأرباح وضبطها كي يعلم كيفيّة التوزيع، تؤدّي غالباً إلى الحَرَج الشديد، لا سيّما فيما لو اكتسب كلّ يوم شيئاً، بل كلّ ساعةٍ شيئاً، فإنّه لا يمكن حينئذٍ ضبط الأحوال عادةً‌، واختصاص المؤونة بالبعض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زمانٍ وفي ثانٍ بثانٍ وهكذا، يؤدّي إلى انصراف النّاس عن الاشتغال بالتجارات والاكتسابات كما لا يخفى، مع أنّ السيرة القطعيّة قائمة على احتساب المجموع من حيث المجموع، مضافاً إلى أنّ هذا هو الظاهر من جملةٍ من النصوص، لاحظ خبر أبي علي بن راشد المتقدّم</w:t>
      </w:r>
      <w:r>
        <w:rPr>
          <w:rStyle w:val="FootnoteAnchor"/>
          <w:rtl w:val="true"/>
        </w:rPr>
        <w:footnoteReference w:id="273"/>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حُكمه عليه السلام بوجوب الخُمس في أمتعتهم وصنائعهم وسؤال الراوي عن التاجر والصانع بيده، ظاهرٌ في إرادة استثناء مؤونته في كلّ سنةٍ من التجارة والصناعة، مع حصول الأرباح التدريجيّة، وهذا يستلزم تقييد ما يجب فيه الخُمس بما يفضل عن ربحه في كلّ سنةٍ عمّا يصرف فيها، فلا يكون هذا التقييد بلا قرينةٍ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ظاهرٌفي استثناءمؤونة واحدة لمجموع ماربح خلال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فملاحظة المجموع فيه، وإنْ لم تكن بذلك الوضوح، لعدم ترتب التوالي الفاسدة المتقدّمة على ملاحظة كلّ نوعٍ مستقلّاً، إلّاأنّ الظاهر فيه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الأدلّة وجوب الخُمس في كلّ غنيمةٍ وفائدة، خَرَج عنها مؤونة السَّنة، وحيثُ لا إطلاق لما دلّ على استثناء مؤونة السَّنة، كي يُتمسّك به ويقال إنّه يُستثنى من كلّ ربحٍ مؤونة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ندّع ظهور ما دلّ على الاستثناء في خلافه، كما تقدّم في المقام الأوّل، إذ لا دليل على استثنائها غير تلك النصوص</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الاقتصار على القدر المتيقّن، وهو استثناء مؤونة واحدة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لسنة المجموع، أي لمجموع ما ربحه خلال السَّنة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المتحصّل من مجموع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في كلّ عام ممّا يفضل عن ربحه، لا وجوبه في كلّ ربحٍ بعد وضع مؤونة السّنة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ما يمكن أنْ يستدلّ به لكلٍّ من الأقوال، وأنّ الأقوى هو القول الأوّل، وضعف ما استدلّ به للقولين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استدلّ به للقول المختار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رحمه الله</w:t>
      </w:r>
      <w:r>
        <w:rPr>
          <w:rStyle w:val="FootnoteAnchor"/>
          <w:rtl w:val="true"/>
        </w:rPr>
        <w:footnoteReference w:id="274"/>
      </w:r>
      <w:r>
        <w:rPr>
          <w:rFonts w:ascii="Amiri" w:hAnsi="Amiri" w:eastAsia="Amiri" w:cs="Amiri"/>
          <w:color w:val="111111"/>
          <w:sz w:val="28"/>
          <w:sz w:val="28"/>
          <w:szCs w:val="28"/>
          <w:rtl w:val="true"/>
          <w:lang w:bidi="ar-SA"/>
        </w:rPr>
        <w:t xml:space="preserve">وإنْ تنظّر فيه قدس سره لاحقاً بأنّ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وموثّق سماعة وغيرهما من الأدلّة، الجنس لا العموم، لأنّها موضوعة له، فالوحدة كالتعدّد غير ملحوظة فيه، فالمراد من الموصول مجموعُ الحاصل بالاستفادات المتعدّدة، وقد استثني عن ذلك المؤونة، وحيث أنّ المقيد هو المجموع المستفاد بالاستفادات، فلا يعتبر فيه إلّا سنة هذا المجموع، فيُستثني مؤونتها من هذا المستفاد الواحد بالاستفادات، ويُخمّس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منها العموم، ليكون مفاد الأدلّة أنّ كلّ مستفادٍ باستفادة مستقلّة يتعلّق به الخُمس، فيكون كلّ مستفادٍ فرداً من العام في مقابل الآخر، ويتعلّق به حكمٌ مستقلّ‌، ليحصل لكلٍّ منها عامٌ مستقلٌّ باعتبار ما استثنى منه من المؤونة، فإذا اتّفق اشتراكهما في تمام السَّنة أو في بعضها، فلابدّ أن يوزّع مؤونة الزمان المشترك بينهما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خلاف الظاهر في القضايا الحقيقيّة، فإنّ الظاهر منها إرادة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العموم، لاحظ سائر الموارد، منها ما ورد في الغوص والمعدن والكَنز، فإنّ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من المعدن وما 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ملاحظة كلّ فردٍ بنفسه موضوعاً للحكم، برغم تعدّده عرفاً، وبيان السرّ في ذلك موكولٌ إلى محلّه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القضيّة الحقيقيّة، وهي ما حكم فيه على الطبيعة السّارية، إلى ما في الخارج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أنّ الأفراد الخارجيّة التي هي محكومة بالحكم، باعتبار صدق الطبيعة المأخوذة في الموضوع عليها متكثّرة، فظاهرها ملاحظة كلّ فردٍ موضوعاً مستقلّاً لا ملاحظة المجموع شيئاً واحداً، فإنّ هذه عناية زائدة تحتاج افادتها إلى دليل آخر، وعليه فالصحيح ما ذكرناه</w:t>
      </w:r>
      <w:r>
        <w:rPr>
          <w:rFonts w:eastAsia="Amiri" w:cs="Amiri" w:ascii="Amiri" w:hAnsi="Amiri"/>
          <w:color w:val="111111"/>
          <w:sz w:val="28"/>
          <w:szCs w:val="28"/>
          <w:rtl w:val="true"/>
          <w:lang w:bidi="ar-SA"/>
        </w:rPr>
        <w:t>.</w:t>
      </w:r>
      <w:bookmarkStart w:id="97" w:name="pg11804_116519"/>
    </w:p>
    <w:p>
      <w:pPr>
        <w:pStyle w:val="BookText"/>
        <w:rPr/>
      </w:pPr>
      <w:bookmarkEnd w:id="97"/>
      <w:r>
        <w:rPr>
          <w:rFonts w:ascii="Amiri" w:hAnsi="Amiri" w:eastAsia="Amiri" w:cs="Amiri"/>
          <w:color w:val="111111"/>
          <w:sz w:val="28"/>
          <w:sz w:val="28"/>
          <w:szCs w:val="28"/>
          <w:rtl w:val="true"/>
          <w:lang w:bidi="ar-SA"/>
        </w:rPr>
        <w:t>حكم الشراء المربح خياريّاً</w:t>
      </w:r>
    </w:p>
    <w:p>
      <w:pPr>
        <w:pStyle w:val="Heading3"/>
        <w:numPr>
          <w:ilvl w:val="2"/>
          <w:numId w:val="1"/>
        </w:numPr>
        <w:rPr/>
      </w:pPr>
      <w:bookmarkStart w:id="98" w:name="__RefHeading___Toc10579734_73709187"/>
      <w:bookmarkStart w:id="99" w:name="_Toc33"/>
      <w:bookmarkEnd w:id="98"/>
      <w:r>
        <w:rPr>
          <w:rtl w:val="true"/>
        </w:rPr>
        <w:t>حكم الشراء المربح خياريّاً</w:t>
      </w:r>
      <w:bookmarkEnd w:id="99"/>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شيئاً فيه ربحٌ‌، وكان للبائع الخيار، فقد حكم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خمسه إلّابعد لزوم البيع، ومضيّ زمان خيار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يعلق عليه أكثر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على القول بعدم تملك المبيع قبل انقضاء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w:t>
      </w:r>
      <w:r>
        <w:rPr>
          <w:rStyle w:val="FootnoteAnchor"/>
          <w:rtl w:val="true"/>
        </w:rPr>
        <w:footnoteReference w:id="276"/>
      </w:r>
      <w:r>
        <w:rPr>
          <w:rFonts w:ascii="Amiri" w:hAnsi="Amiri" w:eastAsia="Amiri" w:cs="Amiri"/>
          <w:color w:val="111111"/>
          <w:sz w:val="28"/>
          <w:sz w:val="28"/>
          <w:szCs w:val="28"/>
          <w:rtl w:val="true"/>
          <w:lang w:bidi="ar-SA"/>
        </w:rPr>
        <w:t xml:space="preserve">إلى الشيخ وابن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ذكره قدس سره، إذ مع عدم حصول الملكيّة لا تصدق الفائدة، فلا يجب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بالتملّك كما هو المشهور، فقد استدلّ لعدم 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بانصراف النصوص إلى الربح المستقرّ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صدق الفائدة ما دام للمالك حقّ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مثل هذه الانصرافات، لا تصلح لتقييد الإطلاق، اللّهُمَّ إلّاأن يريد به في المقام، الانصراف الناشئ عن التشكيك في الماهيّة في متفاهم العرف، وحينئذٍ يرجع إلى الوجه الثاني، فإنّ مرجعه حينئذٍ إلى دعوى أنّ هذا المصداق يكون خارجاً عن كونه فرداً لما يفهم من لفظتي الفائدة والربح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فلمنعه، بل هو ربحٌ غير مستقرّ، لا أنّه ليس بربح، مع أنّه لو سُلّم </w:t>
      </w:r>
    </w:p>
    <w:p>
      <w:pPr>
        <w:pStyle w:val="BookText"/>
        <w:rPr/>
      </w:pPr>
      <w:r>
        <w:rPr>
          <w:rFonts w:ascii="Amiri" w:hAnsi="Amiri" w:eastAsia="Amiri" w:cs="Amiri"/>
          <w:color w:val="111111"/>
          <w:sz w:val="28"/>
          <w:sz w:val="28"/>
          <w:szCs w:val="28"/>
          <w:rtl w:val="true"/>
          <w:lang w:bidi="ar-SA"/>
        </w:rPr>
        <w:t>ما ذكر، فإنّما هو في صورة الفسخ، وأمّا في صورة عدمه، فلا شُبهة في عدم تماميّته، وعليه فلازمه الحكم بالوجوب في ما إذا كان البيع يلزم بعد ذلك بنحو الشرط المتأخّر، فإنّه إذا لم يفسخ ذو الخيار انكشف تحقّق الربح والفائدة من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ما فيه ربحٌ‌، فاستقاله البائع، فأقاله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في أثناء سنته، لم يجب خُمسه، لأنّه من قبيل المُؤن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بعد تلك السَّنة، فالأظهر عدم سقوط وجوبه، لأنّ ما يصرف بعد السَّنة لا يكون مستثنى من أرباح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الفائدة، ولو فيما كان من شأن البيع أن يقيله كما في غالب موارد بيع شرط الخيار، إذا رد مثل الثمن،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من سقوطه فيما إذا كان من شأنه أن يقيله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00" w:name="pg11804_116521"/>
    </w:p>
    <w:p>
      <w:pPr>
        <w:pStyle w:val="BookText"/>
        <w:rPr/>
      </w:pPr>
      <w:bookmarkEnd w:id="100"/>
      <w:r>
        <w:rPr>
          <w:rFonts w:ascii="Amiri" w:hAnsi="Amiri" w:eastAsia="Amiri" w:cs="Amiri"/>
          <w:color w:val="111111"/>
          <w:sz w:val="28"/>
          <w:sz w:val="28"/>
          <w:szCs w:val="28"/>
          <w:rtl w:val="true"/>
          <w:lang w:bidi="ar-SA"/>
        </w:rPr>
        <w:t>حكم رأس المال</w:t>
      </w:r>
    </w:p>
    <w:p>
      <w:pPr>
        <w:pStyle w:val="Heading3"/>
        <w:numPr>
          <w:ilvl w:val="2"/>
          <w:numId w:val="1"/>
        </w:numPr>
        <w:rPr/>
      </w:pPr>
      <w:bookmarkStart w:id="101" w:name="__RefHeading___Toc10579736_73709187"/>
      <w:bookmarkStart w:id="102" w:name="_Toc34"/>
      <w:bookmarkEnd w:id="101"/>
      <w:r>
        <w:rPr>
          <w:rtl w:val="true"/>
        </w:rPr>
        <w:t>حكم رأس المال</w:t>
      </w:r>
      <w:bookmarkEnd w:id="102"/>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 المحقّقين من المتأخّرين في حكم رأس المال إذا كان من أرباح مكاسبه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اختار جماعةٌ منهم المحقّق القُمّي</w:t>
      </w:r>
      <w:r>
        <w:rPr>
          <w:rStyle w:val="FootnoteAnchor"/>
          <w:rtl w:val="true"/>
        </w:rPr>
        <w:footnoteReference w:id="278"/>
      </w:r>
      <w:r>
        <w:rPr>
          <w:rFonts w:ascii="Amiri" w:hAnsi="Amiri" w:eastAsia="Amiri" w:cs="Amiri"/>
          <w:color w:val="111111"/>
          <w:sz w:val="28"/>
          <w:sz w:val="28"/>
          <w:szCs w:val="28"/>
          <w:rtl w:val="true"/>
          <w:lang w:bidi="ar-SA"/>
        </w:rPr>
        <w:t>، والشيخ الأعظم</w:t>
      </w:r>
      <w:r>
        <w:rPr>
          <w:rStyle w:val="FootnoteAnchor"/>
          <w:rtl w:val="true"/>
        </w:rPr>
        <w:footnoteReference w:id="279"/>
      </w:r>
      <w:r>
        <w:rPr>
          <w:rFonts w:ascii="Amiri" w:hAnsi="Amiri" w:eastAsia="Amiri" w:cs="Amiri"/>
          <w:color w:val="111111"/>
          <w:sz w:val="28"/>
          <w:sz w:val="28"/>
          <w:szCs w:val="28"/>
          <w:rtl w:val="true"/>
          <w:lang w:bidi="ar-SA"/>
        </w:rPr>
        <w:t>رحمه الله عدم وجوب الخُمس فيه مع الحاجة، والمراد بها أنْ يكون المالك محتاجاً إليه في إعاشة سنته، أو محتاجاً بحسب حالته الإجتماعيّة إلى رأس مال يتّجر به، بحيث إذا أدّى خُمسه لزمه التنزّل إلى كسبٍ لا يفي بمؤونته، أو لا يليق بشأنه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آخر إلى وجوبه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وتوقّف في الحكم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وجَعَل إخراج خُمسه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للوجوب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من المؤونة، لأنّ به تحصل المؤونة، لا أنّه بنفسه منها، وعليه فبما أنّه من الأرباح، وليس داخلاً في المستثنى‌، فيجبُ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صدق المؤونة عليه، فإنّما هو من مؤونة السَّنة اللّاحقة لا سنة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سيأتي من أنّ المؤونة المستثناة ما يعمّ ما ينتفع به مع بقاء عينه </w:t>
      </w:r>
    </w:p>
    <w:p>
      <w:pPr>
        <w:pStyle w:val="BookText"/>
        <w:rPr/>
      </w:pPr>
      <w:r>
        <w:rPr>
          <w:rFonts w:ascii="Amiri" w:hAnsi="Amiri" w:eastAsia="Amiri" w:cs="Amiri"/>
          <w:color w:val="111111"/>
          <w:sz w:val="28"/>
          <w:sz w:val="28"/>
          <w:szCs w:val="28"/>
          <w:rtl w:val="true"/>
          <w:lang w:bidi="ar-SA"/>
        </w:rPr>
        <w:t>كالبقرة المحتاج إليها لا اللّبن، مع أنّه في الصورة الثانية يكون رأس المال كحُليّ النساء ويكون بنفسه محتاجاً إليه لا بمنافعه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كان رأس المال في سنة الربح أيضاً كذلك، فحكمه حكم الفرش والأواني وغيرهما ممّا ينتفع به مع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الأقوى جواز شرائها من ربح سنة الربح، وإنْ بقيت للسنين الآتية، وأمّا لو فرضنا عدم الحاجة إليه في سنة الربح، فلأنّ الظاهر صدق المؤونة على ما يحتاج إليه في السَّنة اللّاحقة، ولا يمكن تحصيله فيها، إذ المتعارف بين الناس تحصيل مثل ذلك من أرباح السَّنة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الأوّل</w:t>
      </w:r>
      <w:r>
        <w:rPr>
          <w:rFonts w:eastAsia="Amiri" w:cs="Amiri" w:ascii="Amiri" w:hAnsi="Amiri"/>
          <w:color w:val="111111"/>
          <w:sz w:val="28"/>
          <w:szCs w:val="28"/>
          <w:rtl w:val="true"/>
          <w:lang w:bidi="ar-SA"/>
        </w:rPr>
        <w:t>.</w:t>
      </w:r>
      <w:bookmarkStart w:id="103" w:name="pg11804_116523"/>
    </w:p>
    <w:p>
      <w:pPr>
        <w:pStyle w:val="BookText"/>
        <w:rPr/>
      </w:pPr>
      <w:bookmarkEnd w:id="103"/>
      <w:r>
        <w:rPr>
          <w:rFonts w:ascii="Amiri" w:hAnsi="Amiri" w:eastAsia="Amiri" w:cs="Amiri"/>
          <w:color w:val="111111"/>
          <w:sz w:val="28"/>
          <w:sz w:val="28"/>
          <w:szCs w:val="28"/>
          <w:rtl w:val="true"/>
          <w:lang w:bidi="ar-SA"/>
        </w:rPr>
        <w:t>تحديد مبدأ السَّنة</w:t>
      </w:r>
    </w:p>
    <w:p>
      <w:pPr>
        <w:pStyle w:val="Heading3"/>
        <w:numPr>
          <w:ilvl w:val="2"/>
          <w:numId w:val="1"/>
        </w:numPr>
        <w:rPr/>
      </w:pPr>
      <w:bookmarkStart w:id="104" w:name="__RefHeading___Toc10579738_73709187"/>
      <w:bookmarkStart w:id="105" w:name="_Toc35"/>
      <w:bookmarkEnd w:id="104"/>
      <w:r>
        <w:rPr>
          <w:rtl w:val="true"/>
        </w:rPr>
        <w:t>تحديد مبدأ السَّنة</w:t>
      </w:r>
      <w:bookmarkEnd w:id="105"/>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جماعةٍ‌، منهم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 السَّنة هو الشروع في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رحمه الله</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من شُغله التكسّب وبين من حصل له الفائدة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رحمه الله مبدأ الحول الأوّل هو الشروع في الاكتساب، ومبدأ الحول الثاني حين حصول الفائدة، وتبعه جماعةٌ من المحقّقين</w:t>
      </w:r>
      <w:r>
        <w:rPr>
          <w:rStyle w:val="FootnoteAnchor"/>
          <w:rtl w:val="true"/>
        </w:rPr>
        <w:footnoteReference w:id="285"/>
      </w:r>
      <w:r>
        <w:rPr>
          <w:rFonts w:ascii="Amiri" w:hAnsi="Amiri" w:eastAsia="Amiri" w:cs="Amiri"/>
          <w:color w:val="111111"/>
          <w:sz w:val="28"/>
          <w:sz w:val="28"/>
          <w:szCs w:val="28"/>
          <w:rtl w:val="true"/>
          <w:lang w:bidi="ar-SA"/>
        </w:rPr>
        <w:t>، والظاهر أنّ هذا هو مراد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مبدأه حصول الربح مطلقاً، وبعضهم وإنْ عبّر بظهور الربح، إلّا أنّ الظاهر وحدة المراد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المحقّق الهمداني</w:t>
      </w:r>
      <w:r>
        <w:rPr>
          <w:rStyle w:val="FootnoteAnchor"/>
          <w:rtl w:val="true"/>
        </w:rPr>
        <w:footnoteReference w:id="289"/>
      </w:r>
      <w:r>
        <w:rPr>
          <w:rFonts w:ascii="Amiri" w:hAnsi="Amiri" w:eastAsia="Amiri" w:cs="Amiri"/>
          <w:color w:val="111111"/>
          <w:sz w:val="28"/>
          <w:sz w:val="28"/>
          <w:szCs w:val="28"/>
          <w:rtl w:val="true"/>
          <w:lang w:bidi="ar-SA"/>
        </w:rPr>
        <w:t>رحمه الله أنّ له الخيار في أن يجعل مؤونته في أيّ سنةٍ تُفرض من ربحه الذي اكتسبه في تلك السَّنة، ولا موجب للالتزام بسنة خاصّة معيّنة، بحث يتعيّن عليه استثناء مؤونتها بالخصوص من الربح الذي اكتسبه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كلّيٌ صادقٌ على أيّ وقت يفرض من الزمان إلى أن يحلّ مثل ذلك الزمان من عامه المقبل، وقد دلَّ الدليل على أنّ عليه في كلّ سنةٍ فيما يفضل من ربحه عن مؤونتها الخُمس، فإذا حصل له الربح في أيّ سنةٍ تُفرض من هذه السنين، اندرج في موضوع هذا الحكم، ويكون مخيّراً في تعيين أيّتها شاء بحكم العقل، وكونه مسبوقاً بربحٍ موجبٌ لتعلّق التكليف بخُمس ما يفضل عن مؤونة سنته من ربحها، لا يجب عليه احتساب هذا الربح من ربح السَّنة التي اُضيف إليها الربح السابق، بعد أنْ لا يكون ذلك مانعاً عن صحّة إضافته إلى عامه المقبل، كي يُخرجه عن موضوع الأدلّة وهو ربح هذه السَّنة، ولا منافياً لحكمها، وهو جواز استيفاء مؤونتها من ربحه، وتخميس الفاضل، كي يكون شموله للفرد الأوّل مانعاً عن شموله لهذا الفرد، كي يلزمه ارتكاب التخصيص بالنسبة إليه، إذ لا مانع عقلاً من أنْ يرخّصه الشارع في أن يستوفي مؤونته في كلّ سنةٍ من ربحه في تلك السَّنة، من غير تقييده بقيدٍ، ومقتضاه أنْ يكون له في السنين المتداخلة التي حصل فيها هذا الربح الخيار في تعيين سنته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من أنّه لا يُستثنى من كلّ ربحٍ مؤونة السَّنة، بل المستثنى منه مجموعُ الأرباح الحاصلة في السَّنة، والمستثنى المؤونة في تلك السَّنة، فإنّه إذا حصل ربحٌ موجبٌ لتعلّق التكليف بخُمس ما يفضل عن مؤونة سنة ربحها، لا محالة يتعيّن عليه احتساب الربح الثاني من ربح السَّنة التي اُضيف إليها الربح السابق، ويخرج هذا عن موضوع الأدلّة، فلو اكتسب في أوّل المحرّم، وحَصَل له الربح بمقدارٍ يفي بمؤونته ستّة أشهر، ثمّ في أوّل رجب حصل له الربح بمقدارٍ يفي بمؤونته إلى رجب القادم، ويكون لا محالة زائداً عن مؤونته إلى المحرّم القادم، وجب عليه تخميس ما </w:t>
      </w:r>
    </w:p>
    <w:p>
      <w:pPr>
        <w:pStyle w:val="BookText"/>
        <w:rPr/>
      </w:pPr>
      <w:r>
        <w:rPr>
          <w:rFonts w:ascii="Amiri" w:hAnsi="Amiri" w:eastAsia="Amiri" w:cs="Amiri"/>
          <w:color w:val="111111"/>
          <w:sz w:val="28"/>
          <w:sz w:val="28"/>
          <w:szCs w:val="28"/>
          <w:rtl w:val="true"/>
          <w:lang w:bidi="ar-SA"/>
        </w:rPr>
        <w:t>زاد عن مؤونته في أوّل المحرّم القادم، وليس له جعل رجب الأوّل أوّل سنته كي لا يجب عليه شيءٌ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خبر ابن شجاع، وصحيحي ابن راشد وابن مهزيار المتقدّمة، أنّ موضوعها التاجر والصانع، وصاحب الضيعة ممّا يعني أنّ المستثنى هو مؤونة عام التجارة أو الصناعة أو الزراعة، ولا شبهة في أنّ مبدأ عام التجارة أو الصناعة أو الزراعة من بداية ما يشرع فيها، وحيث أنّ هذه النصوص هي عمدة نصوص المؤونة، وأمّا غيرها ممّا ليس له موردٌ، فإمّا مهملٌ أو مجملٌ أو مطلق يقيّد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المرتضى</w:t>
      </w:r>
      <w:r>
        <w:rPr>
          <w:rStyle w:val="FootnoteAnchor"/>
          <w:rtl w:val="true"/>
        </w:rPr>
        <w:footnoteReference w:id="290"/>
      </w:r>
      <w:r>
        <w:rPr>
          <w:rFonts w:ascii="Amiri" w:hAnsi="Amiri" w:eastAsia="Amiri" w:cs="Amiri"/>
          <w:color w:val="111111"/>
          <w:sz w:val="28"/>
          <w:sz w:val="28"/>
          <w:szCs w:val="28"/>
          <w:rtl w:val="true"/>
          <w:lang w:bidi="ar-SA"/>
        </w:rPr>
        <w:t>رحمه الله من أنّ المستثنى وإنْ كان مؤونة عام الربح، إلّاأنّ المرجع في تشخيص عام الربح هو العرف، والمتعارف في عام الربح الذي تلحظ المؤونة بالنسبة إليه ان مبدأه حين الشروع في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وضع مؤونة زمان الشروع في الاكتساب من الربح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بعدما لا شبهة في أنّ موضوع وجوب الخُمس هو المستفيد لا التاجر أو الصانع وإنْ لم يكن مستفيداً، وما دلّ على وجوبه عليه إنّما يكون من حيث كون التجارة أو الصناعة واسطة لحصوله، يكون ما دلّ على وجوب الخُمس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التاجر بعد وضع مؤونته، ظاهراً في وجوبه على المستفيد بعد وضع مؤونة سنته، فيكون المستثنى مؤونة سنة الاستفادة، لا التجارة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تعارف وضع المؤونة غير مؤونة التحصيل التي تكون مستثناة من الربح، وذلك لا لخصوص المقام، بل لعموم استثنائها من مطلق الغنائم عن أوّل الكسب على الربح اللّاحق، إلّافيما إذا كانت من قبيل الدين وأدّاه من الربح اللّاحق، فهي من هذه الجهة تعدّ من مؤونته اللّاحقة للربح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تعارف ذلك في غير مؤونة التحصيل، وما إذا كانت المؤونة من قَبيل الدَّين الذي يؤدّيه من الربح اللّاحق، مع أنّه لو سُلّم تعارفه فعلاً بما أنّه لم يثبت تعارفه في عصر صدور النصوص، فلا مجال للاعتماد عليه في مقابل الإطلاق المقامي، المقتضي لكون المبدأ ظهور الربح الذي هو زمان تعلّق الخُمس، وترفع اليد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لكون المبدأ حصول الربح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ممّا يقتضيه الإطلاق المقامي، وأنّه المتبادر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دلّت النصوص على استثنائها، إنّما هي المؤونة التي يصرف فيها الربح، فإنّه بناءً على ما هو الحقّ من وجوب الخُمس في مطلق الفائدة، وكون مبدأ السَّنة لمن حصلت له فائدة اتّفاقاً هو تعيّن الالتزام بذلك، إذ التفكيك بين الفوائد في مبدأ العام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الالتزام بأنّ المبدأ يكون من حين حصول الفائدة</w:t>
      </w:r>
      <w:r>
        <w:rPr>
          <w:rFonts w:eastAsia="Amiri" w:cs="Amiri" w:ascii="Amiri" w:hAnsi="Amiri"/>
          <w:color w:val="111111"/>
          <w:sz w:val="28"/>
          <w:szCs w:val="28"/>
          <w:rtl w:val="true"/>
          <w:lang w:bidi="ar-SA"/>
        </w:rPr>
        <w:t>.</w:t>
      </w:r>
      <w:bookmarkStart w:id="106" w:name="pg11804_116527"/>
    </w:p>
    <w:p>
      <w:pPr>
        <w:pStyle w:val="BookText"/>
        <w:rPr/>
      </w:pPr>
      <w:bookmarkEnd w:id="106"/>
      <w:r>
        <w:rPr>
          <w:rFonts w:ascii="Amiri" w:hAnsi="Amiri" w:eastAsia="Amiri" w:cs="Amiri"/>
          <w:color w:val="111111"/>
          <w:sz w:val="28"/>
          <w:sz w:val="28"/>
          <w:szCs w:val="28"/>
          <w:rtl w:val="true"/>
          <w:lang w:bidi="ar-SA"/>
        </w:rPr>
        <w:t>والكُنُوز</w:t>
      </w:r>
    </w:p>
    <w:p>
      <w:pPr>
        <w:pStyle w:val="Heading3"/>
        <w:numPr>
          <w:ilvl w:val="2"/>
          <w:numId w:val="1"/>
        </w:numPr>
        <w:rPr/>
      </w:pPr>
      <w:bookmarkStart w:id="107" w:name="__RefHeading___Toc10579740_73709187"/>
      <w:bookmarkStart w:id="108" w:name="_Toc36"/>
      <w:bookmarkEnd w:id="107"/>
      <w:r>
        <w:rPr>
          <w:rtl w:val="true"/>
        </w:rPr>
        <w:t>وجوبُ الخُمس في الكنوز</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الخامس ممّا يجب فيه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هذا الحكم ولاإشكال، بل عن غير واحدٍ</w:t>
      </w:r>
      <w:r>
        <w:rPr>
          <w:rStyle w:val="FootnoteAnchor"/>
          <w:rtl w:val="true"/>
        </w:rPr>
        <w:footnoteReference w:id="29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Style w:val="FootnoteAnchor"/>
          <w:rtl w:val="true"/>
        </w:rPr>
        <w:footnoteReference w:id="292"/>
      </w:r>
      <w:r>
        <w:rPr>
          <w:rFonts w:ascii="Amiri" w:hAnsi="Amiri" w:eastAsia="Amiri" w:cs="Amiri"/>
          <w:color w:val="111111"/>
          <w:sz w:val="28"/>
          <w:sz w:val="28"/>
          <w:szCs w:val="28"/>
          <w:rtl w:val="true"/>
          <w:lang w:bidi="ar-SA"/>
        </w:rPr>
        <w:t>بضميمة ما ورد في أنّها مورد نزول الآية، مثل ما عن الكليني والصدوق بإسنادهما عن حمّاد بن عمرو، وأنس بن محمّد، عن أبيه، جميعاً عن الصادق عليه السلام، عن آبائه في وصيّة النبيّ صلى الله عليه و آله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 المطّلب سَنَّ في الجاهليّة خَمس سُننٍ أجراها اللّه 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كنزاً فأخرج منه الخُمس، وتصدّق به،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الكنز كَم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 وتقدّمت جملة منها وسيأتي بعضها خلال البحث</w:t>
      </w:r>
      <w:r>
        <w:rPr>
          <w:rFonts w:eastAsia="Amiri" w:cs="Amiri" w:ascii="Amiri" w:hAnsi="Amiri"/>
          <w:color w:val="111111"/>
          <w:sz w:val="28"/>
          <w:szCs w:val="28"/>
          <w:rtl w:val="true"/>
          <w:lang w:bidi="ar-SA"/>
        </w:rPr>
        <w:t xml:space="preserve">. </w:t>
      </w:r>
      <w:bookmarkStart w:id="109" w:name="pg11804_116528"/>
    </w:p>
    <w:p>
      <w:pPr>
        <w:pStyle w:val="BookText"/>
        <w:rPr/>
      </w:pPr>
      <w:bookmarkEnd w:id="10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يقع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 جماعةٌ‌</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المال المذخور، وزادوا عليه في جملةٍ من الكلمات قيوداً، وتنقيح القول في ذلك يقتضي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النصوص، وكلمات جماعةٍ من الفقهاء واللّغويّين، عدم اختصاصه بخصوص المذخور في الأرض، وشموله للمذخور في الجبل أو الجدار أو الشجر، ويشهد به ملاحظة موارد استعماله، فما يقتضيه ظاهر التخصيص بالأرض في كلام الأكثر،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من اختصاص الوجوب بما يكون مذخوراً في الأرض،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الكنز</w:t>
      </w:r>
    </w:p>
    <w:p>
      <w:pPr>
        <w:pStyle w:val="Heading3"/>
        <w:numPr>
          <w:ilvl w:val="2"/>
          <w:numId w:val="1"/>
        </w:numPr>
        <w:rPr/>
      </w:pPr>
      <w:bookmarkStart w:id="110" w:name="__RefHeading___Toc10579742_73709187"/>
      <w:bookmarkStart w:id="111" w:name="_Toc37"/>
      <w:bookmarkEnd w:id="110"/>
      <w:r>
        <w:rPr>
          <w:rtl w:val="true"/>
        </w:rPr>
        <w:t>تعريف الكنز</w:t>
      </w:r>
      <w:bookmarkEnd w:id="111"/>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الصدق العُرفي، سواءٌ أكان المذخور من النقدين أو من غيرهما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بالنَّقدين، بل نُسِب ذلك إلى ظاهر الأكثر</w:t>
      </w:r>
      <w:r>
        <w:rPr>
          <w:rStyle w:val="FootnoteAnchor"/>
          <w:rtl w:val="true"/>
        </w:rPr>
        <w:footnoteReference w:id="306"/>
      </w:r>
      <w:r>
        <w:rPr>
          <w:rFonts w:ascii="Amiri" w:hAnsi="Amiri" w:eastAsia="Amiri" w:cs="Amiri"/>
          <w:color w:val="111111"/>
          <w:sz w:val="28"/>
          <w:sz w:val="28"/>
          <w:szCs w:val="28"/>
          <w:rtl w:val="true"/>
          <w:lang w:bidi="ar-SA"/>
        </w:rPr>
        <w:t xml:space="preserve">، وهو الأظهر، 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من أنّ الكنز لا يشمل بنفسه لغيرهما، فإنّه يرد عليه ملاحظة موارد الاستعمال شاهدة بخلاف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حيث استدلّ له بمفهوم صحيح البزنطي،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يجب فيه الخُمس من الكنز؟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 في إرادة المماثلة في العين لا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من المماثلة إرادة المقدار، وإلّا فلو كان المراد الجنس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من الاتّفاق على إرادة المقدار منها لا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مرسلةٍ بمضمونه، صريحة في إرادة المقدار، وهي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الرِّضا عليه السلام عن مقدار الكنز الذي يجبُ فيه الخُمس‌؟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الزكاة من ذلك بعينه ففيه الخُمس، وما لم يبلغ حَدّ ما يجبُ فيه الزكاة فلا خُمس فيه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مسكوكاً، وحيثُ أنّ أحداً من الفقهاء لم يفتِ باعتبار ذلك، فيستكشف من ذلك أنّ المراد به ليس إلّاالمماثلة في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بالوجوب في الصحيح، معناه اللّغوي، وهو مطلق الثبوت، الأعمّ من الوجوب الاصطلاحي والاستحباب، فيعمّ سائر أنواع الكنوز، وإنْ كان المراد من المثل المماثلة في النوع أيضاً، حيث تتعلّق بمثله الزكاة لو كان متّخذاً للتكسّب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الإطلاق، إرادة المماثلة من جميع الجهات، سواءٌ الداخليّة منها أو الخارجيّة الدخيلة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فهم الأصحاب في نفسه لا يعدّ حجّة علينا، إلّاأنْ يكون كاشفاً عن قرينة داخليّة أو خارجيّة، وحيثُ لا جزم لنا بذلك، بل المظنون هو العدم، فلا يعتمد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المُرسَل متّحدٌ مع الصحيح، وأنّ الاختلاف إنّما نشأ من جهة النقل بالمعنى، واجتهاد المفيد في فهم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الإطلاق وإنْ كان مقتضياً لاعتبار كونه مسكوكاً، إلّاأنّه يقيّد بالأدلّة الاُخر، وهذا لا يستلزم عدم حجيّته في اعتبار غيره من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الزكاة في غير النقدين، إنّما يكون بشرط التكسّب، ولا تثبت فيه من حيث هو، وظاهر الصحيح ثبوت الخُمس فيما ثبت فيه الزكاة من حيث هو</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ما نُسب إلى الأكثر من عدم وجوب الخُمس في </w:t>
      </w:r>
      <w:bookmarkStart w:id="112" w:name="pg11804_116531"/>
    </w:p>
    <w:p>
      <w:pPr>
        <w:pStyle w:val="BookText"/>
        <w:rPr/>
      </w:pPr>
      <w:bookmarkEnd w:id="112"/>
      <w:r>
        <w:rPr>
          <w:rFonts w:ascii="Amiri" w:hAnsi="Amiri" w:eastAsia="Amiri" w:cs="Amiri"/>
          <w:color w:val="111111"/>
          <w:sz w:val="28"/>
          <w:sz w:val="28"/>
          <w:szCs w:val="28"/>
          <w:rtl w:val="true"/>
          <w:lang w:bidi="ar-SA"/>
        </w:rPr>
        <w:t>غير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الشهيد الثاني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المتبادر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كون المذخور عن قصدٍ، فلا يتناول المال المُستتر بالأرض بنفسه، أو بقصد غير الإدّخار، وتبعه في ذلك جماعةٌ من المحقّقين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عدم اعتبار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أقوى كما تشهد به ملاحظة موارد الاستعمال، ألا ترى أنّ الصرّاف إذا دفن ماله خوفاً من اللّص ليلاً، وأخرجه نهاراً، لا يُطلق على ما دفنه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ذلك من حين الدفن، بل لو قصد ذلك بعده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الكنز وإنْ لم يشمل المال المستتر من غير قصد الإدّخار، إلّاأنّ الركاز الذي جُعل موضوعاً في الصحيح المتقدّم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Style w:val="FootnoteAnchor"/>
          <w:rtl w:val="true"/>
        </w:rPr>
        <w:footnoteReference w:id="318"/>
      </w:r>
      <w:r>
        <w:rPr>
          <w:rFonts w:ascii="Amiri" w:hAnsi="Amiri" w:eastAsia="Amiri" w:cs="Amiri"/>
          <w:color w:val="111111"/>
          <w:sz w:val="28"/>
          <w:sz w:val="28"/>
          <w:szCs w:val="28"/>
          <w:rtl w:val="true"/>
          <w:lang w:bidi="ar-SA"/>
        </w:rPr>
        <w:t>من اختلاف أهل العراق والحجاز في معنى الركاز، وقول الأوّل بأنّه المعادن كلّها، والثاني بأنّه كنوز الجاهليّة قبل الإسلام المدفونة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القولين يحتملهما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الكَنز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0579744_73709187"/>
      <w:bookmarkStart w:id="114" w:name="_Toc38"/>
      <w:bookmarkEnd w:id="113"/>
      <w:r>
        <w:rPr>
          <w:rtl w:val="true"/>
        </w:rPr>
        <w:t>أقسام الكَنز</w:t>
      </w:r>
      <w:bookmarkEnd w:id="11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الكنز، وبيان ما يَملكه الواجد منه، وما لا يملكه، وإنْ كان ذلك خارجاً عن وظيفة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الكنز في بلاد الكفّار الحربيّين فهو لواجده، وعليه الخُمس، بلا خلافٍ فيهما، بل عن جماعةٍ من الأصحاب</w:t>
      </w:r>
      <w:r>
        <w:rPr>
          <w:rStyle w:val="FootnoteAnchor"/>
          <w:rtl w:val="true"/>
        </w:rPr>
        <w:footnoteReference w:id="319"/>
      </w:r>
      <w:r>
        <w:rPr>
          <w:rFonts w:ascii="Amiri" w:hAnsi="Amiri" w:eastAsia="Amiri" w:cs="Amiri"/>
          <w:color w:val="111111"/>
          <w:sz w:val="28"/>
          <w:sz w:val="28"/>
          <w:szCs w:val="28"/>
          <w:rtl w:val="true"/>
          <w:lang w:bidi="ar-SA"/>
        </w:rPr>
        <w:t>التصريح بأنّ الأصحاب قطعوا بهما، لما دلّ على انحصار عصمة المال بالإسلام والذِّمام، واحتمال كون ما وُجِد في دار الحرب لمسلمٍ لا يُعتنى به للغلبة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بلاد الإسلام، وكانت الأرض مباحة أو مملوكة للإمام عليه السلام، أو لقاطبة المسلمين، أو له بالاحياء أو بالابتياع، مع العلم بعدم كونه مِلْكاً للبايعين، فالمشهور بين الأصحاب كونه لواجده، إذا لم يكن عليه أثر الإسلام، وعن غير واحدٍ</w:t>
      </w:r>
      <w:r>
        <w:rPr>
          <w:rStyle w:val="FootnoteAnchor"/>
          <w:rtl w:val="true"/>
        </w:rPr>
        <w:footnoteReference w:id="320"/>
      </w:r>
      <w:r>
        <w:rPr>
          <w:rFonts w:ascii="Amiri" w:hAnsi="Amiri" w:eastAsia="Amiri" w:cs="Amiri"/>
          <w:color w:val="111111"/>
          <w:sz w:val="28"/>
          <w:sz w:val="28"/>
          <w:szCs w:val="28"/>
          <w:rtl w:val="true"/>
          <w:lang w:bidi="ar-SA"/>
        </w:rPr>
        <w:t xml:space="preserve">نفي الخلاف فيه،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أنّه قطع به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w:t>
      </w:r>
      <w:r>
        <w:rPr>
          <w:rStyle w:val="FootnoteAnchor"/>
          <w:rtl w:val="true"/>
        </w:rPr>
        <w:footnoteReference w:id="322"/>
      </w:r>
      <w:r>
        <w:rPr>
          <w:rFonts w:ascii="Amiri" w:hAnsi="Amiri" w:eastAsia="Amiri" w:cs="Amiri"/>
          <w:color w:val="111111"/>
          <w:sz w:val="28"/>
          <w:sz w:val="28"/>
          <w:szCs w:val="28"/>
          <w:rtl w:val="true"/>
          <w:lang w:bidi="ar-SA"/>
        </w:rPr>
        <w:t>المتقدّمة الدالّة على وجوب الخُمس لواجده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الأصل في الأشياء الإباحة، والتصرّف في مال الغير إنّما يَحرُم إذا ثبت كون المال لمحترمٍ‌، أو تعلّق به نهيٌ خصوصاً أو عموماً، والكلّ منتفٍ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عدم استيلاء يدٍ محترمة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الاستدلال بتلك النصوص بأنّها ليست في مقام بيان ذلك، كي يصحّ التمسّك باطلاقها، مع أنّ وجوب الخُمس على الواجد أعمٌّ من كونس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الباقي 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الثاني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إباحة التصرّف لا تقتضي جواز التملّك، بل تقتضي جواز التصرّف لكلّ أحدٍ ولو غير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ورد 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يدلّ على عدم الجواز، وكذلك يدلّ عليه قوله عليه السلام في المكاتبة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إلّامن وجهٍ أحلّه اللّه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الاحتياط في الأبواب الثلاثة هي المرجع عند عدم الدليل دون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من أنّ الأصل في مال الغير هو الحرمة، وهو أصلٌ عقلائي قد أمضاه الشارع كقاعدة اليد وقاعدة سلطنة الناس على أموالهم، وغيرهما من القواعد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بالأصل المزبور، ليس أصالة الحِلّ‌، بل أصالة عدم ما يوجبُ عِصمة المال، وعدم جواز تملّكه، وهو الإسلام والذِّمام، مع أنّه يمكن أنْ يُقال بصيرورته بحكم المباحات الأصليّة بمقتضى أصالة الإباحة، فبضميمة ما دلّ على تملّك المباحات بالحيازة يتمّ المطلوب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التوقيع إنّما خُصّص بمال الكافر الحربي، ومع عدم العلم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بالمالك، يكون التمسّك به تمسّكاً بالعام في الشبهة المصداقيّة،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الطريق محمّد بن زيد الطبري 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المُدّعي، إذ الحكم بالحِليّة مستنداً إلى الأصل، حكمٌ بها من وجهٍ أحلّه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الاحتياط في الأبواب الثلاثة، لم تَثبت بنحو الكليّة الشاملة، لما إذا لم يكن أصلٌ موضوعي مقتضياً للحرمة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هذا الأصل من الاُصول العقلائيّة، محلّ منعٍ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تماميّة الوجه المزبور، وكذلك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جريانهما من جهة أنّ مقتضى اليد كونه مملوكاً للدافن، وأنّه محترم المال بحكم الغلبة، لضرورة أنّ كلّ من يسكن في أرض المسلمين وبلدهم، محقون المال والدّم، ما لم يُعلم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لو تمّ فإنّما هو فيما لم يحتمل دفنه قبل صيرورة الأرض للمسلمين، على أنّ حجيّة الغلبة المفروضة أوّل الكلام، مع أنّ العرف لا يتعامل مع المال الذي فُقِد إضافته إلى مالكه المعيّن أصلاً لهلاكه أو ضياع النسبة بواسطة الاضمحلال، لا يعامل معه إلّامعاملة المباحات الأصليّة، كما يشهد به استقرار سيرة العُقلاء قاطبةً عليه، كذا ذكره بعض الأعاظم من المحقّقين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الأقوي كونه لواجده، وعليه الخُمس بمقتضى النصوص المتقدّمة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الكنز عليه أثر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وغيرها</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والقاضي</w:t>
      </w:r>
      <w:r>
        <w:rPr>
          <w:rStyle w:val="FootnoteAnchor"/>
          <w:rtl w:val="true"/>
        </w:rPr>
        <w:footnoteReference w:id="332"/>
      </w:r>
      <w:r>
        <w:rPr>
          <w:rFonts w:ascii="Amiri" w:hAnsi="Amiri" w:eastAsia="Amiri" w:cs="Amiri"/>
          <w:color w:val="111111"/>
          <w:sz w:val="28"/>
          <w:sz w:val="28"/>
          <w:szCs w:val="28"/>
          <w:rtl w:val="true"/>
          <w:lang w:bidi="ar-SA"/>
        </w:rPr>
        <w:t>، والمصنّف</w:t>
      </w:r>
      <w:r>
        <w:rPr>
          <w:rStyle w:val="FootnoteAnchor"/>
          <w:rtl w:val="true"/>
        </w:rPr>
        <w:footnoteReference w:id="333"/>
      </w:r>
      <w:r>
        <w:rPr>
          <w:rFonts w:ascii="Amiri" w:hAnsi="Amiri" w:eastAsia="Amiri" w:cs="Amiri"/>
          <w:color w:val="111111"/>
          <w:sz w:val="28"/>
          <w:sz w:val="28"/>
          <w:szCs w:val="28"/>
          <w:rtl w:val="true"/>
          <w:lang w:bidi="ar-SA"/>
        </w:rPr>
        <w:t xml:space="preserve">،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والمحقّق</w:t>
      </w:r>
      <w:r>
        <w:rPr>
          <w:rStyle w:val="FootnoteAnchor"/>
          <w:rtl w:val="true"/>
        </w:rPr>
        <w:footnoteReference w:id="336"/>
      </w:r>
      <w:r>
        <w:rPr>
          <w:rFonts w:ascii="Amiri" w:hAnsi="Amiri" w:eastAsia="Amiri" w:cs="Amiri"/>
          <w:color w:val="111111"/>
          <w:sz w:val="28"/>
          <w:sz w:val="28"/>
          <w:szCs w:val="28"/>
          <w:rtl w:val="true"/>
          <w:lang w:bidi="ar-SA"/>
        </w:rPr>
        <w:t>وغيرهم</w:t>
      </w:r>
      <w:r>
        <w:rPr>
          <w:rStyle w:val="FootnoteAnchor"/>
          <w:rtl w:val="true"/>
        </w:rPr>
        <w:footnoteReference w:id="337"/>
      </w:r>
      <w:r>
        <w:rPr>
          <w:rFonts w:ascii="Amiri" w:hAnsi="Amiri" w:eastAsia="Amiri" w:cs="Amiri"/>
          <w:color w:val="111111"/>
          <w:sz w:val="28"/>
          <w:sz w:val="28"/>
          <w:szCs w:val="28"/>
          <w:rtl w:val="true"/>
          <w:lang w:bidi="ar-SA"/>
        </w:rPr>
        <w:t>، ونُسِب إلى الأشهر</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عليه حكم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مقابل الأصلين المتقدّمين المقتضيّين لكونه لواجده، مضافاً إلى ما ذُكر والذي قد عرفت ما فيه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وجوده في دار الإسلام، مع وجود أثر الإسلام عليه، أمارة على تملّك المسلم 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في رجلٍ وَجَد وَرِقاً في خَربةٍ‌، أن يُعرّفها، فإنْ وجد من يعرفها وإلّا تمتّع بها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أثر الإسلام مع وجوده في دار الإسلام، أعمٌّ من كونه للمسلم، فلا يكون أمارة عليه، والغلبة في نفسها ليست بحجّة، مع أنّه لو تمّ فهو أخصّ من المُدّعي، لما عرفت من استقرار سيرة العقلاء قاطبةً على المعاملة مع مالٍ لا يحفظ إضافته إلى مالكٍ مخصوص، معاملة المباحات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مورده ليس هو الكنز، لعدم الشاهد على كون الوَرِق مكنوزاً، بل لعلّ ظاهره غيره، وبه يقيّد إطلاق صحيح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الدار يوجد فيها الوَرِق‌؟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فهي لأهلها، وإنْ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w:t>
      </w:r>
      <w:r>
        <w:rPr>
          <w:rStyle w:val="FootnoteAnchor"/>
          <w:rtl w:val="true"/>
        </w:rPr>
        <w:footnoteReference w:id="341"/>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على فرض التنزّل وتسليم شمول هذه النصوص للمكنوز، أو اختصاصها به، فإنّ الجمع بين الصحيحين والموثّق يقتضي البناء على لزوم التعريف إذا احتمل أنّه سيتعرّف على المالك المحترم المال، وأنّه مع عدم احتمال ذلك، أو عدم العثور عليه فهو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بنائهم على شمول الصحيحين للمكنوز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الجمع بينهما وبين الموثّق وجوهاً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الصحيحين على ما ليس فيه أثر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التعريف في الموثّق على إرادة تعريف مالك الخربة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لهذا الحمل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الموثّق على إرادة بيان حكم قضيّةٍ خارجيّة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راوي الخبر هو محمّد بن قيس وله كتاب يروي عن الإمام الباقر عليه السلام قضايا أمير المؤمنين عليه السلام، وظاهره إرادة بيان الحكم، مع أنّ الأصل في كلام المعصوم هو الحمل على بيان الحكم،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الموثّق على ما علم كونه من الكنوز الإسلاميّة المعلوم كونها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أوردناه على الأولين، فإنّ الكنوز الإسلاميّة في زمان الأمير عليه السلام، في غاية القلّة كما في رسالة الشيخ الأعظم</w:t>
      </w:r>
      <w:r>
        <w:rPr>
          <w:rStyle w:val="FootnoteAnchor"/>
          <w:rtl w:val="true"/>
        </w:rPr>
        <w:footnoteReference w:id="342"/>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كونه لواجده، وإنْ كان في دار الإسلام، وكان عليه أثر الإسلام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15" w:name="pg11804_116538"/>
    </w:p>
    <w:p>
      <w:pPr>
        <w:pStyle w:val="BookText"/>
        <w:rPr/>
      </w:pPr>
      <w:bookmarkEnd w:id="115"/>
      <w:r>
        <w:rPr>
          <w:rFonts w:ascii="Amiri" w:hAnsi="Amiri" w:eastAsia="Amiri" w:cs="Amiri"/>
          <w:color w:val="111111"/>
          <w:sz w:val="28"/>
          <w:sz w:val="28"/>
          <w:szCs w:val="28"/>
          <w:rtl w:val="true"/>
          <w:lang w:bidi="ar-SA"/>
        </w:rPr>
        <w:t>لو كان في أرضٍ مبتاعة مع احتمال كونه للبائع</w:t>
      </w:r>
    </w:p>
    <w:p>
      <w:pPr>
        <w:pStyle w:val="Heading3"/>
        <w:numPr>
          <w:ilvl w:val="2"/>
          <w:numId w:val="1"/>
        </w:numPr>
        <w:rPr/>
      </w:pPr>
      <w:bookmarkStart w:id="116" w:name="__RefHeading___Toc10579746_73709187"/>
      <w:bookmarkStart w:id="117" w:name="_Toc39"/>
      <w:bookmarkEnd w:id="116"/>
      <w:r>
        <w:rPr>
          <w:rtl w:val="true"/>
        </w:rPr>
        <w:t>لو كان في أرضٍ مبتاعة مع احتمال كونه للبائع</w:t>
      </w:r>
      <w:bookmarkEnd w:id="117"/>
    </w:p>
    <w:p>
      <w:pPr>
        <w:pStyle w:val="BookText"/>
        <w:rPr/>
      </w:pPr>
      <w:r>
        <w:rPr>
          <w:rFonts w:ascii="Amiri" w:hAnsi="Amiri" w:eastAsia="Amiri" w:cs="Amiri"/>
          <w:color w:val="111111"/>
          <w:sz w:val="28"/>
          <w:sz w:val="28"/>
          <w:szCs w:val="28"/>
          <w:rtl w:val="true"/>
          <w:lang w:bidi="ar-SA"/>
        </w:rPr>
        <w:t xml:space="preserve">ولو كان الكنز في أرض مبتاعة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كونه لأحد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البائع تعريفه، بلا خلافٍ في ذلك كما صرّح به جماعة</w:t>
      </w:r>
      <w:r>
        <w:rPr>
          <w:rStyle w:val="FootnoteAnchor"/>
          <w:rtl w:val="true"/>
        </w:rPr>
        <w:footnoteReference w:id="343"/>
      </w:r>
      <w:r>
        <w:rPr>
          <w:rFonts w:ascii="Amiri" w:hAnsi="Amiri" w:eastAsia="Amiri" w:cs="Amiri"/>
          <w:color w:val="111111"/>
          <w:sz w:val="28"/>
          <w:sz w:val="28"/>
          <w:szCs w:val="28"/>
          <w:rtl w:val="true"/>
          <w:lang w:bidi="ar-SA"/>
        </w:rPr>
        <w:t xml:space="preserve">، ولعلّه كذلك، إذ لم ينقل الخلاف إلّاعن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ولكن مورد كلامه قدس سره صورة احتمال حدوث الكنز بعد البيع، وهو خارجٌ عن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من أنّ يد المالك الأوّل على الدار يدٌ على ما فيها، واليد قاضية بالمِلْك، ولذلك لو ادّعاه يُدفع إليه بلا حاجةٍ إلى ما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الوجه لزوم الدفع إليه، وكونه له من غير تعريفٍ‌، بل لزم الحكم بكونه له، ولو لم يكن قابلاً للادّعاء كالميّت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بذلك، كما يُشير إليه صحيحاً ابن مسلم السابقان، ولم يظهر من الأصحاب مخالفةً في ذلك،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منه أنّه لايجوز التملّك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من وجوب التعريف الشرطي منه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المحقّق الهمداني رحمه الله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في مقام الجواب عن ذلك بأنّ هذا النحو من اليد التبعيّة غير المستقلّة لا يتمّ ظهورها في المِلْكيّة لصاحب اليد، إلّابضميمة الادّعاء، </w:t>
      </w:r>
    </w:p>
    <w:p>
      <w:pPr>
        <w:pStyle w:val="BookText"/>
        <w:rPr/>
      </w:pPr>
      <w:r>
        <w:rPr>
          <w:rFonts w:ascii="Amiri" w:hAnsi="Amiri" w:eastAsia="Amiri" w:cs="Amiri"/>
          <w:color w:val="111111"/>
          <w:sz w:val="28"/>
          <w:sz w:val="28"/>
          <w:szCs w:val="28"/>
          <w:rtl w:val="true"/>
          <w:lang w:bidi="ar-SA"/>
        </w:rPr>
        <w:t>فإنّ عمدة مستندها بناء العقلاء، وهم لا يرون لليد السابقة غير الباقية بالنسبة إلى هذه الأموال أزيد من قبول ادّعائه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اليد على مثل هذه الأموال إنْ كانت حجّة ببناء العقلاء وإمضاء الشارع، كما هو كذلك، فلا فرق عندهم بين ادّعائه وعدمه، وإلّا فلا يحكم بكونها له بمجرّد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الاستشهاد له بموثّق إسحاق، وصحيح عبد اللّه بن جعفر، الدالّين على لزوم تعريف البائع فيما وجده في بعض بيوت مكّة، وما وجده في جوف الدابّة، وسيأتي الكلام فيما يستفاد منهما عند التعرّض للفرعين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على الواحد تعريفه البائع، فإنْ عرفه فهو أحقّ به، وإلّا فالمالك الذي قبله كما هو المشهور، لأنّه أيضاً ذو يدٍ عليه، وإنّما لا يعرّف السابق في عرض اللّاحق من جهة أنّ اليد اللّاحقة مزيلة للسابقة، فما لم يُنكر اللّاحقة لا مورد للرجوع إلى السابقة، وإذا رَدّ البائع ارتفع المانع، فيرجع إلى السابق لوجود المقتضى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استحقاق البائع له، وعدم الرجوع إلى السابق، وإنْ أنكر كونه منه لأجل الصحيحين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محكيّ كلامه</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استبعاد في حكم الشارع بتمليك المالك، كما قد يُحكم بتملّك الواجد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موردهما من قبيل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لهما بالكنز، مع أنّه لو سُلّم شمولهما للكنز، فالمتبادر منهما هو إمضاء ما تقتضيه قاعدة اليد، وعليه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يشملان صورة الإنكار، مع أنّه لو كان لهما إطلاقٌ يشمل تلك الصورة، قيّدناه بموثّق إسحاق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دلالتهما على ذلك حتّى في هذه الصورة، سقط إطلاقهما لتعارضهما مع قاعدة الإقرار، كما هو الشأن في جميع موارد تعارض العامّين من وجه، إذا كان دلالتهما على حكم المجمع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تعريف السابق مع عدم معرفة اللّاحق، واستدلّ له بموثّق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رجلٍ نزل بعض بيوت مكّة، فوجد فيها نحواً من سبعين درهماً مدفونة، فلم تزل معه ولم يذكرها حتّى قَدِم الكوفة،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 صحيح عبد اللّه بن جعفر، الوارد فيما وُجِد في جوف الدابّة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وإنْ كان هو المالك الأخير، إلّاأنّه لعموم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اليد مشتركة بين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إرادة الجنس، ولا أقلّ من الإجمال، فلا موجب لرفع اليد عن مقتضى حجيّة اليد السابقة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إذا لم يحتمل تأخّر الدفن إلى زمان اللّاحق، وإلّا فلا وجه لوجوب تعريف السابق، وقبول دعواه بلا بيّنة، وأصالة عدم تقدّم ملك اللّاحق مع أنّه لا يثبتُ بها كون الكنز في يد السابق، معارضة بأصالة عدم تقدّم الكنز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تماميّة ما ذكره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رحمه الله من أنّه لا يجبُ تعريفُ البائع إذا احتمل عدم جريان يده عليه، لاحتمال تجدّد الكنز بعد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عرَّفه المالك السابق وكذا من سبقه ولم يعرفوه،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وغيرها</w:t>
      </w:r>
      <w:r>
        <w:rPr>
          <w:rStyle w:val="FootnoteAnchor"/>
          <w:rtl w:val="true"/>
        </w:rPr>
        <w:footnoteReference w:id="357"/>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لواجده، وعليه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 المحقّق</w:t>
      </w:r>
      <w:r>
        <w:rPr>
          <w:rStyle w:val="FootnoteAnchor"/>
          <w:rtl w:val="true"/>
        </w:rPr>
        <w:footnoteReference w:id="358"/>
      </w:r>
      <w:r>
        <w:rPr>
          <w:rFonts w:ascii="Amiri" w:hAnsi="Amiri" w:eastAsia="Amiri" w:cs="Amiri"/>
          <w:color w:val="111111"/>
          <w:sz w:val="28"/>
          <w:sz w:val="28"/>
          <w:szCs w:val="28"/>
          <w:rtl w:val="true"/>
          <w:lang w:bidi="ar-SA"/>
        </w:rPr>
        <w:t>والمصنّف</w:t>
      </w:r>
      <w:r>
        <w:rPr>
          <w:rStyle w:val="FootnoteAnchor"/>
          <w:rtl w:val="true"/>
        </w:rPr>
        <w:footnoteReference w:id="359"/>
      </w:r>
      <w:r>
        <w:rPr>
          <w:rFonts w:ascii="Amiri" w:hAnsi="Amiri" w:eastAsia="Amiri" w:cs="Amiri"/>
          <w:color w:val="111111"/>
          <w:sz w:val="28"/>
          <w:sz w:val="28"/>
          <w:szCs w:val="28"/>
          <w:rtl w:val="true"/>
          <w:lang w:bidi="ar-SA"/>
        </w:rPr>
        <w:t>في بعض كتبهما وغيرهما</w:t>
      </w:r>
      <w:r>
        <w:rPr>
          <w:rStyle w:val="FootnoteAnchor"/>
          <w:rtl w:val="true"/>
        </w:rPr>
        <w:footnoteReference w:id="360"/>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وغيرها</w:t>
      </w:r>
      <w:r>
        <w:rPr>
          <w:rStyle w:val="FootnoteAnchor"/>
          <w:rtl w:val="true"/>
        </w:rPr>
        <w:footnoteReference w:id="364"/>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لواجده إنْ لم يكن عليه أثر الإسلام، وإنْ كان عليه الأثر المذكور فيعدّ لقطة، ويجبُ التعريف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أقوى‌، لما تقدّم في أوّل المبحث</w:t>
      </w:r>
      <w:r>
        <w:rPr>
          <w:rStyle w:val="FootnoteAnchor"/>
          <w:rtl w:val="true"/>
        </w:rPr>
        <w:footnoteReference w:id="365"/>
      </w:r>
      <w:r>
        <w:rPr>
          <w:rFonts w:ascii="Amiri" w:hAnsi="Amiri" w:eastAsia="Amiri" w:cs="Amiri"/>
          <w:color w:val="111111"/>
          <w:sz w:val="28"/>
          <w:sz w:val="28"/>
          <w:szCs w:val="28"/>
          <w:rtl w:val="true"/>
          <w:lang w:bidi="ar-SA"/>
        </w:rPr>
        <w:t>من أصالة عدم ما يوجب عصمةد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وأصالة الإباحة، فراجع</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الأمر بالتصدّق في الموثّق فمحمولٌ على الاستحباب، أو يحمل الموثّق على ما لو علم كونه لمسلمٍ‌، كما هو الظاهر، وليس في الأدلّة ما يدلّ على وجوب التعريف إلّا موثّق ابن قيس المتقدّم، وقد عرفت أنّ مورده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فالأقوى كونه لواجده، وعليه الخُمس لعموم أدلّته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18" w:name="pg11804_116543"/>
    </w:p>
    <w:p>
      <w:pPr>
        <w:pStyle w:val="BookText"/>
        <w:rPr/>
      </w:pPr>
      <w:bookmarkEnd w:id="118"/>
      <w:r>
        <w:rPr>
          <w:rFonts w:ascii="Amiri" w:hAnsi="Amiri" w:eastAsia="Amiri" w:cs="Amiri"/>
          <w:color w:val="111111"/>
          <w:sz w:val="28"/>
          <w:sz w:val="28"/>
          <w:szCs w:val="28"/>
          <w:rtl w:val="true"/>
          <w:lang w:bidi="ar-SA"/>
        </w:rPr>
        <w:t>لو وجد الكنز في مِلْك الغير</w:t>
      </w:r>
    </w:p>
    <w:p>
      <w:pPr>
        <w:pStyle w:val="Heading3"/>
        <w:numPr>
          <w:ilvl w:val="2"/>
          <w:numId w:val="1"/>
        </w:numPr>
        <w:rPr/>
      </w:pPr>
      <w:bookmarkStart w:id="119" w:name="__RefHeading___Toc10579748_73709187"/>
      <w:bookmarkStart w:id="120" w:name="_Toc40"/>
      <w:bookmarkEnd w:id="119"/>
      <w:r>
        <w:rPr>
          <w:rtl w:val="true"/>
        </w:rPr>
        <w:t>لو وجد الكنز في مِلْك الغير فروع</w:t>
      </w:r>
      <w:r>
        <w:rPr>
          <w:rtl w:val="true"/>
        </w:rPr>
        <w:t>:</w:t>
      </w:r>
      <w:bookmarkEnd w:id="120"/>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الكنز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الواجد مستأجراً أو مستعيراً، فحكمه حكم من ابتاع أرضاً فوجد فيها كنزاً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غيره، فبالنسبة إلى تعريف المالك ومَنْ كان الأرض تحت يده لا إشكال ولا كلام، كما أنّه لا إشكال في حرمة أخذه من ملك الغير، ما لم يكن راضياً بتصرّفه فيه، وكان محترم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فعل الحرام وأخذه، وعرَّف من وجده في ملكه ونفاه، فهل هو له أم لا؟</w:t>
      </w:r>
    </w:p>
    <w:p>
      <w:pPr>
        <w:pStyle w:val="BookText"/>
        <w:rPr/>
      </w:pPr>
      <w:r>
        <w:rPr>
          <w:rFonts w:ascii="Amiri" w:hAnsi="Amiri" w:eastAsia="Amiri" w:cs="Amiri"/>
          <w:color w:val="111111"/>
          <w:sz w:val="28"/>
          <w:sz w:val="28"/>
          <w:szCs w:val="28"/>
          <w:rtl w:val="true"/>
          <w:lang w:bidi="ar-SA"/>
        </w:rPr>
        <w:t>صريح الشيخ الأعظم</w:t>
      </w:r>
      <w:r>
        <w:rPr>
          <w:rStyle w:val="FootnoteAnchor"/>
          <w:rtl w:val="true"/>
        </w:rPr>
        <w:footnoteReference w:id="368"/>
      </w:r>
      <w:r>
        <w:rPr>
          <w:rFonts w:ascii="Amiri" w:hAnsi="Amiri" w:eastAsia="Amiri" w:cs="Amiri"/>
          <w:color w:val="111111"/>
          <w:sz w:val="28"/>
          <w:sz w:val="28"/>
          <w:szCs w:val="28"/>
          <w:rtl w:val="true"/>
          <w:lang w:bidi="ar-SA"/>
        </w:rPr>
        <w:t>رحمه الله وظاهر غيره</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ركازاً في مِلْك مسلمٍ أو ذمّي فلا يتعرّض له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لأصالة عدم ما يوجب عصمة المال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 هذا الكنز ونظائره ممّا لم يعرف له مالكٌ‌، ويكون </w:t>
      </w:r>
    </w:p>
    <w:p>
      <w:pPr>
        <w:pStyle w:val="BookText"/>
        <w:rPr/>
      </w:pPr>
      <w:r>
        <w:rPr>
          <w:rFonts w:ascii="Amiri" w:hAnsi="Amiri" w:eastAsia="Amiri" w:cs="Amiri"/>
          <w:color w:val="111111"/>
          <w:sz w:val="28"/>
          <w:sz w:val="28"/>
          <w:szCs w:val="28"/>
          <w:rtl w:val="true"/>
          <w:lang w:bidi="ar-SA"/>
        </w:rPr>
        <w:t>بالفعل من المباحات، ويكون كالأرض وتوابعها يدخلُ في ملك من مَلِك الأرض بإحياءٍ أو شراء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كون الكنز للواجد مطلقاً، ما لم يدلّ دليل خاصّ عليه، ولم يحتمل تأخّر الدفن عن دخول الأرض في مِلكه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للحكم المذكور، لعدم كونه من توابع الأرض عرفاً، بل هو شيءٌ مستقلٌّ لا يدخل في مِلْك مالك الأرض، من دون ما يوجب ذلك، وحيثُ أنّه لم يقصد حيازته، ولم ينتقل إليه بشراءٍ ونحوه، فهو باقٍ على إباحته، فيجوز لكلّ أحدٍ تملّكه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صحيحي ابن مسلم، فقد عرفت آنفاً أنّه لا يشمل صورة ما لو نفي المالك ملكيّته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 كان عارفاً بحال الكنز وأنّه بالفعل مِلْكٌ له، أو أنّه ليس له،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جاهلاً بحاله، واحتمل حصوله بفعله وعروض النسيان له مثلاً، فهل يُحكم بكونه للمالك أم لا؟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لا يبعد الأوّل لقاعدة اليد، بناءً على ما حقّقناه في محلّه من أنّ كون اليد حجّة على الملك، لا يختصّ بيد الغير، بل يعمّ ما إذا كان للشخص يدٌ على عينٍ‌، وشكّ في أنّه ملكه، لعموم ملاك الطريقيّة،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إلغاء خصوصيّة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1" w:name="pg11804_116545"/>
    </w:p>
    <w:p>
      <w:pPr>
        <w:pStyle w:val="BookText"/>
        <w:rPr/>
      </w:pPr>
      <w:bookmarkEnd w:id="121"/>
      <w:r>
        <w:rPr>
          <w:rFonts w:ascii="Amiri" w:hAnsi="Amiri" w:eastAsia="Amiri" w:cs="Amiri"/>
          <w:color w:val="111111"/>
          <w:sz w:val="28"/>
          <w:sz w:val="28"/>
          <w:szCs w:val="28"/>
          <w:rtl w:val="true"/>
          <w:lang w:bidi="ar-SA"/>
        </w:rPr>
        <w:t>وأمّا ما في موثّق إسحاق المتقدّم،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يعرفوها أي أهل المنزل‌؟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المعرفة ما يقابل الإنكار دون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وَجَد في منزله ديناراً؟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فالمتبادر منه صورة ما لو لم يحتمل وضعه اختياراً، ثمّ عرض له النسيان، بل على تقدير كونه له يكون بغير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فإنّه لا يخلو عن إشكال، وتمام الكلام في بيان المراد منه، ودفع ما يُترائى من معارضة هذه الجملة من الصحيح، مع ما في ذيله موكولٌ إلى محلّه من كتاب اللُّقطة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التداعي في ملكيّة الكَنز</w:t>
      </w:r>
    </w:p>
    <w:p>
      <w:pPr>
        <w:pStyle w:val="Heading3"/>
        <w:numPr>
          <w:ilvl w:val="2"/>
          <w:numId w:val="1"/>
        </w:numPr>
        <w:rPr/>
      </w:pPr>
      <w:bookmarkStart w:id="122" w:name="__RefHeading___Toc10579750_73709187"/>
      <w:bookmarkStart w:id="123" w:name="_Toc41"/>
      <w:bookmarkEnd w:id="122"/>
      <w:r>
        <w:rPr>
          <w:rtl w:val="true"/>
        </w:rPr>
        <w:t>التداعي في ملكيّة الكَنز</w:t>
      </w:r>
      <w:bookmarkEnd w:id="123"/>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الكنز في أرضٍ مستأجرة، فعرّفَ الواجدُ المستأجرَ والمالك، فادّعاه كلّ منهما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والمقدّس الأردبيلي</w:t>
      </w:r>
      <w:r>
        <w:rPr>
          <w:rStyle w:val="FootnoteAnchor"/>
          <w:rtl w:val="true"/>
        </w:rPr>
        <w:footnoteReference w:id="376"/>
      </w:r>
      <w:r>
        <w:rPr>
          <w:rFonts w:ascii="Amiri" w:hAnsi="Amiri" w:eastAsia="Amiri" w:cs="Amiri"/>
          <w:color w:val="111111"/>
          <w:sz w:val="28"/>
          <w:sz w:val="28"/>
          <w:szCs w:val="28"/>
          <w:rtl w:val="true"/>
          <w:lang w:bidi="ar-SA"/>
        </w:rPr>
        <w:t>وغيرهم</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المالك، بل هو المنسوب إلى المشهور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وغيرهم في غيرها</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المستأجر، واختاره الشيخ الأعظم</w:t>
      </w:r>
      <w:r>
        <w:rPr>
          <w:rStyle w:val="FootnoteAnchor"/>
          <w:rtl w:val="true"/>
        </w:rPr>
        <w:footnoteReference w:id="383"/>
      </w:r>
      <w:r>
        <w:rPr>
          <w:rFonts w:ascii="Amiri" w:hAnsi="Amiri" w:eastAsia="Amiri" w:cs="Amiri"/>
          <w:color w:val="111111"/>
          <w:sz w:val="28"/>
          <w:sz w:val="28"/>
          <w:szCs w:val="28"/>
          <w:rtl w:val="true"/>
          <w:lang w:bidi="ar-SA"/>
        </w:rPr>
        <w:t>رحمه الله وبعضُ مَن تأخّر عنه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بحسب المقامات في قوّة إحدى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المِلْك للمالك، فهو ذو اليد، فعلى المستأجر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يد المالك أصليّة، ويد المستأجر 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دار المالك كَيَدَه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عدم الاستئجار قبل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الموضوع للحجيّة، التسلّط الخارجي، وإلّا لما كانت حجّة على الملكيّة، كما لا يخفى‌، ومن المعلوم أنّ المستأجر تكون يده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العين لأجل استيفاء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فرعيّة يد المستأجر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اُريد بها ان المستأجر تكون يده على العين، بعد كون العين في يد المالك، فهذه لا توجبُ تقدّم الأولى، بل كما عرفت تكون اليد اللّاحقة مزيلة لأثر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غير ذلك، فلم يتّضح لنا، مع أنّ ذلك لو تمّ فإنّما هو بالنسبة إلى العين المستأجرة، وأمّا بالنسبة إلى ما هو خارج عن موضوع الإجارة كالفراش ونحوه، فهما على حَدٍّ سواء، والكنز من قبيل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دار المالك إنّما يعدّ كيده إذا كانت تحت يده، لا فيما إذا كانت تحت يد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يثبت بها كون الكنز تحت يد المالك قبل الاستئجار، إلّا على القول بالأصل المثبت، ولا نقول 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ذكرناه في الجواب عن الوجه الثاني، أنّ الأظهر تقديم قول المستأجر،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إسحاق المتقدّم في ما وجد في بعض بيوت مكّة، فإنّ ظاهره وجوب تعريف سكنة المنزل حين ما وجد ولو كان مستأجراً،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389"/>
      </w:r>
      <w:r>
        <w:rPr>
          <w:rFonts w:ascii="Amiri" w:hAnsi="Amiri" w:eastAsia="Amiri" w:cs="Amiri"/>
          <w:color w:val="111111"/>
          <w:sz w:val="28"/>
          <w:sz w:val="28"/>
          <w:szCs w:val="28"/>
          <w:rtl w:val="true"/>
          <w:lang w:bidi="ar-SA"/>
        </w:rPr>
        <w:t>أنّه ظاهرٌ في خصوص المستأجر، لأنّ ظاهره وجوب السؤال عن أهل ذلك المنزل بعد الوصول إلى الكوفة، فالظاهر كون المراد به رفقته الّذين حَجّوا من الكوفة، الّذين نزلوا معه الدّار استئجاراً، هذا فضلاً عن جريان أصالة عدم ثبوت يد المالك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 صحيحا ابن مسلم المتقدّمان، الدالّان على أنّ ما وجد لأهل المنزل إذا كانت الأرض 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ظهر ضعف القول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من الاستدلال له بظهور أنّ المالك لا يؤجّر داراً فيها كنزٌ، فضعيف، لعدم الدليل على حجيّة هذا الظهور، مع أنّه ممنوعٌ صغرى‌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4" w:name="pg11804_116549"/>
    </w:p>
    <w:p>
      <w:pPr>
        <w:pStyle w:val="BookText"/>
        <w:rPr/>
      </w:pPr>
      <w:bookmarkEnd w:id="124"/>
      <w:r>
        <w:rPr>
          <w:rFonts w:ascii="Amiri" w:hAnsi="Amiri" w:eastAsia="Amiri" w:cs="Amiri"/>
          <w:color w:val="111111"/>
          <w:sz w:val="28"/>
          <w:sz w:val="28"/>
          <w:szCs w:val="28"/>
          <w:rtl w:val="true"/>
          <w:lang w:bidi="ar-SA"/>
        </w:rPr>
        <w:t>لو علم كون الكنز لمسلم</w:t>
      </w:r>
    </w:p>
    <w:p>
      <w:pPr>
        <w:pStyle w:val="Heading3"/>
        <w:numPr>
          <w:ilvl w:val="2"/>
          <w:numId w:val="1"/>
        </w:numPr>
        <w:rPr/>
      </w:pPr>
      <w:bookmarkStart w:id="125" w:name="__RefHeading___Toc10579752_73709187"/>
      <w:bookmarkStart w:id="126" w:name="_Toc42"/>
      <w:bookmarkEnd w:id="125"/>
      <w:r>
        <w:rPr>
          <w:rtl w:val="true"/>
        </w:rPr>
        <w:t>لو علم كون الكنز لمسلم</w:t>
      </w:r>
      <w:bookmarkEnd w:id="126"/>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كون الكنز لمسلمٍ موجود هو أو وارثه في عصره لكنّه مجهول، ففي إجراء حكم مجهول المالك، أو حكم الكنز،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بإطلاقات وجوب الخُمس في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موثّق محمّد بن قيس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الصحيحين الدالّين على كونه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الأدلّة ليست في مقام البيان من هذه الجهة، وإنّما تدلّ على أنّ الكنز الذي يُملك يجبُ فيه الخُمس،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مورده غير الكنز، وكذلك الصحيحان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الأوّل، لموثّق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رجلٍ نزل بعض بيوت مكّة فوجد فيها نحواً من سبعين درهماً مدفونة، فلم تَزَل معه، ولم يذكرها حتّى قَدِم الكوفة،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أنّ ظاهره صورة العلم بكون مالكه مُسلماً، ومورده وإنْ كان صورة كونه فيما في يد المسلم، إلّاأنّ الظاهر هو التعدّي إلى كلّ ما يعلم كونه لمسلم وإنْ لم يكن تحت يده بالفعل</w:t>
      </w:r>
      <w:r>
        <w:rPr>
          <w:rFonts w:eastAsia="Amiri" w:cs="Amiri" w:ascii="Amiri" w:hAnsi="Amiri"/>
          <w:color w:val="111111"/>
          <w:sz w:val="28"/>
          <w:szCs w:val="28"/>
          <w:rtl w:val="true"/>
          <w:lang w:bidi="ar-SA"/>
        </w:rPr>
        <w:t>.</w:t>
      </w:r>
      <w:bookmarkStart w:id="127" w:name="pg11804_116550"/>
    </w:p>
    <w:p>
      <w:pPr>
        <w:pStyle w:val="BookText"/>
        <w:rPr/>
      </w:pPr>
      <w:bookmarkEnd w:id="127"/>
      <w:r>
        <w:rPr>
          <w:rFonts w:ascii="Amiri" w:hAnsi="Amiri" w:eastAsia="Amiri" w:cs="Amiri"/>
          <w:color w:val="111111"/>
          <w:sz w:val="28"/>
          <w:sz w:val="28"/>
          <w:szCs w:val="28"/>
          <w:rtl w:val="true"/>
          <w:lang w:bidi="ar-SA"/>
        </w:rPr>
        <w:t>حكم ما في جوف الدابّة</w:t>
      </w:r>
    </w:p>
    <w:p>
      <w:pPr>
        <w:pStyle w:val="Heading3"/>
        <w:numPr>
          <w:ilvl w:val="2"/>
          <w:numId w:val="1"/>
        </w:numPr>
        <w:rPr/>
      </w:pPr>
      <w:bookmarkStart w:id="128" w:name="__RefHeading___Toc10579754_73709187"/>
      <w:bookmarkStart w:id="129" w:name="_Toc43"/>
      <w:bookmarkEnd w:id="128"/>
      <w:r>
        <w:rPr>
          <w:rtl w:val="true"/>
        </w:rPr>
        <w:t>حكم ما في جوف الدابّة</w:t>
      </w:r>
      <w:bookmarkEnd w:id="129"/>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دابّةً ووجد في جوفها شيئاً له قيمة، عرّفه البائع، فإنْ عرفه فهو أحقّ به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أسأله عن رجلٍ اشترى جزوراً أو بقرةً للأضاحي، فلمّا ذبحها وجد في جوفها صُرّة فيها دراهم أو دنانير أو جوهرة، لمن يكون ذلك‌؟</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فإنْ لم يكن يعرفها، فالشيء لك، رزقك اللّه تعالى إيّاه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وإنْ كان عدم وجوب تعريف الملّاك السابقين، إلّاأنّ الظاهر هو الوجوب بالترتيب، فيما لم يحتمل وجوده بعد الخروج عن ملكهم لتنقيح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اختصاص الحكم بما إذا لم يحتمل وجوده بعد البيع، إذ الصحيح يُحمل على الغالب،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حكمه من هذه الجهة حكم الكنز، وإنْ لم يعرفها البائع، فهو له للصحيح المتقدّم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يجبُ عليه الخُمس،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نسبته إلى قطع الأصحاب، وعن بعضٍ‌</w:t>
      </w:r>
      <w:r>
        <w:rPr>
          <w:rStyle w:val="FootnoteAnchor"/>
          <w:rtl w:val="true"/>
        </w:rPr>
        <w:footnoteReference w:id="395"/>
      </w:r>
      <w:r>
        <w:rPr>
          <w:rFonts w:ascii="Amiri" w:hAnsi="Amiri" w:eastAsia="Amiri" w:cs="Amiri"/>
          <w:color w:val="111111"/>
          <w:sz w:val="28"/>
          <w:sz w:val="28"/>
          <w:szCs w:val="28"/>
          <w:rtl w:val="true"/>
          <w:lang w:bidi="ar-SA"/>
        </w:rPr>
        <w:t xml:space="preserve">دعوى الإجماع عليه، أم لا؟ </w:t>
      </w:r>
    </w:p>
    <w:p>
      <w:pPr>
        <w:pStyle w:val="BookText"/>
        <w:rPr/>
      </w:pPr>
      <w:r>
        <w:rPr>
          <w:rFonts w:ascii="Amiri" w:hAnsi="Amiri" w:eastAsia="Amiri" w:cs="Amiri"/>
          <w:color w:val="111111"/>
          <w:sz w:val="28"/>
          <w:sz w:val="28"/>
          <w:szCs w:val="28"/>
          <w:rtl w:val="true"/>
          <w:lang w:bidi="ar-SA"/>
        </w:rPr>
        <w:t>وجهان أقواهما الثاني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وجوب الخُمس في مطلق الفائدة، كما قوّيناه، يجبُ فيه بعد مؤونته طول سنته،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باندراجه في مفهوم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ابتاع سمكةً فوجد في جوفها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في ماءٍ محصور للبائع، واحتمل كونه له، فإنّه لا إشكال في وجوب تعريفه، لكونه ذا 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اصطيدت من البحر، فالمشهور بين الأصحاب على ما نُسب إليهم</w:t>
      </w:r>
      <w:r>
        <w:rPr>
          <w:rStyle w:val="FootnoteAnchor"/>
          <w:rtl w:val="true"/>
        </w:rPr>
        <w:footnoteReference w:id="397"/>
      </w:r>
      <w:r>
        <w:rPr>
          <w:rFonts w:ascii="Amiri" w:hAnsi="Amiri" w:eastAsia="Amiri" w:cs="Amiri"/>
          <w:color w:val="111111"/>
          <w:sz w:val="28"/>
          <w:sz w:val="28"/>
          <w:szCs w:val="28"/>
          <w:rtl w:val="true"/>
          <w:lang w:bidi="ar-SA"/>
        </w:rPr>
        <w:t>أنّه للواجد، ولا يجبُ عليه تعريف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مساواة السمكة للدابّة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التفصيل في المقام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ما إذا احتمل أنّ الصائد حينما صاد السمكة نوى حيازة ما في جوفها، ولم يشترط للمشتري ما في جوفها، فيجبُ تعريفه حينئذٍ، لا لمجرّد هذا الاحتمال، 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لم يحتمل ذلك، أو احتمل ولكن شَرَط له ذلك، فلا يجبُ بل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المورد من موارد التمسّك بقاعدة اليد، بعد كونها من الأمارات كما هو واضح، والحيازة الخارجيّة ولو تبعاً من غير قصدٍ لا تكفي في الملكيّة، كما هو محقّق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القول بكفايتها، بدعوى أنّ القصد إلى حيازتها يستلزمُ القصد إلى حيازة جميع أجزائها، وما يتعلّق بها، لابدَّ من الالتزام بخروجه عن ملكه، وانتقاله إلى المشتري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تقديرٍ لا وجه لوجوب تعريف البائع في الفرض، بل هو يدخلُ في مِلك الواجد إمّا بالبيع أو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شراء بعض الفقراء من بني إسرائيل السَّمكة، فوجد في جوفها لؤلؤتين، وأيضاً من أعطاه الإمام زين العابدين عليه السلام قرصتي خبز، فاشترى بأحدهما سمكةً‌، وبالأُخرى مِلْحاً فوجد في جوف السَّمكة دُرّة أو دُرَّتين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الموجود مشتملاً على أثر الإسلام يكون لقطة، ولعلّه لكون الأثر علامة سبق يدِ المسلم عليها، فتشمله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عمومات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يخرج من البحر مِلكٌ للمُخرِج مطلقاً، وفيه تأمّلٌ مع عدم ثبوت الإعراض، مع أنّه لو تمّ فإنّما هو فيما لم يحتمل ابتلاع السّمكة ما في جوفها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عمومات اللُّقطة يتعيّن تخصيصها بفحوى صحيح عبد اللّه المتقدّم في ما يوجد في جوف الدابّة، والنصوص المشار إليها آنفاً، والكلام في وجوب الخُمس فيه هو الكلام في وجوبه فيما يوجد في جوف الدابّة، فراجع المورد الثالث في بيان اعتبار النصاب وحَدّه</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عنه عند تعرّض المصنّف رحمه الله 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30" w:name="pg11804_116554"/>
    </w:p>
    <w:p>
      <w:pPr>
        <w:pStyle w:val="BookText"/>
        <w:rPr/>
      </w:pPr>
      <w:bookmarkEnd w:id="130"/>
      <w:r>
        <w:rPr>
          <w:rFonts w:ascii="Amiri" w:hAnsi="Amiri" w:eastAsia="Amiri" w:cs="Amiri"/>
          <w:color w:val="111111"/>
          <w:sz w:val="28"/>
          <w:sz w:val="28"/>
          <w:szCs w:val="28"/>
          <w:rtl w:val="true"/>
          <w:lang w:bidi="ar-SA"/>
        </w:rPr>
        <w:t>وأرض الذّمي إذا اشتراها من مسلمٍ‌</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0579756_73709187"/>
      <w:bookmarkStart w:id="132" w:name="_Toc44"/>
      <w:bookmarkEnd w:id="131"/>
      <w:r>
        <w:rPr>
          <w:rtl w:val="true"/>
        </w:rPr>
        <w:t>الأرض التي اشتراها الذّمي من المُسلم</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السادس ممّا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الذّمي إذا اشتراها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الشيخين</w:t>
      </w:r>
      <w:r>
        <w:rPr>
          <w:rStyle w:val="FootnoteAnchor"/>
          <w:rtl w:val="true"/>
        </w:rPr>
        <w:footnoteReference w:id="403"/>
      </w:r>
      <w:r>
        <w:rPr>
          <w:rFonts w:ascii="Amiri" w:hAnsi="Amiri" w:eastAsia="Amiri" w:cs="Amiri"/>
          <w:color w:val="111111"/>
          <w:sz w:val="28"/>
          <w:sz w:val="28"/>
          <w:szCs w:val="28"/>
          <w:rtl w:val="true"/>
          <w:lang w:bidi="ar-SA"/>
        </w:rPr>
        <w:t>والمتأخّرين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عبيدة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الذّمي إذا اشترى من مسلمٍ الأرضَ فعليه فيها الخُمس</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ظاهر كثيرٍ من المتقدّمين كابن الجُنيد</w:t>
      </w:r>
      <w:r>
        <w:rPr>
          <w:rStyle w:val="FootnoteAnchor"/>
          <w:rtl w:val="true"/>
        </w:rPr>
        <w:footnoteReference w:id="410"/>
      </w:r>
      <w:r>
        <w:rPr>
          <w:rFonts w:ascii="Amiri" w:hAnsi="Amiri" w:eastAsia="Amiri" w:cs="Amiri"/>
          <w:color w:val="111111"/>
          <w:sz w:val="28"/>
          <w:sz w:val="28"/>
          <w:szCs w:val="28"/>
          <w:rtl w:val="true"/>
          <w:lang w:bidi="ar-SA"/>
        </w:rPr>
        <w:t>، و المفيد</w:t>
      </w:r>
      <w:r>
        <w:rPr>
          <w:rStyle w:val="FootnoteAnchor"/>
          <w:rtl w:val="true"/>
        </w:rPr>
        <w:footnoteReference w:id="411"/>
      </w:r>
      <w:r>
        <w:rPr>
          <w:rFonts w:ascii="IRNazanin" w:hAnsi="IRNazanin" w:eastAsia="IRNazanin"/>
          <w:color w:val="111111"/>
          <w:sz w:val="28"/>
          <w:sz w:val="28"/>
          <w:szCs w:val="28"/>
          <w:rtl w:val="true"/>
          <w:lang w:bidi="fa-IR"/>
        </w:rPr>
        <w:t xml:space="preserve">، وابن </w:t>
      </w:r>
    </w:p>
    <w:p>
      <w:pPr>
        <w:pStyle w:val="BookText"/>
        <w:rPr/>
      </w:pPr>
      <w:r>
        <w:rPr>
          <w:rFonts w:ascii="Amiri" w:hAnsi="Amiri" w:eastAsia="Amiri" w:cs="Amiri"/>
          <w:color w:val="111111"/>
          <w:sz w:val="28"/>
          <w:sz w:val="28"/>
          <w:szCs w:val="28"/>
          <w:rtl w:val="true"/>
          <w:lang w:bidi="ar-SA"/>
        </w:rPr>
        <w:t>أبي عقيل</w:t>
      </w:r>
      <w:r>
        <w:rPr>
          <w:rStyle w:val="FootnoteAnchor"/>
          <w:rtl w:val="true"/>
        </w:rPr>
        <w:footnoteReference w:id="412"/>
      </w:r>
      <w:r>
        <w:rPr>
          <w:rFonts w:ascii="Amiri" w:hAnsi="Amiri" w:eastAsia="Amiri" w:cs="Amiri"/>
          <w:color w:val="111111"/>
          <w:sz w:val="28"/>
          <w:sz w:val="28"/>
          <w:szCs w:val="28"/>
          <w:rtl w:val="true"/>
          <w:lang w:bidi="ar-SA"/>
        </w:rPr>
        <w:t>، وسلّار</w:t>
      </w:r>
      <w:r>
        <w:rPr>
          <w:rStyle w:val="FootnoteAnchor"/>
          <w:rtl w:val="true"/>
        </w:rPr>
        <w:footnoteReference w:id="413"/>
      </w:r>
      <w:r>
        <w:rPr>
          <w:rFonts w:ascii="Amiri" w:hAnsi="Amiri" w:eastAsia="Amiri" w:cs="Amiri"/>
          <w:color w:val="111111"/>
          <w:sz w:val="28"/>
          <w:sz w:val="28"/>
          <w:szCs w:val="28"/>
          <w:rtl w:val="true"/>
          <w:lang w:bidi="ar-SA"/>
        </w:rPr>
        <w:t>، وأبي الصلاح</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بعض متأخّري المتأخّرين</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بضعف الخبرين سنداً، لكون الأوّل من الموثّق، والثاني من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مذهب المالكيّة من العامّة أنّ الذّمي إذا اشترى أرضاً من مسلم، وكانت عشريّة، ضوعف عليه العُشر، وأُخذ منه الخُمس، ولعلّ ذلك هو المراد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بمعارضتهما للنصوص الحاصرة للخُمس في خَمسة الّتي ليس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الموثّق حجّة كالصحيح على ما حقّقناه في محلّه، مضافاً إلى أنّ الخبر صحيحٌ لا موثّق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مجرّد مطابقة الخبر لفتوى العامّة، لا يوجب حمله على التقيّة، لأنّ مخالفة العامّة من مرجّحات إحدى الحجّتين على الاُخرى بعد فقد جملةٍ من المرجّحات، لا من مميّزات الحجّة عن اللّاحجّة، مع أنّ ظهور مذهب مالك في عصر الإمام الباقر عليه السلام غير معلوم، مضافاً إلى عدم مطابقة الخبر لمذهب العامّة، لإطلاقه على الأراضي العُشريّة وغيرها، وظهوره في وجوب الخُمس بمجرّد</w:t>
      </w:r>
      <w:r>
        <w:rPr>
          <w:rFonts w:eastAsia="Amiri" w:cs="Amiri" w:ascii="Amiri" w:hAnsi="Amiri"/>
          <w:color w:val="111111"/>
          <w:sz w:val="28"/>
          <w:szCs w:val="28"/>
          <w:rtl w:val="true"/>
          <w:lang w:bidi="ar-SA"/>
        </w:rPr>
        <w:t xml:space="preserve">). </w:t>
      </w:r>
      <w:bookmarkStart w:id="133" w:name="pg11804_116556"/>
    </w:p>
    <w:p>
      <w:pPr>
        <w:pStyle w:val="BookText"/>
        <w:rPr/>
      </w:pPr>
      <w:bookmarkEnd w:id="133"/>
      <w:r>
        <w:rPr>
          <w:rFonts w:ascii="Amiri" w:hAnsi="Amiri" w:eastAsia="Amiri" w:cs="Amiri"/>
          <w:color w:val="111111"/>
          <w:sz w:val="28"/>
          <w:sz w:val="28"/>
          <w:szCs w:val="28"/>
          <w:rtl w:val="true"/>
          <w:lang w:bidi="ar-SA"/>
        </w:rPr>
        <w:t>الشراء لا خُمس الزرع، بل المرسل صريحٌ في ذلك، وعليه فلا ينبغي التوقّف في وجوب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الخُمس في الأرض سواءٌ أكانت مزرعاً أو مسكناً</w:t>
      </w:r>
    </w:p>
    <w:p>
      <w:pPr>
        <w:pStyle w:val="Heading3"/>
        <w:numPr>
          <w:ilvl w:val="2"/>
          <w:numId w:val="1"/>
        </w:numPr>
        <w:rPr/>
      </w:pPr>
      <w:bookmarkStart w:id="134" w:name="__RefHeading___Toc10579758_73709187"/>
      <w:bookmarkStart w:id="135" w:name="_Toc45"/>
      <w:bookmarkEnd w:id="134"/>
      <w:r>
        <w:rPr>
          <w:rtl w:val="true"/>
        </w:rPr>
        <w:t>ثبوت الخُمس في الأرض سواءٌ أكانت مزرعاً أو مسكناً</w:t>
      </w:r>
      <w:bookmarkEnd w:id="13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وغيرهما</w:t>
      </w:r>
      <w:r>
        <w:rPr>
          <w:rStyle w:val="FootnoteAnchor"/>
          <w:rtl w:val="true"/>
        </w:rPr>
        <w:footnoteReference w:id="418"/>
      </w:r>
      <w:r>
        <w:rPr>
          <w:rFonts w:ascii="Amiri" w:hAnsi="Amiri" w:eastAsia="Amiri" w:cs="Amiri"/>
          <w:color w:val="111111"/>
          <w:sz w:val="28"/>
          <w:sz w:val="28"/>
          <w:szCs w:val="28"/>
          <w:rtl w:val="true"/>
          <w:lang w:bidi="ar-SA"/>
        </w:rPr>
        <w:t>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الحكم بأرض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إطلاق النَّص والفتوى‌، بعدم تعارف التعبير عن الدار والمسكن ونحوهما إلّابأساميها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لها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يُطلق في مقابل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يطلق في مقابل الدّار والبستان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الشائع عرفاً، فالحمل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عن الدار والمسكن ونحوهما بأساميها، ليس لأجل عدم إطلاق الأرض على أرض الدّار والمسكن، بل من جهة أنّهم يريدون التعبير عن مجموع الأرض والبناء بشيء واحد، ولذا ترى عدم توقّف أحدٍ في ترتيب سائر أحكام الأرض كالسجود والتيمّم وغيرهما عليها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فالأقوى عدم اختصاص الحكم بأرض الزراعة، بل هو شاملٌلمطلق </w:t>
      </w:r>
    </w:p>
    <w:p>
      <w:pPr>
        <w:pStyle w:val="BookText"/>
        <w:rPr/>
      </w:pPr>
      <w:r>
        <w:rPr>
          <w:rFonts w:ascii="Amiri" w:hAnsi="Amiri" w:eastAsia="Amiri" w:cs="Amiri"/>
          <w:color w:val="111111"/>
          <w:sz w:val="28"/>
          <w:sz w:val="28"/>
          <w:szCs w:val="28"/>
          <w:rtl w:val="true"/>
          <w:lang w:bidi="ar-SA"/>
        </w:rPr>
        <w:t>الأرض التي اشتراها من مسلم، ولو اشتراها ليسكن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 والفتوى‌، عدم الفرق في هذا الحكم بين ما لو كانت الأرض مبيعة تبعاً أو استقلالاً، وعليه فدعوى عدم ثبوت الحكم فيما لو كان المشترى هو الدار مثلاً، لأنّه تكون الأرض حينئذٍ ملحوظة تبعاً،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أنّ مصرف هذا الخُمس مصرف غيره من الأقسام، ويشهد له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المعهود الشرعي لثبوت الحقيقة الشرعيّة أو المتشرّعيّة له في عصر صدور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المراد منه الخراج الخُمسي، قد عرفت دفعه، لتوقّفه على إرادة تضعيف العُشر على الذّمي إذا اشترى أرضاً عُشريّة،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المشهور اختصاص الحكم بالشراء، وعن كاشف الغطاء</w:t>
      </w:r>
      <w:r>
        <w:rPr>
          <w:rStyle w:val="FootnoteAnchor"/>
          <w:rtl w:val="true"/>
        </w:rPr>
        <w:footnoteReference w:id="419"/>
      </w:r>
      <w:r>
        <w:rPr>
          <w:rFonts w:ascii="Amiri" w:hAnsi="Amiri" w:eastAsia="Amiri" w:cs="Amiri"/>
          <w:color w:val="111111"/>
          <w:sz w:val="28"/>
          <w:sz w:val="28"/>
          <w:szCs w:val="28"/>
          <w:rtl w:val="true"/>
          <w:lang w:bidi="ar-SA"/>
        </w:rPr>
        <w:t>التصريح بعمومه لمطلق المعاوضة، دون الانتقال المجّاني، وعن ظاهر الشهيدين</w:t>
      </w:r>
      <w:r>
        <w:rPr>
          <w:rStyle w:val="FootnoteAnchor"/>
          <w:rtl w:val="true"/>
        </w:rPr>
        <w:footnoteReference w:id="420"/>
      </w:r>
      <w:r>
        <w:rPr>
          <w:rFonts w:ascii="IRNazanin" w:hAnsi="IRNazanin" w:eastAsia="IRNazanin"/>
          <w:color w:val="111111"/>
          <w:sz w:val="28"/>
          <w:sz w:val="28"/>
          <w:szCs w:val="28"/>
          <w:rtl w:val="true"/>
          <w:lang w:bidi="fa-IR"/>
        </w:rPr>
        <w:t>شموله لمطلق الانتقال ولو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أقوى، لاختصاص النَّص بالشراء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عرفاً لسائر المعاوضات، لإلغاء خصوصيّة الشراء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المناط هو الانتقال، كما يستفاد من نقل أقوال الخاصّة والعامّة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136" w:name="pg11804_116558"/>
    </w:p>
    <w:p>
      <w:pPr>
        <w:pStyle w:val="BookText"/>
        <w:rPr/>
      </w:pPr>
      <w:bookmarkEnd w:id="1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للإلغاء المذكور، مع احتمال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مناط الحكم غير معلوم، فلا وجه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المفتوحة عنوة</w:t>
      </w:r>
    </w:p>
    <w:p>
      <w:pPr>
        <w:pStyle w:val="Heading3"/>
        <w:numPr>
          <w:ilvl w:val="2"/>
          <w:numId w:val="1"/>
        </w:numPr>
        <w:rPr/>
      </w:pPr>
      <w:bookmarkStart w:id="137" w:name="__RefHeading___Toc10579760_73709187"/>
      <w:bookmarkStart w:id="138" w:name="_Toc46"/>
      <w:bookmarkEnd w:id="137"/>
      <w:r>
        <w:rPr>
          <w:rtl w:val="true"/>
        </w:rPr>
        <w:t>الأرض المفتوحة عنوة</w:t>
      </w:r>
      <w:bookmarkEnd w:id="138"/>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الأرض من الأراضي الخراجيّة المفتوحة عنوةً فبيعت على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ملكها بالبيع، وكان ذلك مقصوداً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البائع هو الإمام أو باعها نائبه لبعض 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الخُمس عليه لإطلاق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المقصود بالأصالة هو بيع الآثار، وقلنا بحصول الملك للمتصرّف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يزول بزوال تلك الآثار 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يجب عليه الخُمس على الأقوى‌، ولا وجه للقول بعدم وجوبه، سوى ما قيل من عدم شمول النَّص لما إذا كانت الأرض مبيعة تبعاً، وقد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النَّص إنّما هو الشراء الموجب لانتقال الأرض إليه على الإطلاق، خصوصاً لو لم نقل بجواز تعلّق الشراء بنفس الأرض من حيث هي إلّا بالتبع، لا بعنوان كونه شراء الأرض،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ملكيّة الأرض وإنْ قلنا بأنّها تزول بزوال تلك الآثار، إلّا أنّ كون المتبادر هو الشراء الموجب لانتقال الأرض، بنحوٍ تكون باقية على كونها مملوكة له بعد زوال الأثر ممنوعٌ‌، إذ لا وجه لدعواه سوى الغَلَبة، وهي كما ترى‌، كما </w:t>
      </w:r>
    </w:p>
    <w:p>
      <w:pPr>
        <w:pStyle w:val="BookText"/>
        <w:rPr/>
      </w:pPr>
      <w:r>
        <w:rPr>
          <w:rFonts w:ascii="Amiri" w:hAnsi="Amiri" w:eastAsia="Amiri" w:cs="Amiri"/>
          <w:color w:val="111111"/>
          <w:sz w:val="28"/>
          <w:sz w:val="28"/>
          <w:szCs w:val="28"/>
          <w:rtl w:val="true"/>
          <w:lang w:bidi="ar-SA"/>
        </w:rPr>
        <w:t>أنّ جواز شراء الأرض من حيث هي لا دخل له في الحكم إذا تعلّق الشراء بها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إذا لم يملكها الذِّمي، كما لو باعها المتصرّف تبعاً للآثار، وقلنا بعدم دخولها في مِلْك المشتري، وإنّما يثبت في الأرض حقّ الاختصاص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شيخنا الأعظم</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وجوب الخُمس فيها، نظراً إلى صدق أنّه اشترى أرضاً ولو تبعاً، وإنْ لم يملكها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المحقّق الهمداني</w:t>
      </w:r>
      <w:r>
        <w:rPr>
          <w:rStyle w:val="FootnoteAnchor"/>
          <w:rtl w:val="true"/>
        </w:rPr>
        <w:footnoteReference w:id="423"/>
      </w:r>
      <w:r>
        <w:rPr>
          <w:rFonts w:ascii="Amiri" w:hAnsi="Amiri" w:eastAsia="Amiri" w:cs="Amiri"/>
          <w:color w:val="111111"/>
          <w:sz w:val="28"/>
          <w:sz w:val="28"/>
          <w:szCs w:val="28"/>
          <w:rtl w:val="true"/>
          <w:lang w:bidi="ar-SA"/>
        </w:rPr>
        <w:t>رحمه الله، بأنّ إطلاق شراء الأرض عرفاً في مثل المقام، إنْ كان فهو إمّا من باب المسامحة، أو من حيث أنّهم يرونها مِلْكاً حقيقيّاً للمتصرّف، فلا إشكال في خروجه عن موضوع النَّص، فضلاً عن منصرفه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عدم اعتبار دخول المبيع في مِلْك المشتري في صدق الشراء، بل لو كان المبيع حقّاً من الحقوق يصدق الشراء، كما أنّه لو كان المبيع هو العين، وكانت نتيجة البيع صيرورتها مستحقّة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الشراء، كما حقّقناه في محلّه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عليه الخُمس، فيقابل الأرض من حيث أنّها مستحقّة غير مملوكة بمالٍ‌، فعليه خُمس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الخُمس في الأرض المفتوحة عنوة مطلقاً، ولزوم تكرار الخُمس لا محذور فيه بعد اختلاف جهتي الوجوب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سقوط هذا الخُمس بالإقالة والفسخ</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9" w:name="pg11804_116560"/>
    </w:p>
    <w:p>
      <w:pPr>
        <w:pStyle w:val="Heading3"/>
        <w:numPr>
          <w:ilvl w:val="2"/>
          <w:numId w:val="1"/>
        </w:numPr>
        <w:rPr/>
      </w:pPr>
      <w:bookmarkStart w:id="140" w:name="__RefHeading___Toc10579762_73709187"/>
      <w:bookmarkStart w:id="141" w:name="_Toc47"/>
      <w:bookmarkEnd w:id="139"/>
      <w:bookmarkEnd w:id="140"/>
      <w:r>
        <w:rPr>
          <w:rtl w:val="true"/>
        </w:rPr>
        <w:t>عدم سقوط هذا الخُمس بالإقالة والفسخ</w:t>
      </w:r>
      <w:bookmarkEnd w:id="141"/>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عدم سقوط هذا الخُمس في ما لو باع الذّمي الأرض بعد الشراء من مسلمٍ آخر، بل وإنْ باعها من الأوّل، أو مات وانتقلت ملكيّتها إلى وارثه المسلم، وإنّما الخلاف فيما لو رَدّها إلى البائع بالإقالة، أو كان له الخيار فَفَسخ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السقوط بالإقالة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السقوط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للسقوط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الإقالة والفسخ توجبان حَلّ العقد من أوّل الأمر لا من حينهما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النَّص في الشراء المستقرّ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المبنيين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صيرورة العين أو بعضها مستحقّة للغير، إنْ كانت من مسقطات الخيار، كما هو الأظهر في مثل خيار العيب، فليس له الفَسخ، وإلّا فحيث أنّه وقع الشراء، وصار بعض العين متعلّقاً لحقّ أرباب الخُمس، فلو فسخ أو رَدّ بالإقالة، فلابدّ من إرضاء البائع بقبول ما عداه مع قيمة خُمسها، أو إرضاء أرباب الخُمس بقبول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فإنّ تنقيح القول في ذلك يحتاج إلى بسطٍ في المقال، لا يسعه المقام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أبحاثنا في كتاب المتاجر من هذا الشرح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أيضاً لو أسلم الذّمي بعد الشراء والقبض، إلّابناءً على سقوطه بالإسلام في سائر المقامات كالزكاة، بمقتضى حديث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حقّقناه في كتاب الزكاة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أسلم قبل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فبناءً على أنّ القبض كاشفٌ عن انتقال المبيع من حين العقد، فحكم هذا الفرض حكم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كونه ناقلاً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عليه الخُمس، لتحقّق الشراء بعد الإسلام، إذ الموضوع ليس هو الشراء الإنشائي، بل الحقيقي المتوقّف على دخول المشتري في مِلْكه، أو صيرورته مورداً لحقّه فعلاً، كما في الأرض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الشراء الحقيقي أيضاً يكون قبل الإسلام، وتأثيره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تملّك ذمّيٌ من مثله بعقدٍ مشروط بالقبض، فأسلم الناقل قبل القبض، ففي ثبوت الخُمس‌؟ وجهان، بل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اختار أوّلهما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28"/>
      </w:r>
      <w:r>
        <w:rPr>
          <w:rFonts w:ascii="Amiri" w:hAnsi="Amiri" w:eastAsia="Amiri" w:cs="Amiri"/>
          <w:color w:val="111111"/>
          <w:sz w:val="28"/>
          <w:sz w:val="28"/>
          <w:szCs w:val="28"/>
          <w:rtl w:val="true"/>
          <w:lang w:bidi="ar-SA"/>
        </w:rPr>
        <w:t>، والشيخ الأعظم</w:t>
      </w:r>
      <w:r>
        <w:rPr>
          <w:rStyle w:val="FootnoteAnchor"/>
          <w:rtl w:val="true"/>
        </w:rPr>
        <w:footnoteReference w:id="429"/>
      </w:r>
      <w:r>
        <w:rPr>
          <w:rFonts w:ascii="Amiri" w:hAnsi="Amiri" w:eastAsia="Amiri" w:cs="Amiri"/>
          <w:color w:val="111111"/>
          <w:sz w:val="28"/>
          <w:sz w:val="28"/>
          <w:szCs w:val="28"/>
          <w:rtl w:val="true"/>
          <w:lang w:bidi="ar-SA"/>
        </w:rPr>
        <w:t>رحمه الله، دون أن يُقيما دليلاً على اختيارهما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غيرهما له</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تملك الذّمي كان في حال إسلام البائع، فيصدق عليه تملّك الذّمي من مسلم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فإنّما هو على القول بالنقل لا الكشف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حتّى على القول بالنقل، إذ الشراء كان من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الخُمس هو مطلق الانتقال، وهو إنّما يكون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اختصاصه بالشراء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النَّص على القول بالعموم أيضاً هو ما إذا كان سببُ الانتقال في حال إسلام طرفه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الأقوى عدم ثبوت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الذّمي بين دفع الخُمس من عين الأرض أو قيمتها، كما هو الشأن في سائر الأخماس كما سيأتي، وحينئذٍ لو لم يدفع القيمة يتخيّر وليّ الخُمس بين أخذ رقبة الأرض، وبين إبقائها بالاُجرة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الأخذ من الارتفاع، إذا كانت الأرض مشغولة بغرس أو بناء، واستجوده المحقّق الهمداني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بأنّه ليس لأهل الخُمس إلزامه بقلع الغرس أو البناء بعد كونه موضوعاً بحقّ‌، فليس لهم إلّاالرضا ببقائه بالاُجرة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الوجه، ليس تعيّن الأخذ من الارتفاع، بل عدم جواز قلع ما فيها، فلو أبقاها وليّ الخُمس كان شريكاً في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العَلَمين من تعيّن أخذ الاُجرة، ما يعمّ حصّة المزارعة، بل صريح المحقّق الهمداني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يكون النزاع لفظيّاً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42" w:name="pg11804_116563"/>
    </w:p>
    <w:p>
      <w:pPr>
        <w:pStyle w:val="BookText"/>
        <w:rPr/>
      </w:pPr>
      <w:bookmarkEnd w:id="142"/>
      <w:r>
        <w:rPr>
          <w:rFonts w:ascii="Amiri" w:hAnsi="Amiri" w:eastAsia="Amiri" w:cs="Amiri"/>
          <w:color w:val="111111"/>
          <w:sz w:val="28"/>
          <w:sz w:val="28"/>
          <w:szCs w:val="28"/>
          <w:rtl w:val="true"/>
          <w:lang w:bidi="ar-SA"/>
        </w:rPr>
        <w:t>والحرام الممتزج من الحلال ولم يتميّز</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0579764_73709187"/>
      <w:bookmarkStart w:id="144" w:name="_Toc48"/>
      <w:bookmarkEnd w:id="143"/>
      <w:r>
        <w:rPr>
          <w:rtl w:val="true"/>
        </w:rPr>
        <w:t>الحلال المختلط بالحرام</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السابع ممّا يجب فيه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المُمتزج من الحَلال، ولم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هنا صور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قدر الحرام المختلط بالحلال وصاحبه كلاهما مجهولين، ففي هذه الصورة يجبُ إخراج الخُمس، كما صرّح به جماعة،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نسبته إلى المشهور،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العلّامة 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والمفيد</w:t>
      </w:r>
      <w:r>
        <w:rPr>
          <w:rStyle w:val="FootnoteAnchor"/>
          <w:rtl w:val="true"/>
        </w:rPr>
        <w:footnoteReference w:id="434"/>
      </w:r>
      <w:r>
        <w:rPr>
          <w:rFonts w:ascii="Amiri" w:hAnsi="Amiri" w:eastAsia="Amiri" w:cs="Amiri"/>
          <w:color w:val="111111"/>
          <w:sz w:val="28"/>
          <w:sz w:val="28"/>
          <w:szCs w:val="28"/>
          <w:rtl w:val="true"/>
          <w:lang w:bidi="ar-SA"/>
        </w:rPr>
        <w:t>، وسلّار</w:t>
      </w:r>
      <w:r>
        <w:rPr>
          <w:rStyle w:val="FootnoteAnchor"/>
          <w:rtl w:val="true"/>
        </w:rPr>
        <w:footnoteReference w:id="435"/>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وغيرهم</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وعدم حليّته بالتخميس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والمحقّق الهمداني رحمه الله</w:t>
      </w:r>
      <w:r>
        <w:rPr>
          <w:rStyle w:val="FootnoteAnchor"/>
          <w:rtl w:val="true"/>
        </w:rPr>
        <w:footnoteReference w:id="438"/>
      </w:r>
      <w:r>
        <w:rPr>
          <w:rFonts w:ascii="Amiri" w:hAnsi="Amiri" w:eastAsia="Amiri" w:cs="Amiri"/>
          <w:color w:val="111111"/>
          <w:sz w:val="28"/>
          <w:sz w:val="28"/>
          <w:szCs w:val="28"/>
          <w:rtl w:val="true"/>
          <w:lang w:bidi="ar-SA"/>
        </w:rPr>
        <w:t xml:space="preserve">قوّى التخيير بين التخميس، وبين التصدّق بجميع ما فيه </w:t>
      </w:r>
    </w:p>
    <w:p>
      <w:pPr>
        <w:pStyle w:val="BookText"/>
        <w:rPr/>
      </w:pPr>
      <w:r>
        <w:rPr>
          <w:rFonts w:ascii="Amiri" w:hAnsi="Amiri" w:eastAsia="Amiri" w:cs="Amiri"/>
          <w:color w:val="111111"/>
          <w:sz w:val="28"/>
          <w:sz w:val="28"/>
          <w:szCs w:val="28"/>
          <w:rtl w:val="true"/>
          <w:lang w:bidi="ar-SA"/>
        </w:rPr>
        <w:t>من الحرام بأيّ وجهٍ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المحقّقين</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حليّته بدون التخميس والتصدّق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للقول المنسوب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عمّار 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الرواية على النحو المذكور إنّما هو ما نقله عنه بعض المتأخّرين، وقال بعض مشايخنا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يجب فيه الخُمس روايةً كالصحيحة إلى ابن أبي عُمير، عن غير واحدٍ،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 ونسي ابن عُمير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الذي نسيه، مالٌ يرثه الرّجل، وهو يعلم أنّه فيه من الحلال والحرام، ولا يعرفُ أصحابه فيؤدّيه إليهم، ولا يعرفُ الحرام بجنسه، فيخرج منه الخُمس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تفحَّصتُ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الرواية فيه في باب ما فيه الخُمس من بعض نسخه،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المعادن والبحر والكنوز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أجد الرواية بالطريقين المذكورين فيه مع التفحّص عن أكثر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أبوابه، وفي بعض آخر كما نقله عنه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صراحة الخبر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عن جعفر الهمداني، عن عليّ بن إبراهيم، عن أبيه، عن ابن أبي عمير، عن غير واحدٍ،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محمّد بن يحيى‌، عن محمّد بن عيسى‌، عن الحسن بن محبوب، عن عمّار بن مروان،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نقله عن بعض مشايخه إنّما هو الخبر الأوّل، فلا دخل له بالخبر الثاني المخالف له سنداً ومتناً والذي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وجدانه لا يدلّ على عدم الوجود، كي يعارض مع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لاحتمال السقط عن تلك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الجملة الخبريّة أصرح في الوجوب من الأمر، كما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الذي رواه المشايخ الثلاثة مسنداً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أغمضتُ في مطالبه حلالاً وحراماً، وقد أردتُ التوبة، ولا أدري الحلال منه والحرام، وقد اختلط عَليَّ؟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فإنّ اللّه رَضي من الأشياء بالخُمس، وسائر المال لك حلال</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إرادة المعنى اللّغوي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ما نحن بصدده، وهو وجوب التخميس، مع أنّه ستعرف دفعها عند التعرّض لمصرف هذا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الحسن بن زياد،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من ذلك المال، فإنّ اللّه عزّ وجلّ قد رَضي من ذلك المال بالخُمس، واجتنب ما كان صاحبه يُعلم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المحقّق الهمداني</w:t>
      </w:r>
      <w:r>
        <w:rPr>
          <w:rStyle w:val="FootnoteAnchor"/>
          <w:rtl w:val="true"/>
        </w:rPr>
        <w:footnoteReference w:id="44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ورد فيمن أصاب مالاً من شخصٍ تكون أمواله مجتمعة من الحلال والحرام، فيُحتمل أنْ يكون المراد بالخمس هو الخُمس المعروف الذي قَدّر اللّه تعالى في كلّ مالٍ استفاده من حيث كونه غنيمة، لا من حيث كونه ممّا لا يُعرف حلاله من حرامه، وأمّا من هذه الجهة فله المهنّا ووزره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فرض أنّ ما في يده فيه حلالٌ وحرام، وأجابه عليه السلام بالأمر بإخراج الخُمس من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المخلوط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وجوب الخُمس فيه بهذا العنوان، لا بعنوان آخر، ويناسبه التعليل المتضمّن للتفصيل بين ما كان صاحبه يعلم فيجب الاجتناب عنه، وما لا يُعرف صاحبه، فإنّ اللّه تعالى قد رَضي منه بالخُمس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هذه النصوص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والمفيد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على الاستدلال بهذه الأخبار، بمعارضتها مع 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حليّة المختلط بالحرام بالرِّبا، أو المختلط مطلقاً، الشامل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سماعة الوارد في رجلٍ أصاب مالاً من عمّال بني اُميّة، فقال له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خلط الحرام حلالاً فاختلطا جميعاً فلم يُعرف الحلال من الحرام فلا بأس</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ماسيأتي في الفرع القادم المتضمّن للأمر بتصدّق ما لايعرف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بمخالفتها للقواعد المُسلّمة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يكون التخميس أو التصدّق منافياً للقواعد، ولكن نلتزم به لقيام الدليل الدالّ عليه، كذلك لامانع من الالتزام بالعفو والتملّك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الرّبا مختصّة بموردها، وسيأتي الكلام فيها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مطلقٌ قابلٌ للحمل على إرادة الحليّة بعد التخميس، في مقابل الحرام المحض الذي هو موردُ السؤال فيه، وعليه فيُجمع بينه وبين نصوص المقام بالالتزام بالحليّة بعد التخميس</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في الصورة الثانية أنّها لا تشمل الممتزج المجهول قدره، وعلى فرض شمولها له، بما أنّها تشمل المتميّز، ونصوص المقام لا تشمله، فتقدّم هذه النصوص للأخصيّة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45" w:name="pg11804_116568"/>
    </w:p>
    <w:p>
      <w:pPr>
        <w:pStyle w:val="BookText"/>
        <w:rPr/>
      </w:pPr>
      <w:bookmarkEnd w:id="145"/>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ضعف القولين الآخرين، وأنّ الأظهر هو ما اختاره المشهور من لزوم التخميس، وحليّة المال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مصرف هذا الخُمس مصرف سائر الأخماس</w:t>
      </w:r>
    </w:p>
    <w:p>
      <w:pPr>
        <w:pStyle w:val="Heading3"/>
        <w:numPr>
          <w:ilvl w:val="2"/>
          <w:numId w:val="1"/>
        </w:numPr>
        <w:rPr/>
      </w:pPr>
      <w:bookmarkStart w:id="146" w:name="__RefHeading___Toc10579766_73709187"/>
      <w:bookmarkStart w:id="147" w:name="_Toc49"/>
      <w:bookmarkEnd w:id="146"/>
      <w:r>
        <w:rPr>
          <w:rtl w:val="true"/>
        </w:rPr>
        <w:t>مصرف هذا الخُمس مصرف سائر الأخماس</w:t>
      </w:r>
      <w:bookmarkEnd w:id="147"/>
    </w:p>
    <w:p>
      <w:pPr>
        <w:pStyle w:val="BookText"/>
        <w:rPr/>
      </w:pPr>
      <w:r>
        <w:rPr>
          <w:rFonts w:ascii="IRNazanin" w:hAnsi="IRNazanin" w:eastAsia="IRNazanin"/>
          <w:color w:val="111111"/>
          <w:sz w:val="28"/>
          <w:sz w:val="28"/>
          <w:szCs w:val="28"/>
          <w:rtl w:val="true"/>
          <w:lang w:bidi="fa-IR"/>
        </w:rPr>
        <w:t>والمنسوب إلى المشهور</w:t>
      </w:r>
      <w:r>
        <w:rPr>
          <w:rStyle w:val="FootnoteAnchor"/>
          <w:rtl w:val="true"/>
        </w:rPr>
        <w:footnoteReference w:id="447"/>
      </w:r>
      <w:r>
        <w:rPr>
          <w:rFonts w:ascii="Amiri" w:hAnsi="Amiri" w:eastAsia="Amiri" w:cs="Amiri"/>
          <w:color w:val="111111"/>
          <w:sz w:val="28"/>
          <w:sz w:val="28"/>
          <w:szCs w:val="28"/>
          <w:rtl w:val="true"/>
          <w:lang w:bidi="ar-SA"/>
        </w:rPr>
        <w:t>أنّ مصرف هذا الخُمس، مصرف سائر أقسام الخُمس، واستدلّ له بثبوت الحقيقة الشرعيّة أو المتشرّعيّة للخُمس في عصر صدور نصوص الباب، وهي المعنى المعهود الشرعي الدالّ على أنّ نصفه للإمام عليه السلام ونصفه للسّادات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المحقّقين</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ذلك، باعتبار أنّ مصرفه الفقراء للأمر بالتصدّق به في خبر السكوني، وأنّ الصَّدقة لا تحلّ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ظهور الخُمس في المعنى المعهود الشرعي فإنّه لا يُنكر، إلّاأنّ ظهور الصَّدقة في غير الخُمس أقوى منه، لاسيّما مع عدم طلبه عليه السلام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خبر عمّار بن مروان أقوى من ظهور الصَّدقة في غيره، من جهة أنّ المراد به بالنسبة إلى غير الحرام المختلط بالحلال، هو المعنى المعهود بلا كلام، مع أنّ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قد رَضي من الأشياء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 أيضاً يوجب أقوائيّة ظهور الخُمس في المعنى المعهود من ظهور الصَّدقة في غيره، إذ الخُمس الثابت في الأشياء هو 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يدلّ على أنّ الخُمس المعهود في الأشياء أيضاً كالصدقة </w:t>
      </w:r>
    </w:p>
    <w:p>
      <w:pPr>
        <w:pStyle w:val="BookText"/>
        <w:rPr/>
      </w:pPr>
      <w:r>
        <w:rPr>
          <w:rFonts w:ascii="Amiri" w:hAnsi="Amiri" w:eastAsia="Amiri" w:cs="Amiri"/>
          <w:color w:val="111111"/>
          <w:sz w:val="28"/>
          <w:sz w:val="28"/>
          <w:szCs w:val="28"/>
          <w:rtl w:val="true"/>
          <w:lang w:bidi="ar-SA"/>
        </w:rPr>
        <w:t>مندرجٌ تحت هذه الكليّة، وهي أنّ اللّه تعالى رَضي من عباده فيما سلّطهم عليه من ماله بدفع خُمسه، حسب ما أمرهم به في موارده، ففي سائر الموارد يصرفه إلى الإمام عليه السلام والسّادة، وفي هذا المورد إلى الفقراء بمقتضى ظاهر الصدر، فالتعليل لا ينافي إرادة الصَّدقة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وإنْ يمكن عدّه توجيهاً متيناً، إلّاأنّه خلاف الظاهر، لأنّ الظاهر وحدة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الصدر، والواقع في التعليل، وحيثُ أنّ المراد منه في الذيل المعنى المعهود، فكذلك الحال يكون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طلبه نصفه المختصّ به، فيُحمل على إذنه في صرف حقّه المختصّ به إلى شركائه بقرينة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اختاره المحقّق الهمداني</w:t>
      </w:r>
      <w:r>
        <w:rPr>
          <w:rStyle w:val="FootnoteAnchor"/>
          <w:rtl w:val="true"/>
        </w:rPr>
        <w:footnoteReference w:id="449"/>
      </w:r>
      <w:r>
        <w:rPr>
          <w:rFonts w:ascii="Amiri" w:hAnsi="Amiri" w:eastAsia="Amiri" w:cs="Amiri"/>
          <w:color w:val="111111"/>
          <w:sz w:val="28"/>
          <w:sz w:val="28"/>
          <w:szCs w:val="28"/>
          <w:rtl w:val="true"/>
          <w:lang w:bidi="ar-SA"/>
        </w:rPr>
        <w:t>رحمه الله بعد تسليمه ظهور خبر السكوني في إرادة الصَّدقة منه، من أنّه يُجمع بينه وبين غيره من الأخبار الظاهرة في إرادة المعنى المعهود الشرعي بالتخيير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جهة ظهور كلٍّ منهما في تعيّن ما تضمّنه في مقام أداء الوظيفة، لا يكون الحمل على التخيير من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كون مصرفه مصرف سائر أقسام الخُمس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48" w:name="pg11804_116570"/>
    </w:p>
    <w:p>
      <w:pPr>
        <w:pStyle w:val="BookText"/>
        <w:rPr/>
      </w:pPr>
      <w:bookmarkEnd w:id="148"/>
      <w:r>
        <w:rPr>
          <w:rFonts w:ascii="IRNazanin" w:hAnsi="IRNazanin" w:eastAsia="IRNazanin"/>
          <w:color w:val="111111"/>
          <w:sz w:val="28"/>
          <w:sz w:val="28"/>
          <w:szCs w:val="28"/>
          <w:rtl w:val="true"/>
          <w:lang w:bidi="fa-IR"/>
        </w:rPr>
        <w:t>الحرام المخلوط بالحلال مع العلم بقدره</w:t>
      </w:r>
    </w:p>
    <w:p>
      <w:pPr>
        <w:pStyle w:val="Heading3"/>
        <w:numPr>
          <w:ilvl w:val="2"/>
          <w:numId w:val="1"/>
        </w:numPr>
        <w:rPr/>
      </w:pPr>
      <w:bookmarkStart w:id="149" w:name="__RefHeading___Toc10579768_73709187"/>
      <w:bookmarkStart w:id="150" w:name="_Toc50"/>
      <w:bookmarkEnd w:id="149"/>
      <w:r>
        <w:rPr>
          <w:rtl w:val="true"/>
        </w:rPr>
        <w:t>الحرام المخلوط بالحلال مع العلم بقدره</w:t>
      </w:r>
      <w:bookmarkEnd w:id="150"/>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مقدار الحرام دون أن يعرف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غير واحدٍ، منهم المصنّف رحمه الله في جملةٍ من كتبه</w:t>
      </w:r>
      <w:r>
        <w:rPr>
          <w:rStyle w:val="FootnoteAnchor"/>
          <w:rtl w:val="true"/>
        </w:rPr>
        <w:footnoteReference w:id="450"/>
      </w:r>
      <w:r>
        <w:rPr>
          <w:rFonts w:ascii="Amiri" w:hAnsi="Amiri" w:eastAsia="Amiri" w:cs="Amiri"/>
          <w:color w:val="111111"/>
          <w:sz w:val="28"/>
          <w:sz w:val="28"/>
          <w:szCs w:val="28"/>
          <w:rtl w:val="true"/>
          <w:lang w:bidi="ar-SA"/>
        </w:rPr>
        <w:t>، والشهيد</w:t>
      </w:r>
      <w:r>
        <w:rPr>
          <w:rStyle w:val="FootnoteAnchor"/>
          <w:rtl w:val="true"/>
        </w:rPr>
        <w:footnoteReference w:id="451"/>
      </w:r>
      <w:r>
        <w:rPr>
          <w:rFonts w:ascii="Amiri" w:hAnsi="Amiri" w:eastAsia="Amiri" w:cs="Amiri"/>
          <w:color w:val="111111"/>
          <w:sz w:val="28"/>
          <w:sz w:val="28"/>
          <w:szCs w:val="28"/>
          <w:rtl w:val="true"/>
          <w:lang w:bidi="ar-SA"/>
        </w:rPr>
        <w:t>وغيرهما من الأساطين</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يتصدّق به مطلقاً، وعن بعضٍ‌</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المشهور،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دعوى عدم الخلاف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وقوّى قدس سره لزوم دفع ذلك المقدار خُمساً لا صدقة قَلَّ أو 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رحمه الله وجوب دفع الخُمس في هذه الصورة كالصورة السابقة، ونَسب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إطلاق الحكم بوجوب الخُمس في الحلال المختلط بالحرام، وإنْ كان في هذه النسبة نظر، إذ لعلّ المراد منه صورة عدم تمييز قدر الحرام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الخُمس، ثمّ الصَّدقة بالزائد في صورة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أبي حمزة، الوارد في حكاية صديقه الذي كان في ديوان بني اُميّة، فأصاب من دنياهم مالاً كثيراً، ثمّ ندم على ذلك، وسأل الإمام الصادق عليه السلام عن </w:t>
      </w:r>
    </w:p>
    <w:p>
      <w:pPr>
        <w:pStyle w:val="BookText"/>
        <w:rPr/>
      </w:pPr>
      <w:r>
        <w:rPr>
          <w:rFonts w:ascii="Amiri" w:hAnsi="Amiri" w:eastAsia="Amiri" w:cs="Amiri"/>
          <w:color w:val="111111"/>
          <w:sz w:val="28"/>
          <w:sz w:val="28"/>
          <w:szCs w:val="28"/>
          <w:rtl w:val="true"/>
          <w:lang w:bidi="ar-SA"/>
        </w:rPr>
        <w:t>الَمخرَج منه،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من جميع ما اكتسبتَ في ديوانهم، فَمَن عرفتَ منهم رَدَدتَ عليه ماله، ومن لم تعرف تصدّقت به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الحسن الرضا عليه السلام وأنا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رفيقٌ كان لنا بمكّة فرحل منها إلى منزله، ورحلنا إلى منازلنا، فلمّا أن صرنا في الطريق أصبنا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ولا نعرف بلده، ولا نعرف كيف نصنع‌؟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موردها إنّما هو المال المتميّز في حَدّ ذاته لملكٍ مفقود الخبر، وإلحاق المال المشترك به مع كونه لا دليل عليه، قياسٌ مع الفارق، لأنّه لا يخفى أنّ الاشتراك في المال سارٍ في كلّ درهمٍ درهمٍ‌، وجُزءٍ جزءٍ منه، فعزل هذا القدر المعلوم للمالك المجهول، مع كون الشركة شائعة في أجزائه، كما أنّها شائعة في أجزاء الباقي، لا يوجب استحقاق المالك المجهول له حتّى يتصدّق به عنه، فهذا العزل لا ثمرة له، بل الاشتراك باقٍ مثله قبل العزل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ورود تلك النصوص في المتميّز، لكن لا سبيل إلى توهّم الاختصاص به، وعدم شمولها للمختلط، سوى ما ذكره رحمه الله من الفرق بينهما، وهو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فاسدٌ، إذ الظاهر من مصحّح يونس، ثبوت الولاية على الحرام لمن هو تحت يده، بأن يبدّله بغيره، فإنّه عليه السلام حَكَم بجواز بيعه والتصدّق بثمنه، وعليه فله الولاية في صورة الاختلاط على تعيين مال الغائب المجهول، وتخليص ماله بالقسمة، وبعد ذلك يكون بحكم المتميّز بل هو هو، مع أنّ ما ذُكر من أنّ موردها المال المتميّز غير صحيح، إذ مورد خبر أبي حمزة لو لم ندّع كونه خصوص الممتزج ولو بمال غير المالك المجهول، إذ من المستبعد جدّاً تمييز أموال من يعرف منهم عمّا لايعرف صاحبه، وتمييز جميعها عن مال نفسه، فلا أقلّ من كونه عامّاً للمختلط والمتميّز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الاختصاص، بل يمكن أنْ يكون من جهة ما ذكرناه من ولايته على التبديل والتقسيم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معارضة هذه النصوص مع طوائف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لزوم إبقاء المال على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تُحمل على ما قبل اليأس عن صاحبه، لاختصاص هذه النصوص بما بعده، كما يظهر من المصحح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تملّكه، كصحيح ابن مهزيار الطويل المتقدّم، حيث عَدّ عليه السلام من جملة الغنائم، الفوائد التي يجبُ فيها الخُمس بما أنّها فائدة وغنيمة، حيث قال عليه السلام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الغنيمة يَغْنِمها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مالٍ يوجدُ ولا يعرف له صاحب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مال يوجد، هو ما كان مثل اللُّقطة الّتي وردت فيها جملة من النصوص دالّة على جواز تملّكها بعد التعريف، متعهّداً بالخروج عن عهدتها على </w:t>
      </w:r>
    </w:p>
    <w:p>
      <w:pPr>
        <w:pStyle w:val="BookText"/>
        <w:rPr/>
      </w:pPr>
      <w:r>
        <w:rPr>
          <w:rFonts w:ascii="Amiri" w:hAnsi="Amiri" w:eastAsia="Amiri" w:cs="Amiri"/>
          <w:color w:val="111111"/>
          <w:sz w:val="28"/>
          <w:sz w:val="28"/>
          <w:szCs w:val="28"/>
          <w:rtl w:val="true"/>
          <w:lang w:bidi="ar-SA"/>
        </w:rPr>
        <w:t>تقدير مجيء صاحبها، ولا تشمل ما لو استولى على مال الغير عدواناً، ثمّ جَهِل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اختصاصه بالإمام عليه السلام كالخبر الذي رواه داود بن أبي يزيد،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وإنّي خفتُ منه على نفسي، فلو أصبتُ صاحبه دفعته إليه وتخلّصت منه‌؟</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صاحبه كنتَ دفعته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له صاحبٌ غيري، فاستحلفه أن يدفعه إلى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اخوانك، ولك الأمن ممّا خِفت،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اخواني</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ضعيف لمكان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فيه وجوهٌ ذُكرت جملةٍ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أصابه لقطة من غيره، لكنّه تكون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ما أصابه لقطة من ماله عليه السلام، فأمر بالصدقة على الاخوان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أصابه لقطة من غيره، ولكنّه عَلم بموت صاحبه حين السؤال، وأنّه لم يترك وارثاً غير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أصابه من أموال السلطان، وكان ذلك ممّا يختصّ به، أو من الأموال التي له التصرّف فيها، وهو الذي استظهره المجلسي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فمع هذه الاحتمالات لا مورد للقول بدلالته على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منع الدلالة،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 وصاحب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هو المراد به في السؤال، ومعلومٌ أنّ المراد به فيه 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في الصورة السابقة، الدالّة على لزوم التخميس، وحليّة الباقي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تشمل الفرض، فإنّ صورة العلم بمقدار الحرام تفصيلاً، خارجة عن منصرفها جزماً، وإطلاق خبر مروان واردٌ مورد حكمٍ آخر، فلا يفهم منه إلّاثبوت الخُمس في الحلال المختلط بالحرام على سبيل الإجمال، والقدر المتيقّن من مورده صورة الجهل بمقدار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إيجاب الخُمس، فيما لو كان الحرام المختلط أقلّ قليل، أو الاكتفاء بالخُمس في عكسه، ما لا يخفى من البُعد المانع من صرف الروايات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في خبري ابن زياد والسكوني ظاهرٌ في الاختصاص بصورة الجهل، لأنّ المرجع في حكمه اللّه تعالى‌، فيمكن أنْ يكون الحكم بالتخلّص منوطاً برضاه، أمّا مع العلم بالمقدار، فالمرجع فيه المالك، وحينئذٍ يكون التعليل حاكماً على إطلاق مصحّح مروان، فيتعيّن حمله على صورة الجهل بالمقدار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لا يشمل صورة كون الحرام أقلّ من الخُمس، لوروده في مقام التوسعة والتخفيف، فلا يناسبه الالزام بالأكثر، ولا صورة كونه أزيد، فإنّ الظاهر منه كفاية الخُمس عن الزائد الواقعي، لو ثبت في المال لا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مصحّح عمّار مطلقٌ شامل للفرض، واختصاص غيره بغير </w:t>
      </w:r>
    </w:p>
    <w:p>
      <w:pPr>
        <w:pStyle w:val="BookText"/>
        <w:rPr/>
      </w:pPr>
      <w:r>
        <w:rPr>
          <w:rFonts w:ascii="Amiri" w:hAnsi="Amiri" w:eastAsia="Amiri" w:cs="Amiri"/>
          <w:color w:val="111111"/>
          <w:sz w:val="28"/>
          <w:sz w:val="28"/>
          <w:szCs w:val="28"/>
          <w:rtl w:val="true"/>
          <w:lang w:bidi="ar-SA"/>
        </w:rPr>
        <w:t>الفرض، لا ينافي إطلاقه كي يوجب تقييده، ودعوى ورود إطلاقه في مقام بيان حكمٍ آخر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مجرّد استبعاٍد لا يوجبُ تقييد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المرجع في حكم معلوم القدر إذا لم يعرف صاحبه، هو اللّه تعالى كمجهول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التوسعة إنّما تكون بلحاظ أنّه لاختلاط الحرام بماله لايجوز التصرّف في شيء من ماله، فوسّع اللّه تعالى عليه بأنّه إذا أخرج خُمسه، جاز له التصرّف في الباقي، فيشمل التعليل صورة كون الحرام أقلّ من الخُمس، كما أنّه يشمل صورة كونه أزيد، والظهور المذكور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الطائفتين عمومٌ من وجه، فإنّ نصوص التصدّق تشمل الحرام المتميّز والمختلط إذا كان معلوم القدر، ولا تشمل المجهول القدر، لاختصاص غير خبر أبي حمزة بالمتميّز، وأمّا هو فلأنّ المفروض في مورده حرمة جميع أمواله، كما يظهر لمن تدبّر فيه، غاية الأمر بعضها معلومٌ صاحبه، وبعضها مجهول الصاحب، وروايات الخُمس لا تشمل المتميّز، وتختصّ بالمختلط، ولكنّها أعمّ من جهة شمولها للمجهول قدره، فتتعارضان فيما إذا عُلم قدر الحرام وجُهل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فتقدّم نصوص التصدّق لأظهريّتها من جهتين، وهما الوجه الثاني والرابع المذكوران دليلاً لعدم شمول نصوص الخُمس للفرض، فانهما وإنْ لم يعدّا دليلاً على ذلك، لكنّهما يصلحان لصيرورة نصوص التصدّق أظهر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سُلّم عدم أظهريّتها، فلا محالة تتساقطان، ولا يشمل شيءٌ منهما </w:t>
      </w:r>
    </w:p>
    <w:p>
      <w:pPr>
        <w:pStyle w:val="BookText"/>
        <w:rPr/>
      </w:pPr>
      <w:r>
        <w:rPr>
          <w:rFonts w:ascii="Amiri" w:hAnsi="Amiri" w:eastAsia="Amiri" w:cs="Amiri"/>
          <w:color w:val="111111"/>
          <w:sz w:val="28"/>
          <w:sz w:val="28"/>
          <w:szCs w:val="28"/>
          <w:rtl w:val="true"/>
          <w:lang w:bidi="ar-SA"/>
        </w:rPr>
        <w:t xml:space="preserve">المفروض، ولكن بما أنّ إبقاء المال المختلط وحفظه، وعدم التصرّف في الجميع ضرر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مرفوعٌ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الحاكم، وهو يتولّى تخليص ماله بالقسمة، وبعدها يصير الحرام متميّزاً، فيدخل في نصوص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لزوم التصدّق به بإذن الحاكم أو بدفعه إليه، كما هو مقتضى الجمع بين نصوص الصَّدقة، وبين ما دلّ على اختصاصها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مصرف هذه الصَّدقة، مصرف سائر الصدقات، كما هو ظاهر نصوصها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أمّاالشيخ الأعظم</w:t>
      </w:r>
      <w:r>
        <w:rPr>
          <w:rStyle w:val="FootnoteAnchor"/>
          <w:rtl w:val="true"/>
        </w:rPr>
        <w:footnoteReference w:id="459"/>
      </w:r>
      <w:r>
        <w:rPr>
          <w:rFonts w:ascii="Amiri" w:hAnsi="Amiri" w:eastAsia="Amiri" w:cs="Amiri"/>
          <w:color w:val="111111"/>
          <w:sz w:val="28"/>
          <w:sz w:val="28"/>
          <w:szCs w:val="28"/>
          <w:rtl w:val="true"/>
          <w:lang w:bidi="ar-SA"/>
        </w:rPr>
        <w:t>رحمه الله فقد اختار وجوب دفع ذلك المقدار خُمساً،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ظاهر نصوص الخُمس أنّها واردة في مقام بيان تحديد مقدار الحرام المختلط، وإلّا فمطلق الحرام المخلوط بالحلال، الموكول أمره إلى الشارع مصروفٌ في بني هاشم، كما يشير إليه التعليل بأنّ اللّه رَضي مع الجهل بمقداره بالخُمس، فإنّ مثل هذا الكلام إنّما يقال في حقّ مالٍ يكون أمره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جهالة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فتكون الجهالة سبب الرّضا بهذا المقدار لا سبب كون أمره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بما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كسائر الموارد ليس هو الكسر الخاص من المال، بل المراد هو الخُمس المصطلح، فدعوى وروده في مقام تحديد مقدار الحرام المخلوط لا كونه حكماً تعبّديّاً في غاية الضعف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1" w:name="pg11804_116577"/>
    </w:p>
    <w:p>
      <w:pPr>
        <w:pStyle w:val="BookText"/>
        <w:rPr/>
      </w:pPr>
      <w:bookmarkEnd w:id="151"/>
      <w:r>
        <w:rPr>
          <w:rFonts w:ascii="Amiri" w:hAnsi="Amiri" w:eastAsia="Amiri" w:cs="Amiri"/>
          <w:color w:val="111111"/>
          <w:sz w:val="28"/>
          <w:sz w:val="28"/>
          <w:szCs w:val="28"/>
          <w:rtl w:val="true"/>
          <w:lang w:bidi="ar-SA"/>
        </w:rPr>
        <w:t>إذا عرف المالك وجَهل المقدار</w:t>
      </w:r>
    </w:p>
    <w:p>
      <w:pPr>
        <w:pStyle w:val="Heading3"/>
        <w:numPr>
          <w:ilvl w:val="2"/>
          <w:numId w:val="1"/>
        </w:numPr>
        <w:rPr/>
      </w:pPr>
      <w:bookmarkStart w:id="152" w:name="__RefHeading___Toc10579770_73709187"/>
      <w:bookmarkStart w:id="153" w:name="_Toc51"/>
      <w:bookmarkEnd w:id="152"/>
      <w:r>
        <w:rPr>
          <w:rtl w:val="true"/>
        </w:rPr>
        <w:t>إذا عرف المالك وجَهل المقدار</w:t>
      </w:r>
      <w:bookmarkEnd w:id="153"/>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المالك وجَهل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المصالحة مع المالك، وحلّية المال بها، إنّما الكلام فيما إذا لم يوافق المالك على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تخميسه وحليّة المال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دفع الأقلّ المعلوم إلى المالك، والرجوع في الزائد المشكوك فيه إلى القرعة، وقوّاه شيخنا المرتضى</w:t>
      </w:r>
      <w:r>
        <w:rPr>
          <w:rStyle w:val="FootnoteAnchor"/>
          <w:rtl w:val="true"/>
        </w:rPr>
        <w:footnoteReference w:id="462"/>
      </w:r>
      <w:r>
        <w:rPr>
          <w:rFonts w:ascii="Amiri" w:hAnsi="Amiri" w:eastAsia="Amiri" w:cs="Amiri"/>
          <w:color w:val="111111"/>
          <w:sz w:val="28"/>
          <w:sz w:val="28"/>
          <w:szCs w:val="28"/>
          <w:rtl w:val="true"/>
          <w:lang w:bidi="ar-SA"/>
        </w:rPr>
        <w:t>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صلح الإجبار ودفع وجه الصلح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جماعةٌ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الأقلّ‌، والاكتفاء به إذا كان المال في يده، وإلّا فالتوزيع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 ذلك المحقّق الهمداني</w:t>
      </w:r>
      <w:r>
        <w:rPr>
          <w:rStyle w:val="FootnoteAnchor"/>
          <w:rtl w:val="true"/>
        </w:rPr>
        <w:footnoteReference w:id="465"/>
      </w:r>
      <w:r>
        <w:rPr>
          <w:rFonts w:ascii="Amiri" w:hAnsi="Amiri" w:eastAsia="Amiri" w:cs="Amiri"/>
          <w:color w:val="111111"/>
          <w:sz w:val="28"/>
          <w:sz w:val="28"/>
          <w:szCs w:val="28"/>
          <w:rtl w:val="true"/>
          <w:lang w:bidi="ar-SA"/>
        </w:rPr>
        <w:t>رحمه الله واستقرب وجوب إعطاء الأكثر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الأخبار الواردة في مجهول المالك أنّ الخُمس تحديدٌ لمقدار الحرام الممتزج المجهول مقداره، بلا دخل للجهل بمالكه فيه، كما يشير إليه التعليل في خبر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قد رَضي من ذلك المال بالخُمس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تلك النصوص مجهولُ المالك الذي تكون ولايته منتقلة عن مالكه إلى اللّه تعالى‌، كما يشير إليه التعليل المذكور، والتعدّي عنه إلى ما عُلم مالكه قياسٌ مع الفارق، مع أنّك عرفت أنّ التعليل من جهة أنّ المراد من الخُمس الواقع فيه، هو الخُمس المعهود يعدّ تعبّديّاً محضاً، فلا وجه للتعدّي عن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إنّما يرجع إليه مع عدم انحلال العلم الإجمالي، وستعرف أنّه منحلٌّ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لكثرة ورود التخصيص عليه، وموهونيّة أصالة العموم فيه، بحدٍّ لايمكن الرجوع إليها، لا يُعتمد عليه إلّافي موارد عمل الأصحاب واعتمادهم على القُرعة، وليس المورد منها،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الزائد المشكوك فيه مالٌ مردّدٌ بين شخصين، لا طريق إلى إحراز كونه لأحدهما، فيتعيّن صلح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في بيان المختار، وهو أنّ العلم الإجمالي باشتمال المال على الحرام، لكون المعلوم مردّداً بين الأقلّ والأكثر، لا محالة ينحلّ إلى العلم بكون الأقلّ للغير، والشكّ في الزائد عليه، فيجبُ رَدّ الأقلّ إليه، وأمّا الزائد المشكوك فيه، فيرجع فيه إلى ما تقتضيه قاعدة اليد، من كونه مِلْكاً لصاحب اليد، بناءً على ما هو الحقّ من انحلال العلم الإجمالي في موارد دوران الأمر بين الأقلّ والأكثر، وجريان الأصل النافي للتكليف أو الأمارة النافية في الأكثر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يده على المجموع بما أنّها عادية، فجريان يده عليه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يده على المقدار الأقلّ عادية، والزائد عليه لم يَثبُت كونها كذلك، فيُحكم بملكيّته له بمقتضى قاعدة اليد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قاعدة اليد، فيما إذا كان للشخص يدٌ على عينٍ‌، وإنّما تختصّ حجّيتها بيد الغير عند الشكّ في ملكيّته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محلّه من أنّها حجّة مطلقاً للسيرة والنصوص، وتمام الكلام في محلّه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المال في يده، وإلّا فمقتضى أصالة البراءة، وإنْ كان عدم وجوب رَدّ المشكوك فيه إلى الغير، إلّاأنّه لا يثبت بها كونه مالكاً له، وحينئذٍ قد يحتمل لزوم التوزيع والتنصيف لقاعدة العدل والإنصاف المصطادة من النصوص الواردة في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قاعدة كليّة منها في غاية الإشكال، والقرعة قد عرفت ما فيها، فيتعيّن أن يُصالحهما الحاكم، أو يجبرهما على الصلح، والأحوط أنْ يكون الصلح بالمتوسّط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ضعف القولين الآخرين، وانقدح أنّ الأوجه فيما إذا كان المال في يده، الإكتفاء بدفع الأقلّ المعلوم إلى الغير، وإذا لم يكن في يده ذلك، هو المعاملة مع المقدار المشكوك فيه معاملة المال المردّد بين شخصين من إجبارهما الحاكم على الصلح، أو التولّي بنفسه له بالمتوسّط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ذكرناه من وجوب دفع الأقلّ‌، لابدّ من تقييده بتولّي الحاكم للقسمة أو إجباره له على ذلك، فإنّه لا ولاية لذي اليد عليها حتّى يحلّ الباقي له إنْ امتنع عنها بعد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مقدار الحرام ومالكه، وحكمها واضحٌ ممّا سبق ذكره وهو وجوب دفعه إليه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4" w:name="pg11804_116580"/>
    </w:p>
    <w:p>
      <w:pPr>
        <w:pStyle w:val="BookText"/>
        <w:rPr/>
      </w:pPr>
      <w:bookmarkEnd w:id="154"/>
      <w:r>
        <w:rPr>
          <w:rFonts w:ascii="Amiri" w:hAnsi="Amiri" w:eastAsia="Amiri" w:cs="Amiri"/>
          <w:color w:val="111111"/>
          <w:sz w:val="28"/>
          <w:sz w:val="28"/>
          <w:szCs w:val="28"/>
          <w:rtl w:val="true"/>
          <w:lang w:bidi="ar-SA"/>
        </w:rPr>
        <w:t>إذا كان كلّ من المالك والمقدار مجهولاً</w:t>
      </w:r>
    </w:p>
    <w:p>
      <w:pPr>
        <w:pStyle w:val="Heading3"/>
        <w:numPr>
          <w:ilvl w:val="2"/>
          <w:numId w:val="1"/>
        </w:numPr>
        <w:rPr/>
      </w:pPr>
      <w:bookmarkStart w:id="155" w:name="__RefHeading___Toc10579772_73709187"/>
      <w:bookmarkStart w:id="156" w:name="_Toc52"/>
      <w:bookmarkEnd w:id="155"/>
      <w:r>
        <w:rPr>
          <w:rtl w:val="true"/>
        </w:rPr>
        <w:t>إذا كان كلّ من المالك والمقدار مجهولاً</w:t>
      </w:r>
      <w:bookmarkEnd w:id="156"/>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قدر المال الحرام مجهولاً تفصيلاً، ومالكه مجهولاً كذلك، ولكن علم إجمالاً زيادته على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هو خارجٌ عن مورد أخبار الخُمس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المرتضى</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ومصباح الفقيه</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يكفي إخراج الخُمس في حليّة الباقي، كما هو ظاهر فتاوى المشهور،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من لزوم الاكتفاء بالخُمس لحِلّ ما عُلم من ضرورة الدين خلافه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المرتضى رحمه الله</w:t>
      </w:r>
      <w:r>
        <w:rPr>
          <w:rStyle w:val="FootnoteAnchor"/>
          <w:rtl w:val="true"/>
        </w:rPr>
        <w:footnoteReference w:id="473"/>
      </w:r>
      <w:r>
        <w:rPr>
          <w:rFonts w:ascii="Amiri" w:hAnsi="Amiri" w:eastAsia="Amiri" w:cs="Amiri"/>
          <w:color w:val="111111"/>
          <w:sz w:val="28"/>
          <w:sz w:val="28"/>
          <w:szCs w:val="28"/>
          <w:rtl w:val="true"/>
          <w:lang w:bidi="ar-SA"/>
        </w:rPr>
        <w:t>من أنّ ظاهر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اللّه قد رَضي من ذلك المال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الخُمس عن الزائد الواقعي، لو ثبت في المال لا </w:t>
      </w:r>
    </w:p>
    <w:p>
      <w:pPr>
        <w:pStyle w:val="BookText"/>
        <w:rPr/>
      </w:pPr>
      <w:r>
        <w:rPr>
          <w:rFonts w:ascii="Amiri" w:hAnsi="Amiri" w:eastAsia="Amiri" w:cs="Amiri"/>
          <w:color w:val="111111"/>
          <w:sz w:val="28"/>
          <w:sz w:val="28"/>
          <w:szCs w:val="28"/>
          <w:rtl w:val="true"/>
          <w:lang w:bidi="ar-SA"/>
        </w:rPr>
        <w:t>المعلوم، وبه يقيّد 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بأنّ النصوص لاشتمالها على التعليل، لا تشمل صورة العلم إجمالاً بكون الحرام أقلّ من الخُمس، كما سيأتي تقريبه، وحيث أنّ التفكيك بين هذه الصورة، وبين صورة العلم بالزيادة لا يخلو عن بُعدٍ، فتلك الصورة أيضاً خارجة عن مورد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النصوص عن مثل الفرض، لاسيّما بملاحظة استبعاد التحليل للحرام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ولاية الخليط بما أنّها انتقلت عن مالكه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فرضاه بالخُمس منه، لا يلزم منه تحليل ما عُلم من ضرورة الدين خلافه، مع أنّ أصل تشريع الخُمس يعدّ في نفسه مخالفاً لذلك، كما لا يخفى‌، فهذا لا يكون مانعاً عن العمل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التعليل بإطلاقه يشمل ما لو علم زيادته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ما سيأتي من عدم دلالة التعليل على خروج صورة العلم بالنقيصة عن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بينهما لا مانع منه بعد مساعدة الدليل، مع أنّ المحقّق الهمداني رحمه الله لا يُسلّم دلالة ما تضمّن التعليل على هذا الحكم، ويراه أجنبيّاً عن ذلك، فكيف يستدلّ بالتعليل ويلتزم بتقييد إطلاق سائر النصوص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الانصراف الصالح لتقييد الإطلاق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فالأوجه هو الاكتفاء بإخراج الخُمس في الفرض، ولو علم كونه أقلّ من الخُمس، ففيه الوجهان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شمول النصوص لهذه الصورة، بأنّ الظاهر من التعليل وروده في مقام التخفيف والإرفاق، فلا يناسبه الالزام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التخفيف بلحاظ أنّ الخليط المجهول مالكه، أوجب عدم جواز التصرّف في جميع المال، فبعد انتقال ولايته عن المالك إلى اللّه تعالى‌، رَضي عزّ وجلّ بإخراج الخُمس في حليّة الباقي، فالأظهر كون هذه الصورة أيضاً مشمولة لأخبار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تسليم عدم شمولها لهاتين الصورتين، المتعيّن فيهما لزوم التصدّق بالمتيقّن على القول بانحلال العلم الإجمالي عند دوران الأمر بين الأقلّ والأكثر، كما هو الصحيح، أو بما يتيقّن معه بالبراءة على القول بعدم الانحلال في أمثال المقام، كما اختاره المحقّق الهمداني</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بوجوب دفع الجميع خُمساً، أو صرف خُمسه في مصرف الخُمس، والزائد صدقةً‌، فضعيفٌ غايته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7" w:name="pg11804_116583"/>
    </w:p>
    <w:p>
      <w:pPr>
        <w:pStyle w:val="BookText"/>
        <w:rPr/>
      </w:pPr>
      <w:bookmarkEnd w:id="157"/>
      <w:r>
        <w:rPr>
          <w:rFonts w:ascii="Amiri" w:hAnsi="Amiri" w:eastAsia="Amiri" w:cs="Amiri"/>
          <w:color w:val="111111"/>
          <w:sz w:val="28"/>
          <w:sz w:val="28"/>
          <w:szCs w:val="28"/>
          <w:rtl w:val="true"/>
          <w:lang w:bidi="ar-SA"/>
        </w:rPr>
        <w:t>حكم العلم بمقدار الحرام مع الجهل بصاحبه</w:t>
      </w:r>
    </w:p>
    <w:p>
      <w:pPr>
        <w:pStyle w:val="Heading3"/>
        <w:numPr>
          <w:ilvl w:val="2"/>
          <w:numId w:val="1"/>
        </w:numPr>
        <w:rPr/>
      </w:pPr>
      <w:bookmarkStart w:id="158" w:name="__RefHeading___Toc10579774_73709187"/>
      <w:bookmarkStart w:id="159" w:name="_Toc53"/>
      <w:bookmarkEnd w:id="158"/>
      <w:r>
        <w:rPr>
          <w:rtl w:val="true"/>
        </w:rPr>
        <w:t>حكم العلم بمقدار الحرام مع الجهل بصاحبه</w:t>
      </w:r>
      <w:bookmarkEnd w:id="15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قدر المال الحرام، ولم يعلم صاحبه بعينه ولكن عرفه في عددٍ محصور، فلا إشكال في عدم كون المورد مشمولاً لأخبار الخُمس، لاختصاصها بصورة الجهل بالمقدار، وحينئذٍ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يجبُ إجراء حكم مجهول المالك عليه‌؟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يجب استخراج المالك بالقرعة‌؟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يجب توزيع ذلك المقدار عليهم بالسَّوية‌؟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يجب التخلّص من الجميع ولو بإرضائهم بأيّ وجهٍ كان‌؟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الدالّة على لزوم التصدّق بما لم يعلم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بما إذا لم يمكن إيصال المال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تردّد المالك بين افراد غير محصورين يوجب عدم شمول النصوص المذكورة لهذا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الصورة الثالثة من صور الحرام المخلوط بالحلال، من عدم صحّة التمسّك بتلك النصوص، كما أنّه تقدّم أنّ إثبات قاعدة العدل والإنصاف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يمكن أنْ يستدلّ به للثالث، وما 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المقام 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يده على مال الغير إنْ كانت يداً عدوانيّة، فمقتضى العلم الإجمالي بوجوب الرّد إلى مالكه، الثابت بحديث على اليد</w:t>
      </w:r>
      <w:r>
        <w:rPr>
          <w:rStyle w:val="FootnoteAnchor"/>
          <w:rtl w:val="true"/>
        </w:rPr>
        <w:footnoteReference w:id="476"/>
      </w:r>
      <w:r>
        <w:rPr>
          <w:rFonts w:ascii="Amiri" w:hAnsi="Amiri" w:eastAsia="Amiri" w:cs="Amiri"/>
          <w:color w:val="111111"/>
          <w:sz w:val="28"/>
          <w:sz w:val="28"/>
          <w:szCs w:val="28"/>
          <w:rtl w:val="true"/>
          <w:lang w:bidi="ar-SA"/>
        </w:rPr>
        <w:t>، وجوب التخلّص من الجميع، ولو بإرضائهم بأيّ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ضررٌ منفيٌّ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لكونه مقدّماً في ذلك، لا يصحّ التمسّك بالأدلّة النافية للضرر، كما لو فرض أنّ اللَّص سَرَق مِنْ مال شخصٍ شيئاً، ثمّ أراد ردّه إليه، وتوقّف ذلك على مصارف، فإنّه لا يمكن نفي وجوب ردّه إليه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تكن يده عليه عدوانيّة، كما لو أودعه المالك، فتردّد بين عددٍ محصور، فإنّه لا مورد للرجوع إلى قاعدة اليد، لأنّ ذلك ضررٌ منفيّ بالأدلّة، ولا نفي الضرر في حقّ المالك، لأنّ المختار عند دوران الأمر بين ضرر الشخص وضرر غيره في أمثال المقام، ليس هو التساقط، والرجوع إلى القواعد، فإنّ إلزام الشخص بتحمّل الضرر بدفع ما به يدفع الضرر عن الغير، بلا مُلزمٍ‌، كما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فيتعيّن دفع ذلك المقدار إلى الحاكم، ويعامل هو معه معاملة مالٍ مردّد بين أشخاص، وقد عرفت المختار في حكمه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يظهر حكم ما لو لم يعلم قدر المال، لكن عرف وجود صاحبه بين عددٍ محصور، فإنّه بعد الأخذ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من انحلال العلم الإجمالي عند دوران الأمر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ذكرناه في المقام، بناءً‌د</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هو الصحيح من اختصاص نصوص الخُمس بصورة عدم العلم بالمالك، ولو إجمالاً، كما هو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فيما إذا كانت يده على جميع المال، وإلّا فبالنسبة إلى الزائد على الأقلّ المشكوك كونه له أو لغيره، يكون المالك كأحد الأفراد الذين يكون المال مردّداً بينهم، فيجري فيه ما ذكرناه</w:t>
      </w:r>
      <w:r>
        <w:rPr>
          <w:rFonts w:eastAsia="Amiri" w:cs="Amiri" w:ascii="Amiri" w:hAnsi="Amiri"/>
          <w:color w:val="111111"/>
          <w:sz w:val="28"/>
          <w:szCs w:val="28"/>
          <w:rtl w:val="true"/>
          <w:lang w:bidi="ar-SA"/>
        </w:rPr>
        <w:t>.</w:t>
      </w:r>
      <w:bookmarkStart w:id="160" w:name="pg11804_116586"/>
    </w:p>
    <w:p>
      <w:pPr>
        <w:pStyle w:val="BookText"/>
        <w:rPr/>
      </w:pPr>
      <w:bookmarkEnd w:id="160"/>
      <w:r>
        <w:rPr>
          <w:rFonts w:ascii="Amiri" w:hAnsi="Amiri" w:eastAsia="Amiri" w:cs="Amiri"/>
          <w:color w:val="111111"/>
          <w:sz w:val="28"/>
          <w:sz w:val="28"/>
          <w:szCs w:val="28"/>
          <w:rtl w:val="true"/>
          <w:lang w:bidi="ar-SA"/>
        </w:rPr>
        <w:t>ثبوت حقّ الغير في الذّمة</w:t>
      </w:r>
    </w:p>
    <w:p>
      <w:pPr>
        <w:pStyle w:val="Heading3"/>
        <w:numPr>
          <w:ilvl w:val="2"/>
          <w:numId w:val="1"/>
        </w:numPr>
        <w:rPr/>
      </w:pPr>
      <w:bookmarkStart w:id="161" w:name="__RefHeading___Toc10579776_73709187"/>
      <w:bookmarkStart w:id="162" w:name="_Toc54"/>
      <w:bookmarkEnd w:id="161"/>
      <w:r>
        <w:rPr>
          <w:rtl w:val="true"/>
        </w:rPr>
        <w:t>ثبوت حقّ الغير في الذّمة</w:t>
      </w:r>
      <w:bookmarkEnd w:id="16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الثابت في الذّمة حقّ الغير لا عين ماله، فلا محلّ للخُمس، لإختصاص النصوص بالمختلط غير الشامل للذّمي، فإنّ ما في الذّمة كُلّيٌ لا معنى للاختلاط فيه،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جنسه ولم يعلم صاحبه تصدّق به عنه على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w:t>
      </w:r>
      <w:r>
        <w:rPr>
          <w:rStyle w:val="FootnoteAnchor"/>
          <w:rtl w:val="true"/>
        </w:rPr>
        <w:footnoteReference w:id="479"/>
      </w:r>
      <w:r>
        <w:rPr>
          <w:rFonts w:ascii="Amiri" w:hAnsi="Amiri" w:eastAsia="Amiri" w:cs="Amiri"/>
          <w:color w:val="111111"/>
          <w:sz w:val="28"/>
          <w:sz w:val="28"/>
          <w:szCs w:val="28"/>
          <w:rtl w:val="true"/>
          <w:lang w:bidi="ar-SA"/>
        </w:rPr>
        <w:t>الواردة في الموارد المتفرّقة، حيث يُستنبط منها أنّ حكم المال مجهول المالك هو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كان له على رجلٍ حقٌّ ففقده، ولا يدري أينَ يطلبه، ولا يدري حَيٌّ هو أم ميّت، ولا يعرف له وارثاً ولا نَسَباً ولا ولداً؟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فأتصدّق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لما قيل من ظهوره في الصَّدقة، فإنّ إرادة الصَّدقة من الطلب كما ترى‌، بل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لرجاء إيصاله إليه، بل لأنّ الظاهر منه أنّه كان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التصدّق به عند اليأس عن إيصاله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مغروساً في ذهن السائل، وكان يسأل عن أنّ هذا المقدار من الطلب هل يكفي أم لا، وقد قرّره الإمام عليه السلام على ذلك، ولكن أمره بالطلب رجاء الوقوف عليه وإيصاله إليه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 الذي رواه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تجد وارثاً، وعرف </w:t>
      </w:r>
    </w:p>
    <w:p>
      <w:pPr>
        <w:pStyle w:val="BookText"/>
        <w:rPr/>
      </w:pPr>
      <w:r>
        <w:rPr>
          <w:rFonts w:ascii="Amiri" w:hAnsi="Amiri" w:eastAsia="Amiri" w:cs="Amiri"/>
          <w:color w:val="111111"/>
          <w:sz w:val="28"/>
          <w:sz w:val="28"/>
          <w:szCs w:val="28"/>
          <w:rtl w:val="true"/>
          <w:lang w:bidi="ar-SA"/>
        </w:rPr>
        <w:t>اللّه منك الجَهد فتصدّق بها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وأنْ يكون ذلك بإذن الحاكم، إذ لا إطلاق لما تضمّن الأمر بالصدقة، فلابدّ من الاقتصار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دعوى الأولويّة من المال الختلط أو المتميّز الخارجي، الذي دلّ الدليل على لزوم كون التصدّق بإذن الحاكم،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صاحبه في عددٍ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ثبوته في ذمّته بغير وجهٍ مُجازٍ شرعي، وجب عليه التخلّص من الجميع، ولو بإرضائهم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وجهٍ شرعي، فيعامل مع ما في ذمّته معاملة المال المردّد بين عدد محصور، الذي تقدّم حكمه في المسألة السابقة، وتقدّم في تلك المسألة ضعف القول بالتوزيع والقرعة،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جنسه ولم يعلم مقداره، بأنْ تردّد بين الأقلّ والأكثر، أخذ بالأقلّ المتيقّن، لانحلال العلم الإجمالي بالعلم بضمان الأقلّ‌، والشكّ في ضمان الزائد، فتجري أصالة البراءة عن ضمانه، وحُكم الأقلّ حينئذٍ حكم ما علم جنسه ومقداره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جنسه، وكان قيميّاً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ثبوته في الذّمة بسبب الإتلاف، وشبهه، وقلنا فيه بأنّه تثبت في الذّمة حينئذٍ القيمة، فحكمه حكم سابقه بل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ثبوته فيها لذلك، وقلنا فيه بأنّه يثبت في الذّمة نفس الجنس القيمي، أو كان ثبوته فيها بسبب عقدٍ من العقود، وجب الاحتياط إنْ كان ذلك على وجهٍ غير شرعي، وإلّا فيتعيّن الصلح مع المالك، لما في الذّمة عند العلم به، ومع الجهل فمع الحاكم، لأنّ له الولاية على الفقراء كما يظهر ممّا أسلفناه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حكم ما لو كان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163" w:name="pg11804_116589"/>
    </w:p>
    <w:p>
      <w:pPr>
        <w:pStyle w:val="BookText"/>
        <w:rPr/>
      </w:pPr>
      <w:bookmarkEnd w:id="163"/>
      <w:r>
        <w:rPr>
          <w:rFonts w:ascii="Amiri" w:hAnsi="Amiri" w:eastAsia="Amiri" w:cs="Amiri"/>
          <w:color w:val="111111"/>
          <w:sz w:val="28"/>
          <w:sz w:val="28"/>
          <w:szCs w:val="28"/>
          <w:rtl w:val="true"/>
          <w:lang w:bidi="ar-SA"/>
        </w:rPr>
        <w:t>لو تبيّن المالك بعد إخراج الخُمس</w:t>
      </w:r>
    </w:p>
    <w:p>
      <w:pPr>
        <w:pStyle w:val="Heading3"/>
        <w:numPr>
          <w:ilvl w:val="2"/>
          <w:numId w:val="1"/>
        </w:numPr>
        <w:rPr/>
      </w:pPr>
      <w:bookmarkStart w:id="164" w:name="__RefHeading___Toc10579778_73709187"/>
      <w:bookmarkStart w:id="165" w:name="_Toc55"/>
      <w:bookmarkEnd w:id="164"/>
      <w:r>
        <w:rPr>
          <w:rtl w:val="true"/>
        </w:rPr>
        <w:t>لو تبيّن المالك بعد إخراج الخُمس</w:t>
      </w:r>
      <w:bookmarkEnd w:id="16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المالك بعد إخراج الخُمس، فهل يكون الدافع ضامناً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وغيرهما</w:t>
      </w:r>
      <w:r>
        <w:rPr>
          <w:rStyle w:val="FootnoteAnchor"/>
          <w:rtl w:val="true"/>
        </w:rPr>
        <w:footnoteReference w:id="48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اليد الثابتة بالحديث المشهور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قد أتلف مال الغير فهو له ضامن، والاذن في إخراج الخُمس إنّما يقتضي دفع الإثم لا الضمان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w:t>
      </w:r>
      <w:r>
        <w:rPr>
          <w:rStyle w:val="FootnoteAnchor"/>
          <w:rtl w:val="true"/>
        </w:rPr>
        <w:footnoteReference w:id="490"/>
      </w:r>
      <w:r>
        <w:rPr>
          <w:rFonts w:ascii="Amiri" w:hAnsi="Amiri" w:eastAsia="Amiri" w:cs="Amiri"/>
          <w:color w:val="111111"/>
          <w:sz w:val="28"/>
          <w:sz w:val="28"/>
          <w:szCs w:val="28"/>
          <w:rtl w:val="true"/>
          <w:lang w:bidi="ar-SA"/>
        </w:rPr>
        <w:t>ورد في التصدّق باللُّقطة إذا لم يرض صاحبها بالأجر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الحكم بإخراج الخُمس، وحليَّة الباقي مشروطٌ بعدم ظهور صاحبه، كما هو الشأن في جميع الأحكام المترتّبة على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قاعدة اليد لا مجال للرجوع إليها بعد فرض أمر الشارع لزوماً بدفع الخُمس، والتعليل بأنّه قد انتقل ولاية الخليط عن المالك مع الجهل به إلى اللّه </w:t>
      </w:r>
    </w:p>
    <w:p>
      <w:pPr>
        <w:pStyle w:val="BookText"/>
        <w:rPr/>
      </w:pPr>
      <w:r>
        <w:rPr>
          <w:rFonts w:ascii="Amiri" w:hAnsi="Amiri" w:eastAsia="Amiri" w:cs="Amiri"/>
          <w:color w:val="111111"/>
          <w:sz w:val="28"/>
          <w:sz w:val="28"/>
          <w:szCs w:val="28"/>
          <w:rtl w:val="true"/>
          <w:lang w:bidi="ar-SA"/>
        </w:rPr>
        <w:t>تعالى، وأنّه عزّ وجلّ قد رضى بذلك، لأنّ إخراج الخُمس حينئذٍ إنّما يكون مراضاةً بين مالك الحلال وبينه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فستعرف أنّه لا يتعدّى عن مورده إلى سائر أقسام مجهول المالك، الذي حكمه الصَّدقة، فضلاً عمّا حكمه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الحكم ليس حكماً ظاهريّاً، إذ الحكم الظاهري إنّما يكون فيما احتمل مطابقته للواقع، وهذا الحكم المعلوم كونه مخالفاً للواقع، لابدّ وأنْ يكون حكماً واقعيّاً ثانويّاً، والقاعدة تقتضي الإجزاء ولو مع انكشاف الحال، كما هو مقتضى إطلاق الأدلّة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عدم الضمان</w:t>
      </w:r>
      <w:r>
        <w:rPr>
          <w:rFonts w:eastAsia="IRNazanin" w:cs="IRNazanin"/>
          <w:color w:val="111111"/>
          <w:sz w:val="28"/>
          <w:szCs w:val="28"/>
          <w:rtl w:val="true"/>
          <w:lang w:bidi="fa-IR"/>
        </w:rPr>
        <w:t>.</w:t>
      </w:r>
      <w:bookmarkStart w:id="166" w:name="pg11804_116591"/>
    </w:p>
    <w:p>
      <w:pPr>
        <w:pStyle w:val="BookText"/>
        <w:rPr/>
      </w:pPr>
      <w:bookmarkEnd w:id="166"/>
      <w:r>
        <w:rPr>
          <w:rFonts w:ascii="Amiri" w:hAnsi="Amiri" w:eastAsia="Amiri" w:cs="Amiri"/>
          <w:color w:val="111111"/>
          <w:sz w:val="28"/>
          <w:sz w:val="28"/>
          <w:szCs w:val="28"/>
          <w:rtl w:val="true"/>
          <w:lang w:bidi="ar-SA"/>
        </w:rPr>
        <w:t>حكم خلط الحرام المجهول مالكه</w:t>
      </w:r>
    </w:p>
    <w:p>
      <w:pPr>
        <w:pStyle w:val="Heading3"/>
        <w:numPr>
          <w:ilvl w:val="2"/>
          <w:numId w:val="1"/>
        </w:numPr>
        <w:rPr/>
      </w:pPr>
      <w:bookmarkStart w:id="167" w:name="__RefHeading___Toc10579780_73709187"/>
      <w:bookmarkStart w:id="168" w:name="_Toc56"/>
      <w:bookmarkEnd w:id="167"/>
      <w:r>
        <w:rPr>
          <w:rtl w:val="true"/>
        </w:rPr>
        <w:t>حكم خلط الحرام المجهول مالكه</w:t>
      </w:r>
      <w:bookmarkEnd w:id="16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الحرام المجهول مالكه معيّناً، وتنجّز التكليف بالتصدّق به، فخلطه بالحلال، فهل يبقي على حكمه من التصدّق‌؟</w:t>
      </w:r>
    </w:p>
    <w:p>
      <w:pPr>
        <w:pStyle w:val="BookText"/>
        <w:rPr/>
      </w:pPr>
      <w:r>
        <w:rPr>
          <w:rFonts w:ascii="Amiri" w:hAnsi="Amiri" w:eastAsia="Amiri" w:cs="Amiri"/>
          <w:color w:val="111111"/>
          <w:sz w:val="28"/>
          <w:sz w:val="28"/>
          <w:szCs w:val="28"/>
          <w:rtl w:val="true"/>
          <w:lang w:bidi="ar-SA"/>
        </w:rPr>
        <w:t>أم يُجزيه إخراج خُمسه‌؟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أوّلهما الشيخ الأعظم</w:t>
      </w:r>
      <w:r>
        <w:rPr>
          <w:rStyle w:val="FootnoteAnchor"/>
          <w:rtl w:val="true"/>
        </w:rPr>
        <w:footnoteReference w:id="491"/>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وتبعهما جماعة</w:t>
      </w:r>
      <w:r>
        <w:rPr>
          <w:rStyle w:val="FootnoteAnchor"/>
          <w:rtl w:val="true"/>
        </w:rPr>
        <w:footnoteReference w:id="493"/>
      </w:r>
      <w:r>
        <w:rPr>
          <w:rFonts w:ascii="Amiri" w:hAnsi="Amiri" w:eastAsia="Amiri" w:cs="Amiri"/>
          <w:color w:val="111111"/>
          <w:sz w:val="28"/>
          <w:sz w:val="28"/>
          <w:szCs w:val="28"/>
          <w:rtl w:val="true"/>
          <w:lang w:bidi="ar-SA"/>
        </w:rPr>
        <w:t xml:space="preserve">، وثانيهما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رحمه الله وشيخه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حيث أنّمالكه الفقراءقبل التخليط، فهو كمعلوم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وجوب الخُمس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بالمقدار، والجهل بمالكه، وفي الفرض قبل التخليط، وإنْ كان مجهول المالك، إلّاأنّه من جهة الحكم بالتصدّق به على الفقراء، أصبح معلوم المالك، وبعد التخليط وإنْ كان مجهول المقدار، إلّاأنّه معلوم المالك، فلم يجتمع القيدان في وقتٍ واحد، كي يترتّب عليه وجوب الخُمس</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التقريب ظهر أنّ ما أورده بعض الأعاظم</w:t>
      </w:r>
      <w:r>
        <w:rPr>
          <w:rStyle w:val="FootnoteAnchor"/>
          <w:rtl w:val="true"/>
        </w:rPr>
        <w:footnoteReference w:id="496"/>
      </w:r>
      <w:r>
        <w:rPr>
          <w:rFonts w:ascii="Amiri" w:hAnsi="Amiri" w:eastAsia="Amiri" w:cs="Amiri"/>
          <w:color w:val="111111"/>
          <w:sz w:val="28"/>
          <w:sz w:val="28"/>
          <w:szCs w:val="28"/>
          <w:rtl w:val="true"/>
          <w:lang w:bidi="ar-SA"/>
        </w:rPr>
        <w:t xml:space="preserve">على هذا الوجه، بأنّ الغالب في الاختلاط، كونه بعد التمييز، والتمييز كما يكون مع العلم بالمالك، يكون مع </w:t>
      </w:r>
    </w:p>
    <w:p>
      <w:pPr>
        <w:pStyle w:val="BookText"/>
        <w:rPr/>
      </w:pPr>
      <w:r>
        <w:rPr>
          <w:rFonts w:ascii="Amiri" w:hAnsi="Amiri" w:eastAsia="Amiri" w:cs="Amiri"/>
          <w:color w:val="111111"/>
          <w:sz w:val="28"/>
          <w:sz w:val="28"/>
          <w:szCs w:val="28"/>
          <w:rtl w:val="true"/>
          <w:lang w:bidi="ar-SA"/>
        </w:rPr>
        <w:t>الجهل به، فتخصيص النصوص بغير الفرض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 إذ وجه الاستشكال في الشمول، إنّما هو عدم اجتماع القيدين في وقتٍ واحد، لا كون الاختلاط بعد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سابقاً وذكره في المقام في ردّ هذا الوجه،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موضوع النصوص، هو ما جَهل مالكه الأصلي، فيشمل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بكونه خلاف الظاهر، إذ الظاهر من كونه مجهول المالك، هو ما جُهل مالكه الفعلي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بالتصدّق ظاهرٌ في عدم كون الفقير مالكاً قبل التصدّق، ولو كان واجباً، وليس من قبيل دفع المال إلى صاحبه، بل من قبيل دفع ما فيه حقّ الغير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القيدان مجتمعين، لأنّه مجهول المقدار والمالك، فيترتّب عليه حكمه، وهو الإجتزاء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التصدّق يكون من يَجبُ دفع مقدارٍ من المال إليه معلوماً، فهو كمعلوم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الدفع إلى قبيل أو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واجباً ابتداءً كما في الخُمس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واجباً من حيث كون المال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يتمّ في الأوّل دون الثاني، كما لا يخفى‌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الحرام المختلط في الحلال من الخُمس أو الزكاة أو الوقف، فهو كمعلوم المالك، كما عن جماعة من المتأخّرين منهم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97"/>
      </w:r>
      <w:r>
        <w:rPr>
          <w:rFonts w:ascii="Amiri" w:hAnsi="Amiri" w:eastAsia="Amiri" w:cs="Amiri"/>
          <w:color w:val="111111"/>
          <w:sz w:val="28"/>
          <w:sz w:val="28"/>
          <w:szCs w:val="28"/>
          <w:rtl w:val="true"/>
          <w:lang w:bidi="ar-SA"/>
        </w:rPr>
        <w:t>رحمه الله، والشيخ الأعظم</w:t>
      </w:r>
      <w:r>
        <w:rPr>
          <w:rStyle w:val="FootnoteAnchor"/>
          <w:rtl w:val="true"/>
        </w:rPr>
        <w:footnoteReference w:id="498"/>
      </w:r>
      <w:r>
        <w:rPr>
          <w:rFonts w:ascii="Amiri" w:hAnsi="Amiri" w:eastAsia="Amiri" w:cs="Amiri"/>
          <w:color w:val="111111"/>
          <w:sz w:val="28"/>
          <w:sz w:val="28"/>
          <w:szCs w:val="28"/>
          <w:rtl w:val="true"/>
          <w:lang w:bidi="ar-SA"/>
        </w:rPr>
        <w:t>، لأنّ الخُمس وإخوته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مِلْكاً لأربابها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من الحقوق الماليّة المتعلّقة بالأعيان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لما ذكرناه، إذ لا فرق بين كون المالك شخصاً خارجيّاً، أم عنواناً كليّاً قابلاً للانطباق على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من يجب دفع مقدار من المال إليه معلومٌ‌، فهو كمعلوم المالك، ولا يكون داخلاً تحت عنوان مجهول المالك الذي يكون حكمه التخميس أو التصدّق، ولو لم يعلم كون الخليط من الزكاة أو الخُمس، فهو كالمال المتردّد بين مالكين، فلابدَّ من التوزيع عليهما بمقتضى قاعدة العدل والإنصاف</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9" w:name="pg11804_116594"/>
    </w:p>
    <w:p>
      <w:pPr>
        <w:pStyle w:val="BookText"/>
        <w:rPr/>
      </w:pPr>
      <w:bookmarkEnd w:id="169"/>
      <w:r>
        <w:rPr>
          <w:rFonts w:ascii="Amiri" w:hAnsi="Amiri" w:eastAsia="Amiri" w:cs="Amiri"/>
          <w:color w:val="111111"/>
          <w:sz w:val="28"/>
          <w:sz w:val="28"/>
          <w:szCs w:val="28"/>
          <w:rtl w:val="true"/>
          <w:lang w:bidi="ar-SA"/>
        </w:rPr>
        <w:t>حكم التصرّف في المال المختلط قبل إخراج الخُمس</w:t>
      </w:r>
    </w:p>
    <w:p>
      <w:pPr>
        <w:pStyle w:val="Heading3"/>
        <w:numPr>
          <w:ilvl w:val="2"/>
          <w:numId w:val="1"/>
        </w:numPr>
        <w:rPr/>
      </w:pPr>
      <w:bookmarkStart w:id="170" w:name="__RefHeading___Toc10579782_73709187"/>
      <w:bookmarkStart w:id="171" w:name="_Toc57"/>
      <w:bookmarkEnd w:id="170"/>
      <w:r>
        <w:rPr>
          <w:rtl w:val="true"/>
        </w:rPr>
        <w:t>حكم التصرّف في المال المختلط قبل إخراج الخُمس</w:t>
      </w:r>
      <w:bookmarkEnd w:id="17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في المال المختلط قبل إخراج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يكون ذلك بالإتلاف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بالتبديل والمعاملة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الإتلاف، وفيه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يبقى على حكمه من لزوم إخراج خُمسه، وينتقل الخُمس إلى الذّمة، وقد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والشيخ الأعظم رحمه الله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يجري عليه حكم رَدّ المظالم، وهو وجوب التصدّق، وقد اختاره جماعة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وتوقّف في الإفتاء المحقّق الهمداني رحمه الله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الأوّل، لأنّ الخليط المجهول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لا يكون باقياً على مِلْك مالكه الأصلي ويكون خارجاً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باقياً عليه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داخلاً في مِلك اللّه تعالى‌، أو يكون خُمس المجموع </w:t>
      </w:r>
    </w:p>
    <w:p>
      <w:pPr>
        <w:pStyle w:val="BookText"/>
        <w:rPr/>
      </w:pPr>
      <w:r>
        <w:rPr>
          <w:rFonts w:ascii="Amiri" w:hAnsi="Amiri" w:eastAsia="Amiri" w:cs="Amiri"/>
          <w:color w:val="111111"/>
          <w:sz w:val="28"/>
          <w:sz w:val="28"/>
          <w:szCs w:val="28"/>
          <w:rtl w:val="true"/>
          <w:lang w:bidi="ar-SA"/>
        </w:rPr>
        <w:t>داخلاً في مِلْك أرباب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وإنْ كان هو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من الأدلّة من جهة إطلاق الحرام المختلط بالحلال ذلك، ولا ينافيه تعلّق الخُمس به، لما حقّقناه في محلّه من أنّ الخُمس المتعلّق بالشيء إنّما يكون حقّاً ماليّاً متعلّقاً به، لا أنّه مِلْكٌ لأربابه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على جميع التقادير لا وجه لإجراء حكم رَدّ المظالم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الحرام حينئذٍ غير محكوم بإيصاله إلى مالكه، بل جَعَل الشارع دفع خُمس المجموع مبرّءاً للذّمة، بدلاً عن إيصال المال إلى صاحبه، فإذا ثبت هذا الحكم له، فبالإتلاف لا تقتضي قاعدة اليد، سوى الخروج عن عُهدة الحرام بما جعله الشارع مُخرجاً لا بغيره، وليس هو إلّادفع خُمس المجموع، فالحرام المنتقل إلى الذّمة، إنّما ينتقل إليها مع هذا الوصف والحكم، فلا وجه لدعوى إجراء حكم مجهول المالك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يندفع ما ذكره المحقّق الهمداني رحمه الله</w:t>
      </w:r>
      <w:r>
        <w:rPr>
          <w:rStyle w:val="FootnoteAnchor"/>
          <w:rtl w:val="true"/>
        </w:rPr>
        <w:footnoteReference w:id="503"/>
      </w:r>
      <w:r>
        <w:rPr>
          <w:rFonts w:ascii="Amiri" w:hAnsi="Amiri" w:eastAsia="Amiri" w:cs="Amiri"/>
          <w:color w:val="111111"/>
          <w:sz w:val="28"/>
          <w:sz w:val="28"/>
          <w:szCs w:val="28"/>
          <w:rtl w:val="true"/>
          <w:lang w:bidi="ar-SA"/>
        </w:rPr>
        <w:t>القائل بأنّ‌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الخُمس بهذا القسم ليس على حسب تعلّقه بسائر ما يتعلّق به الخُمس، في كونه حقّاً فعليّاً لبني هاشم، بل الحرام الممتزج به مِلْكٌ لصاحبه، ولكن الشارع جَعَل تخميس المال بمنزلة إيصال ما فيه الحرام إلى أهله، في الخروج عن عهدته، وسببيّته لحلّ الباقي، وقضيّة ذلك اشتغال ذمّته لدى التصرّف فيه وإتلافه، بما فيه من مال الغير لمالكه، فيُشكل الفرق حينئذٍ بينه وبين الحرام المتميّز الذي أتلفه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وجهل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عدم التنافي بين صدق الحرام المختلطبالحلال، مع تعلّق الخُمس به كسائر الموارد التي يتعلّق بها الخُمس، فلا صارف لظهور مصحّح عمّار الدالّ على أنّ التعلّق في الجميع على نحوٍ واحد، وأنّ تعلّق الخُمس يوجبُ تبدّل ما تكون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مقتضية لدفعه إبراءً للذمّة إلى شيء آخر، وهو دفع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تصرّف فيه بالمعاوضة، كما إذا باعه مثلاً، فالظاهر عدم صحّة المعاملة، وكونها بالنسبة إلى مقدار الحرام فضوليّة، ولكن بما أنّ ولاية ذلك الحرام تكون مع الحاكم، فله إجازة المعاملة، فإنْ أجازها صار الثمن مختلطاً بالحرام، والمثمن مِلْكاً للمشتري، وإلّا فالمثمن مشتركٌ بين المشتري وبين مالكه الأصلي المجهول وحكمه التخميس، والثمن مشتركاً بين البائع والمشتري بمقدار الحرام، وذلك لأنّ مقداراً من المثمن ملكٌ للغير الذي يكون الحاكم وليّاً عليه، من جهة انتقال ولاية ماله إلى اللّه تعالى‌، كما هو مفاد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في هذه المعاملة ما ذكرناه في مبحث أرباح المكاسب</w:t>
      </w:r>
      <w:r>
        <w:rPr>
          <w:rStyle w:val="FootnoteAnchor"/>
          <w:rtl w:val="true"/>
        </w:rPr>
        <w:footnoteReference w:id="504"/>
      </w:r>
      <w:r>
        <w:rPr>
          <w:rFonts w:ascii="Amiri" w:hAnsi="Amiri" w:eastAsia="Amiri" w:cs="Amiri"/>
          <w:color w:val="111111"/>
          <w:sz w:val="28"/>
          <w:sz w:val="28"/>
          <w:szCs w:val="28"/>
          <w:rtl w:val="true"/>
          <w:lang w:bidi="ar-SA"/>
        </w:rPr>
        <w:t>من تصحيح المعاملة مع المال الذي فيه الخُمس في صورة قصد الأداء من مالٍ آخر، إذ فرقٌ بين البابين، حيث أنّ المانع عن صحّة المعاملة ونفوذها هناك، ليس إلّاتعلّق حقّ الغير به، وأمّا المال فهو بتمامه للبائع بناءً على ما هو الحقّ من أنّ تعلّق الخُمس إنّما يكون من قبيل تعلّق الحقّ‌، لا أنّ الخُمس مِلْكٌ لأربابه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المقام، فمع قطع النظر عن تعلّق هذا الحقّ‌، يكون مقدار من المال مِلْكاًد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لغير البائع، وهو مقدار الحرام، فلا سبيل إلى القول بصحّة البيع ونفوذه حتّى مع قصد الأداء من مالٍ آخر، إذ قصد ذلك غايته أنّه يوجب انتقال حقّ أرباب الخُمس إلى الذّمة أو الثمن، وأمّا صيرورته موجبةً لانتقال الملك عن مالكه إلى البائع، فممّا 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ضعف ما ذكره بعض الأعاظم</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الصحّة إنّما يكون حيثُ لا يجوز له التصرّف فيه، وإلّا انتقل الخُمس إمّا إلى الذّمة أو إلى الثمن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الفرق الواضح بين البابين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72" w:name="pg11804_116598"/>
    </w:p>
    <w:p>
      <w:pPr>
        <w:pStyle w:val="BookText"/>
        <w:rPr/>
      </w:pPr>
      <w:bookmarkEnd w:id="172"/>
      <w:r>
        <w:rPr>
          <w:rFonts w:ascii="Amiri" w:hAnsi="Amiri" w:eastAsia="Amiri" w:cs="Amiri"/>
          <w:color w:val="111111"/>
          <w:sz w:val="28"/>
          <w:sz w:val="28"/>
          <w:szCs w:val="28"/>
          <w:rtl w:val="true"/>
          <w:lang w:bidi="ar-SA"/>
        </w:rPr>
        <w:t>ويُعتبر في المعادن</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0579784_73709187"/>
      <w:bookmarkStart w:id="174" w:name="_Toc58"/>
      <w:bookmarkEnd w:id="173"/>
      <w:r>
        <w:rPr>
          <w:rtl w:val="true"/>
        </w:rPr>
        <w:t>البحث عن شرائط وجوب الخُمس نصاب المعدن</w:t>
      </w:r>
      <w:bookmarkEnd w:id="174"/>
    </w:p>
    <w:p>
      <w:pPr>
        <w:pStyle w:val="BookText"/>
        <w:rPr/>
      </w:pPr>
      <w:r>
        <w:rPr>
          <w:rFonts w:ascii="Amiri" w:hAnsi="Amiri" w:eastAsia="Amiri" w:cs="Amiri"/>
          <w:color w:val="111111"/>
          <w:sz w:val="28"/>
          <w:sz w:val="28"/>
          <w:szCs w:val="28"/>
          <w:rtl w:val="true"/>
          <w:lang w:bidi="ar-SA"/>
        </w:rPr>
        <w:t>يقول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ما يخرج منها قيمة عشرين ديناراً،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وابن حمزة في وسيلته</w:t>
      </w:r>
      <w:r>
        <w:rPr>
          <w:rStyle w:val="FootnoteAnchor"/>
          <w:rtl w:val="true"/>
        </w:rPr>
        <w:footnoteReference w:id="508"/>
      </w:r>
      <w:r>
        <w:rPr>
          <w:rFonts w:ascii="Amiri" w:hAnsi="Amiri" w:eastAsia="Amiri" w:cs="Amiri"/>
          <w:color w:val="111111"/>
          <w:sz w:val="28"/>
          <w:sz w:val="28"/>
          <w:szCs w:val="28"/>
          <w:rtl w:val="true"/>
          <w:lang w:bidi="ar-SA"/>
        </w:rPr>
        <w:t>، ووافقهما جماعة من المتأخّرين</w:t>
      </w:r>
      <w:r>
        <w:rPr>
          <w:rStyle w:val="FootnoteAnchor"/>
          <w:rtl w:val="true"/>
        </w:rPr>
        <w:footnoteReference w:id="509"/>
      </w:r>
      <w:r>
        <w:rPr>
          <w:rFonts w:ascii="Amiri" w:hAnsi="Amiri" w:eastAsia="Amiri" w:cs="Amiri"/>
          <w:color w:val="111111"/>
          <w:sz w:val="28"/>
          <w:sz w:val="28"/>
          <w:szCs w:val="28"/>
          <w:rtl w:val="true"/>
          <w:lang w:bidi="ar-SA"/>
        </w:rPr>
        <w:t xml:space="preserve">، ونسبه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إلى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قدماء أصحابنا</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الخُمس فيها مطلقاً، سواءٌ أكان الخارج منها قليلاً أو كثيراً، وأنّه لا يعتبر فيها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الصَّلاح الحلبي</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بلوغه ديناراً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وجوب الخُمس في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أُخرج من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المحكيّ عن الشافعي في أحد قوليه، وغيره من العامّة، وجوب الزكاة في معدن الذهب والفضّة، وعليه فيحتمل أنْ يكون غرض السائل السؤال عن ثبوت الزكاة فيه، فأجابه عليه السلام بأنّه لا زكاة فيه مالم يبلغ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أجنبيٌّ عن المقام، غير واردٍ، لأنّ المحكيّ عن أبي حنيفة ثبوت الخُمس في المعدن، وحيثُ أنّ مذهب أبي حنيفة أشهر المذاهب في زمانه، فلا يحتمل عدم احتمال السائل ثبوت الخُمس فيه، وتمحّض السؤال في ثبوت الزكاة، فلا محالة يكون السؤال عامّاً لهما، مع أنّ السؤال وإنْ كان خاصّاً، لكن جوابه عليه السلام عام يشملهما معاً، والعبرة إنّما هو بعموم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فيه بأنّ تنزيل بعض نصوص الباب على ما إذا بلغ ما في المعدن عشرين ديناراً، لا يخلو عن بُعدٍ، فإنّ الملح المتّخذ من الأرض السَّبخة، الذي صرّح عليه السلام في صحيح ابن مسلم بوجوب الخُمس فيه، قلّما يتّفق حصول مثل هذا الفرض فيه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محلّها، إذ الغالب فيمن شغله الملاحة بلوغ ما أخرجه من معدنه هذا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يوجب التوقّف في العمل بالصحيح، إعراض قدماء أصحابنا قاطبةً عنه، وعدم عملهم به، وحيث أنّ الرواية صحيحة، وهي بمرأى ومنظرٍ منهم، ومع ذلك لم يعملوا بها، فلا محالة يوجب ذلك وهنها، وعدم صحّة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اعتماد مثل الشيخ وابن حمزة والمتأخّرين عليه، فلا يوجب تقويتها، وإنْ كان يوجب التوقّف في الإفتاء، وطريق الاحتياط واضح،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البزنطي، عن محمّد بن على بن أبي عبد اللّه،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يُخرج من البحر من اللّؤلؤ والياقوت والزَّبرجد، وعن معادن الذهب والفضّة، هل فيها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517"/>
      </w:r>
      <w:r>
        <w:rPr>
          <w:rFonts w:ascii="Amiri" w:hAnsi="Amiri" w:eastAsia="Amiri" w:cs="Amiri"/>
          <w:color w:val="111111"/>
          <w:sz w:val="28"/>
          <w:sz w:val="28"/>
          <w:szCs w:val="28"/>
          <w:rtl w:val="true"/>
          <w:lang w:bidi="ar-SA"/>
        </w:rPr>
        <w:t>مرسلاً عن الإمام الكاظم عليه السلام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وأجابوا عنه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من أنّه إنّما يتناول حكم ما يخرج من البحر لا المعادن، وهو ما استبعده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المحقّق الهمداني رحمه الله</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انتصاراً للشيخ بأنّ معدن الذهب والفضّة وإنْ وقع التصريح به في السؤال، إلّاأنّ مورد السؤال بما أنّه متعدّدٌ، وأجاب عنه الإمام عليه السلام بجوابٍ واحد شاملٍ للجميع، فلا محالة يكون الجواب عامّاً قابلاً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للتخصيص، فيخصّص الخبر بصحيح البزنطي المتقدّم، ممّا يوجب تخصيصه بما يخرج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بنحو العموم إنّمايكون نصّاً فيمالو وقع التصريح به بمصاديقه في السؤال، ليكون بالنسبة إليه بمنزلة الخاص، وأمّا بغيره فلا يصحّ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منهم المحقّق الهمداني</w:t>
      </w:r>
      <w:r>
        <w:rPr>
          <w:rStyle w:val="FootnoteAnchor"/>
          <w:rtl w:val="true"/>
        </w:rPr>
        <w:footnoteReference w:id="521"/>
      </w:r>
      <w:r>
        <w:rPr>
          <w:rFonts w:ascii="Amiri" w:hAnsi="Amiri" w:eastAsia="Amiri" w:cs="Amiri"/>
          <w:color w:val="111111"/>
          <w:sz w:val="28"/>
          <w:sz w:val="28"/>
          <w:szCs w:val="28"/>
          <w:rtl w:val="true"/>
          <w:lang w:bidi="ar-SA"/>
        </w:rPr>
        <w:t>رحمه الله من أنّ الخبر ليس نصّاً في الوجوب، نعم ظاهره ذلك، فترفع اليد عنه في بعض موارده، أي معادن الذهب والفضّة بالنّص، وهو صحيح البزنطي، ولا محذور فيه، فتكون النتيجة استحباب إخراج الخُمس إذا بلغ قيمته ديناراً في المعدن، ووجوبه فيما يخرج من البحر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حمل الظاهر على النَّص، والجمع العرفي، هو أنّه لو فرض اجتماع الخبرين، وصدورهما من شخص واحد في مجلس واحد، يرى العرف أحدهما قرينةً على الآخر، وإلّا فإنْ لاحظوا التهافت بينهما يكون الجمع المزبور جمعاً تبرّعيّاً لا عرفيّاً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إذا جمعنا قوله عليه السلام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لا يرى العرف قوله في الصحيح قرينةً لصرف الخبر عن ظاهره، كما لا يخفى‌، بل بما أنّ المراد بالشيء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خصوص الخُمس، بل هو شاملٌ للزكاة أيضاً، فالجمع العرفي يقتضي تقييد إطلاقه بالخبر،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وحمله على خصوص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الهمداني</w:t>
      </w:r>
      <w:r>
        <w:rPr>
          <w:rStyle w:val="FootnoteAnchor"/>
          <w:rtl w:val="true"/>
        </w:rPr>
        <w:footnoteReference w:id="522"/>
      </w:r>
      <w:r>
        <w:rPr>
          <w:rFonts w:ascii="Amiri" w:hAnsi="Amiri" w:eastAsia="Amiri" w:cs="Amiri"/>
          <w:color w:val="111111"/>
          <w:sz w:val="28"/>
          <w:sz w:val="28"/>
          <w:szCs w:val="28"/>
          <w:rtl w:val="true"/>
          <w:lang w:bidi="ar-SA"/>
        </w:rPr>
        <w:t>رحمه الله من أنّه يمكن أنْ يكون الدينار في الواقع سبباً لثبوت الخُمس، ولكن الإمام عليه السلام وسّع على النّاس، وجعلهم في حِلٍّ من ذلك، ولم يكلّفهم بشيءٍ ما لم يبلغ عشرين ديناراً، فالخبر لايصلح أنْ يكون معارضاً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الصحيح وروده في مقام بيان الحكم الشرعي، لا التحليل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المحقّقين رحمه الله من أنّ في الخبر اضطراباً، فالسؤال لا يخلو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أنّه مشتملٌ على الأمرين، فأجابه عليه السلام بالدينار والعشرين فاشتبه الأمر على الراوي، ونسي ذكر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ما كان مختصّاً بما يخرج من البحر، فاشتبه الأمر عليه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السند في نفسه، لمجهوليّة محمّد بن علي، والأصحاب أعرضوا عنه، مضافاً إلى روايته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مع ترك ذكر المعادن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على فرض اعتبار النصاب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المدار على ما هو عشرين ديناراً وقت الإخراج، كما عن جماعةٍ التصريح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5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على قيمته القديمة الثابتة له في صدر الإسلام، وهي مائتا درهم كما اختاره الشهيد</w:t>
      </w:r>
      <w:r>
        <w:rPr>
          <w:rStyle w:val="FootnoteAnchor"/>
          <w:rtl w:val="true"/>
        </w:rPr>
        <w:footnoteReference w:id="525"/>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يكفي بلوغ قيمة الُمخرَج نصابُ أحد النقدين في الزكاة ذهباً كان المعدن أو فضّة أو غيرهما؟</w:t>
      </w:r>
    </w:p>
    <w:p>
      <w:pPr>
        <w:pStyle w:val="BookText"/>
        <w:rPr/>
      </w:pPr>
      <w:r>
        <w:rPr>
          <w:rFonts w:ascii="Amiri" w:hAnsi="Amiri" w:eastAsia="Amiri" w:cs="Amiri"/>
          <w:color w:val="111111"/>
          <w:sz w:val="28"/>
          <w:sz w:val="28"/>
          <w:szCs w:val="28"/>
          <w:rtl w:val="true"/>
          <w:lang w:bidi="ar-SA"/>
        </w:rPr>
        <w:t>أم يعتبر رعاية كلٍّ من نصابي الذهب والفضّة في الُمخرَج من معدنه، ورعاية أقلّهما قيمةً فيما أُخرج من سائر المعادن‌؟</w:t>
      </w:r>
    </w:p>
    <w:p>
      <w:pPr>
        <w:pStyle w:val="BookText"/>
        <w:rPr/>
      </w:pPr>
      <w:r>
        <w:rPr>
          <w:rFonts w:ascii="Amiri" w:hAnsi="Amiri" w:eastAsia="Amiri" w:cs="Amiri"/>
          <w:color w:val="111111"/>
          <w:sz w:val="28"/>
          <w:sz w:val="28"/>
          <w:szCs w:val="28"/>
          <w:rtl w:val="true"/>
          <w:lang w:bidi="ar-SA"/>
        </w:rPr>
        <w:t>أم يعتبر رعاية أكثر القيمتين في الجميع‌؟</w:t>
      </w:r>
    </w:p>
    <w:p>
      <w:pPr>
        <w:pStyle w:val="BookText"/>
        <w:rPr/>
      </w:pPr>
      <w:r>
        <w:rPr>
          <w:rFonts w:ascii="Amiri" w:hAnsi="Amiri" w:eastAsia="Amiri" w:cs="Amiri"/>
          <w:color w:val="111111"/>
          <w:sz w:val="28"/>
          <w:sz w:val="28"/>
          <w:szCs w:val="28"/>
          <w:rtl w:val="true"/>
          <w:lang w:bidi="ar-SA"/>
        </w:rPr>
        <w:t>وجوهٌ وأقوال، 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بعدما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ما يكون في مثله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يحتمل فيه جميع هذه الوجوه، ولكن بيّنه عليه السلام ورفع إجماله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المناط قيمة عشرين ديناراً مطلقاً، سواءٌ أكان المعدن معدن الذهب أو الفضّة أو غيرهما، فإذا بلغت قيمته عشرين ديناراً، وجب فيه الخُمس، وإنْ كانت قيمته أقلّ من مائتي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يكون ذكر العشرين ديناراً من باب اتّحاده مع مائتي درهم في ذلك الزمان، لأنّه هو الأصل في زكاة النقدين على ما يظهر من أخبارها، فالعبرة إنّما هي ببلوغ مائتي درهم مطلقاً، كما اختاره الشهيد</w:t>
      </w:r>
      <w:r>
        <w:rPr>
          <w:rStyle w:val="FootnoteAnchor"/>
          <w:rtl w:val="true"/>
        </w:rPr>
        <w:footnoteReference w:id="526"/>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أخذ كلّ عنوانٍ في الحكم، دخله بنفسه فيه لا بما أنّه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 ومرآتٌ إلى شيء آخر، وعليه فالظاهر من الصحيح دخل العشرين ديناراً بنفسه في وجوب الخُمس، لا بما أنّه يساوي قيمته مائتي درهم، مع أنّ كون الأصل في نصاب النقدين ذلك غير تامّ‌، ولذا لا يفتي أحدٌ بثبوت الزكاة في الذهب إذا بلغ مائتي درهم مالم يبلغ عشرين ديناراً، وما هو مذكورٌ في الأخبار إنّما هو من قبيل الحِكم المُقتضية للحُكم، مع أنّ مساواتهما في القيمة حين صدور الخبر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ما يكون في مثله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نصاب خُمس المعدن متّحدٌ مع نصاب الزكاة، وحيث أنّ لكلّ من النقدين نصاباً معيّناً في الزكاة، يكون عليه المدار، وفي غيرهما يلاحظ أحد النصابين، وينطبق قهراً على أقلّهما قيمة، وقوله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للتمثيل، وتفهيم السائل لا لمدخليّته في الحكم، فالقول الرابع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أيضاً خلاف الظاهر كما مرّ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العبرة بقيمة العشرين ديناراً وقت الإخراج مطلقاً</w:t>
      </w:r>
      <w:r>
        <w:rPr>
          <w:rFonts w:eastAsia="Amiri" w:cs="Amiri" w:ascii="Amiri" w:hAnsi="Amiri"/>
          <w:color w:val="111111"/>
          <w:sz w:val="28"/>
          <w:szCs w:val="28"/>
          <w:rtl w:val="true"/>
          <w:lang w:bidi="ar-SA"/>
        </w:rPr>
        <w:t>.</w:t>
      </w:r>
      <w:bookmarkStart w:id="175" w:name="pg11804_116605"/>
    </w:p>
    <w:p>
      <w:pPr>
        <w:pStyle w:val="BookText"/>
        <w:rPr/>
      </w:pPr>
      <w:bookmarkEnd w:id="175"/>
      <w:r>
        <w:rPr>
          <w:rFonts w:ascii="Amiri" w:hAnsi="Amiri" w:eastAsia="Amiri" w:cs="Amiri"/>
          <w:color w:val="111111"/>
          <w:sz w:val="28"/>
          <w:sz w:val="28"/>
          <w:szCs w:val="28"/>
          <w:rtl w:val="true"/>
          <w:lang w:bidi="ar-SA"/>
        </w:rPr>
        <w:t>أنّ الخُمس في المعدن بعد المؤونة</w:t>
      </w:r>
    </w:p>
    <w:p>
      <w:pPr>
        <w:pStyle w:val="Heading3"/>
        <w:numPr>
          <w:ilvl w:val="2"/>
          <w:numId w:val="1"/>
        </w:numPr>
        <w:rPr/>
      </w:pPr>
      <w:bookmarkStart w:id="176" w:name="__RefHeading___Toc10579786_73709187"/>
      <w:bookmarkStart w:id="177" w:name="_Toc59"/>
      <w:bookmarkEnd w:id="176"/>
      <w:r>
        <w:rPr>
          <w:rtl w:val="true"/>
        </w:rPr>
        <w:t>أنّ الخُمس في المعدن بعد المؤونة فروع</w:t>
      </w:r>
      <w:r>
        <w:rPr>
          <w:rtl w:val="true"/>
        </w:rPr>
        <w:t>:</w:t>
      </w:r>
      <w:bookmarkEnd w:id="177"/>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تُستثنى مؤونة الإخراج والتصفية عمّا يجب فيه الخُمس على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530"/>
      </w:r>
      <w:r>
        <w:rPr>
          <w:rFonts w:ascii="IRNazanin" w:hAnsi="IRNazanin" w:eastAsia="IRNazanin"/>
          <w:color w:val="111111"/>
          <w:sz w:val="28"/>
          <w:sz w:val="28"/>
          <w:szCs w:val="28"/>
          <w:rtl w:val="true"/>
          <w:lang w:bidi="fa-IR"/>
        </w:rPr>
        <w:t>رحمه الله بالنصوص</w:t>
      </w:r>
      <w:r>
        <w:rPr>
          <w:rStyle w:val="FootnoteAnchor"/>
          <w:rtl w:val="true"/>
        </w:rPr>
        <w:footnoteReference w:id="531"/>
      </w:r>
      <w:r>
        <w:rPr>
          <w:rFonts w:ascii="Amiri" w:hAnsi="Amiri" w:eastAsia="Amiri" w:cs="Amiri"/>
          <w:color w:val="111111"/>
          <w:sz w:val="28"/>
          <w:sz w:val="28"/>
          <w:szCs w:val="28"/>
          <w:rtl w:val="true"/>
          <w:lang w:bidi="ar-SA"/>
        </w:rPr>
        <w:t>الدالّة على أنّ‌الخُمس بعدالمؤونة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الأعاظم</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ظهورها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بملاحظة ما فيها من استثناء مؤونته، ومؤونة عياله أو 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بل منع، لعدم دخول مؤونة الإخراج في مؤونته، فتختصّ هذه النصوص بخُمس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نقاش في إنّ النصوص المتضمّنة لاستثناء مؤونته أو مع مؤونة عياله، ظاهرة في ما ذكره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تضمّن من أنّ الخُمس بعد المؤونة، كمكاتبة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أخرجه قبل المؤونة أو بعد المؤونة‌؟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وخبر إبراهيم بن محمّد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توقيعات الرضا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بعد المؤونة</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فظهوره فيما ذكره الشيخ</w:t>
      </w:r>
      <w:r>
        <w:rPr>
          <w:rStyle w:val="FootnoteAnchor"/>
          <w:rtl w:val="true"/>
        </w:rPr>
        <w:footnoteReference w:id="535"/>
      </w:r>
      <w:r>
        <w:rPr>
          <w:rFonts w:ascii="Amiri" w:hAnsi="Amiri" w:eastAsia="Amiri" w:cs="Amiri"/>
          <w:color w:val="111111"/>
          <w:sz w:val="28"/>
          <w:sz w:val="28"/>
          <w:szCs w:val="28"/>
          <w:rtl w:val="true"/>
          <w:lang w:bidi="ar-SA"/>
        </w:rPr>
        <w:t>رحمه الله لا يُنكر، ويُمكن أنْ يُستشهد له بخبر عليّ بن محمّد بن شجاع النيسابوري القادم الوارد في الحنطة الباقية بعد مؤونة الضيعة</w:t>
      </w:r>
      <w:r>
        <w:rPr>
          <w:rStyle w:val="FootnoteAnchor"/>
          <w:rtl w:val="true"/>
        </w:rPr>
        <w:footnoteReference w:id="536"/>
      </w:r>
      <w:r>
        <w:rPr>
          <w:rFonts w:ascii="Amiri" w:hAnsi="Amiri" w:eastAsia="Amiri" w:cs="Amiri"/>
          <w:color w:val="111111"/>
          <w:sz w:val="28"/>
          <w:sz w:val="28"/>
          <w:szCs w:val="28"/>
          <w:rtl w:val="true"/>
          <w:lang w:bidi="ar-SA"/>
        </w:rPr>
        <w:t>، فإنّه صريحٌ في استثناء مؤونة الضيعة في خُمس الأرباح، ولعدم القول بالفصل يثبت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النصوص كون مناط وجوب الخُمس في الأقسام السبعة، اندراجها تحت عنوان الغنيمة والفائدة، ولا ريب في أنّه لا يعدّ الشيء فائدةً أو غنيمةً إلّابعد إخراج المؤونة، فاستثناء المؤونة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ما نُسب إلى المشهور</w:t>
      </w:r>
      <w:r>
        <w:rPr>
          <w:rStyle w:val="FootnoteAnchor"/>
          <w:rtl w:val="true"/>
        </w:rPr>
        <w:footnoteReference w:id="537"/>
      </w:r>
      <w:r>
        <w:rPr>
          <w:rFonts w:ascii="Amiri" w:hAnsi="Amiri" w:eastAsia="Amiri" w:cs="Amiri"/>
          <w:color w:val="111111"/>
          <w:sz w:val="28"/>
          <w:sz w:val="28"/>
          <w:szCs w:val="28"/>
          <w:rtl w:val="true"/>
          <w:lang w:bidi="ar-SA"/>
        </w:rPr>
        <w:t>من اعتبار النصاب بعد المؤونة المذكورة، بل عن ظاهر تذكرة</w:t>
      </w:r>
      <w:r>
        <w:rPr>
          <w:rStyle w:val="FootnoteAnchor"/>
          <w:rtl w:val="true"/>
        </w:rPr>
        <w:footnoteReference w:id="538"/>
      </w:r>
      <w:r>
        <w:rPr>
          <w:rFonts w:ascii="IRNazanin" w:hAnsi="IRNazanin" w:eastAsia="IRNazanin"/>
          <w:color w:val="111111"/>
          <w:sz w:val="28"/>
          <w:sz w:val="28"/>
          <w:szCs w:val="28"/>
          <w:rtl w:val="true"/>
          <w:lang w:bidi="fa-IR"/>
        </w:rPr>
        <w:t>المصنّف رحمه الله ومنتهاه</w:t>
      </w:r>
      <w:r>
        <w:rPr>
          <w:rStyle w:val="FootnoteAnchor"/>
          <w:rtl w:val="true"/>
        </w:rPr>
        <w:footnoteReference w:id="539"/>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حتّى يبلغ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الخُمس فيه إذا بلغ العشرين، بأنْ يكون الخُمس في نفس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يتأتّى ذلك إلّاإذا اعتبر العشرون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رسالة شيخنا الأعظم رحمه الله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موضوع الخُمس في جزاء الشرطيّة هو ذلك، وإلّا لزم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وبعض المحقّقين</w:t>
      </w:r>
      <w:r>
        <w:rPr>
          <w:rStyle w:val="FootnoteAnchor"/>
          <w:rtl w:val="true"/>
        </w:rPr>
        <w:footnoteReference w:id="542"/>
      </w:r>
      <w:r>
        <w:rPr>
          <w:rFonts w:ascii="Amiri" w:hAnsi="Amiri" w:eastAsia="Amiri" w:cs="Amiri"/>
          <w:color w:val="111111"/>
          <w:sz w:val="28"/>
          <w:sz w:val="28"/>
          <w:szCs w:val="28"/>
          <w:rtl w:val="true"/>
          <w:lang w:bidi="ar-SA"/>
        </w:rPr>
        <w:t>اعتباره قبلها، واستدلّ له بعموم وجوب الخُمس في المعدن، خرج منه ما يبلغ المجموع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 لابدَّ من تقييده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الملتزمين بهذا القول إنّما تمسّكوا بالعموم بعدما لاحظوا إجمال النَّص الخاص، من جهة أنّ مقتضى إطلاق موضوع الخُمس وإنْ كان اعتبار النصاب بعدها، إلّاأنّ مقتضى إطلاق البلوغ المجعول غايةً لعدم الوجوب، هو اعتباره قبلها، فلا محالة يتعارض الإطلاقان فيتساقطان، فيكون الخبر من هذه الجهة مجملاً، فيتعيّن الرجوع إلى عموم ما دلَّ على وجوب الخُمس في المعدن، والقدر المتيقّن من خروجه هو صورة عدم بلوغ النصاب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اعتبار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الثاني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78" w:name="pg11804_116608"/>
    </w:p>
    <w:p>
      <w:pPr>
        <w:pStyle w:val="BookText"/>
        <w:rPr/>
      </w:pPr>
      <w:bookmarkEnd w:id="178"/>
      <w:r>
        <w:rPr>
          <w:rFonts w:ascii="Amiri" w:hAnsi="Amiri" w:eastAsia="Amiri" w:cs="Amiri"/>
          <w:color w:val="111111"/>
          <w:sz w:val="28"/>
          <w:sz w:val="28"/>
          <w:szCs w:val="28"/>
          <w:rtl w:val="true"/>
          <w:lang w:bidi="ar-SA"/>
        </w:rPr>
        <w:t>عدم اعتبار الإخراج دفعة في نصاب المعدن</w:t>
      </w:r>
    </w:p>
    <w:p>
      <w:pPr>
        <w:pStyle w:val="Heading3"/>
        <w:numPr>
          <w:ilvl w:val="2"/>
          <w:numId w:val="1"/>
        </w:numPr>
        <w:rPr/>
      </w:pPr>
      <w:bookmarkStart w:id="179" w:name="__RefHeading___Toc10579788_73709187"/>
      <w:bookmarkStart w:id="180" w:name="_Toc60"/>
      <w:bookmarkEnd w:id="179"/>
      <w:r>
        <w:rPr>
          <w:rtl w:val="true"/>
        </w:rPr>
        <w:t>عدم اعتبار الإخراج دفعة في نصاب المعدن</w:t>
      </w:r>
      <w:bookmarkEnd w:id="180"/>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ظاهراً في أنّه على فرض اعتبار النصاب أنّه كما لو أخرج دفعةً وكان نصاباً وجب الخُمس، كذلك لو أخرج دفعات بحكم الواحد، بأنْ لم يتخلّل بينها الإعراض وكان المجموع نصاباً وجب إخراج خُمس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جماعة وصريح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اعتبار النصاب، بل ربما ادّعى اختصاصه بالثاني، لكونه الفرد الغالب، إذ قلّما يتّفق إخراج النصاب من المعدن دفعةً‌، لاسيّما في مثل الملاحة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أخرج أقلّ من النصاب، فأعرض ثمّ عاد وبلغ المجموع نصاباً،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المحكيّ عن منتهى</w:t>
      </w:r>
      <w:r>
        <w:rPr>
          <w:rStyle w:val="FootnoteAnchor"/>
          <w:rtl w:val="true"/>
        </w:rPr>
        <w:footnoteReference w:id="544"/>
      </w:r>
      <w:r>
        <w:rPr>
          <w:rFonts w:ascii="Amiri" w:hAnsi="Amiri" w:eastAsia="Amiri" w:cs="Amiri"/>
          <w:color w:val="111111"/>
          <w:sz w:val="28"/>
          <w:sz w:val="28"/>
          <w:szCs w:val="28"/>
          <w:rtl w:val="true"/>
          <w:lang w:bidi="ar-SA"/>
        </w:rPr>
        <w:t>المصنّف وتحريره</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الشيخ الأنصاري في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عدم وجوب الخُمس فيه، واختاره الشيخ الأعظم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والأردبيلي</w:t>
      </w:r>
      <w:r>
        <w:rPr>
          <w:rStyle w:val="FootnoteAnchor"/>
          <w:rtl w:val="true"/>
        </w:rPr>
        <w:footnoteReference w:id="548"/>
      </w:r>
      <w:r>
        <w:rPr>
          <w:rFonts w:ascii="Amiri" w:hAnsi="Amiri" w:eastAsia="Amiri" w:cs="Amiri"/>
          <w:color w:val="111111"/>
          <w:sz w:val="28"/>
          <w:sz w:val="28"/>
          <w:szCs w:val="28"/>
          <w:rtl w:val="true"/>
          <w:lang w:bidi="ar-SA"/>
        </w:rPr>
        <w:t xml:space="preserve">،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من الحكم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قوّاه أوّلاً المحقّق الهمداني</w:t>
      </w:r>
      <w:r>
        <w:rPr>
          <w:rStyle w:val="FootnoteAnchor"/>
          <w:rtl w:val="true"/>
        </w:rPr>
        <w:footnoteReference w:id="551"/>
      </w:r>
      <w:r>
        <w:rPr>
          <w:rFonts w:ascii="IRNazanin" w:hAnsi="IRNazanin" w:eastAsia="IRNazanin"/>
          <w:color w:val="111111"/>
          <w:sz w:val="28"/>
          <w:sz w:val="28"/>
          <w:szCs w:val="28"/>
          <w:rtl w:val="true"/>
          <w:lang w:bidi="fa-IR"/>
        </w:rPr>
        <w:t>رحمه الله، واختاره بعض الأعاظم</w:t>
      </w:r>
      <w:r>
        <w:rPr>
          <w:rStyle w:val="FootnoteAnchor"/>
          <w:rtl w:val="true"/>
        </w:rPr>
        <w:footnoteReference w:id="552"/>
      </w:r>
      <w:r>
        <w:rPr>
          <w:rFonts w:ascii="Amiri" w:hAnsi="Amiri" w:eastAsia="Amiri" w:cs="Amiri"/>
          <w:color w:val="111111"/>
          <w:sz w:val="28"/>
          <w:sz w:val="28"/>
          <w:szCs w:val="28"/>
          <w:rtl w:val="true"/>
          <w:lang w:bidi="ar-SA"/>
        </w:rPr>
        <w:t>، من التفصيل بين ما لو كان الإعراض المتخلّل في البين بنحوٍ يصدق تعدّد الإخراج عرفاً، كما لو أهمل مدّةً طويلة فالأوّل، وبين ما لو لم يكن كذلك، بل كان يعدّ في نظر العرف عوده إليه من قبيل إعراضه عن إعراضه السابق، والرجوع إلى عمله 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صحيح البزنطي في أنّه إذا أعرض ثمّ عاد، عدّ كلّ فعلٍ موضوعاً مستقلّاً بحياله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على إطلاقه غير تامّ‌، بل إنّما يتمّ فيما إذا أهمل مدّةً طويلة ثمّ عاد، وعليه فيقوى القول الثالث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هذا الوجه من أصله بأنّ موضوع الحكم في الصحيح ليس خصوص فعل الُمخرج حتّى يقال بأنّ الظاهر منه من جهة كونه من قبيل القضيّة الحقيقيّة، كون كلّ فعلٍ موضوعاً مستقلّاً، بل الموضوع المجعول فيه ما أُخرج، وعليه فلا فرق بين كونه مُخرَجاً بإخراج واحد أو إخراجاتٍ عديدة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لا فرق في وجوب الخُمس بين الصور المفروضة، فالقول الثاني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حكم فرعٍ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اشترك جماعةٌ في الاستخراج، ولم تبلغ حصّة كلّ واحدٍ منهم النصاب، ولكن بلغ المجموع نصاباً، وأنّ الأظهر وجوب خُمسه حتّى على القول باعتبار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الصحيح في ما نُسب إلى المشهور</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من صرّح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بلوغ حصّة كلّ واحدٍ منهم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اندفاعها، وأنّ الظاهر من الصحيح جعل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دون الُمخرِج أو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منهما دعوى اعتباره حملاً له على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المحقّق الهمداني </w:t>
      </w:r>
      <w:r>
        <w:rPr>
          <w:rStyle w:val="FootnoteAnchor"/>
          <w:rtl w:val="true"/>
        </w:rPr>
        <w:footnoteReference w:id="55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الصحيحة سؤالاً وجواباً بواسطة المناسبات المغروسة في الذهن، ليس إلّاإرادة حكم ما يستفيده الشخص من المعدن مباشرةً أو 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كون السؤال عن حكم ما أُخرج من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أيضاً مسوقاً لبيانه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موردٌ لهذه الدعوى‌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الشركاء والمتعدّدين غير الشركاء، واعتباره أولويّة وجوب الخُمس في الأوّل، واستبعاده بل امتناعه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ظاهرة الوجه، إذ دعوى أنّه في صورة الشركة يعدّ عملاً واحداً عند العرف، بخلاف صورة استقلال كلّ منهم بعمله، مندفعة بما عرفت من عدم كون الفعل موضوعاً حتّى يتمّ الفرق بين كونه واحداً أم متعدّداً، وخصوصيّة الفاعل غير دخيلة في الحكم، فلا يصحّ أنْ يُقال إنّه في صورة الاشتراك يعدّ المجموع واحداً بخلاف صورة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وجوب الخُمس في المقام، كما أنّ الأظهر وجوبه فيما لو استخرج من معدنٍ واحدٍ جنسان أو أزيد، وبلغ قيمة المجموع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هناك معادن متعدّدة، اعتُبر في الخارج من كلّ منها بلوغ النصاب، عليفرض اعتباره، إذ الموضوع لهذا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المعادن، وأنّ كلّ فردٍ موضوعٌ مستقلٌّ‌، كما هو الشأن في جميع القضايا الحقيقيّة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وكاشف الغطاء</w:t>
      </w:r>
      <w:r>
        <w:rPr>
          <w:rStyle w:val="FootnoteAnchor"/>
          <w:rtl w:val="true"/>
        </w:rPr>
        <w:footnoteReference w:id="556"/>
      </w:r>
      <w:r>
        <w:rPr>
          <w:rFonts w:ascii="Amiri" w:hAnsi="Amiri" w:eastAsia="Amiri" w:cs="Amiri"/>
          <w:color w:val="111111"/>
          <w:sz w:val="28"/>
          <w:sz w:val="28"/>
          <w:szCs w:val="28"/>
          <w:rtl w:val="true"/>
          <w:lang w:bidi="ar-SA"/>
        </w:rPr>
        <w:t xml:space="preserve">من الجزم بوجوب الخُمس إذا بلغ المجموع نصاباً، مستدلّاً بظهور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الجنس الصادق على الواحد والمتعدّد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ضعيفٌ‌، إذ بعد عدم إرادة الطبيعة منه، وإرادة الأفراد، وكون القضيّة من قبيل القضيّة الحقيقيّة، لا محالة ينحلّ الحكم بعدد ما لموضوعه من الأفراد، ولكلّ فردٍ يكون موضوعاً مستقلّاً في قبال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ما ذكره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من تقوية ذلك مع الاتّحاد والتقارب، فإنّ اتّحاد الجنس وعدمه، وتقارب المعادن وتباعدها، ممّا لا دخل لها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التقارب بنحوٍ يعدّ المجموع واحداً عرفاً، تمّ ذلك، لكنّه خارجٌ عن محلّ الكلام، فضلاً عن أنّ الاتّحاد حينئذٍ ممّا لادخل 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1" w:name="pg11804_116613"/>
    </w:p>
    <w:p>
      <w:pPr>
        <w:pStyle w:val="BookText"/>
        <w:rPr/>
      </w:pPr>
      <w:bookmarkEnd w:id="181"/>
      <w:r>
        <w:rPr>
          <w:rFonts w:ascii="Amiri" w:hAnsi="Amiri" w:eastAsia="Amiri" w:cs="Amiri"/>
          <w:color w:val="111111"/>
          <w:sz w:val="28"/>
          <w:sz w:val="28"/>
          <w:szCs w:val="28"/>
          <w:rtl w:val="true"/>
          <w:lang w:bidi="ar-SA"/>
        </w:rPr>
        <w:t>الإخراج قبل التصفية</w:t>
      </w:r>
    </w:p>
    <w:p>
      <w:pPr>
        <w:pStyle w:val="Heading3"/>
        <w:numPr>
          <w:ilvl w:val="2"/>
          <w:numId w:val="1"/>
        </w:numPr>
        <w:rPr/>
      </w:pPr>
      <w:bookmarkStart w:id="182" w:name="__RefHeading___Toc10579790_73709187"/>
      <w:bookmarkStart w:id="183" w:name="_Toc61"/>
      <w:bookmarkEnd w:id="182"/>
      <w:r>
        <w:rPr>
          <w:rtl w:val="true"/>
        </w:rPr>
        <w:t>الإخراج قبل التصفية</w:t>
      </w:r>
      <w:bookmarkEnd w:id="183"/>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قبل التصفية خُمس تراب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يجزه، لجواز اختلافه في الجوهر، ولو عَلم التساوي جاز،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الشيخ الأعظم رحمه الله</w:t>
      </w:r>
      <w:r>
        <w:rPr>
          <w:rStyle w:val="FootnoteAnchor"/>
          <w:rtl w:val="true"/>
        </w:rPr>
        <w:footnoteReference w:id="561"/>
      </w:r>
      <w:r>
        <w:rPr>
          <w:rFonts w:ascii="Amiri" w:hAnsi="Amiri" w:eastAsia="Amiri" w:cs="Amiri"/>
          <w:color w:val="111111"/>
          <w:sz w:val="28"/>
          <w:sz w:val="28"/>
          <w:szCs w:val="28"/>
          <w:rtl w:val="true"/>
          <w:lang w:bidi="ar-SA"/>
        </w:rPr>
        <w:t>بظهور ذيل صحيح زرارة السابق في أوّل البحث،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 بمالك ففيه ما أخرج اللّه سبحانه منه من حجارته مصفّى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الخُمس إنّما يتعلّق بما أُخرج من المعدن بعد التصفية وظهور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قابلة للحمل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إنّما يكون فيما يصفو للمالك بعد المصارف، فتدلّ على استثناء المؤونة، كما استدلّ بها جملةٌ من الأعاظم لإستثنائها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إنّما يجبُ في المصفّى لا في التراب، وإنْ كان ما فيه من الذهب مثلاً أقلّ من خُمس الذهب المصفّى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فبما أنّ الرواية مجملة، يتعيّن الرجوع إلى سائر النصوص، ومقتضى </w:t>
      </w:r>
    </w:p>
    <w:p>
      <w:pPr>
        <w:pStyle w:val="BookText"/>
        <w:rPr/>
      </w:pPr>
      <w:r>
        <w:rPr>
          <w:rFonts w:ascii="Amiri" w:hAnsi="Amiri" w:eastAsia="Amiri" w:cs="Amiri"/>
          <w:color w:val="111111"/>
          <w:sz w:val="28"/>
          <w:sz w:val="28"/>
          <w:szCs w:val="28"/>
          <w:rtl w:val="true"/>
          <w:lang w:bidi="ar-SA"/>
        </w:rPr>
        <w:t>إطلاقها وجوب الخُمس فيما أُخرج من المعدن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من أنّه قد يُدّعى ظهور صحيح زرارة أيضاً في ذلك،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فالأقوى هو الإجزاء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84" w:name="pg11804_116615"/>
    </w:p>
    <w:p>
      <w:pPr>
        <w:pStyle w:val="BookText"/>
        <w:rPr/>
      </w:pPr>
      <w:bookmarkEnd w:id="184"/>
      <w:r>
        <w:rPr>
          <w:rFonts w:ascii="Amiri" w:hAnsi="Amiri" w:eastAsia="Amiri" w:cs="Amiri"/>
          <w:color w:val="111111"/>
          <w:sz w:val="28"/>
          <w:sz w:val="28"/>
          <w:szCs w:val="28"/>
          <w:rtl w:val="true"/>
          <w:lang w:bidi="ar-SA"/>
        </w:rPr>
        <w:t>والكنوز عشرون ديناراً</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0579792_73709187"/>
      <w:bookmarkStart w:id="186" w:name="_Toc62"/>
      <w:bookmarkEnd w:id="185"/>
      <w:r>
        <w:rPr>
          <w:rtl w:val="true"/>
        </w:rPr>
        <w:t>اعتبار النصاب في الكنز</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يُشترط في وجوب الخُمس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أنّ نصابه هو النصاب الذي يجب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النصاب، وأنّ نصابه بلوغه حَدّاً تجبُ في مثله الزكاة، لصراحة صحيح البزنطي،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فيه الخُمس من الكنز؟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نُسب إلى الصدوق</w:t>
      </w:r>
      <w:r>
        <w:rPr>
          <w:rStyle w:val="FootnoteAnchor"/>
          <w:rtl w:val="true"/>
        </w:rPr>
        <w:footnoteReference w:id="569"/>
      </w:r>
      <w:r>
        <w:rPr>
          <w:rFonts w:ascii="Amiri" w:hAnsi="Amiri" w:eastAsia="Amiri" w:cs="Amiri"/>
          <w:color w:val="111111"/>
          <w:sz w:val="28"/>
          <w:sz w:val="28"/>
          <w:szCs w:val="28"/>
          <w:rtl w:val="true"/>
          <w:lang w:bidi="ar-SA"/>
        </w:rPr>
        <w:t>، وابن زُهرة</w:t>
      </w:r>
      <w:r>
        <w:rPr>
          <w:rStyle w:val="FootnoteAnchor"/>
          <w:rtl w:val="true"/>
        </w:rPr>
        <w:footnoteReference w:id="570"/>
      </w:r>
      <w:r>
        <w:rPr>
          <w:rFonts w:ascii="Amiri" w:hAnsi="Amiri" w:eastAsia="Amiri" w:cs="Amiri"/>
          <w:color w:val="111111"/>
          <w:sz w:val="28"/>
          <w:sz w:val="28"/>
          <w:szCs w:val="28"/>
          <w:rtl w:val="true"/>
          <w:lang w:bidi="ar-SA"/>
        </w:rPr>
        <w:t xml:space="preserve">من أنّ النصاب دينارٌ واحد، لو </w:t>
      </w:r>
    </w:p>
    <w:p>
      <w:pPr>
        <w:pStyle w:val="BookText"/>
        <w:rPr/>
      </w:pPr>
      <w:r>
        <w:rPr>
          <w:rFonts w:ascii="Amiri" w:hAnsi="Amiri" w:eastAsia="Amiri" w:cs="Amiri"/>
          <w:color w:val="111111"/>
          <w:sz w:val="28"/>
          <w:sz w:val="28"/>
          <w:szCs w:val="28"/>
          <w:rtl w:val="true"/>
          <w:lang w:bidi="ar-SA"/>
        </w:rPr>
        <w:t>صحّت النسبة، غير ظاهر الوجه، والغريب ما قيل من نسبة الأوّل إلى دين الإماميّة، والثاني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تشخيص ما أُريد بالمثل، ومحصّل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عرفت في أوّل مبحث الكنز</w:t>
      </w:r>
      <w:r>
        <w:rPr>
          <w:rStyle w:val="FootnoteAnchor"/>
          <w:rtl w:val="true"/>
        </w:rPr>
        <w:footnoteReference w:id="571"/>
      </w:r>
      <w:r>
        <w:rPr>
          <w:rFonts w:ascii="Amiri" w:hAnsi="Amiri" w:eastAsia="Amiri" w:cs="Amiri"/>
          <w:color w:val="111111"/>
          <w:sz w:val="28"/>
          <w:sz w:val="28"/>
          <w:szCs w:val="28"/>
          <w:rtl w:val="true"/>
          <w:lang w:bidi="ar-SA"/>
        </w:rPr>
        <w:t xml:space="preserve">،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يماثله على الإطلاق، لظهوره في إرادة المماثلة في جميع القيود الدخيلة في الحكم، وعرفت أنّ لازم ذلك هو القول باختصاص هذا الخُمس بالنقدين، يتعيّن القول بأنّ نصاب كلّ من النقدين، ما هو نصابه في باب الزكاة، كما لا يخفى‌، كما أنّه بناءً على التحفّظ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بالتعميم بحمل الوجوب على مطلق الثبوت، كما عرفت، يتعيّن الالتزام بأنّ نصاب كلّ جنسٍ ما هو نصابه في باب الزكاة، وعليه فالقول بأنّ النصاب هو عشرون ديناراً مطلقاً، على هذا المسلك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وأمّابناءً على القول الآخر، وهو إرادة المماثلة في المقدار من المثل، فمقتضى إطلاق الصحيح، أنّ النصاب حينئذٍ بلوغ قيمته نصاب أحد النقدين وأقلّهما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يصبح مجملاً لتطرّق احتمالات عديدة عليه على هذا الفرض، فلو بلغ أحد النقدين نصاب الآخر، أو بلغ غيرهما نصاب أقلّهما، وجب الرجوع إلى الأصل، وهو أصالة البراءة عن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المحقَّق في محلّه أنّه عند إجمال الُمخصّص مفهوماً، فإنّ المرجع هو العام، إذا كان المخصّص منفصلاً، ففي المقام لابدَّ من الرجوع إلى عموم ما دلّ على وجوب الخُمس في الكنز</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المظنون أنّه لم يرد بالمثل في هذا الصحيح سوى ما أُريد منه في الصحيح الوارد في نصاب المعدن، الذي هو كالنّص في أنّ النصاب عشرون ديناراً،د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فيتّجه حينئذٍ كون النصاب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 فلا صارف للنص عن ظاهره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المعدن، يظهر البحث عن اعتبار إخراج المُؤن، واعتبار كون النصاب قبله أو بعده، وتحقيق البحث في الكنز الواحد والمتعدّد، ونحو ذلك من المباحث، لاتّحاد مناط البحث في الجميع</w:t>
      </w:r>
      <w:r>
        <w:rPr>
          <w:rFonts w:eastAsia="Amiri" w:cs="Amiri" w:ascii="Amiri" w:hAnsi="Amiri"/>
          <w:color w:val="111111"/>
          <w:sz w:val="28"/>
          <w:szCs w:val="28"/>
          <w:rtl w:val="true"/>
          <w:lang w:bidi="ar-SA"/>
        </w:rPr>
        <w:t>.</w:t>
      </w:r>
      <w:bookmarkStart w:id="187" w:name="pg11804_116618"/>
    </w:p>
    <w:p>
      <w:pPr>
        <w:pStyle w:val="BookText"/>
        <w:rPr/>
      </w:pPr>
      <w:bookmarkEnd w:id="187"/>
      <w:r>
        <w:rPr>
          <w:rFonts w:ascii="Amiri" w:hAnsi="Amiri" w:eastAsia="Amiri" w:cs="Amiri"/>
          <w:color w:val="111111"/>
          <w:sz w:val="28"/>
          <w:sz w:val="28"/>
          <w:szCs w:val="28"/>
          <w:rtl w:val="true"/>
          <w:lang w:bidi="ar-SA"/>
        </w:rPr>
        <w:t>وفي الغوص ديناراً، وفي أرباح التجارات والصناعات والزراعات، الزيادة عن مؤونة السَّنة له ولعياله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0579794_73709187"/>
      <w:bookmarkStart w:id="189" w:name="_Toc63"/>
      <w:bookmarkEnd w:id="188"/>
      <w:r>
        <w:rPr>
          <w:rtl w:val="true"/>
        </w:rPr>
        <w:t>اشتراط الزيادة عن المؤونة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وجوب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النصاب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كما عرفت في مبحث الغوص</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أرباح التجارات والصناعات والزراعات، الزيادة عن مؤونة السَّنة له ولعياله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وغيرها</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إجماعي، بل ضروري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لاشتراط الزيادة عن المؤونة، جملةٌ من النصوص المتقدّمة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 ممّا يفضل عن مؤونته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 بعد مؤونته ومؤونة عياله وبعد خراج السلطان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الحكم ممّا لا ريب فيه، إنّما الكلام في كون المراد منها مؤونة السَّنة، حيث أنّ الأصحاب حكموا بذلك مع عدم ورود تصريح بذلك في شيءٍ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ممّا يقتضيه الجمع بين هذه النصوص، وبين ما دلّ على جواز تأخير أداء الخُمس إلى آخر السَّنة، من الإجماع وغيره، ويقتضيه أيضاً الإطلاق المقامي، إذ مؤونة الشخص عند الإطلاق لدى العرف، يراد بها مؤونة السَّنة، وبها تحدّ مؤونة الشخص في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ربحه يفي بمؤونته لا الشهور والأيّام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انضباط لها بحسب هذه الأوقات، وهذا يصلح أنْ يكون قرينة لإرادتها منها عند الإطلاق، بعدما لا قرينة على إرادة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أنّ الخُمس إنّما يجبُ في الغُنم إذا استند إلى الشخص على وجه الغُنم والفائدة، وحيث أنّ الكسب بجميع أنحائه يلاحظ فيه أخذ مؤونة السَّنة من أرباحه، فالعمدة المرجوّة له كون الخرج من الدخل، ولذا لو اكتسب كاسبٌ ورَبح مائة دينار مثلاً، وصارت مؤونة سنته أيضاً مائة، لما قيل إنّه ربح واستفاد، فيعلم من ذلك أنّ في الكسب الذي قابل الربح مصارف السَّنة لا يعدّ غنيمةً وفائدة بالنسبة إلى الشخص</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0" w:name="pg11804_116620"/>
    </w:p>
    <w:p>
      <w:pPr>
        <w:pStyle w:val="BookText"/>
        <w:rPr/>
      </w:pPr>
      <w:bookmarkEnd w:id="190"/>
      <w:r>
        <w:rPr>
          <w:rFonts w:ascii="Amiri" w:hAnsi="Amiri" w:eastAsia="Amiri" w:cs="Amiri"/>
          <w:color w:val="111111"/>
          <w:sz w:val="28"/>
          <w:sz w:val="28"/>
          <w:szCs w:val="28"/>
          <w:rtl w:val="true"/>
          <w:lang w:bidi="ar-SA"/>
        </w:rPr>
        <w:t>المرجع في المؤونة إلى العرف</w:t>
      </w:r>
    </w:p>
    <w:p>
      <w:pPr>
        <w:pStyle w:val="Heading3"/>
        <w:numPr>
          <w:ilvl w:val="2"/>
          <w:numId w:val="1"/>
        </w:numPr>
        <w:rPr/>
      </w:pPr>
      <w:bookmarkStart w:id="191" w:name="__RefHeading___Toc10579796_73709187"/>
      <w:bookmarkStart w:id="192" w:name="_Toc64"/>
      <w:bookmarkEnd w:id="191"/>
      <w:r>
        <w:rPr>
          <w:rtl w:val="true"/>
        </w:rPr>
        <w:t>فروع</w:t>
      </w:r>
      <w:r>
        <w:rPr>
          <w:rtl w:val="true"/>
        </w:rPr>
        <w:t>:</w:t>
      </w:r>
      <w:bookmarkEnd w:id="19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فروع ينبغي التعرّض لأحكامها</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0579798_73709187"/>
      <w:bookmarkStart w:id="194" w:name="_Toc65"/>
      <w:bookmarkEnd w:id="193"/>
      <w:r>
        <w:rPr>
          <w:rtl w:val="true"/>
        </w:rPr>
        <w:t>المرجع في المؤونة إلى العرف</w:t>
      </w:r>
      <w:bookmarkEnd w:id="194"/>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أنّه لم يتعرّض الأكثر لإستثناء ما يُصرف في تحصيل الربح، إلّا أنّه لا ريب في استثنائه، بل ممّا لا خلاف فيه، فإنّ عدم تعرّضهم إنّما يكون لأجل أنّه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إلّاعلى ما يبقى بعد إخراجه، لا التوقّف في ذلك، أو البناء على العدم، ومنه يظهر وجه استثنائه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يزيد المتقدّم، الوارد في تفسير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وحرث بعد الغرام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ابن شجاع المتقدّم الدالّ على عدم احتساب ما صَرَفه من الحنطة في عمّارة الضيعة، من الفائدة والغنيمة التي يجبُ فيها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الأصحاب في بيان المراد من المؤونة، وقبل بيان ذلك، لا بأس بالإشارة إلى ما يقتضيه الأصل، ليكون هو المرجع عند الشكّ‌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جملةً من أدلّة وجوب الخُمس في الأرباح كالآية الشريفة وغيرها، غير مقيّدة بما يفضل عن مؤونة السَّنة، فمقتضى إطلاقها وجوب الخُمس في كلّ فائدةٍ وربح، خَرَج عنها بمقتضى الأدلّة الاُخر ما يُصرف في مؤونة السَّنة، فإذا فرضنا إجمال هذه الأدلّة، فلابدّ من الاقتصار في تخصيص الأدلّة الأولى على القدر المتيقّن، بناءً على ما هو الحقّ الثابت في محلّه من أنّ العام هو المرجع في موارد الشكّ في ما إذا كان المخصّص المنفصل مجملاً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بقدر الإقتصاد، فيجبُ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من الاستشكال في ذلك من جهة أنّ إجمال الخاص يسري إلى العام، فإنّ ذلك إنّما يكون فيما إذا كان متّصلاً دونما إذا كان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ظاهر جماعةٍ‌، وصريح آخرين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تقييدها في فتاويهم ومعاقد إجماعاتهم المحكيّة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الإقتصاد، فيجبُ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تقييدها بما لا يخرج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الشيخ الأعظم</w:t>
      </w:r>
      <w:r>
        <w:rPr>
          <w:rStyle w:val="FootnoteAnchor"/>
          <w:rtl w:val="true"/>
        </w:rPr>
        <w:footnoteReference w:id="586"/>
      </w:r>
      <w:r>
        <w:rPr>
          <w:rFonts w:ascii="IRNazanin" w:hAnsi="IRNazanin" w:eastAsia="IRNazanin"/>
          <w:color w:val="111111"/>
          <w:sz w:val="28"/>
          <w:sz w:val="28"/>
          <w:szCs w:val="28"/>
          <w:rtl w:val="true"/>
          <w:lang w:bidi="fa-IR"/>
        </w:rPr>
        <w:t xml:space="preserve">رحمه الله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احتساب ما يعدّ سَرفاً وسَفَهاً، بل 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المحقّق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بما يتّفق حصوله في الخارج كيف 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بالاقتصاد في كلمات القوم التوسّط ففي اعتباره نظر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الجائز أنْ يكون مرادهم به ما لا يخرجُ عن المتعارف، وحينئذٍ يَرجعُ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القول الثاني، وإنْ كان يبعده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من تقييده الضيافة بأنْ تكون بحيثُ يذّم تاركها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بعض الأجلّة</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الإشكال في كون الهديّة والصِّلة اللّائقتين بحاله من المؤونة، وكذا مؤونة الحَجّ المندوب، وعلى هذا فليس لهذا القول وجهٌ ظاهر، إذ غاية ما يمكن أنْ يُقال في وجهه إنّ المؤونة مفهومها مجملٌ‌، فيتعيّن الاقتصار على المتيقّن في الخروج عن أدلّة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المؤونة من الألفاظ المبيّنة عند العرف، ولا إجمال فيها، وهي عبارة عمّا ينفقه الإنسان في معاشه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سراية الإجمال إلى العمومات،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نصوص المؤونة منصرفٌ إلى المتعارف، فالخارج عن المتعارف غيرَ مستثنى‌، لا أنّه ليس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غير مرّةٍ من أنّ الانصراف الناشئ عن التعارف، لا يكون موجباً لتقييد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النصوص، إنّما هو إرادة ما ينفقه في مقاصده العُقلائيّة على النهج المتعارف، لا على سبيل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قابلٌ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فالأقوى هو القول الأخير، لو لم يثبت الإجماع على أنّ ما يعدّ سَرفاً وسفهاً لايعدّ من المؤونة، و قدادّعي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الخلاف فيه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 ما زاد على ما يليق بحاله ممّا يعدّ سَرفاً وسفهاً بالنسبة إليه، لا يُحتَسب من المؤونة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95" w:name="pg11804_116623"/>
    </w:p>
    <w:p>
      <w:pPr>
        <w:pStyle w:val="BookText"/>
        <w:rPr/>
      </w:pPr>
      <w:bookmarkEnd w:id="195"/>
      <w:r>
        <w:rPr>
          <w:rFonts w:ascii="Amiri" w:hAnsi="Amiri" w:eastAsia="Amiri" w:cs="Amiri"/>
          <w:color w:val="111111"/>
          <w:sz w:val="28"/>
          <w:sz w:val="28"/>
          <w:szCs w:val="28"/>
          <w:rtl w:val="true"/>
          <w:lang w:bidi="ar-SA"/>
        </w:rPr>
        <w:t>ما ينتفع به مع بقاء عينه</w:t>
      </w:r>
    </w:p>
    <w:p>
      <w:pPr>
        <w:pStyle w:val="Heading3"/>
        <w:numPr>
          <w:ilvl w:val="2"/>
          <w:numId w:val="1"/>
        </w:numPr>
        <w:rPr/>
      </w:pPr>
      <w:bookmarkStart w:id="196" w:name="__RefHeading___Toc10579800_73709187"/>
      <w:bookmarkStart w:id="197" w:name="_Toc66"/>
      <w:bookmarkEnd w:id="196"/>
      <w:r>
        <w:rPr>
          <w:rtl w:val="true"/>
        </w:rPr>
        <w:t>ما ينتفع به مع بقاء عينه</w:t>
      </w:r>
      <w:bookmarkEnd w:id="197"/>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ريب في عدم وجوب إخراج خمس ما يُصرف عينه فيتلف، مثل المأكول والمشروب، أو ما ينتفع به مع بقاء عينه لكن يتلف في أثناء السَّنة كما لو انكسر الإناء قبل مُضيّ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بقيت العين إلى نهاية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الخُمس فيها وإنْ بقيت للسنين الآتية، ولعلّه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تخميسها، وإليه مالَ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منهم السيّد في عروته</w:t>
      </w:r>
      <w:r>
        <w:rPr>
          <w:rStyle w:val="FootnoteAnchor"/>
          <w:rtl w:val="true"/>
        </w:rPr>
        <w:footnoteReference w:id="592"/>
      </w:r>
      <w:r>
        <w:rPr>
          <w:rFonts w:ascii="Amiri" w:hAnsi="Amiri" w:eastAsia="Amiri" w:cs="Amiri"/>
          <w:color w:val="111111"/>
          <w:sz w:val="28"/>
          <w:sz w:val="28"/>
          <w:szCs w:val="28"/>
          <w:rtl w:val="true"/>
          <w:lang w:bidi="ar-SA"/>
        </w:rPr>
        <w:t>، وجماعة من محشّيها</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الإستغناء عنها في السنين اللّاحقة فيجب، وبين بقاء الحاجة إليها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فهنا موردان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الاحتياج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الاستغناء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وجوب التخميس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باستصحاب عدمه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وبأنّها كانت من مؤونة السَّنة، وبعد خروجها عن أدلّة وجوب الخُمس </w:t>
      </w:r>
    </w:p>
    <w:p>
      <w:pPr>
        <w:pStyle w:val="BookText"/>
        <w:rPr/>
      </w:pPr>
      <w:r>
        <w:rPr>
          <w:rFonts w:ascii="Amiri" w:hAnsi="Amiri" w:eastAsia="Amiri" w:cs="Amiri"/>
          <w:color w:val="111111"/>
          <w:sz w:val="28"/>
          <w:sz w:val="28"/>
          <w:szCs w:val="28"/>
          <w:rtl w:val="true"/>
          <w:lang w:bidi="ar-SA"/>
        </w:rPr>
        <w:t>لا دليلٍ على دخولها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المؤونة ظاهرٌ في استثنائها مطلقاً، لا مادام كونها مؤونة، ويكون مخصّصاً لعموم دليل الخُمس الإفرادي لا مقيّداً لإطلاقه الأحوالي، فمقتضى إطلاق دليل الاستثناء نفي الخُمس فيه، ولو خرج عن كونه مؤونة السَّنة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دليل الخُمس مختصٌّ في كلّ عام بفائدة ذلك العام، كما هو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الغنائم والفوائد فهي واجبة عليهم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والأعيان المذكورة في مفروض المسألة ليست من فوائد العام اللّاحق، فلا يجبُ فيها الخُمس، وإنّما هي من فوائد العام السابق، والمفروض عدم وجوب الخُمس فيها في العام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إذا ورد عامٌ وخُصّص في زمانٍ‌، فبعد مُضيّ ذلك الزمان لا يكون المورد من موارد التمسّك بالاستصحاب، بل يتمسّك بالعام مطلقاً، كما حقّقناه في محلّه، لا سيّما إذا كان الخاص مُخصّصاً له من الأوّل، ولذا لا شُبهة في التمسّك ب‍ أَوْفُوا بِالْعُقُودِ </w:t>
      </w:r>
      <w:r>
        <w:rPr>
          <w:rStyle w:val="FootnoteAnchor"/>
          <w:rtl w:val="true"/>
        </w:rPr>
        <w:footnoteReference w:id="594"/>
      </w:r>
      <w:r>
        <w:rPr>
          <w:rFonts w:ascii="Amiri" w:hAnsi="Amiri" w:eastAsia="Amiri" w:cs="Amiri"/>
          <w:color w:val="111111"/>
          <w:sz w:val="28"/>
          <w:sz w:val="28"/>
          <w:szCs w:val="28"/>
          <w:rtl w:val="true"/>
          <w:lang w:bidi="ar-SA"/>
        </w:rPr>
        <w:t>ولو خُصّص بخيار المجلس، والمقام من هذا القبيل، كما لا يخفى‌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 دليل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الحكم المتضمّن لبيانه، مدار العنوان المأخوذ في الدليل، وحيث أنّه أُخذ في موضوع هذا الحكم مؤونة السَّنة، فالحكم يكون دائراً مدارها وجوداً وعدماً، فإذا خرجت الأعيان المذكورة عن كونها مؤونة السَّنة، لا تكون مشمولة لدليل الاستثناء، فيشملها دليل الخُمس، وعليه فلا محالة يكون دليل الاستثناء مقيّداً لإطلاق دليل الخُمس الأحوالي، لا مخصّصاً لعموم دليله الإفرادي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أدلّة الخُمس إنّما تدلّ على وجوب الخُمس في كلّ فائدةٍ لا فائدة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واردة في مقام بيان عدم تحليل الخُمس في الغنائم والفوائد في شيء من السنين، في مقابل ما أحلّه فيه في بعض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لم يجب الخُمس في عام الربح لمانعٍ‌، وارتفع ذلك المانع، وجب عليه دفع الخُمس في العام اللّاحق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يُقال في وجه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دليل الاستثناء إنّما دلّ على استثناء المؤونة، وما دلّ على تقييدها بمؤونة السَّنة من الإجماع والضرورة والتبادر، والجمع بين الأدلّة، إنّما يدلّ عليه في غير مثل هذه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الأعيان المذكورة ما دام كونها مؤونة تعد من مؤونة العام السابق لدى العرف، كما لا يخفى على من لاحظ أحوال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الوجوه الثلاثة المذكورة، لا يجب الخُمس فيها بعد الاستغناء، إذ بعد زوال الحاجة عنها في العام اللّاحق، لا يقطع بالوجوب، كي لايجري الاستصحاب، ولا تخرج عن كونها من مؤونة عام الفائدة، ولا هي من أرباح العام اللّاحق ليجب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المختار في وجه عدم الخُمس، فيجب مع زوال الحاجة، الموجب لخروجها عن كونها مؤونة، فإنّه بعد خروجها عن تحت عنوان المؤونة تشملها أدلّة الخُمس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تُخرَج المؤونة من مالٍ لا خُمس فيه </w:t>
      </w:r>
      <w:bookmarkStart w:id="198" w:name="pg11804_116626"/>
    </w:p>
    <w:p>
      <w:pPr>
        <w:pStyle w:val="Heading3"/>
        <w:numPr>
          <w:ilvl w:val="2"/>
          <w:numId w:val="1"/>
        </w:numPr>
        <w:rPr/>
      </w:pPr>
      <w:bookmarkStart w:id="199" w:name="__RefHeading___Toc10579802_73709187"/>
      <w:bookmarkStart w:id="200" w:name="_Toc67"/>
      <w:bookmarkEnd w:id="198"/>
      <w:bookmarkEnd w:id="199"/>
      <w:r>
        <w:rPr>
          <w:rtl w:val="true"/>
        </w:rPr>
        <w:t>لا تُخرَج المؤونة من مالٍ لا خُمس فيه</w:t>
      </w:r>
      <w:bookmarkEnd w:id="20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مالٌ لا خُمس فيه، إمّا لعدم تعلّقه به، أو لإخراجه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منهم الشهيد</w:t>
      </w:r>
      <w:r>
        <w:rPr>
          <w:rStyle w:val="FootnoteAnchor"/>
          <w:rtl w:val="true"/>
        </w:rPr>
        <w:footnoteReference w:id="595"/>
      </w:r>
      <w:r>
        <w:rPr>
          <w:rFonts w:ascii="Amiri" w:hAnsi="Amiri" w:eastAsia="Amiri" w:cs="Amiri"/>
          <w:color w:val="111111"/>
          <w:sz w:val="28"/>
          <w:sz w:val="28"/>
          <w:szCs w:val="28"/>
          <w:rtl w:val="true"/>
          <w:lang w:bidi="ar-SA"/>
        </w:rPr>
        <w:t>، والمحقّق</w:t>
      </w:r>
      <w:r>
        <w:rPr>
          <w:rStyle w:val="FootnoteAnchor"/>
          <w:rtl w:val="true"/>
        </w:rPr>
        <w:footnoteReference w:id="596"/>
      </w:r>
      <w:r>
        <w:rPr>
          <w:rFonts w:ascii="Amiri" w:hAnsi="Amiri" w:eastAsia="Amiri" w:cs="Amiri"/>
          <w:color w:val="111111"/>
          <w:sz w:val="28"/>
          <w:sz w:val="28"/>
          <w:szCs w:val="28"/>
          <w:rtl w:val="true"/>
          <w:lang w:bidi="ar-SA"/>
        </w:rPr>
        <w:t xml:space="preserve">الثانيان، وأصحاب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 والشيخ الأعظم</w:t>
      </w:r>
      <w:r>
        <w:rPr>
          <w:rStyle w:val="FootnoteAnchor"/>
          <w:rtl w:val="true"/>
        </w:rPr>
        <w:footnoteReference w:id="601"/>
      </w:r>
      <w:r>
        <w:rPr>
          <w:rFonts w:ascii="Amiri" w:hAnsi="Amiri" w:eastAsia="Amiri" w:cs="Amiri"/>
          <w:color w:val="111111"/>
          <w:sz w:val="28"/>
          <w:sz w:val="28"/>
          <w:szCs w:val="28"/>
          <w:rtl w:val="true"/>
          <w:lang w:bidi="ar-SA"/>
        </w:rPr>
        <w:t>وغيرهم</w:t>
      </w:r>
      <w:r>
        <w:rPr>
          <w:rStyle w:val="FootnoteAnchor"/>
          <w:rtl w:val="true"/>
        </w:rPr>
        <w:footnoteReference w:id="602"/>
      </w:r>
      <w:r>
        <w:rPr>
          <w:rFonts w:ascii="Amiri" w:hAnsi="Amiri" w:eastAsia="Amiri" w:cs="Amiri"/>
          <w:color w:val="111111"/>
          <w:sz w:val="28"/>
          <w:sz w:val="28"/>
          <w:szCs w:val="28"/>
          <w:rtl w:val="true"/>
          <w:lang w:bidi="ar-SA"/>
        </w:rPr>
        <w:t>، بل أغلب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المؤونة من الربح لا من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 والمحقّق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إخراجها من المال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الفروض المتصوّرة في المقام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المال الآخر ما لا يحتاج إليه في الاكتساب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كذلك، ولكن ليس من شأنه أن يؤخذ منه المؤونة، كالزائد عن مقدار الحاجة من رأس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جرت العادة بصرفه في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المحقّقين الأردبيلي</w:t>
      </w:r>
      <w:r>
        <w:rPr>
          <w:rStyle w:val="FootnoteAnchor"/>
          <w:rtl w:val="true"/>
        </w:rPr>
        <w:footnoteReference w:id="607"/>
      </w:r>
      <w:r>
        <w:rPr>
          <w:rFonts w:ascii="Amiri" w:hAnsi="Amiri" w:eastAsia="Amiri" w:cs="Amiri"/>
          <w:color w:val="111111"/>
          <w:sz w:val="28"/>
          <w:sz w:val="28"/>
          <w:szCs w:val="28"/>
          <w:rtl w:val="true"/>
          <w:lang w:bidi="ar-SA"/>
        </w:rPr>
        <w:t>والقُمّي</w:t>
      </w:r>
      <w:r>
        <w:rPr>
          <w:rStyle w:val="FootnoteAnchor"/>
          <w:rtl w:val="true"/>
        </w:rPr>
        <w:footnoteReference w:id="608"/>
      </w:r>
      <w:r>
        <w:rPr>
          <w:rFonts w:ascii="Amiri" w:hAnsi="Amiri" w:eastAsia="Amiri" w:cs="Amiri"/>
          <w:color w:val="111111"/>
          <w:sz w:val="28"/>
          <w:sz w:val="28"/>
          <w:szCs w:val="28"/>
          <w:rtl w:val="true"/>
          <w:lang w:bidi="ar-SA"/>
        </w:rPr>
        <w:t xml:space="preserve">موافقة المشهور في الفرضين الأولين، وإنّما خالفا القوم في الفرض الأخير، ولذا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في الأولين الإجماع على أنّ المؤونة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أنّ المؤونة من الربح، وأنّ الخُمس بعد المؤونة، بلا استفصال بين وجودِ مالٍ آخر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كون المؤونة من الربح في الفرض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لكونها من المال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المطلقات جارية مجرى الغالب من الاحتياج إلى أخذ المؤونة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المتبادر من نصوص المؤونة، صورة الاحتياج إلى ذلك، مع عدم صحّة إسنادها، والإجماع والضرورة ونفي الضرر تختصّ بصورة الاحتياج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ذلك يؤول إلى عدم الخُمس في مثل أرباح السلاطين والأكابر وزراعاتهم، وهو منافٍ لحكمة تشريع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أنّها لا توجب تقييد الإطلاق، فهي في نفسها ممنوعة، بل الغالب في مثل التاجر والزارع وجود مالٍ آخر يمكن الاستغناء به، ولو سنةً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استثناء المؤونة، هو النصوص المعتبرة، لاحظ صحاح ابن راشد، وابن مهزيار، والبزنطي المتقدّمة، وغيرها من النصوص، مع أنّها منجبرة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المتبادر منها صورة الاحتياج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وجهٌ استحساني، لايصلح أنْيكون مدركاًللأحكام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يرجع إليها بعد عدم دلالة الدليل على أنّها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اعتبارية واضحة الدفع، ككونه عملاً بالحقّين، ومطابقته للعدل، وغيرهما من الوجوه الاعتباريّة التي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يُحتسب ما عنده من دارٍ أو عبد أو نحوه من ما هو من المؤونة، إنْ لم يكن عنده من الأرباح، لظهور المؤونة في الاحتياج وإرادة الإرفاق، فمع فرض استغنائه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بسبب الانتقال بإرثٍ ونحوه ممّا لا خُمس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عدم تقدير احتساب ذلك من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واستجوده المحقّق الهمداني رحمه الله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يوجبُ عدم صدق المؤونة على ما لو صَرَف الربح في شراء دارٍ أو عبدٍ آخر مثلاً، لما عرفت من أنّها عبارة عن كلّ ما ينفقه في معاشه ولو بنحو الإسراف، ولكن في خصوص مورد الإسراف لم نلتزم بذلك خوفاً من مخالفة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1" w:name="pg11804_116629"/>
    </w:p>
    <w:p>
      <w:pPr>
        <w:pStyle w:val="BookText"/>
        <w:rPr/>
      </w:pPr>
      <w:bookmarkEnd w:id="201"/>
      <w:r>
        <w:rPr>
          <w:rFonts w:ascii="Amiri" w:hAnsi="Amiri" w:eastAsia="Amiri" w:cs="Amiri"/>
          <w:color w:val="111111"/>
          <w:sz w:val="28"/>
          <w:sz w:val="28"/>
          <w:szCs w:val="28"/>
          <w:rtl w:val="true"/>
          <w:lang w:bidi="ar-SA"/>
        </w:rPr>
        <w:t>وبذلك ظهر التنافي بين ما ذكره المحقّق الهمداني رحمه الله في المقام، وما اختاره في معنى المؤونة</w:t>
      </w:r>
      <w:r>
        <w:rPr>
          <w:rStyle w:val="FootnoteAnchor"/>
          <w:rtl w:val="true"/>
        </w:rPr>
        <w:footnoteReference w:id="612"/>
      </w:r>
      <w:r>
        <w:rPr>
          <w:rFonts w:ascii="Amiri" w:hAnsi="Amiri" w:eastAsia="Amiri" w:cs="Amiri"/>
          <w:color w:val="111111"/>
          <w:sz w:val="28"/>
          <w:sz w:val="28"/>
          <w:szCs w:val="28"/>
          <w:rtl w:val="true"/>
          <w:lang w:bidi="ar-SA"/>
        </w:rPr>
        <w:t>، نعم لو كان عنده عبدٌ أو جارية أو دارٌ أو نحو ذلك، لا يجوز احتساب قيمتها من المؤونة، لأنّ ظاهر دليل الاستثناء دلالته على ما يبذله في مصارفه فعلاً لا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قتَّر على نفسه</w:t>
      </w:r>
    </w:p>
    <w:p>
      <w:pPr>
        <w:pStyle w:val="Heading3"/>
        <w:numPr>
          <w:ilvl w:val="2"/>
          <w:numId w:val="1"/>
        </w:numPr>
        <w:rPr/>
      </w:pPr>
      <w:bookmarkStart w:id="202" w:name="__RefHeading___Toc10579804_73709187"/>
      <w:bookmarkStart w:id="203" w:name="_Toc68"/>
      <w:bookmarkEnd w:id="202"/>
      <w:r>
        <w:rPr>
          <w:rtl w:val="true"/>
        </w:rPr>
        <w:t>لو قتَّر على نفسه</w:t>
      </w:r>
      <w:bookmarkEnd w:id="203"/>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قتَّر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يحسب له، كما هو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لاأعرف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لعلّه ظاهر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يُحسب له، كما احتمله المحقّق الأردبيلي</w:t>
      </w:r>
      <w:r>
        <w:rPr>
          <w:rStyle w:val="FootnoteAnchor"/>
          <w:rtl w:val="true"/>
        </w:rPr>
        <w:footnoteReference w:id="618"/>
      </w:r>
      <w:r>
        <w:rPr>
          <w:rFonts w:ascii="Amiri" w:hAnsi="Amiri" w:eastAsia="Amiri" w:cs="Amiri"/>
          <w:color w:val="111111"/>
          <w:sz w:val="28"/>
          <w:sz w:val="28"/>
          <w:szCs w:val="28"/>
          <w:rtl w:val="true"/>
          <w:lang w:bidi="ar-SA"/>
        </w:rPr>
        <w:t>، وتبعه المحقّق الخوانساري</w:t>
      </w:r>
      <w:r>
        <w:rPr>
          <w:rStyle w:val="FootnoteAnchor"/>
          <w:rtl w:val="true"/>
        </w:rPr>
        <w:footnoteReference w:id="619"/>
      </w:r>
      <w:r>
        <w:rPr>
          <w:rFonts w:ascii="Amiri" w:hAnsi="Amiri" w:eastAsia="Amiri" w:cs="Amiri"/>
          <w:color w:val="111111"/>
          <w:sz w:val="28"/>
          <w:sz w:val="28"/>
          <w:szCs w:val="28"/>
          <w:rtl w:val="true"/>
          <w:lang w:bidi="ar-SA"/>
        </w:rPr>
        <w:t>، وقوّاه كاشف الغطاء</w:t>
      </w:r>
      <w:r>
        <w:rPr>
          <w:rStyle w:val="FootnoteAnchor"/>
          <w:rtl w:val="true"/>
        </w:rPr>
        <w:footnoteReference w:id="620"/>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21"/>
      </w:r>
      <w:r>
        <w:rPr>
          <w:rFonts w:ascii="Amiri" w:hAnsi="Amiri" w:eastAsia="Amiri" w:cs="Amiri"/>
          <w:color w:val="111111"/>
          <w:sz w:val="28"/>
          <w:sz w:val="28"/>
          <w:szCs w:val="28"/>
          <w:rtl w:val="true"/>
          <w:lang w:bidi="ar-SA"/>
        </w:rPr>
        <w:t>، والشيخ الأعظم</w:t>
      </w:r>
      <w:r>
        <w:rPr>
          <w:rStyle w:val="FootnoteAnchor"/>
          <w:rtl w:val="true"/>
        </w:rPr>
        <w:footnoteReference w:id="622"/>
      </w:r>
      <w:r>
        <w:rPr>
          <w:rFonts w:ascii="Amiri" w:hAnsi="Amiri" w:eastAsia="Amiri" w:cs="Amiri"/>
          <w:color w:val="111111"/>
          <w:sz w:val="28"/>
          <w:sz w:val="28"/>
          <w:szCs w:val="28"/>
          <w:rtl w:val="true"/>
          <w:lang w:bidi="ar-SA"/>
        </w:rPr>
        <w:t>، وتبعهم جماعة من محقّقي هذا العصر</w:t>
      </w:r>
      <w:r>
        <w:rPr>
          <w:rStyle w:val="FootnoteAnchor"/>
          <w:rtl w:val="true"/>
        </w:rPr>
        <w:footnoteReference w:id="623"/>
      </w:r>
      <w:r>
        <w:rPr>
          <w:rFonts w:ascii="Amiri" w:hAnsi="Amiri" w:eastAsia="Amiri" w:cs="Amiri"/>
          <w:color w:val="111111"/>
          <w:sz w:val="28"/>
          <w:sz w:val="28"/>
          <w:szCs w:val="28"/>
          <w:rtl w:val="true"/>
          <w:lang w:bidi="ar-SA"/>
        </w:rPr>
        <w:t>، بل هو المشهور في هذه الأعصار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يفصّل بين التقتير في الكمّ فالأوّل، وبين التقتير في الكيف فالثاني‌؟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المستثنى هي المؤونة المتعارفة، فالخُمس إنّما يتعلّق بما عداها، سواءٌ أنفقها أم زاد عليها، أم نقص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عدم تماميّة دعوى انصراف المؤونة إلى المؤونة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دليل الاستثناء كسائر الأدلّة، دوران الحكم مدار فعليّة العنوان المأخوذ موضوعاً له، ولا يكفي التقدير والشأنيّة، وعليه فعلى فرض تسليم كون المستثنيهي المؤونة المتعارفة، معنيذلك أنّه لو زيد عليهالم يُحسب، لا أنّه لو نقص عنها يُحتسب له، لأنّه ليس المستثنى مقدار المؤونة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التقتير في الكمّ بذلك، وفي التقتير في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صرفه يقوم مقام المصروف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لا يفرق بين التقتيرين، إذ قيام شيءٍ مقام المؤونة المتعارفة خارجاً، لا يوجبُ قيامه مقامها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أنّه لو قتّر على نفسه لم يحسب له، كما أنّه لو تبرّع بالمؤونة متبرِّعٌ‌، لا يستثنى له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تبرّع بمقدارها متبرّعٌ‌، فعلى القول بعدم وجوب الخُمس في الهبة ونحوها، تُستثنى المؤونة من الربح لا من ذلك، وأمّا على المختار من وجوب الخُمس فيها، فإنّه لا فرق بين إخراجها من ما تبرّع به أو الربح،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المكتسب في أثناء الحول بعد حصول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بعدم تعلّق الخُمس بالربح إلّابعد مُضيّ الحول، لا يجب عليه شيءٌ كما هو واضح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بتعلّقه به حين حصوله، كما هو الصحيح، فيسقط اعتبار </w:t>
      </w:r>
      <w:bookmarkStart w:id="204" w:name="pg11804_116631"/>
    </w:p>
    <w:p>
      <w:pPr>
        <w:pStyle w:val="BookText"/>
        <w:rPr/>
      </w:pPr>
      <w:bookmarkEnd w:id="204"/>
      <w:r>
        <w:rPr>
          <w:rFonts w:ascii="Amiri" w:hAnsi="Amiri" w:eastAsia="Amiri" w:cs="Amiri"/>
          <w:color w:val="111111"/>
          <w:sz w:val="28"/>
          <w:sz w:val="28"/>
          <w:szCs w:val="28"/>
          <w:rtl w:val="true"/>
          <w:lang w:bidi="ar-SA"/>
        </w:rPr>
        <w:t>المؤونة في باقيه، فلا يوضع من الربح مقدارها على تقدير الحياة، لانتفاء موضوعها، فيرجع إلى عموم أدلّة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مصارف الحجّ من مؤونة عام الإستطاعة</w:t>
      </w:r>
    </w:p>
    <w:p>
      <w:pPr>
        <w:pStyle w:val="Heading3"/>
        <w:numPr>
          <w:ilvl w:val="2"/>
          <w:numId w:val="1"/>
        </w:numPr>
        <w:rPr/>
      </w:pPr>
      <w:bookmarkStart w:id="205" w:name="__RefHeading___Toc10579806_73709187"/>
      <w:bookmarkStart w:id="206" w:name="_Toc69"/>
      <w:bookmarkEnd w:id="205"/>
      <w:r>
        <w:rPr>
          <w:rtl w:val="true"/>
        </w:rPr>
        <w:t>مصارف الحجّ من مؤونة عام الإستطاعة</w:t>
      </w:r>
      <w:bookmarkEnd w:id="206"/>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مستطيعاً أثناء الحول، وتمكّن من المسير في ذلك العام، وسار مع الرفقة الحجّ‌، احتسب مخارجه من ربح ذلك، بلا إشكال في 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624"/>
      </w:r>
      <w:r>
        <w:rPr>
          <w:rFonts w:ascii="Amiri" w:hAnsi="Amiri" w:eastAsia="Amiri" w:cs="Amiri"/>
          <w:color w:val="111111"/>
          <w:sz w:val="28"/>
          <w:sz w:val="28"/>
          <w:szCs w:val="28"/>
          <w:rtl w:val="true"/>
          <w:lang w:bidi="ar-SA"/>
        </w:rPr>
        <w:t>، لأنّها من أهمّ أقسام المؤونة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يتحرّك إلى الحجّ وعصى حتّى انقضى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عليه خمس ذلك الربح‌؟</w:t>
      </w:r>
    </w:p>
    <w:p>
      <w:pPr>
        <w:pStyle w:val="BookText"/>
        <w:rPr/>
      </w:pPr>
      <w:r>
        <w:rPr>
          <w:rFonts w:ascii="Amiri" w:hAnsi="Amiri" w:eastAsia="Amiri" w:cs="Amiri"/>
          <w:color w:val="111111"/>
          <w:sz w:val="28"/>
          <w:sz w:val="28"/>
          <w:szCs w:val="28"/>
          <w:rtl w:val="true"/>
          <w:lang w:bidi="ar-SA"/>
        </w:rPr>
        <w:t>أم يستثنى مقدار مصارف الحجّ؟</w:t>
      </w:r>
    </w:p>
    <w:p>
      <w:pPr>
        <w:pStyle w:val="BookText"/>
        <w:rPr/>
      </w:pPr>
      <w:r>
        <w:rPr>
          <w:rFonts w:ascii="Amiri" w:hAnsi="Amiri" w:eastAsia="Amiri" w:cs="Amiri"/>
          <w:color w:val="111111"/>
          <w:sz w:val="28"/>
          <w:sz w:val="28"/>
          <w:szCs w:val="28"/>
          <w:rtl w:val="true"/>
          <w:lang w:bidi="ar-SA"/>
        </w:rPr>
        <w:t>أم يفصّل بين ما لو تمكن من الحجّ بعد ذلك وإنْ لم يحفظ هذا الربح لمؤونته فالأوّل، وبين ما لو لم يتمكّن منه إلّابحفظه فالثاني‌؟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البذل المعتبر في صدق المؤونة منتفٍ في الفرض، فيكون نظير ما لو قَتَر على نفسه،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من التوقّف في الوجوب هنا، مع الجزم بأنّه لو قتر لم يحسب له، لا يخلو عن الإشكال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المسألتين، من جهة أنّه في مؤونة الحَجّ لو لم يصرف لا يسقط عنه ذلك، بل مأمور شرعاً بالصرف في السَّنة اللّاحقة، بخلاف ما لو قَتَر، ولعلّ هذا هو مدرك القول الثاني، وإنْ كان هذا لا يخلو عن النظر، إذ مجرّد وجوب صَرفه شرعاً في السَّنة اللّاحقة لا يوجبُ كونه من مؤونة هذه السَّنة، كما لا يخفى‌</w:t>
      </w:r>
      <w:r>
        <w:rPr>
          <w:rFonts w:eastAsia="Amiri" w:cs="Amiri" w:ascii="Amiri" w:hAnsi="Amiri"/>
          <w:color w:val="111111"/>
          <w:sz w:val="28"/>
          <w:szCs w:val="28"/>
          <w:rtl w:val="true"/>
          <w:lang w:bidi="ar-SA"/>
        </w:rPr>
        <w:t xml:space="preserve">. </w:t>
      </w:r>
      <w:bookmarkStart w:id="207" w:name="pg11804_116632"/>
    </w:p>
    <w:p>
      <w:pPr>
        <w:pStyle w:val="BookText"/>
        <w:rPr/>
      </w:pPr>
      <w:bookmarkEnd w:id="207"/>
      <w:r>
        <w:rPr>
          <w:rFonts w:ascii="Amiri" w:hAnsi="Amiri" w:eastAsia="Amiri" w:cs="Amiri"/>
          <w:color w:val="111111"/>
          <w:sz w:val="28"/>
          <w:sz w:val="28"/>
          <w:szCs w:val="28"/>
          <w:rtl w:val="true"/>
          <w:lang w:bidi="ar-SA"/>
        </w:rPr>
        <w:t>نعم، لو كان بحيث لا يتمكّن من الحجّ في السَّنة اللّاحقة إلّابحفظ هذا الربح، عُدّ ذلك من مؤونة هذه السَّنة، حيث يجب عليه حفظه فعلاً لأداء ما وجب عليه في السَّنة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هو 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حكم النذور و الكفّارات، وأنّ الأقوى فيهما هو التفصيل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يتمكّن من المسير في ذلك العام، وجب عليه خُمس ذلك الربح بلا كلام، لأنّه مع عدم التمكّن لا يجب عليه الحجّ‌، كي يكون مخارجه من المؤونة، ولو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حصلت له الاستطاعة في سنين متعدّدة، ففي ما عدا سنة الاستطاعة يجب الخُمس في الربح، لعدم وجوب الحجّ‌، وأمّا المقدار المتمّم له في تلك السَّنة، فحكمه حكم ما لو حصلت الاستطاعة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أداء الدَّين</w:t>
      </w:r>
    </w:p>
    <w:p>
      <w:pPr>
        <w:pStyle w:val="Heading3"/>
        <w:numPr>
          <w:ilvl w:val="2"/>
          <w:numId w:val="1"/>
        </w:numPr>
        <w:rPr/>
      </w:pPr>
      <w:bookmarkStart w:id="208" w:name="__RefHeading___Toc10579808_73709187"/>
      <w:bookmarkStart w:id="209" w:name="_Toc70"/>
      <w:bookmarkEnd w:id="208"/>
      <w:r>
        <w:rPr>
          <w:rtl w:val="true"/>
        </w:rPr>
        <w:t>حكم أداء الدَّين</w:t>
      </w:r>
      <w:bookmarkEnd w:id="209"/>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الدين من المؤونة، إذا كان في عام حصول الربح، وكان لمؤونة تلك السَّنة، إذ لا يعتبر في المؤونة المستثناة صرف الربح فيها، فإنّ مقتضى إطلاق أدلّة الاستثناء، عدم وجوب الخُمس في مقدارٍ من الربح يقابل المؤونة الفعليّة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في ذلك العام لغير مؤونته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اختار شيخنا الأعظم</w:t>
      </w:r>
      <w:r>
        <w:rPr>
          <w:rStyle w:val="FootnoteAnchor"/>
          <w:rtl w:val="true"/>
        </w:rPr>
        <w:footnoteReference w:id="626"/>
      </w:r>
      <w:r>
        <w:rPr>
          <w:rFonts w:ascii="Amiri" w:hAnsi="Amiri" w:eastAsia="Amiri" w:cs="Amiri"/>
          <w:color w:val="111111"/>
          <w:sz w:val="28"/>
          <w:sz w:val="28"/>
          <w:szCs w:val="28"/>
          <w:rtl w:val="true"/>
          <w:lang w:bidi="ar-SA"/>
        </w:rPr>
        <w:t>رحمه الله أنّ أداء الدين حينئذٍ من المؤونة، وتبعه جماعة ممّن تأخّر عنه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28"/>
      </w:r>
      <w:r>
        <w:rPr>
          <w:rFonts w:ascii="Amiri" w:hAnsi="Amiri" w:eastAsia="Amiri" w:cs="Amiri"/>
          <w:color w:val="111111"/>
          <w:sz w:val="28"/>
          <w:sz w:val="28"/>
          <w:szCs w:val="28"/>
          <w:rtl w:val="true"/>
          <w:lang w:bidi="ar-SA"/>
        </w:rPr>
        <w:t>عدم كونه منها، حيث قيّدوا الدين بالمقارن بالحاجة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صرف المال في أداء الدين ليس تضييعاً له، ولا صرفاً له فيما لا ينبغي، فكيف لا يحتسب من المؤونة‌؟</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أداء الدين وإنْ كان من المؤونة، إلّاأنّ المستثنى ليس مطلق المؤونة، بل مؤونة السَّنة، وحينئذٍ لو استدان لمؤونة نفسه في السَّنة اللّاحقة يكون أداءه الدين معدوداً من مؤونة تلك السَّنة لا من مؤونة سنة الربح، ويكون نظير ما لو اشترى في الذّمة، وفي مقام الأداء أدّاه من ربح هذه السَّنة كما هو الغالب في معاملات الناس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أورد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 يجوز على هذا اعتبار مؤونة السَّنة اللّاحقة من ربح هذا العام، كما إذا استدان في هذه السَّنة واشترى كافّة ما يلزمه في السَّنة اللّاحقة سَلَماً وسَلَفاً، وأدّاه من ربح هذا العام، بل يجوز أن يستدين ويشتري الأملاك والعمارات والأراضي والبساتين و غيرها ممّاهو ليس من المؤونة، فيخرجه من ربح هذا العام بالاعتبار المذكور إلى غير ذلك من التوالي الفاسدة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يدّعي أنّ أداء الدَّين من المؤونة، ولكن ما استدان له ليس منها، فمع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الخُمس دون ما يمنع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الثاني، وعليه فلا يجب الخُمس فيما استدان له كما لايخفى‌، وكذلك وفيما استدان في عام الربح لمؤونة ذلك العام، ولم يؤدِّ دينه حتّى انقضى العام، فإنّ مقدارها يكون مستثنى من الخُمس، فله أن يؤدّيه من الربح بعد مُضيّ الحول قبل إخراج الخُمس، لما تقدّم من أنّ ظاهر أدلّة الاستثناء هو استثناء ما يقابل المؤونة، لا ما يُصرف من الربح فيها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فما قوّاه شيخنا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من لزوم إخراج الخُمس أوّلاً، وأداء الدَّين ممّا بقي، ضعيفٌ‌، كما أنّ توقّف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في ذلك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ما إذا كان الدين في عام حصول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الدَّين سابقاً عليه، فإنْ كان لمؤونة عام الربح، فهو كالمقارن بلا فرق بينهما، وإنْ كان لغيرها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محتاجاً إليه في ذلك العام فكذلك، لصدق المؤونة عرفاً على أدائه حينئذٍ، وإلّا فالأظهر عدم كون أدائه من مؤونة عام الربح مطلقاً، من غير فرقٍ بين وجود مقابله وعدمه، وتمكّنه من الوفاء قبل عام الربح أو من مال آخر وعدمه، لما عرفت من تبعيّة أداء الدين لما هو في مقابله، فمع فرض عدم كونه من مؤونة السَّنة، لا يكون أداء الدَّين أيضاً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من أنّ وفاء الدَّين السابق، حتّى مع عدم الحاجة، بعد شُغل الذّمة به يعدّ من الحاجة، وإنْ لم يكن أصله كذلك،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الأعظم رحمه الله</w:t>
      </w:r>
      <w:r>
        <w:rPr>
          <w:rStyle w:val="FootnoteAnchor"/>
          <w:rtl w:val="true"/>
        </w:rPr>
        <w:footnoteReference w:id="632"/>
      </w:r>
      <w:r>
        <w:rPr>
          <w:rFonts w:ascii="Amiri" w:hAnsi="Amiri" w:eastAsia="Amiri" w:cs="Amiri"/>
          <w:color w:val="111111"/>
          <w:sz w:val="28"/>
          <w:sz w:val="28"/>
          <w:szCs w:val="28"/>
          <w:rtl w:val="true"/>
          <w:lang w:bidi="ar-SA"/>
        </w:rPr>
        <w:t xml:space="preserve">من أنّ وفاء الدَّين السابق من المؤونة، إذا لم يتمكّن من وفائه إلّافي عام الاكتساب، أو تمكّن ولم يؤدّه، مع عدم بقاء مقابله إلى عام الاكتساب، وتبعه فقيه عصره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إذ عدم التمكّن من الوفاء لا يوجبُ صدق مؤونة السَّنة عليه، بعد كون مقابله مصروفاً في غير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الدَّين من حيثُ هو، ليس من المؤونة مطلقاً، بل إنّما يكون منها إذا صرف مقابله في مؤونة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بأسباب قهريّة، وإلّا فإنْ كان من قبيل قِيم المتلفات بالتلف غير الاختياري، وأروش الجنايات، فالأظهر كونه من مؤونة السَّنة، ويكون حكمه حكم مؤونة الحجّ والنذور والكفّارات، وقد تقدّم تنقيح القول فيها فراجع</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10" w:name="pg11804_116636"/>
    </w:p>
    <w:p>
      <w:pPr>
        <w:pStyle w:val="BookText"/>
        <w:rPr/>
      </w:pPr>
      <w:bookmarkEnd w:id="210"/>
      <w:r>
        <w:rPr>
          <w:rFonts w:ascii="Amiri" w:hAnsi="Amiri" w:eastAsia="Amiri" w:cs="Amiri"/>
          <w:color w:val="111111"/>
          <w:sz w:val="28"/>
          <w:sz w:val="28"/>
          <w:szCs w:val="28"/>
          <w:rtl w:val="true"/>
          <w:lang w:bidi="ar-SA"/>
        </w:rPr>
        <w:t>ووقتُ الوجوب، وقتُ حصول هذه الأشياء</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0579810_73709187"/>
      <w:bookmarkStart w:id="212" w:name="_Toc71"/>
      <w:bookmarkEnd w:id="211"/>
      <w:r>
        <w:rPr>
          <w:rtl w:val="true"/>
        </w:rPr>
        <w:t>وقت تعلّق الخُمس</w:t>
      </w:r>
      <w:bookmarkEnd w:id="212"/>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الوجوب، وقتُ حصول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في شيء منها عدا الأرباح، ويشهد له إطلاق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خُمس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كذلك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تعلّق الخُمس فيها بعد مُضيّ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النسبة نظر</w:t>
      </w:r>
      <w:r>
        <w:rPr>
          <w:rStyle w:val="FootnoteAnchor"/>
          <w:rtl w:val="true"/>
        </w:rPr>
        <w:footnoteReference w:id="635"/>
      </w:r>
      <w:r>
        <w:rPr>
          <w:rFonts w:ascii="Amiri" w:hAnsi="Amiri" w:eastAsia="Amiri" w:cs="Amiri"/>
          <w:color w:val="111111"/>
          <w:sz w:val="28"/>
          <w:sz w:val="28"/>
          <w:szCs w:val="28"/>
          <w:rtl w:val="true"/>
          <w:lang w:bidi="ar-SA"/>
        </w:rPr>
        <w:t xml:space="preserve">، إذ لعلّ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محكيّ كلامه</w:t>
      </w:r>
      <w:r>
        <w:rPr>
          <w:rStyle w:val="FootnoteAnchor"/>
          <w:rtl w:val="true"/>
        </w:rPr>
        <w:footnoteReference w:id="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فيها الخُمس، بعد أخذها وحصولها، بل بعد مؤونة المستفيد، ومؤونة من يجب عليه مؤونته سنةً هلاليّة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نصوص الاستثناء المتضمّنة، لأنّ الخُمس بعد المؤونة كما ستعرف، ويؤيّده أنّ المحكي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ذلك، مع أنّ المعلوم من مذهبه موافقة المشهور، ودعواه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لكون وقت التعلّق بعد مُضيّ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المؤونة لا يُعلم كميّتها إلّابعد مُضيّ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النصوص متضمّنة أنّ الخُمس ثابتٌ بعد المؤونة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العلم بالكميّة، لا ينافي كون وقت الوجوب </w:t>
      </w:r>
    </w:p>
    <w:p>
      <w:pPr>
        <w:pStyle w:val="BookText"/>
        <w:rPr/>
      </w:pPr>
      <w:r>
        <w:rPr>
          <w:rFonts w:ascii="Amiri" w:hAnsi="Amiri" w:eastAsia="Amiri" w:cs="Amiri"/>
          <w:color w:val="111111"/>
          <w:sz w:val="28"/>
          <w:sz w:val="28"/>
          <w:szCs w:val="28"/>
          <w:rtl w:val="true"/>
          <w:lang w:bidi="ar-SA"/>
        </w:rPr>
        <w:t>حين حصول الفائدة في المقدار الزائد عن المؤونة، وإنْ لم يعلم، مع أنّه ربما يَعلم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عدم العلم بها، إنّما هو بالنسبة إلى مقدارٍ من الربح، وأمّا الزائد على ذلك، فلا يجري فيه ذلك، مثلاً من اتّجر وربح مائة ألف دينار، ويعلم بأنّه لا يزيد مؤونة سنته من ألف دينار، فلِمَ لا يجب عليه الخُمس في الزائد؟</w:t>
      </w:r>
    </w:p>
    <w:p>
      <w:pPr>
        <w:pStyle w:val="BookText"/>
        <w:rPr/>
      </w:pPr>
      <w:r>
        <w:rPr>
          <w:rFonts w:ascii="Amiri" w:hAnsi="Amiri" w:eastAsia="Amiri" w:cs="Amiri"/>
          <w:color w:val="111111"/>
          <w:sz w:val="28"/>
          <w:sz w:val="28"/>
          <w:szCs w:val="28"/>
          <w:rtl w:val="true"/>
          <w:lang w:bidi="ar-SA"/>
        </w:rPr>
        <w:t>وعلى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الخُمس متكفّلة لبيان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الوضعي، وهو تعلّق الخُمس بالمال حين حصول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إخراجه حين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نصوص المؤونة، كقوله عليه السلام في خبر البزنطي، حيث أجاب عند السؤال عن السؤال عن أنّ الخُمس يخرجه قبل المؤونة أو بعد المؤونة‌؟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خبر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 ممّا يَفضل عن مؤونته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إنّما تكون ظاهرة في عدم وجوب الإخراج قبل مُضيّ الحول، وبها يقيّد إطلاق الأدلّة من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الأولى فهي بالنسبة إليها باقية على إطلاقها، الموجب لكون وقته حين حصول الفائدة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في نصوص الاستثناء يدور بين إرادة البَعديّة الزمانيّة منها، وبين إرادة التأخّر الرتبي، وعلى الأُولى يلزم الالتزام بوجوب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في جميع الربح بعد المؤونة، إذ لا تعرّض لها حينئذٍ لمتعلّقه، بل هي واردة في مقام بيان وقته، وعلى الثانية تكون متضمّنة لتحديد متعلّق الخُمس، لا في مقام وقته، وحيثُ أنّه لا يمكن الالتزام بالأُولى‌، فيتعيّن الالتزام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ما تضمّن أنّ الخُمس بعد المؤونة، هي البَعديّة الزمانيّة، ولا صارف عن ظهوره سوى ما ذكر، وهو فاسدٌ، إذ يشهد لتحديد المتعلّق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خبر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 ممّا يَفضل عن 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في خبر ابن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جواباً عن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والتاجر عليه والصانع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منه أنّ الخُمس في الباقي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ما أفتى به المشهور، من أنّه يؤخّر جوازاً ما يجب في الأرباح، بل ادّعى عليه الإجماع،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احتياطاً للمكتسب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اُريد به أنّ ذلك هي الحكمة في الجعل، لا أنّه الوجه في الجواز حتّى يرد عليهم بأنّه قد يعلم كميّة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احتمال وجود المؤونة منفيٌّ بالأصل، مضافاً إلى أنّ ذلك فيما يحتمل صرفه في المؤونة، وأمّا في الزائد عليه فلا يتمّ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بالاحتياط، الاحتياط النوعي، فلا يرد هذه المحاذير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يبقى حينئذٍ إشكال أنّه كيف يكون الاحتياط النوعي مدركاً لهذا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3" w:name="pg11804_116639"/>
    </w:p>
    <w:p>
      <w:pPr>
        <w:pStyle w:val="BookText"/>
        <w:rPr/>
      </w:pPr>
      <w:bookmarkEnd w:id="213"/>
      <w:r>
        <w:rPr>
          <w:rFonts w:ascii="Amiri" w:hAnsi="Amiri" w:eastAsia="Amiri" w:cs="Amiri"/>
          <w:color w:val="111111"/>
          <w:sz w:val="28"/>
          <w:sz w:val="28"/>
          <w:szCs w:val="28"/>
          <w:rtl w:val="true"/>
          <w:lang w:bidi="ar-SA"/>
        </w:rPr>
        <w:t>الخسران أو التلف يُجبر بالربح</w:t>
      </w:r>
    </w:p>
    <w:p>
      <w:pPr>
        <w:pStyle w:val="Heading3"/>
        <w:numPr>
          <w:ilvl w:val="2"/>
          <w:numId w:val="1"/>
        </w:numPr>
        <w:rPr/>
      </w:pPr>
      <w:bookmarkStart w:id="214" w:name="__RefHeading___Toc10579812_73709187"/>
      <w:bookmarkStart w:id="215" w:name="_Toc72"/>
      <w:bookmarkEnd w:id="214"/>
      <w:r>
        <w:rPr>
          <w:rtl w:val="true"/>
        </w:rPr>
        <w:t>الخسران أو التلف يُجبر بالربح</w:t>
      </w:r>
      <w:bookmarkEnd w:id="215"/>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نقاش في أنّه إذا اتّفقت الخسارة والفائدة في تجارةٍ واحدة، بأن باع بعض مال التجارة فخَسِر، ثمّ تغيّر السِّعر فباع الباقي بأضعافه، أو أخذ شيئين صفقةً‌، فربح في أحدهما وخَسر في الآخر، أنّه تُجبر الخسارة بالربح، لعدم صدق الاستفادة، ما لم يحصل على أزيد من ما صرفه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الفرق بين الخُسران وبين التلف بالسَّرقة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من عدم الجبر في الفرض الثاني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كانتا في عامٍ واحد في وقتين، فاختار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عدم الجبر، لا سيّما لو كان الربح في الوقت الثاني، لأنّهما في الحقيقة كالتجارتين، ولكن ستعرف أنّ الجبر في التجارتين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فيما لو كان الربح في الوقت الثاني، أي كان الخسران متقدِّماً على أصل الربح، هو الصحيح، بناءً على ما اخترناه تبعاً له قدس سره من أنّ مبدأ السَّنة حصول الربح، لا الشروع في الاكتساب، لأنّ الخُسران أو التلف قبل السَّنة لا يُجبر بربحها، كما أنّ مؤونتها لا تستثنى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فرّق الكاسب والتاجر رأس ماله في أنواع من التجارة، فربح في نوعٍ منها، وخَسِر في نوعٍ آخر، أو تلف بعض رأس ماله أو تمامه في نوعٍمنها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فقد قوّى عدم الجبر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استقرب شيخنا المرتضى</w:t>
      </w:r>
      <w:r>
        <w:rPr>
          <w:rStyle w:val="FootnoteAnchor"/>
          <w:rtl w:val="true"/>
        </w:rPr>
        <w:footnoteReference w:id="644"/>
      </w:r>
      <w:r>
        <w:rPr>
          <w:rFonts w:ascii="Amiri" w:hAnsi="Amiri" w:eastAsia="Amiri" w:cs="Amiri"/>
          <w:color w:val="111111"/>
          <w:sz w:val="28"/>
          <w:sz w:val="28"/>
          <w:szCs w:val="28"/>
          <w:rtl w:val="true"/>
          <w:lang w:bidi="ar-SA"/>
        </w:rPr>
        <w:t>الجبر، وقوّاه جماعة</w:t>
      </w:r>
      <w:r>
        <w:rPr>
          <w:rStyle w:val="FootnoteAnchor"/>
          <w:rtl w:val="true"/>
        </w:rPr>
        <w:footnoteReference w:id="645"/>
      </w:r>
      <w:r>
        <w:rPr>
          <w:rFonts w:ascii="Amiri" w:hAnsi="Amiri" w:eastAsia="Amiri" w:cs="Amiri"/>
          <w:color w:val="111111"/>
          <w:sz w:val="28"/>
          <w:sz w:val="28"/>
          <w:szCs w:val="28"/>
          <w:rtl w:val="true"/>
          <w:lang w:bidi="ar-SA"/>
        </w:rPr>
        <w:t>، وهو الأقوى‌، إذ بعدما عرفت مراراً أنّ الظاهر من النصوص بعد رَدّ بعضها إلى بعض، أنّ موضوع وجوب الخُمس هو مجموع الربح الحاصل خلال السَّنة، دون أن يكون كلّ ربح موضوعاً مستقلّاً، وربح السَّنة إنّما يُقاس إلى رأس المال الموجود في أوّل السَّنة، فإنْ حصل له في آخر السَّنة أزيد منه، صدق أنّه ربح في سنته وإلّا فلا، لا يبقى ترديدٌ في ثبوت الجبر، من غير فرقٍ بين صورة الخُسران أو التلف، ويشير إلى ذلك قوله عليه السلام في خبر ابن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لسؤال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والتاجر عليه والصانع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أنّه إنّما يجبُ الخُمس إذا بقي شيءٌ للتاجر والصانع بعد مُضيّ الحول، وإلّا فلا، سواءٌ أكان له تجارة واحدة، أو أنواع من التجارة، وسواءٌ ربح في بعضها وخسر في الآخر، أو ربح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أنّ الجبر هو الأظهر، لو كان له تجارة وزراعة مثلاً، فخسر في تجارته، أو تلف رأس ماله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الأظهر، من أنّ الملحوظ هو الربح الحاصل خلال السَّنة، بلا دخل لما يتوسّل به لحصوله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الاستفادة على تجارته المذكورة عرفاً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من أنّ عدم الجبر في هذا الفرع لا يخلو عن قوّة، ضعيف، ولعلّ الجبر في جميع هذه الفروع هو المشهور بين الأصحاب، حيث أنّهم لم يتعرّضوا لها، وإنّما أفتوا بعدم الجبر في الفرع القادم، وحكموا بأنّه لم يجبر بالربح فيما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تلف بعض أمواله، ممّا ليس من مال التجارة،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محسوباً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ممّا لا إشكال فيه، ما لم يكن ذلك المقدار مورداً لاحتياجه، أو لم يشتره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خارجٌ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عدم الجبر لا يتوقّف على ذلك، بل عليه وعلى صدق الاستفادة مع التلف، ولذا استدلّ به جماعة، ولكنّه قابل للمنع بناءً على ما اخترناه من وجوب الخُمس في مطلق الفائدة، لا خصوص الفائدة المكتسبة، كما هو المنسوب إلى المشهور، فإنّه عليه يلاحظ عرفاً في آخر السَّنة، فإنْ كان عنده أزيد من ما كان يملكه في أوّلها، فهو يعدّ مستفيداً وغانماً،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وتسليم الشكّ في ذلك، فلابدّ من الرجوع إلى أصالة البراءة عن وجوب الخُمس، إذ الشكّ في الجبر يستلزمُ الشكّ في صدق الإستفادة، الموجبُللشكّ في وجوب الخُمس، فيكون المرجع حينئذٍ هو إلى الأصل النافي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الجبر في جميع هذه الموارد، وما عن المشهور من عدمه في الفرع الأخير، إنّما يكون مبتنياً على ما نُسب إليهم من عدم الخُمس في مطلق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توقّف في ثبوته في مطلق الفائدة، غير جازمٍ بعدم الجبر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6" w:name="pg11804_116642"/>
    </w:p>
    <w:p>
      <w:pPr>
        <w:pStyle w:val="BookText"/>
        <w:rPr/>
      </w:pPr>
      <w:bookmarkEnd w:id="216"/>
      <w:r>
        <w:rPr>
          <w:rFonts w:ascii="Amiri" w:hAnsi="Amiri" w:eastAsia="Amiri" w:cs="Amiri"/>
          <w:color w:val="111111"/>
          <w:sz w:val="28"/>
          <w:sz w:val="28"/>
          <w:szCs w:val="28"/>
          <w:rtl w:val="true"/>
          <w:lang w:bidi="ar-SA"/>
        </w:rPr>
        <w:t>الخُمس متعلّق بالعين</w:t>
      </w:r>
    </w:p>
    <w:p>
      <w:pPr>
        <w:pStyle w:val="Heading3"/>
        <w:numPr>
          <w:ilvl w:val="2"/>
          <w:numId w:val="1"/>
        </w:numPr>
        <w:rPr/>
      </w:pPr>
      <w:bookmarkStart w:id="217" w:name="__RefHeading___Toc10579814_73709187"/>
      <w:bookmarkStart w:id="218" w:name="_Toc73"/>
      <w:bookmarkEnd w:id="217"/>
      <w:r>
        <w:rPr>
          <w:rtl w:val="true"/>
        </w:rPr>
        <w:t>الخُمس متعلّق بالعين</w:t>
      </w:r>
      <w:bookmarkEnd w:id="218"/>
    </w:p>
    <w:p>
      <w:pPr>
        <w:pStyle w:val="BookText"/>
        <w:rPr/>
      </w:pPr>
      <w:r>
        <w:rPr>
          <w:rFonts w:ascii="Amiri" w:hAnsi="Amiri" w:eastAsia="Amiri" w:cs="Amiri"/>
          <w:color w:val="111111"/>
          <w:sz w:val="28"/>
          <w:sz w:val="28"/>
          <w:szCs w:val="28"/>
          <w:rtl w:val="true"/>
          <w:lang w:bidi="ar-SA"/>
        </w:rPr>
        <w:t>بقي في المقام مسائل يجب التعرّض لها ولأحكامها،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الخُمس وكيفيّة تعلّقه‌؟</w:t>
      </w:r>
    </w:p>
    <w:p>
      <w:pPr>
        <w:pStyle w:val="BookText"/>
        <w:rPr/>
      </w:pPr>
      <w:r>
        <w:rPr>
          <w:rFonts w:ascii="Amiri" w:hAnsi="Amiri" w:eastAsia="Amiri" w:cs="Amiri"/>
          <w:color w:val="111111"/>
          <w:sz w:val="28"/>
          <w:sz w:val="28"/>
          <w:szCs w:val="28"/>
          <w:rtl w:val="true"/>
          <w:lang w:bidi="ar-SA"/>
        </w:rPr>
        <w:t>وتنقيح القول فيه يتحقّق بالبحث في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متعلّقه بالعين أو بالذمّة‌؟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على فرض تعلّقه بالعين، هل هو متعلّقٌ بها بما لها من الماليّة، أم متعلّقٌ بها بما لها من الخصوصيّات الشخصيّة‌؟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ثبوته فى العين، هل يكون بنحو المِلْكيّة، أو يكون حقّاً متعلّقاً بالعين‌؟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على القول بكونه بنحو المِلْكيّة، هل تكون شركة أرباب الخُمس مع المالك على وجه الإشاعة، أو على وجه الكلّي في المعيّن‌؟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على القول بكونه حقّاً، هل هو من قبيل حقّ الجناية، أو من قبيل حقّ الرهانة، أم من قبيل غيرهما؟</w:t>
      </w:r>
    </w:p>
    <w:p>
      <w:pPr>
        <w:pStyle w:val="BookText"/>
        <w:rPr/>
      </w:pPr>
      <w:r>
        <w:rPr>
          <w:rFonts w:ascii="Amiri" w:hAnsi="Amiri" w:eastAsia="Amiri" w:cs="Amiri"/>
          <w:color w:val="111111"/>
          <w:sz w:val="28"/>
          <w:sz w:val="28"/>
          <w:szCs w:val="28"/>
          <w:rtl w:val="true"/>
          <w:lang w:bidi="ar-SA"/>
        </w:rPr>
        <w:t>وقد أشبعنا الكلام في جميع هذه الجهات في كتاب الزكاة</w:t>
      </w:r>
      <w:r>
        <w:rPr>
          <w:rStyle w:val="FootnoteAnchor"/>
          <w:rtl w:val="true"/>
        </w:rPr>
        <w:footnoteReference w:id="648"/>
      </w:r>
      <w:r>
        <w:rPr>
          <w:rFonts w:ascii="Amiri" w:hAnsi="Amiri" w:eastAsia="Amiri" w:cs="Amiri"/>
          <w:color w:val="111111"/>
          <w:sz w:val="28"/>
          <w:sz w:val="28"/>
          <w:szCs w:val="28"/>
          <w:rtl w:val="true"/>
          <w:lang w:bidi="ar-SA"/>
        </w:rPr>
        <w:t>، ولا نُعيد ما تحدّثنا عنه سابقاً، وإنّما نُشير إلى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الأدلّة الواردة في الكتاب والسُنّة، كون الخُمس متعلّقاً بالعين، راجع كتاب الزكاة من هذا الشرح</w:t>
      </w:r>
      <w:r>
        <w:rPr>
          <w:rStyle w:val="FootnoteAnchor"/>
          <w:rtl w:val="true"/>
        </w:rPr>
        <w:footnoteReference w:id="649"/>
      </w:r>
      <w:r>
        <w:rPr>
          <w:rFonts w:ascii="Amiri" w:hAnsi="Amiri" w:eastAsia="Amiri" w:cs="Amiri"/>
          <w:color w:val="111111"/>
          <w:sz w:val="28"/>
          <w:sz w:val="28"/>
          <w:szCs w:val="28"/>
          <w:rtl w:val="true"/>
          <w:lang w:bidi="ar-SA"/>
        </w:rPr>
        <w:t>ولاحظ دليل المختار، وما يمكن أنْ يستدلّ به على تعلّقه بالذمّة، وما يرد عليه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كون الخُمس متعلّقاً بالعين بمالها من الماليّة، إذ الظاهر من الآية </w:t>
      </w:r>
    </w:p>
    <w:p>
      <w:pPr>
        <w:pStyle w:val="BookText"/>
        <w:rPr/>
      </w:pPr>
      <w:r>
        <w:rPr>
          <w:rFonts w:ascii="Amiri" w:hAnsi="Amiri" w:eastAsia="Amiri" w:cs="Amiri"/>
          <w:color w:val="111111"/>
          <w:sz w:val="28"/>
          <w:sz w:val="28"/>
          <w:szCs w:val="28"/>
          <w:rtl w:val="true"/>
          <w:lang w:bidi="ar-SA"/>
        </w:rPr>
        <w:t>الشريفة وجوب الخُمس في الغنيمة بما هي غنيمة، المتوقّف صدقها على الماليّة، دون الخصوصيّات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جواز المعاملة على مال الخُمس، وانتقاله إلى ثمنه، إذ لو كان متعلّقاً بالخصوصيّات لم يجز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أداء القيمة، وعدم وجوب دفع خُمس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التصرّف في العين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الأدلّة، إّ الخُمس متعلّق بالعين على نحو الحقيقة دون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اُضيف الخُمس فيه إلى نفس الموضوع،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أَنَّما غَنِمْتُمْ مِنْ شَيْ‌ءٍ فَأَنَّ لِلّهِ خُمُسَهُ‌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وغاية ما قيل في وجه دلالة ذلك على كون الخُمس متعلّقاً بالشيء بنحو الملكيّة، ظهور حرف اللّام في 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يندفع ذلك بأنّ الموضوع المأخوذ في الآية هو الغنيمة والفائدة المستندة إلى الشخص، المتوقّف صدقها على الملكيّة، فموضوعه ملكيّة المالك، فلا محالة يكون تعلّق الخُمس في الطول من ذلك، فلا يُعقل إلّابأن يكون حقّاً متعلّقاً بما استند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المالك على وجه الغُنم، وإلّا فلو كان خُمسه مِلْكاً لأربابه، لما صَحّ استناد الغُنم بتمامه إلى المالك،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الموضوع فيه ظرفاً للخُمس، كمصحّح عمّار بن مروان،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قيل في وجه دلالة هذه النصوص على المِلْكيّة أنّ ظاهرها إرادة الجُزء الحال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عنها مجالاً واسعاً، إذ الظرفيّة المترائية فيها ليست حقيقيّة، بل إنّما هي ظرفيّة اعتبارية، ولم يثبت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فيها، بل غاية ما ثبت كونها حقيقيّة في الظرفيّة الحِسيّة، وحينئذٍ فيدور الأمر بين الحمل على الظرفيّة الاعتباريّة، أو السببيّة، ولا معيّن لأحداهما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الظرف لغواً متعلّقاً بفعلٍ مقدَّرٍ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مدخول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لذلك الفعل، نظير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الخطأ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تدلّ على ظرفيّته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كونه ظرفاً مستقرّاً متعلّقاً بكائن، حيث أنّ الظرف يباين المظروف، فيكون ظاهرها كون الخُمس شيئاً موضوعاً على المال خارجاً عنه، فيتعيّن أنْ يكون حقّاً قائماً بالعين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أغمض عن ذلك أيضاً، فهي غير ظاهرة في ظرفيّة الكلّ للجزء، بل يجوز أنْ تكون من قبيل ظرفيّة موضوع الحقّ للحقّ‌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لأداة الاستعلاء بدل أداة الظرفيّة، كمرسل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الخبر في أنّ الخُمسَ موضوعٌ على المال خارجاً عنه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يكون ظاهراً فيه، أو قابلاً للحمل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المختار، بل يشهد له، أنّ الالتزام بالمِلكيّة، يستلزم عدم الالتزام بجملة من الفروع الفقهيّة المسلّمة بين الفقهاء، كجواز دفع القيمة بغير رضاء أرباب الخُمس، بل الحاكم الشرعي، وعدم كون المالك ضامناً لمنفعة الخُمس، إنْ لم يستوفها، وإنْ فرّط بالتأخير، وجواز التصرّف في المال من دون إذن أرباب الخُمس، ونحو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الأدلّة كونه من قبيل حقّ الجناية، أي يكون حقّاً تعليقيّاً متعلّقاً بنفس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كونه تعليقيّاً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 على جواز إعطاء المالك من غير العين وتبديله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كونه متعلّقاً بالعين ابتداءً ما دلّ من النصوص والفتاوى على عدم ضمان الخُمس بتلف المال، إذ لو كان في الذّمة، وكان من قبيل حقّ الرهانة، لم يكن موجب لبراءة الذّمة عنه بتلف المال، كما أنّ تلف الرهن لا يوجب براءة ذمّة الراهن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الخُمس بالعين إنّما يكون من قبيل تعلّق حقّ الجناية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ربح ما تعلّق به الخُمس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9" w:name="pg11804_116646"/>
    </w:p>
    <w:p>
      <w:pPr>
        <w:pStyle w:val="Heading3"/>
        <w:numPr>
          <w:ilvl w:val="2"/>
          <w:numId w:val="1"/>
        </w:numPr>
        <w:rPr/>
      </w:pPr>
      <w:bookmarkStart w:id="220" w:name="__RefHeading___Toc10579816_73709187"/>
      <w:bookmarkStart w:id="221" w:name="_Toc74"/>
      <w:bookmarkEnd w:id="219"/>
      <w:bookmarkEnd w:id="220"/>
      <w:r>
        <w:rPr>
          <w:rtl w:val="true"/>
        </w:rPr>
        <w:t>حُكم ربح ما تعلّق به الخُمس</w:t>
      </w:r>
      <w:bookmarkEnd w:id="2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المختار أنّه لو تاجر بالمال الذي تعلّق به الخُمس، وحصل منه ربح، لا يكون ما يقابل خُمس الربح الأوّل لأرباب الخُمس، سواءٌ أكانت التجارة في أثناء السَّنة، أو كانت بعد تمام الحول،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القولين الآخرين، لا إشكال في كون ما يقابل خُمس الربح الأوّل لأربابه، إذا كانت التجارة بعد مُضيّ الحول، في غير المورد الذي حكمنا فيه بصحّة المعاملة، لتبعيّة النماء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التجارة به في أثناء الحول، ولا كلام أيضاً في جوازها تكليفاً كسائر التصرّفات، للنصوص المتقدّمة الدالّة على جواز التأخير إلى مُضيّ الحول، فإنّها بالملازمة العاديّة تدلّ على جواز التصرّف فيه مطلقاً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فيما لو ربح، فقد نوقش في أنّ ربح خُمس المال هل هو ثابتٌ لأربابه أم لا؟</w:t>
      </w:r>
    </w:p>
    <w:p>
      <w:pPr>
        <w:pStyle w:val="BookText"/>
        <w:rPr/>
      </w:pPr>
      <w:r>
        <w:rPr>
          <w:rFonts w:ascii="Amiri" w:hAnsi="Amiri" w:eastAsia="Amiri" w:cs="Amiri"/>
          <w:color w:val="111111"/>
          <w:sz w:val="28"/>
          <w:sz w:val="28"/>
          <w:szCs w:val="28"/>
          <w:rtl w:val="true"/>
          <w:lang w:bidi="ar-SA"/>
        </w:rPr>
        <w:t xml:space="preserve">فيه وجهان، اختار أوّلهما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رحمه الله، واستدلّ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بتبعيّة النماء للأصل، وأنّ جواز التأخير لا ينافي ذلك، فلو ربح أوّلاً مثلاً ستمائة دينار، وكانت مؤونته منها مائة، وقد أخذها فاتّجر بالباقي، من غير فصل معتدّ به، فربح خمسمائة، كان تمام الخُمس مائتين وثمانين، مائة من الربح الأوّل، ويتبعها نمائها من الثاني، وهو مائة أيضاً، فيكون الباقي من الربح الثاني أربعمائة، وخُمسها ثمانون، فيكون المجموع مائتين وثمانين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منّا مراراً من أنّ الظاهر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استثناء مؤونة السَّنة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الخُمس مجموع ربح السَّنة، لا أنّ كلّ واحدٍ من الأرباح موضوعٌ مستقلٌّ‌، وعليه فمجموع الربح السنوي في الفرض ألف دينار، فيكون تمام الخُمس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وجوب الخُمس، ما يزيد في آخر السَّنة على رأس المال، كما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ابن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جواباً عن سؤاله التاجر عليه والصانع بيده، وقوله عليه السلام في خبر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 ممّا يفضل عن مؤونته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22" w:name="pg11804_116648"/>
    </w:p>
    <w:p>
      <w:pPr>
        <w:pStyle w:val="BookText"/>
        <w:rPr/>
      </w:pPr>
      <w:bookmarkEnd w:id="222"/>
      <w:r>
        <w:rPr>
          <w:rFonts w:ascii="Amiri" w:hAnsi="Amiri" w:eastAsia="Amiri" w:cs="Amiri"/>
          <w:color w:val="111111"/>
          <w:sz w:val="28"/>
          <w:sz w:val="28"/>
          <w:szCs w:val="28"/>
          <w:rtl w:val="true"/>
          <w:lang w:bidi="ar-SA"/>
        </w:rPr>
        <w:t>جواز تعجيل إخراج خُمس الأرباح</w:t>
      </w:r>
    </w:p>
    <w:p>
      <w:pPr>
        <w:pStyle w:val="Heading3"/>
        <w:numPr>
          <w:ilvl w:val="2"/>
          <w:numId w:val="1"/>
        </w:numPr>
        <w:rPr/>
      </w:pPr>
      <w:bookmarkStart w:id="223" w:name="__RefHeading___Toc10579818_73709187"/>
      <w:bookmarkStart w:id="224" w:name="_Toc75"/>
      <w:bookmarkEnd w:id="223"/>
      <w:r>
        <w:rPr>
          <w:rtl w:val="true"/>
        </w:rPr>
        <w:t>جواز تعجيل إخراج خُمس الأرباح</w:t>
      </w:r>
      <w:bookmarkEnd w:id="22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تعجيل إخراج خُمس الربح، إذا حصل في أثناء السَّنة، ولا يجبُ التأخير، لما عرفت في الفرع التاسع من أنّ ما دلّ على أنّ الخُمس بعد المؤونة، إنّما يدلّ على جواز التأخير، لكن لا يدلّ على أنّ وقت تعلّق الخُمس يكون بعد الحول، فلو أراد إخراجه عليه أن يقدّر المؤونة تخميناً، ويُخرج ما زاد عليها، وحينئذٍ لو أخرجه بعد التخمين بما ظنّه، فبانَ بعد ذلك عدم كفاية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خُمساً له، وأنّه لا يرجع به على المستحقّ‌، حتّى مع علمه بالحال وبقاء العين، فضلاً عمّا لو انتفى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الشيخ الأعظم</w:t>
      </w:r>
      <w:r>
        <w:rPr>
          <w:rStyle w:val="FootnoteAnchor"/>
          <w:rtl w:val="true"/>
        </w:rPr>
        <w:footnoteReference w:id="656"/>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باحتمال كون المعتبر عند إرادة التعجيل تخمين المؤونة وظنّها، إذ لو كان الخُمس متعلّقاً بالعين من حين حصول الفائدة، وكان الإخراج واجباً موسّعاً، لصحّ في كلّ وقتٍ من أوقات السَّنة الإخراج بعد وضع المؤونة، بملاحظة حاله في ذلك الوقت، فلا محالة يكون تخمين المؤونة موضوعاً لوجوب الخُمس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المراد من الاحتياط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التأخير احتياطاً للمُكتَسِب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الخسارة، وهي إنّما تكون مع عدم جواز الرجوع على تقدير الخطأ، لا ما يقابل تعسّر الإسترداد، لأنّه ممّا لا ينبغي ملاحظته وجعله احتياطاً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كلّ عنوانٍ مأخوذ دخيلاً في الحكم، مدخليّته بنفسه فيه، وحيثُ أنّ المأخوذ في الأدلّة موضوعاً لوجوب الخُمس، هو ما يفضل من المؤونة، فدَخَل تخمين المؤونة، بحيثُ يكون التخمين تمام الموضوع، خلاف الأدلّة، يحتاج إلى دليلٍ آخر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احتياطاً للمكتسب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دليل جواز التأخير كما مرّ، فلا وجه للاستدلال بما هو ظاهر الاحتياط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صحّته خُمساً، فحينئذٍ سبيله سبيل ما دفع إلى الغير بعنوانٍ لا يكون موجباً لضمانه، وانكشف فساد ذلك العنوان، وعدم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إليه مع بقاء العين مطلقاً، ومع تلفها في صورة العلم بالحال، وأمّا مع جهله وتلف العين، فلا يكون ضامناً لقاعدة الغرور</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الرجل الغوص أو المعدن مكسباً له، كفاه إخراج خُمسه أوّلاً، ولا يجب عليه خمس آخر من باب ربح المكسب بعد إخراج مؤونة سنته، كما صرّح به جماعة من المحقّقين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والخُمس من جميع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تضمّن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ثنيا في صدقة</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بناءً على شيوع إرادة الخُمس من الصَّدقة، كما ادّعاه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الظاهر من نصوص ثبوت الخُمس في الغوص واخوته، عدم وجوب أزيد من ذلك فيها، مع كونها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إطلاق الصَّدقة على الخُمس لو سُلّم شيوعه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تلك النصوص مسوقٌ لبيان أحكام العناوين الخاصّة بما هي، لا من الجهات الاُخر، ولذا لو كان زكويّاً لم يسقط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شمولها لجميع موارد الخُمس، سوى الحرام المختلط، وأرض الذّمي التي اشتراها من مُسلم كما قوّيناه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إنّما يجبُ في تلك الموارد بعنوان واحد، وهي الغنيمة والفائدة، ولا دخل للعناوين الخاصّة في ثبوت أصل الخُمس، وإنْ كانت دخيلة في بعض القيود والشرائط، ولذلك نقول إنّهما ليسا عنوانين متغايرين تعلّق الخُمس بكلّ منهما، كي يجب الخُمس عند اجتماعهما مرّتين عملاً بالدليل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5" w:name="pg11804_116651"/>
    </w:p>
    <w:p>
      <w:pPr>
        <w:pStyle w:val="BookText"/>
        <w:rPr/>
      </w:pPr>
      <w:bookmarkEnd w:id="225"/>
      <w:r>
        <w:rPr>
          <w:rFonts w:ascii="Amiri" w:hAnsi="Amiri" w:eastAsia="Amiri" w:cs="Amiri"/>
          <w:color w:val="111111"/>
          <w:sz w:val="28"/>
          <w:sz w:val="28"/>
          <w:szCs w:val="28"/>
          <w:rtl w:val="true"/>
          <w:lang w:bidi="ar-SA"/>
        </w:rPr>
        <w:t>عدم اشتراط الكمال في تعلّق الخُمس</w:t>
      </w:r>
    </w:p>
    <w:p>
      <w:pPr>
        <w:pStyle w:val="Heading3"/>
        <w:numPr>
          <w:ilvl w:val="2"/>
          <w:numId w:val="1"/>
        </w:numPr>
        <w:rPr/>
      </w:pPr>
      <w:bookmarkStart w:id="226" w:name="__RefHeading___Toc10579820_73709187"/>
      <w:bookmarkStart w:id="227" w:name="_Toc76"/>
      <w:bookmarkEnd w:id="226"/>
      <w:r>
        <w:rPr>
          <w:rtl w:val="true"/>
        </w:rPr>
        <w:t>عدم اشتراط الكمال في تعلّق الخُمس</w:t>
      </w:r>
      <w:bookmarkEnd w:id="22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البلوغ والعقل في تعلّق الخُمس في جميع الموارد، بلا خلافٍ ظاهر، إلّاعن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في غير الكنز والمعدن والغوص، وكذلك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في الحلال المختلط بالحرام، وتوقّف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في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665"/>
      </w:r>
      <w:r>
        <w:rPr>
          <w:rFonts w:ascii="Amiri" w:hAnsi="Amiri" w:eastAsia="Amiri" w:cs="Amiri"/>
          <w:color w:val="111111"/>
          <w:sz w:val="28"/>
          <w:sz w:val="28"/>
          <w:szCs w:val="28"/>
          <w:rtl w:val="true"/>
          <w:lang w:bidi="ar-SA"/>
        </w:rPr>
        <w:t>دعوى الإجماع في خصوص المعادن والكنوز والغوص، منهم المصنّف رحمه الله</w:t>
      </w:r>
      <w:r>
        <w:rPr>
          <w:rStyle w:val="FootnoteAnchor"/>
          <w:rtl w:val="true"/>
        </w:rPr>
        <w:footnoteReference w:id="666"/>
      </w:r>
      <w:r>
        <w:rPr>
          <w:rFonts w:ascii="Amiri" w:hAnsi="Amiri" w:eastAsia="Amiri" w:cs="Amiri"/>
          <w:color w:val="111111"/>
          <w:sz w:val="28"/>
          <w:sz w:val="28"/>
          <w:szCs w:val="28"/>
          <w:rtl w:val="true"/>
          <w:lang w:bidi="ar-SA"/>
        </w:rPr>
        <w:t>، والمحقّق القُمّي</w:t>
      </w:r>
      <w:r>
        <w:rPr>
          <w:rStyle w:val="FootnoteAnchor"/>
          <w:rtl w:val="true"/>
        </w:rPr>
        <w:footnoteReference w:id="667"/>
      </w:r>
      <w:r>
        <w:rPr>
          <w:rFonts w:ascii="Amiri" w:hAnsi="Amiri" w:eastAsia="Amiri" w:cs="Amiri"/>
          <w:color w:val="111111"/>
          <w:sz w:val="28"/>
          <w:sz w:val="28"/>
          <w:szCs w:val="28"/>
          <w:rtl w:val="true"/>
          <w:lang w:bidi="ar-SA"/>
        </w:rPr>
        <w:t xml:space="preserve">في الأُولى، بل الظاهر من إطلاق الفتاوى ومعاقد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التصريح باشتراط الكمال في الزكاة، والإهمال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الإجماع في الجميع، واقتصار بعضهم عليبعض الموارد لاينافي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إطلاق أدلّة الخُمس في الجميع، المتضمّنة لثبوت الخُمس في العين، هو عدم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للاشتراط</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جملةٍ من النصوص</w:t>
      </w:r>
      <w:r>
        <w:rPr>
          <w:rStyle w:val="FootnoteAnchor"/>
          <w:rtl w:val="true"/>
        </w:rPr>
        <w:footnoteReference w:id="669"/>
      </w:r>
      <w:r>
        <w:rPr>
          <w:rFonts w:ascii="Amiri" w:hAnsi="Amiri" w:eastAsia="Amiri" w:cs="Amiri"/>
          <w:color w:val="111111"/>
          <w:sz w:val="28"/>
          <w:sz w:val="28"/>
          <w:szCs w:val="28"/>
          <w:rtl w:val="true"/>
          <w:lang w:bidi="ar-SA"/>
        </w:rPr>
        <w:t>الواردة في الزكاة، النافية للشيء في 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النصوص المتضمّنة لثبوت الخُمس إنّما تدلّ عليه من جهة دلالتها على لزوم إخراجه، وحيث لا يجبُ على الصبي فلا يكون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وجوب الخُمس لو كان مجرّد 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انتزع منه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الحديث رفعه، لما حقّقناه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الفقاهة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من عموم الحديث لجميع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المجعول حقّاً أو مالاً في أموالهم، لا يصلح الحديث لرفعه، إذ الحديث يختصّ بما إذا كان الحكم والأثر مترتّباً على فعل المكلّف بما هو، ولا يعمّ مثل النجاسة المترتّبة على عنوان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يشمل الحديث الخُمس المسبّب عن زيادة الربح عن مؤونة السَّنة مثلاً، ولا فرق في ذلك بين كون وجوب الأداء أيضاً مجعولاً أم لا، كما لا فرق بين أنْ يكون أحد المجعولين تابعاً للآخر وعدمه، وحيث أنّ الظاهر من الأدلّة هو الثاني، وتدلّ على ثبوته في العين وضعاً، فلا وجه للتمسّك بالحديث لرفعه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تدلّ على نفي الشيء الثابت في الأموال الصامتة للبالغين عن مال اليتيم، وما هو ثابتٌ في المال الصامت من حيثُ هو كذلك ليس إلّاالزكاة، ولذا قال عليه السلام في ذيل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الغلّات فعليها الصَّدقة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جُلّ أدلّة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بالعين المغتنمة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ثبوت الخُمس في أرض الذّمي، من جهة استعمال 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ظهور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جَعل الموضوع هو العين لا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حقٌّ مالي متعلّق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عدم اعتبار التكليف في شيءٍ من الموارد،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ثبوته في غير الثلاثة المذكورة،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وأضعفُ منه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من اعتباره في الحلال المخلوط بالحرام، فإنّ المال المختلط إنّما شُرّع فيه الخُمس، للتخلّص عمّا فيه من الحرام، وليس حقّاً حادثاً في أصل المال كالزكاة، ولذا لا سبيل إلى توهّم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أنّ الأظهر عدم اشتراط الحريّة، إلّابناءً على أنّ العبد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على الولي دفع الخُمس المتعلّق بمال الصبي، بمثل ما يجب عليه دفع حقوق الناس المتعلّقة به، أو الثابتة في ذمّته، فالقول بتعلّقه به وعدم وجوب أدائه إلّا بعد بلوغه، ضعيفٌ‌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28" w:name="pg11804_116654"/>
    </w:p>
    <w:p>
      <w:pPr>
        <w:pStyle w:val="BookText"/>
        <w:rPr/>
      </w:pPr>
      <w:bookmarkEnd w:id="228"/>
      <w:r>
        <w:rPr>
          <w:rFonts w:ascii="Amiri" w:hAnsi="Amiri" w:eastAsia="Amiri" w:cs="Amiri"/>
          <w:color w:val="111111"/>
          <w:sz w:val="28"/>
          <w:sz w:val="28"/>
          <w:szCs w:val="28"/>
          <w:rtl w:val="true"/>
          <w:lang w:bidi="ar-SA"/>
        </w:rPr>
        <w:t>ويقسّم الخُمس ستّة أقسام</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0579822_73709187"/>
      <w:bookmarkStart w:id="230" w:name="_Toc77"/>
      <w:bookmarkEnd w:id="229"/>
      <w:r>
        <w:rPr>
          <w:rtl w:val="true"/>
        </w:rPr>
        <w:t>قسمة الخُمس ومستحقّه</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ويُقسّم الخُمس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شهرةً كادت تكون إجماعاً، بل عليه الإجماع كما ادّعاه جماعة</w:t>
      </w:r>
      <w:r>
        <w:rPr>
          <w:rStyle w:val="FootnoteAnchor"/>
          <w:rtl w:val="true"/>
        </w:rPr>
        <w:footnoteReference w:id="672"/>
      </w:r>
      <w:r>
        <w:rPr>
          <w:rFonts w:ascii="Amiri" w:hAnsi="Amiri" w:eastAsia="Amiri" w:cs="Amiri"/>
          <w:color w:val="111111"/>
          <w:sz w:val="28"/>
          <w:sz w:val="28"/>
          <w:szCs w:val="28"/>
          <w:rtl w:val="true"/>
          <w:lang w:bidi="ar-SA"/>
        </w:rPr>
        <w:t>، إذ لم يُنقل الخلاف فيه إلّاعن شاذٍ من الأصحاب، وعن بعضٍ‌</w:t>
      </w:r>
      <w:r>
        <w:rPr>
          <w:rStyle w:val="FootnoteAnchor"/>
          <w:rtl w:val="true"/>
        </w:rPr>
        <w:footnoteReference w:id="673"/>
      </w:r>
      <w:r>
        <w:rPr>
          <w:rFonts w:ascii="Amiri" w:hAnsi="Amiri" w:eastAsia="Amiri" w:cs="Amiri"/>
          <w:color w:val="111111"/>
          <w:sz w:val="28"/>
          <w:sz w:val="28"/>
          <w:szCs w:val="28"/>
          <w:rtl w:val="true"/>
          <w:lang w:bidi="ar-SA"/>
        </w:rPr>
        <w:t>استظهار كونه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نقل المصنّف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موافقته للمشايخ الثلاثة وباقي علمائنا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Style w:val="FootnoteAnchor"/>
          <w:rtl w:val="true"/>
        </w:rPr>
        <w:footnoteReference w:id="67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بن عيسى‌، عن بعض أصحابنا،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بينهم الخُمس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وسهمٌ لرسول اللّه صلى الله عليه و آله، وسهمٌ لذي القربى‌، وسهمٌ لليتامى‌، وسهمٌ للمساكين، وسهمٌ لأبناء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فسهمُ اللّه وسهمُ رسول اللّه لأُولي الأمر من بعد رسول اللّه صلى الله عليه و آله </w:t>
      </w:r>
    </w:p>
    <w:p>
      <w:pPr>
        <w:pStyle w:val="BookText"/>
        <w:rPr/>
      </w:pPr>
      <w:r>
        <w:rPr>
          <w:rFonts w:ascii="Amiri" w:hAnsi="Amiri" w:eastAsia="Amiri" w:cs="Amiri"/>
          <w:color w:val="111111"/>
          <w:sz w:val="28"/>
          <w:sz w:val="28"/>
          <w:szCs w:val="28"/>
          <w:rtl w:val="true"/>
          <w:lang w:bidi="ar-SA"/>
        </w:rPr>
        <w:t>وراثة، وله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وراثةً‌، وسهمٌ مقسومٌ له من اللّه، وله نصف الخُمس كملاً</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بعض أصحابنا،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أَنَّما غَنِمْتُمْ‌ </w:t>
      </w:r>
      <w:r>
        <w:rPr>
          <w:rStyle w:val="FootnoteAnchor"/>
          <w:rtl w:val="true"/>
        </w:rPr>
        <w:footnoteReference w:id="67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للإمام، وخُمس الرسول للإمام، وخُمس ذوي القربى لقرابة الرسول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لما نُسب إلى شاذٍ من الأصحاب، من أنّه يقسّم الخُمس خَمسة أقسام، بإسقاط سهم الرّسول صلى الله عليه و آله كما عن جماعةٍ‌</w:t>
      </w:r>
      <w:r>
        <w:rPr>
          <w:rStyle w:val="FootnoteAnchor"/>
          <w:rtl w:val="true"/>
        </w:rPr>
        <w:footnoteReference w:id="679"/>
      </w:r>
      <w:r>
        <w:rPr>
          <w:rFonts w:ascii="Amiri" w:hAnsi="Amiri" w:eastAsia="Amiri" w:cs="Amiri"/>
          <w:color w:val="111111"/>
          <w:sz w:val="28"/>
          <w:sz w:val="28"/>
          <w:szCs w:val="28"/>
          <w:rtl w:val="true"/>
          <w:lang w:bidi="ar-SA"/>
        </w:rPr>
        <w:t xml:space="preserve">، أو سهم اللّه تعالى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وهو مذهب أكثر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الشريفة، بدعوى أنّ هذه الآية تدلّ على ما يدلّ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وَ رَسُولُهُ أَحَقُّ أَنْ يُرْضُوهُ‌ </w:t>
      </w:r>
      <w:r>
        <w:rPr>
          <w:rStyle w:val="FootnoteAnchor"/>
          <w:rtl w:val="true"/>
        </w:rPr>
        <w:footnoteReference w:id="681"/>
      </w:r>
      <w:r>
        <w:rPr>
          <w:rFonts w:ascii="Amiri" w:hAnsi="Amiri" w:eastAsia="Amiri" w:cs="Amiri"/>
          <w:color w:val="111111"/>
          <w:sz w:val="28"/>
          <w:sz w:val="28"/>
          <w:szCs w:val="28"/>
          <w:rtl w:val="true"/>
          <w:lang w:bidi="ar-SA"/>
        </w:rPr>
        <w:t>، أو أنّ الافتتاح بذكر اسم اللّه تعالى على جهة التيمّن والتبرّك، لأنّ الأشياء كلّها له، أو أنّ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الخُمس أنْ يكون متقرّباً به إلى اللّه، وأنّ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Style w:val="FootnoteAnchor"/>
          <w:rtl w:val="true"/>
        </w:rPr>
        <w:footnoteReference w:id="682"/>
      </w:r>
      <w:r>
        <w:rPr>
          <w:rFonts w:ascii="Amiri" w:hAnsi="Amiri" w:eastAsia="Amiri" w:cs="Amiri"/>
          <w:color w:val="111111"/>
          <w:sz w:val="28"/>
          <w:sz w:val="28"/>
          <w:szCs w:val="28"/>
          <w:rtl w:val="true"/>
          <w:lang w:bidi="ar-SA"/>
        </w:rPr>
        <w:t>من قبيل التخصيص بعد التعميم، تفضيلاً لهذه الوجوه على غيرها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ربعي،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أتاه المَغنم أخذ صفوه، وكان ذلك له، ثمّ يُقسّم ما بقى منه خَمسة أخماس ويأخذ خُمسه، ثمّ يقسّم الأربعة أخماس بين الناس الذين قاتلوا عليه، ثمّ يقسّم الخُمس الذي أخذه خَمسة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أخماس، يأخذ خُمس اللّه عزّ وجلّ لنفسه، ثمّ يُقسّم الأربعة أخماس بين ذوي القُربى واليتامى والمساكين وأبناء السبيل، يُعطي كلّ واحدٍ منهم حقّاً، وكذلك الإمام يأخذ كما يأخذ الرسول صلى الله عليه و آله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وتبعه المصنّف</w:t>
      </w:r>
      <w:r>
        <w:rPr>
          <w:rStyle w:val="FootnoteAnchor"/>
          <w:rtl w:val="true"/>
        </w:rPr>
        <w:footnoteReference w:id="685"/>
      </w:r>
      <w:r>
        <w:rPr>
          <w:rFonts w:ascii="Amiri" w:hAnsi="Amiri" w:eastAsia="Amiri" w:cs="Amiri"/>
          <w:color w:val="111111"/>
          <w:sz w:val="28"/>
          <w:sz w:val="28"/>
          <w:szCs w:val="28"/>
          <w:rtl w:val="true"/>
          <w:lang w:bidi="ar-SA"/>
        </w:rPr>
        <w:t>رحمه الله وغيره</w:t>
      </w:r>
      <w:r>
        <w:rPr>
          <w:rStyle w:val="FootnoteAnchor"/>
          <w:rtl w:val="true"/>
        </w:rPr>
        <w:footnoteReference w:id="686"/>
      </w:r>
      <w:r>
        <w:rPr>
          <w:rFonts w:ascii="Amiri" w:hAnsi="Amiri" w:eastAsia="Amiri" w:cs="Amiri"/>
          <w:color w:val="111111"/>
          <w:sz w:val="28"/>
          <w:sz w:val="28"/>
          <w:szCs w:val="28"/>
          <w:rtl w:val="true"/>
          <w:lang w:bidi="ar-SA"/>
        </w:rPr>
        <w:t>بأنّه حكاية فعل، فلعلّه أخذه دون حقّه، توفيراً للباقى علي باقى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الأعاظم</w:t>
      </w:r>
      <w:r>
        <w:rPr>
          <w:rStyle w:val="FootnoteAnchor"/>
          <w:rtl w:val="true"/>
        </w:rPr>
        <w:footnoteReference w:id="687"/>
      </w:r>
      <w:r>
        <w:rPr>
          <w:rFonts w:ascii="Amiri" w:hAnsi="Amiri" w:eastAsia="Amiri" w:cs="Amiri"/>
          <w:color w:val="111111"/>
          <w:sz w:val="28"/>
          <w:sz w:val="28"/>
          <w:szCs w:val="28"/>
          <w:rtl w:val="true"/>
          <w:lang w:bidi="ar-SA"/>
        </w:rPr>
        <w:t>من أنّ ظاهره سقوط سهم الرّسول صلى الله عليه و آله لا سهم اللّه تعالى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نقل الإمام له كونه عليه السلام في مقام بيان الحكم، وظاهر ذلك دخل كلّ ما ذكره فيه، 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الإمام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ذلك كما عن جماعةٍ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المخالف أيضاً يدّعي سقوط سهم الرسول صلى الله عليه و آله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الجواب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الآية الشريفة خلاف الظاهر، لا يصار إليه مع عدم القرينة، مع أنّ النصوص الواردة في تفسيرها</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عن ذلك، لصراحتها في أنّه يقسّم ستّة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سهمٌ للّه، وسهمٌ لرسوله صلى الله عليه و آله، وسهمٌ لذي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الاعتماد عليها لضعف أسنادها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فيها ما هو موثّق ومعتبر، مضافاً إلى انجبارها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الجمع بينه وبين هذه النصوص، من جهة صراحتها في أنّه يقسّم ستّة أسهم، وظهور الصحيح فيما ذكر فهو، وإلّا فيتعيّن طرحه، لأنّ أوّل المرجّحات وهي الشهرة مع تلك النصوص،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الشريفة والنصوص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تشمل الحلال المختلط بالحرام، والأرض المشتراة، إلّاأنّه يثبت هذا الحكم فيهما أيضاً بالإطلاق المقامي، فإنّ عدم التعرّض في أدلّتهما لمصرفه، ظاهرٌ في ايكاله إلى ما يظهر من الآية الشريفة والنصوص المتعرّضة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ثلاثة أسهم من تلك الأقسام تكون بنصّ الآية الكريمة لِلّهِ خُمُسَهُ وَ لِلرَّسُولِ وَ لِذِي اَلْقُرْبى‌ </w:t>
      </w:r>
      <w:r>
        <w:rPr>
          <w:rStyle w:val="FootnoteAnchor"/>
          <w:rtl w:val="true"/>
        </w:rPr>
        <w:footnoteReference w:id="689"/>
      </w:r>
      <w:r>
        <w:rPr>
          <w:rFonts w:ascii="Amiri" w:hAnsi="Amiri" w:eastAsia="Amiri" w:cs="Amiri"/>
          <w:color w:val="111111"/>
          <w:sz w:val="28"/>
          <w:sz w:val="28"/>
          <w:szCs w:val="28"/>
          <w:rtl w:val="true"/>
          <w:lang w:bidi="ar-SA"/>
        </w:rPr>
        <w:t xml:space="preserve">والنصوص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للّه، وسهمٌ لرسوله صلى الله عليه و آله، وسهمٌ لذي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لرسوله صلى الله عليه و آله إجماعاً، ففي خبر معاذ صاحب الأكسية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للّه من حقّ فهو لوليّه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وكذلك ورد في خبر البزنطي، عن الإمام الرضا عليه السلام، 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للّه من الخُمس فلمَن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سهم ذوي القربى له صلى الله عليه و آله بلا خلافٍ‌، والظاهر أنّه من جهة أنّه للإمام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ستقف عليه، وهو الإمام في حال حياته، ولا يهمّنا إطالة البحث في ذلك، إنّما المهمّ بيان من يستحقّ أنّ هذه الثلاثة في هذه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أنّ سهم اللّه تعالى‌، وسهم رسوله صلى الله عليه و آله، يكونان للإمام عليه السلام، وتشهد له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خبر البزنطي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لرسول اللّه صلى الله عليه و آله فهو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مرسل ابن بُكير،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اللّه عزّ وجلّ للإمام، وخُمس الرسول للإمام، وخُمس ذي القربى لقرابة الرسول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ما ورد في الصحيح المتقدّم،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خُمس الرسول فلأقاربه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مطلق يقيّد بما دلَّ على أنّه لخصوص الإمام من الأقرباء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سهم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للإمام عليه السلام في أصل الجَعل، وهو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6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لجميع قرابة الرسول صلى الله عليه و آله، ولا اختصاص له بالإمام عليه السلام، اختاره ابن الجُنيد</w:t>
      </w:r>
      <w:r>
        <w:rPr>
          <w:rStyle w:val="FootnoteAnchor"/>
          <w:rtl w:val="true"/>
        </w:rPr>
        <w:footnoteReference w:id="697"/>
      </w:r>
      <w:r>
        <w:rPr>
          <w:rFonts w:ascii="Amiri" w:hAnsi="Amiri" w:eastAsia="Amiri" w:cs="Amiri"/>
          <w:color w:val="111111"/>
          <w:sz w:val="28"/>
          <w:sz w:val="28"/>
          <w:szCs w:val="28"/>
          <w:rtl w:val="true"/>
          <w:lang w:bidi="ar-SA"/>
        </w:rPr>
        <w:t>وابن بابويه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ابن بكير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وذكر خطبة طويلة قال عليه السلام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عنى اللّه بذي القُربى، الذين قَرَننا اللّه بنفسه وبرسوله،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لِلّهِ خُمُسَهُ وَ لِلرَّسُولِ وَ لِذِي اَلْقُرْبى‌ الحديث</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حمّاد، عن العبد الصالح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فسهم اللّه وسهم رسول اللّه لأُولي الأمر من بعد رسول اللّه وراثةً‌، وله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وراثةً وسهمٌ مقسومٌ له من اللّه، وله نصف الخُمس كملاً</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الأخبار الصريحة فيه أو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ظاهر الآية الكريمة،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فلا يتناول أكثر من الواحد، فينصرف إلى الإمام، لأنّ القول بأنّ المراد واحد وهو غير الإمام منفيٌّ بالإجماع، كما ذكره المحقّق رحمه الله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يرد عليه إمكان إرادة الجنس منه، كما في ابن السبيل، فإنّ ذلك خلاف الظاهر، وإنْ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فيه في جملةٍ من الموارد، وحمل ابن السبيل عليه إنّما هو للقرينة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ربعي المتقدّم، عن الإمام الصادق عليه السلام في سيرة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يقسّم ما بَقي خَمسة أخماس، ويأخذ خُمسه، ثمّ يقسّم أربعة أخماس بين الناس الذين قاتلوا عليه، ثُمّ قسَّم الخُمس الذي أخذه خَمسة أخماس، يأخذ خُمس اللّه عزّ وجلّ لنفسه، ثمّ يقسّم الأربعة أخماس بين ذوي القربى واليتامى والمساكين وأبناء السبيل، يُعطي كلّ واحدٍ منهم حقّاً، وكذلك الإمام يأخذ كما أخذ الرسول صلى الله عليه و آله</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 بدعوى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الإتيان 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الإمام، لما كان له حقٌّ في أيّام حياة النبيّ صلى الله عليه و آله، بل كان حقّه له، فالدفع إلى ذوي القُربى في حياته صلى الله عليه و آله يدلّ على أنّ المستحقّ لهذا السهم ليس خصوص الإمام بما هو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زكريّا بن مالك المتقدّم عنه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خُمس الرسول صلى الله عليه و آله فلأقاربه، وخُمس ذوي القُربى فهم أقربائه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حكاية فعل، فيمكن أنْ يُقال إنّ سهم ذي القُربى المختصّ به صلى الله عليه و آله في زمان حياته، لكونه الإمام، كان بنائه تقسيمه بين أقربائه، ويقربه أنّه صلى الله عليه و آله كان يُقسّم سهمه المختصّ به بينهم، كما هو صريح الخبر، وعليه فهو لا يصلح لمعارضة ما هو نصٌّ في الإختصاص</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لتوهّم معارضته مع النصوص المتقدّمة، سوى الإتيان بصيغة الجمع، وهو لا يصلح لذلك، إذ من الجائز أنْ يكون الجمع بلحاظ إرادة جميع الأئمّة، فلا يصلح لمعارضة ما هو نصٌّ في إرادة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1" w:name="pg11804_116661"/>
    </w:p>
    <w:p>
      <w:pPr>
        <w:pStyle w:val="BookText"/>
        <w:rPr/>
      </w:pPr>
      <w:bookmarkEnd w:id="231"/>
      <w:r>
        <w:rPr>
          <w:rFonts w:ascii="Amiri" w:hAnsi="Amiri" w:eastAsia="Amiri" w:cs="Amiri"/>
          <w:color w:val="111111"/>
          <w:sz w:val="28"/>
          <w:sz w:val="28"/>
          <w:szCs w:val="28"/>
          <w:rtl w:val="true"/>
          <w:lang w:bidi="ar-SA"/>
        </w:rPr>
        <w:t>فهذه الثلاثة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 أي سهم اللّه، وسهم رسوله، وسهم 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هذا العصر نصف الخُمس لصاحب الأمر ارواح مَن سواه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قبضه النبيّ أو الإمام عليهما السلام ينتقل إلى وارثه</w:t>
      </w:r>
    </w:p>
    <w:p>
      <w:pPr>
        <w:pStyle w:val="Heading3"/>
        <w:numPr>
          <w:ilvl w:val="2"/>
          <w:numId w:val="1"/>
        </w:numPr>
        <w:rPr/>
      </w:pPr>
      <w:bookmarkStart w:id="232" w:name="__RefHeading___Toc10579824_73709187"/>
      <w:bookmarkStart w:id="233" w:name="_Toc78"/>
      <w:bookmarkEnd w:id="232"/>
      <w:r>
        <w:rPr>
          <w:rtl w:val="true"/>
        </w:rPr>
        <w:t>ما قبضه النبيّ صلى الله عليه و آله أو الإمام عليه السلام ينتقل إلى وارثه</w:t>
      </w:r>
      <w:bookmarkEnd w:id="23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عن أنّ ما قبضه النبيّ صلى الله عليه و آله أو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ينتقل إلى وارثه كما هو المشهور بين الأصحاب</w:t>
      </w:r>
      <w:r>
        <w:rPr>
          <w:rStyle w:val="FootnoteAnchor"/>
          <w:rtl w:val="true"/>
        </w:rPr>
        <w:footnoteReference w:id="7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ينتقل إلى الإمام اللّاحق، كما عن بعض‌؟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المواريث، إذ قبل القبض وإنْ التزمنا بعدم الملكيّة، وبنينا على أنّ الخُمس حقٌّ مالي متعلّق بالعين، إلّاأنّه بعده يصبح ملكاً له، فتشمله أدلّة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تضمّن أنّ خُمس الرسول للإمام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عليّ 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نؤتي بالشيء، فيقال هذا كان لأبي جعفر عليه السلام عندنا، فكيف نصنع‌؟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لأبي عليه السلام بسبب الإمامة فهو لي، وما كان غير ذلك، فهو </w:t>
      </w:r>
    </w:p>
    <w:p>
      <w:pPr>
        <w:pStyle w:val="BookText"/>
        <w:rPr/>
      </w:pPr>
      <w:r>
        <w:rPr>
          <w:rFonts w:ascii="Amiri" w:hAnsi="Amiri" w:eastAsia="Amiri" w:cs="Amiri"/>
          <w:color w:val="111111"/>
          <w:sz w:val="28"/>
          <w:sz w:val="28"/>
          <w:szCs w:val="28"/>
          <w:rtl w:val="true"/>
          <w:lang w:bidi="ar-SA"/>
        </w:rPr>
        <w:t>ميراثٌ على كتاب اللّه وسُنّة نبيّه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وجه لانتقال المال المفروض للإمام من حيث كونه إماماً، لا لشخصه وذاته،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أنّ الخُمس الذي يستحقّه الرسول هو للإمام، دون أن يتعرّض لما قبضه وصار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كان يؤتى عند أبي عليّ من الخُمس كان بحسب الظاهر من الأموال التي لم يقبضها الإمام عليه السلام كي تصبح مِلْكاً له، فلا يشمل ما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سهم الإمام يملكه الإمام عليه السلام بشخصه، بسبب الإمامة، لا أنّ المالك هو عنوان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الأوّل، ويؤيّده بل يشهد له ملاحظة أنّه لم يُعهد من النبيّ صلى الله عليه و آله ولا من أحدٍ من الأئمّة عليهم السلام، أن قام الحجّة اللّاحق بالتصرّف في أمواله، بل كان الإمام يتعامل معها معاملته مع أموال سائر الناس، ولذا ترى أنّ الصدِّيقة الكبرى عليها السلام أنكرت على أبي بكر أشدّ الإنكار، حينما غصب إرثها وعلّل ذلك بأنّ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أقوى الأدلّة على هذا القول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أصبح مصرف الثلاثة من الأسهم الستّة معلوماً، وأنّهاللحجّة عليه السلام، يقع الكلام في الثلاثة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وسَهمٌ للفقراء من الهاشميّين، وسَهمٌ لأيتامهم، وسَهمٌ لأبناء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للفقراء من الهاشميّين، وسَهمٌ لأيتامهم، وسَهمٌ لأبناء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خبر زكريّا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المساكين وابن السبيل فقد عرفت إنّا لا نأكل الصَّدقة، ولا تحلّ لنا، فهي للمساكين وأبناء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طرحه، أو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ابن الجُنيد</w:t>
      </w:r>
      <w:r>
        <w:rPr>
          <w:rStyle w:val="FootnoteAnchor"/>
          <w:rtl w:val="true"/>
        </w:rPr>
        <w:footnoteReference w:id="707"/>
      </w:r>
      <w:r>
        <w:rPr>
          <w:rFonts w:ascii="Amiri" w:hAnsi="Amiri" w:eastAsia="Amiri" w:cs="Amiri"/>
          <w:color w:val="111111"/>
          <w:sz w:val="28"/>
          <w:sz w:val="28"/>
          <w:szCs w:val="28"/>
          <w:rtl w:val="true"/>
          <w:lang w:bidi="ar-SA"/>
        </w:rPr>
        <w:t>من جعلها مع استغناء ذوي القربى لمطلق الأيتام والمساكين وأبناء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له وجهٌ ظاهر، إذ مع عدم الرجوع إلى النصوص الواردة في تفسير الآية الكريمة، لا وجه للتقييد باستغناء ذوي القُربى‌، ومع الرجوع إليها لا وجه للتعدّي عن بني هاشم، لا سيّما وفي بعضها التصريح بأنّ الزائد عن الحاجة يعود أمره للإمام عليه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34" w:name="pg11804_116664"/>
    </w:p>
    <w:p>
      <w:pPr>
        <w:pStyle w:val="BookText"/>
        <w:rPr/>
      </w:pPr>
      <w:bookmarkEnd w:id="234"/>
      <w:r>
        <w:rPr>
          <w:rFonts w:ascii="Amiri" w:hAnsi="Amiri" w:eastAsia="Amiri" w:cs="Amiri"/>
          <w:color w:val="111111"/>
          <w:sz w:val="28"/>
          <w:sz w:val="28"/>
          <w:szCs w:val="28"/>
          <w:rtl w:val="true"/>
          <w:lang w:bidi="ar-SA"/>
        </w:rPr>
        <w:t>ولا يحمل عن البلد مع وجود المستحقّ فيه</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0579826_73709187"/>
      <w:bookmarkStart w:id="236" w:name="_Toc79"/>
      <w:bookmarkEnd w:id="235"/>
      <w:r>
        <w:rPr>
          <w:rtl w:val="true"/>
        </w:rPr>
        <w:t>حُكم نقل الخُمس مع وجود المستحقّ‌</w:t>
      </w:r>
      <w:bookmarkEnd w:id="236"/>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جواز نقل الخُمس من بلده، إذا لم يوجد المستحقّ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يجبُ كما إذا لم يمكن حفظه مع ذلك، لتوقّف إيصال الحقّ إلى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ضمان حينئذٍ لو تلف، بلا خلافٍ فيه على الظاهر ولا إشكال،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لأنّه مأذون في النقل، فيدلّ على عدم الضمان ما يدلّ على عدم ضمان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وجودالمستحقّ في بلده، فهل يجوز النقل،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يُحمَلُ عن البلد مع وجود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وجملة من كتب المصنّف</w:t>
      </w:r>
      <w:r>
        <w:rPr>
          <w:rStyle w:val="FootnoteAnchor"/>
          <w:rtl w:val="true"/>
        </w:rPr>
        <w:footnoteReference w:id="715"/>
      </w:r>
      <w:r>
        <w:rPr>
          <w:rFonts w:ascii="Amiri" w:hAnsi="Amiri" w:eastAsia="Amiri" w:cs="Amiri"/>
          <w:color w:val="111111"/>
          <w:sz w:val="28"/>
          <w:sz w:val="28"/>
          <w:szCs w:val="28"/>
          <w:rtl w:val="true"/>
          <w:lang w:bidi="ar-SA"/>
        </w:rPr>
        <w:t>رحمه الله وغيرها</w:t>
      </w:r>
      <w:r>
        <w:rPr>
          <w:rStyle w:val="FootnoteAnchor"/>
          <w:rtl w:val="true"/>
        </w:rPr>
        <w:footnoteReference w:id="71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بمنافاته للفوريّة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تغريرٌ للمال، وتعريضٌ له للتلف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ورد</w:t>
      </w:r>
      <w:r>
        <w:rPr>
          <w:rStyle w:val="FootnoteAnchor"/>
          <w:rtl w:val="true"/>
        </w:rPr>
        <w:footnoteReference w:id="717"/>
      </w:r>
      <w:r>
        <w:rPr>
          <w:rFonts w:ascii="Amiri" w:hAnsi="Amiri" w:eastAsia="Amiri" w:cs="Amiri"/>
          <w:color w:val="111111"/>
          <w:sz w:val="28"/>
          <w:sz w:val="28"/>
          <w:szCs w:val="28"/>
          <w:rtl w:val="true"/>
          <w:lang w:bidi="ar-SA"/>
        </w:rPr>
        <w:t>في باب الزكاة من النصوص المانعة عن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لزوم الفوريّة بنحوٍ ينافي مع النقل الذي يكون السفر به شروعاً في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تعريضه للتلف، يقتضي البناء على الضمان، لا عدم الجواز، مع أنّه أخصّ من المدّعى، إذ ليس كلّ نقلٍ مُعرِّضاً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في موردها لم نسلّم دلالتها علي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هو الجواز للأصل، ويؤيّده بعض النصوص الواردة في الزكاة، الدالّة على جواز نقلها مع وجود المستحقّ في البلد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نقله فتلف، هل يكون ضامناً، كما هو المشهور،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Pr>
        <w:footnoteReference w:id="71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دعوى الإجماع عليه،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عدم الضمان، كما مرّ في الزكاة، إلّاأنّه من جهة أنّ ظاهر نصوص الزكاة ما يشمل ويدلّ على الضمان، ومن جهة عدم القول بالفصل بين المسألتين، يبني على الضمان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وكّله الفقيه في قبضه عنه بالولاية العامّة على الفقراء، ثمّ أذِنَ له بنقله، أو أذِنَ في نقله ابتداءً لم يكن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وكيلٌ عن الولي، فكما لا ضمان ليد الولي، كذلك لا ضمان ليد وكيله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فلقصور أدلّة الضمان عن شمولها لهذه الصورة</w:t>
      </w:r>
      <w:r>
        <w:rPr>
          <w:rFonts w:eastAsia="Amiri" w:cs="Amiri" w:ascii="Amiri" w:hAnsi="Amiri"/>
          <w:color w:val="111111"/>
          <w:sz w:val="28"/>
          <w:szCs w:val="28"/>
          <w:rtl w:val="true"/>
          <w:lang w:bidi="ar-SA"/>
        </w:rPr>
        <w:t>.</w:t>
      </w:r>
      <w:bookmarkStart w:id="237" w:name="pg11804_116667"/>
    </w:p>
    <w:p>
      <w:pPr>
        <w:pStyle w:val="BookText"/>
        <w:rPr/>
      </w:pPr>
      <w:bookmarkEnd w:id="237"/>
      <w:r>
        <w:rPr>
          <w:rFonts w:ascii="Amiri" w:hAnsi="Amiri" w:eastAsia="Amiri" w:cs="Amiri"/>
          <w:color w:val="111111"/>
          <w:sz w:val="28"/>
          <w:sz w:val="28"/>
          <w:szCs w:val="28"/>
          <w:rtl w:val="true"/>
          <w:lang w:bidi="ar-SA"/>
        </w:rPr>
        <w:t>ويَجوزُ اختصاص بعض الطوائف الثلاث بنصيبهم</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0579828_73709187"/>
      <w:bookmarkStart w:id="239" w:name="_Toc80"/>
      <w:bookmarkEnd w:id="238"/>
      <w:r>
        <w:rPr>
          <w:rtl w:val="true"/>
        </w:rPr>
        <w:t>لا يجب البسط على الأصناف</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اختصاص بعض الطوائف الثلاث بنصيبهم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 تمام نصف الخُمس إلى إحدى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نُسب</w:t>
      </w:r>
      <w:r>
        <w:rPr>
          <w:rStyle w:val="FootnoteAnchor"/>
          <w:rtl w:val="true"/>
        </w:rPr>
        <w:footnoteReference w:id="720"/>
      </w:r>
      <w:r>
        <w:rPr>
          <w:rFonts w:ascii="Amiri" w:hAnsi="Amiri" w:eastAsia="Amiri" w:cs="Amiri"/>
          <w:color w:val="111111"/>
          <w:sz w:val="28"/>
          <w:sz w:val="28"/>
          <w:szCs w:val="28"/>
          <w:rtl w:val="true"/>
          <w:lang w:bidi="ar-SA"/>
        </w:rPr>
        <w:t>إلى الفاضلين</w:t>
      </w:r>
      <w:r>
        <w:rPr>
          <w:rStyle w:val="FootnoteAnchor"/>
          <w:rtl w:val="true"/>
        </w:rPr>
        <w:footnoteReference w:id="721"/>
      </w:r>
      <w:r>
        <w:rPr>
          <w:rFonts w:ascii="IRNazanin" w:hAnsi="IRNazanin" w:eastAsia="IRNazanin"/>
          <w:color w:val="111111"/>
          <w:sz w:val="28"/>
          <w:sz w:val="28"/>
          <w:szCs w:val="28"/>
          <w:rtl w:val="true"/>
          <w:lang w:bidi="fa-IR"/>
        </w:rPr>
        <w:t>، ومن تأخّر عنهما</w:t>
      </w:r>
      <w:r>
        <w:rPr>
          <w:rStyle w:val="FootnoteAnchor"/>
          <w:rtl w:val="true"/>
        </w:rPr>
        <w:footnoteReference w:id="722"/>
      </w:r>
      <w:r>
        <w:rPr>
          <w:rFonts w:ascii="Amiri" w:hAnsi="Amiri" w:eastAsia="Amiri" w:cs="Amiri"/>
          <w:color w:val="111111"/>
          <w:sz w:val="28"/>
          <w:sz w:val="28"/>
          <w:szCs w:val="28"/>
          <w:rtl w:val="true"/>
          <w:lang w:bidi="ar-SA"/>
        </w:rPr>
        <w:t xml:space="preserve">، 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والحلبي</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البسط على الأصناف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جمعٍ من المتأخّرين</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والقائلون بوجوب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ذهب إلى لزوم التسوية بإعطاء سُدس الخُمس إلى كلّ صنفٍ‌، وبين من التزم بجواز التفاوت بين الأسهم بالقلّة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للزوم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الآية الشريفة، وما مثلها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 ذلك بوجوه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728"/>
      </w:r>
      <w:r>
        <w:rPr>
          <w:rFonts w:ascii="Amiri" w:hAnsi="Amiri" w:eastAsia="Amiri" w:cs="Amiri"/>
          <w:color w:val="111111"/>
          <w:sz w:val="28"/>
          <w:sz w:val="28"/>
          <w:szCs w:val="28"/>
          <w:rtl w:val="true"/>
          <w:lang w:bidi="ar-SA"/>
        </w:rPr>
        <w:t xml:space="preserve">، من أنّ الآية الشريفة إنّما تدلّ على أنّ خُمس جملة الغنائم لهذه الطوائف السّت، لا أنّ كلّ جزء من أجزائها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المرادبالموصول ماغنمه جميع المكلّفين، لاماغنمه كلّشخص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عدم وجوب دفع النصف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ذلك إنّما هو لدليل خارجي من الإجماع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الظاهر من الآية والأخبار، إذ ظاهرها كسائر الآيات والنصوص المتضمّنة لبيان الأحكام الشرعيّة التي هي من قبيل القضايا الحقيقيّة، أنّ القسمة إلى ستّة أسهم، حكمٌ مترتّب على ما غنمه كلّ واحدٍ من المكلّفين، فلاحظ نظائرها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التي صدّر بها لفظ اللّه وتالييه، وإنْ كانت ظاهرة في المِلك والإختصاص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العطف بالواو المقتضي للتشريك، المستلزم ثبوت ذلك في الثلاثة الأولى، ثبوته في الأخيرة للعطف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بقرينة إرادة الجنس من 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في المسألة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صرفها عن ظاهرها وحملها على إرادة بيان محض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عدم وجوب دفع النصف إلى الإمام عليه السلام، لما عرفت، إلّا أنّه يرد عليه أنّ إرادة الجنس منها لا تنافي إرادة الاختصاص من اللّام، بل يمكن إرادة الاختصاص بلحاظ نوع كلّ طائفةٍ لا أشخاصها، مع أنّ إرادة المصرف منها لا توجب جواز أن يخصّ الخُمس بطائفةٍ من الطوائف، إذ لا وجه لرفع اليد عن ظهور العطف في التشريك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تغيير اسلوب الكلام بذكر حرف الجَرّ في الثلاثة الأُولى، وتركها في المذكورات، يشهد بأنّ علاقة الخُمس بالجميع وتعلّقه بهم ليس على نَسَق واحد، بل في الثلاثة الأُولى يكون بنحو المِلْكيّة أو الاستحقاق، وفي المذكورات يضعف هذا الاختصاص، ويعبَّر عنه بالمصرفيّة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ما قبله، من أنّ إرادة المصرفيّة لا تُلازم عدم وجوب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ظهور الآية الشريفة في نفسها في وجوب البسط، والعجب من جماعةٍ من المحقّقين، التزامهم في المقام بأنّ اللّام للمصرفيّة، مع أنّهم استدلّوا بظاهر الآية الشريفة من جهة اشتمالها على اللّام على أنّ الخُمس مِلْكٌ متعلّق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الظهور في نفسه ممّا لا ينبغي إنكاره، إلّاأنّه يتعيّن صرفها عن هذا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للسيرة المستمرّة على عدم البسط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التسهيم يستلزم تعطيل سهم ابن السبيل لندرة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النصوص إنّما دلّت على أنّ نصف الخُمس إنّما جُعل على الطوائف بنحوٍ لو أدّى الناس ذلك، لاستغنى جميع الطوائف، وحيث أنّ ابن السبيل نادر، واليتامى أقلّ من المساكين، فلا محالة يستكشف أنّه لم يجعل الخُمس بنحو يجب البسط على الطوائف، سيّما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ذيل مرسل حمّاد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للفقراء قرابة الرّسول صلى الله عليه و آله نصف الخُمس</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صريحٌ في أنّ نصف الخُمس إنّما جُعل للطوائف الثلاث بما هم فقراء، وبجامعٍ واحد، بلا دخل لخصوصيّات الأصناف في الحكم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المستفاد من ما ورد في صدر مرسل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ونصف الخُمس الباقي بين أهل بيته، فسهمٌ ليتاماهم، وسهمٌ لمساكينهم، وسهمٌ لأبناء سبيلهم، يقسّم بينهم على الكفاف والسِّعة ما يستغنون به في 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ومرفوع أحمد بن محمّد</w:t>
      </w:r>
      <w:r>
        <w:rPr>
          <w:rStyle w:val="FootnoteAnchor"/>
          <w:rtl w:val="true"/>
        </w:rPr>
        <w:footnoteReference w:id="730"/>
      </w:r>
      <w:r>
        <w:rPr>
          <w:rFonts w:ascii="Amiri" w:hAnsi="Amiri" w:eastAsia="Amiri" w:cs="Amiri"/>
          <w:color w:val="111111"/>
          <w:sz w:val="28"/>
          <w:sz w:val="28"/>
          <w:szCs w:val="28"/>
          <w:rtl w:val="true"/>
          <w:lang w:bidi="ar-SA"/>
        </w:rPr>
        <w:t>وغيرهما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الأخبار، أنّ وجه جعل الخُمس إنّما هو استغناء جميع الطوائف، ولو بأن يعطى خُمس مالٍ لشخص وخُمس آخر 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البزنطي، عن الإمام الرضا عليه السلام،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إنْ كان صنفٌ من الأصناف أكثر، وصنفٌ أقلّ‌، ما يصنع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أرأيتَ رسول اللّه صلى الله عليه و آله كيف يصنع، أليس إنّما كان يُعطي على ما يرى‌، كذلك الإمام عليه السلام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بمَن له الولاية على الخُمس، فلا يُقاس بمن ليس له الولاية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وروده في مقام بيان الحكم، لا في مقام بيان إعمال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السؤال عن لزوم مساواة السهام وعدمه، لا جواز الحرمان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الجواب جواز الحرمان، مع أنّه إذا ثبت عدم لزوم التسوية بين السّهام والتصرّف في الآية الشريفة وما ماثلها، الظاهرة في لزومها، وصرفها عن ظاهرها، ليس حملها على إرادة البسط على الأصناف على وجهٍ لا ينافيه جواز التفاوت، مع مخالفته لقاعدة الشركة، بأولى من حملها على إرادة المصرف بالنسبة إلى الطوائف الثلاث، بلا دخل لخصوصيّة أصنافهم فيه، بل لعلّ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الأقوي عدم وجوب البسط، كما ظهر مستند القولين الآخرين وضعفه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40" w:name="pg11804_116671"/>
    </w:p>
    <w:p>
      <w:pPr>
        <w:pStyle w:val="BookText"/>
        <w:rPr/>
      </w:pPr>
      <w:bookmarkEnd w:id="240"/>
      <w:r>
        <w:rPr>
          <w:rFonts w:ascii="Amiri" w:hAnsi="Amiri" w:eastAsia="Amiri" w:cs="Amiri"/>
          <w:color w:val="111111"/>
          <w:sz w:val="28"/>
          <w:sz w:val="28"/>
          <w:szCs w:val="28"/>
          <w:rtl w:val="true"/>
          <w:lang w:bidi="ar-SA"/>
        </w:rPr>
        <w:t>في وجوب استيعاب الأفراد وعدمه</w:t>
      </w:r>
    </w:p>
    <w:p>
      <w:pPr>
        <w:pStyle w:val="Heading3"/>
        <w:numPr>
          <w:ilvl w:val="2"/>
          <w:numId w:val="1"/>
        </w:numPr>
        <w:rPr/>
      </w:pPr>
      <w:bookmarkStart w:id="241" w:name="__RefHeading___Toc10579830_73709187"/>
      <w:bookmarkStart w:id="242" w:name="_Toc81"/>
      <w:bookmarkEnd w:id="241"/>
      <w:r>
        <w:rPr>
          <w:rtl w:val="true"/>
        </w:rPr>
        <w:t>في وجوب استيعاب الأفراد وعدمه</w:t>
      </w:r>
      <w:bookmarkEnd w:id="24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استيعاب أفراد كلّ صنفٍ‌، بل يجوزُ الإقتصار على واحدٍ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تعذّر الاستيعاب، الموجب لحمل الآية الشريفة على إرادة جنس الأصناف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الآية الشريفة، بواسطة ابن السبيل المتعيّن حمله على إرادة الجنس، كما لا يخفى، فيُحمل اليتامى والمساكين أيضاً عليها بقرينة السياق، وصحيح البزنطي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استيعاب الحاضر، واستدلّ له بأنّ عدم إمكان الإحاطة، قرينة صارفة للعموم إلى ما يمكن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عدم انحصار الدليل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يوجب تكليف كلّ شخصٍ بصَرف خُمسه إلى جنس الأصناف المذكورة، ومقتضاه جواز الدفع إلى شخصٍ واحد</w:t>
      </w:r>
      <w:r>
        <w:rPr>
          <w:rFonts w:eastAsia="Amiri" w:cs="Amiri" w:ascii="Amiri" w:hAnsi="Amiri"/>
          <w:color w:val="111111"/>
          <w:sz w:val="28"/>
          <w:szCs w:val="28"/>
          <w:rtl w:val="true"/>
          <w:lang w:bidi="ar-SA"/>
        </w:rPr>
        <w:t>.</w:t>
      </w:r>
      <w:bookmarkStart w:id="243" w:name="pg11804_116672"/>
    </w:p>
    <w:p>
      <w:pPr>
        <w:pStyle w:val="BookText"/>
        <w:rPr/>
      </w:pPr>
      <w:bookmarkEnd w:id="243"/>
      <w:r>
        <w:rPr>
          <w:rFonts w:ascii="IRNazanin" w:hAnsi="IRNazanin" w:eastAsia="IRNazanin"/>
          <w:color w:val="111111"/>
          <w:sz w:val="28"/>
          <w:sz w:val="28"/>
          <w:szCs w:val="28"/>
          <w:rtl w:val="true"/>
          <w:lang w:bidi="fa-IR"/>
        </w:rPr>
        <w:t>اختصاص الخُمس بولد عبد المطّلب</w:t>
      </w:r>
    </w:p>
    <w:p>
      <w:pPr>
        <w:pStyle w:val="Heading3"/>
        <w:numPr>
          <w:ilvl w:val="2"/>
          <w:numId w:val="1"/>
        </w:numPr>
        <w:rPr/>
      </w:pPr>
      <w:bookmarkStart w:id="244" w:name="__RefHeading___Toc10579832_73709187"/>
      <w:bookmarkStart w:id="245" w:name="_Toc82"/>
      <w:bookmarkEnd w:id="244"/>
      <w:r>
        <w:rPr>
          <w:rtl w:val="true"/>
        </w:rPr>
        <w:t>اختصاص الخُمس بولد عبد المطّلب</w:t>
      </w:r>
      <w:bookmarkEnd w:id="24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الخُمس من ولّده عبد المطّلب، لانحصار ذريّة هاشم في ولده، والمدار على كونه هاشميّاً كما تشهد له جملةٌ من نصوص الباب المتقدّم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يختصّ هذا الحكم بذريّة الرسول صلى الله عليه و آله كما هو ظاهر بعض النصوص من جهة تضمّنه التخصيص بهم، أم لا؟</w:t>
      </w:r>
    </w:p>
    <w:p>
      <w:pPr>
        <w:pStyle w:val="BookText"/>
        <w:rPr/>
      </w:pPr>
      <w:r>
        <w:rPr>
          <w:rFonts w:ascii="Amiri" w:hAnsi="Amiri" w:eastAsia="Amiri" w:cs="Amiri"/>
          <w:color w:val="111111"/>
          <w:sz w:val="28"/>
          <w:sz w:val="28"/>
          <w:szCs w:val="28"/>
          <w:rtl w:val="true"/>
          <w:lang w:bidi="ar-SA"/>
        </w:rPr>
        <w:t>وجهان؛ أقواهما الثاني، لما في كثيرٍ من النصوص</w:t>
      </w:r>
      <w:r>
        <w:rPr>
          <w:rStyle w:val="FootnoteAnchor"/>
          <w:rtl w:val="true"/>
        </w:rPr>
        <w:footnoteReference w:id="734"/>
      </w:r>
      <w:r>
        <w:rPr>
          <w:rFonts w:ascii="Amiri" w:hAnsi="Amiri" w:eastAsia="Amiri" w:cs="Amiri"/>
          <w:color w:val="111111"/>
          <w:sz w:val="28"/>
          <w:sz w:val="28"/>
          <w:szCs w:val="28"/>
          <w:rtl w:val="true"/>
          <w:lang w:bidi="ar-SA"/>
        </w:rPr>
        <w:t>من التصريح بكون الخُمس لبني هاشم، لا سيّما وفي مرسل حمّاد تفسير قرابة النبيّ صلى الله عليه و آله الذين جعل لهم الخُمس ببني عبد المطّلب، وعليه فالنصوص المتضمّنة لتخصيصه بآل النبيّ صلى الله عليه و آله، أو أهل بيته، أو ذرّيته، أو بولد فاطمة، يتعيّن حملها على إرادة أنّهم الأصل في هذا الحكم، أو غيره من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بني المطّلب أخي هاشم خلافٌ وتردّد، أقواهما العدم، للنصوص المتضمّنة لاختصاصه ببني هاشم، وبني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زرارة،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العدل ما احتاج هاشميٌ ولا مطّلبي إلى صدقة، إنّ اللّه عزّ وجلّ جعل لهم في كتابه ما كان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فلإعراض الأصحاب عنه، وعدم عَمَلهم به، وموافقته للنبوي المرويّ من </w:t>
      </w:r>
      <w:bookmarkStart w:id="246" w:name="pg11804_116673"/>
    </w:p>
    <w:p>
      <w:pPr>
        <w:pStyle w:val="BookText"/>
        <w:rPr/>
      </w:pPr>
      <w:bookmarkEnd w:id="246"/>
      <w:r>
        <w:rPr>
          <w:rFonts w:ascii="Amiri" w:hAnsi="Amiri" w:eastAsia="Amiri" w:cs="Amiri"/>
          <w:color w:val="111111"/>
          <w:sz w:val="28"/>
          <w:sz w:val="28"/>
          <w:szCs w:val="28"/>
          <w:rtl w:val="true"/>
          <w:lang w:bidi="ar-SA"/>
        </w:rPr>
        <w:t>طرق العامّة والوارد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هاشم وبنو المطّلب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طرحه، أو حمله على ما لاينافي تلك النصوص بارادة بني عبد المطّلب منه، ويكون من قبيل حذف أوّل الجزئين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الانتساب إلى عبد المطّلب بالأب</w:t>
      </w:r>
    </w:p>
    <w:p>
      <w:pPr>
        <w:pStyle w:val="Heading3"/>
        <w:numPr>
          <w:ilvl w:val="2"/>
          <w:numId w:val="1"/>
        </w:numPr>
        <w:rPr/>
      </w:pPr>
      <w:bookmarkStart w:id="247" w:name="__RefHeading___Toc10579834_73709187"/>
      <w:bookmarkStart w:id="248" w:name="_Toc83"/>
      <w:bookmarkEnd w:id="247"/>
      <w:r>
        <w:rPr>
          <w:rtl w:val="true"/>
        </w:rPr>
        <w:t>اعتبار الانتساب إلى عبد المطّلب بالأب</w:t>
      </w:r>
      <w:bookmarkEnd w:id="248"/>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انتسب الشَّخصُ إلى هاشم بالاُمّ‌، لم يحلّ له الخُمس، كما هو المشهور بين الأصحاب، بل لم يُنقل الخلاف إلّاعن السيّد المرتضى</w:t>
      </w:r>
      <w:r>
        <w:rPr>
          <w:rStyle w:val="FootnoteAnchor"/>
          <w:rtl w:val="true"/>
        </w:rPr>
        <w:footnoteReference w:id="736"/>
      </w:r>
      <w:r>
        <w:rPr>
          <w:rFonts w:ascii="IRNazanin" w:hAnsi="IRNazanin" w:eastAsia="IRNazanin"/>
          <w:color w:val="111111"/>
          <w:sz w:val="28"/>
          <w:sz w:val="28"/>
          <w:szCs w:val="28"/>
          <w:rtl w:val="true"/>
          <w:lang w:bidi="fa-IR"/>
        </w:rPr>
        <w:t xml:space="preserve">، 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37"/>
      </w:r>
      <w:r>
        <w:rPr>
          <w:rFonts w:ascii="Amiri" w:hAnsi="Amiri" w:eastAsia="Amiri" w:cs="Amiri"/>
          <w:color w:val="111111"/>
          <w:sz w:val="28"/>
          <w:sz w:val="28"/>
          <w:szCs w:val="28"/>
          <w:rtl w:val="true"/>
          <w:lang w:bidi="ar-SA"/>
        </w:rPr>
        <w:t>ونَسب القول به إلى كثيرٍ من الأصحاب مصرّحاً بأسمائهم، مستظهراً ذلك من تصريحهم في مسائل الميراث والوقف ونحوهما، بإطلاق اسم الولد والابن على ولد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تماميّة ذلك، إذ بعض من صرّح بذلك اعترف في المقام بعدم حليّة الخُمس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لصدق الابن حقيقةً على ولد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بجملةٍ من الآيات</w:t>
      </w:r>
      <w:r>
        <w:rPr>
          <w:rStyle w:val="FootnoteAnchor"/>
          <w:rtl w:val="true"/>
        </w:rPr>
        <w:footnoteReference w:id="738"/>
      </w:r>
      <w:r>
        <w:rPr>
          <w:rFonts w:ascii="Amiri" w:hAnsi="Amiri" w:eastAsia="Amiri" w:cs="Amiri"/>
          <w:color w:val="111111"/>
          <w:sz w:val="28"/>
          <w:sz w:val="28"/>
          <w:szCs w:val="28"/>
          <w:rtl w:val="true"/>
          <w:lang w:bidi="ar-SA"/>
        </w:rPr>
        <w:t>القرآنيّة الواردة في باب النكاح وباب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وبكثيرٍ من النصوص المتضمّنة لاحتجاجهم عليهم السلام وبعض أصحابهم على ذلك</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استعماله فيه في جملةٍ منها بلا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المجازي ينافي مقام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الأدلّة، لو كان هو ابن هاشم، كان ما ذُكر تامّاً، ولكن المأخوذ موضوعاً فيها الهاشمي، وهو المراد من الآل والذريّة والقرابة والعترة، لإنصرافها إليه، وبنو هاشم وصدق هذين العنوانين لا يدور مدار صدق اسم الولد وعدمه، بل هما لا يصدقان إلّاعلى مَن انتسب بتوسّط الذكور لا غير، إذ الظاهر أنّه لوحظ في إطلاقهما المعنى الإسمي دون المعنى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تلك النصوص متضمّنة لإطلاق لفظ المحمّدي على أولاد الحسن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الخروج عنه لمرسل حمّاد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كانت اُمّه من بني هاشم، وأبوه من سائر قريش، فإنّ الصدقات تحلّ‌، وليس له من الخُمس شيء،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w:t>
      </w:r>
      <w:r>
        <w:rPr>
          <w:rStyle w:val="FootnoteAnchor"/>
          <w:rtl w:val="true"/>
        </w:rPr>
        <w:footnoteReference w:id="740"/>
      </w:r>
      <w:r>
        <w:rPr>
          <w:rFonts w:ascii="Amiri" w:hAnsi="Amiri" w:eastAsia="Amiri" w:cs="Amiri"/>
          <w:color w:val="111111"/>
          <w:sz w:val="28"/>
          <w:sz w:val="28"/>
          <w:szCs w:val="28"/>
          <w:rtl w:val="true"/>
          <w:lang w:bidi="ar-SA"/>
        </w:rPr>
        <w:t>، ولا يضرّ إرساله، لكون المُرسِل من أصحاب الإجماع، فضلاً عن 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يتعيّن طرحه لمعارضته بالآيات والنصوص المستفيضة، وموافقته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التعليل المخالف لها، لا يستلزم طرح الحكم، إذ ربما تكون الحجّة مشتملة على ما ليس بحجّة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49" w:name="pg11804_116675"/>
    </w:p>
    <w:p>
      <w:pPr>
        <w:pStyle w:val="BookText"/>
        <w:rPr/>
      </w:pPr>
      <w:bookmarkEnd w:id="249"/>
      <w:r>
        <w:rPr>
          <w:rFonts w:ascii="Amiri" w:hAnsi="Amiri" w:eastAsia="Amiri" w:cs="Amiri"/>
          <w:color w:val="111111"/>
          <w:sz w:val="28"/>
          <w:sz w:val="28"/>
          <w:szCs w:val="28"/>
          <w:rtl w:val="true"/>
          <w:lang w:bidi="ar-SA"/>
        </w:rPr>
        <w:t>مصرف سهم الإمام عليه السلام</w:t>
      </w:r>
    </w:p>
    <w:p>
      <w:pPr>
        <w:pStyle w:val="Heading3"/>
        <w:numPr>
          <w:ilvl w:val="2"/>
          <w:numId w:val="1"/>
        </w:numPr>
        <w:rPr/>
      </w:pPr>
      <w:bookmarkStart w:id="250" w:name="__RefHeading___Toc10579836_73709187"/>
      <w:bookmarkStart w:id="251" w:name="_Toc84"/>
      <w:bookmarkEnd w:id="250"/>
      <w:r>
        <w:rPr>
          <w:rtl w:val="true"/>
        </w:rPr>
        <w:t>مصرف سهم الإمام عليه السلام</w:t>
      </w:r>
      <w:bookmarkEnd w:id="25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مصرف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المسألة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حصّة الإمام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حصّة الأصناف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 الأصحاب فيها في زمان غيبته عليه السلام، وعمدة الأقوال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مباحة للشيعة، ذهب إليه الدّيلمي</w:t>
      </w:r>
      <w:r>
        <w:rPr>
          <w:rStyle w:val="FootnoteAnchor"/>
          <w:rtl w:val="true"/>
        </w:rPr>
        <w:footnoteReference w:id="742"/>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 وصاحبا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وغيرهم من الأكابر</w:t>
      </w:r>
      <w:r>
        <w:rPr>
          <w:rStyle w:val="FootnoteAnchor"/>
          <w:rtl w:val="true"/>
        </w:rPr>
        <w:footnoteReference w:id="74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نسبته إلى قومٍ من المتقدّمين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عزلها وإيداعها والوصيّة بها عند الموت،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والحَلبي</w:t>
      </w:r>
      <w:r>
        <w:rPr>
          <w:rStyle w:val="FootnoteAnchor"/>
          <w:rtl w:val="true"/>
        </w:rPr>
        <w:footnoteReference w:id="749"/>
      </w:r>
      <w:r>
        <w:rPr>
          <w:rFonts w:ascii="Amiri" w:hAnsi="Amiri" w:eastAsia="Amiri" w:cs="Amiri"/>
          <w:color w:val="111111"/>
          <w:sz w:val="28"/>
          <w:sz w:val="28"/>
          <w:szCs w:val="28"/>
          <w:rtl w:val="true"/>
          <w:lang w:bidi="ar-SA"/>
        </w:rPr>
        <w:t>، والقاضي</w:t>
      </w:r>
      <w:r>
        <w:rPr>
          <w:rStyle w:val="FootnoteAnchor"/>
          <w:rtl w:val="true"/>
        </w:rPr>
        <w:footnoteReference w:id="750"/>
      </w:r>
      <w:r>
        <w:rPr>
          <w:rFonts w:ascii="Amiri" w:hAnsi="Amiri" w:eastAsia="Amiri" w:cs="Amiri"/>
          <w:color w:val="111111"/>
          <w:sz w:val="28"/>
          <w:sz w:val="28"/>
          <w:szCs w:val="28"/>
          <w:rtl w:val="true"/>
          <w:lang w:bidi="ar-SA"/>
        </w:rPr>
        <w:t>، والحِلّي</w:t>
      </w:r>
      <w:r>
        <w:rPr>
          <w:rStyle w:val="FootnoteAnchor"/>
          <w:rtl w:val="true"/>
        </w:rPr>
        <w:footnoteReference w:id="751"/>
      </w:r>
      <w:r>
        <w:rPr>
          <w:rFonts w:ascii="Amiri" w:hAnsi="Amiri" w:eastAsia="Amiri" w:cs="Amiri"/>
          <w:color w:val="111111"/>
          <w:sz w:val="28"/>
          <w:sz w:val="28"/>
          <w:szCs w:val="28"/>
          <w:rtl w:val="true"/>
          <w:lang w:bidi="ar-SA"/>
        </w:rPr>
        <w:t xml:space="preserve">، والسيّد في المسائل </w:t>
      </w:r>
    </w:p>
    <w:p>
      <w:pPr>
        <w:pStyle w:val="BookText"/>
        <w:rPr/>
      </w:pPr>
      <w:r>
        <w:rPr>
          <w:rFonts w:ascii="Amiri" w:hAnsi="Amiri" w:eastAsia="Amiri" w:cs="Amiri"/>
          <w:color w:val="111111"/>
          <w:sz w:val="28"/>
          <w:sz w:val="28"/>
          <w:szCs w:val="28"/>
          <w:rtl w:val="true"/>
          <w:lang w:bidi="ar-SA"/>
        </w:rPr>
        <w:t>الحائريّة</w:t>
      </w:r>
      <w:r>
        <w:rPr>
          <w:rStyle w:val="FootnoteAnchor"/>
          <w:rtl w:val="true"/>
        </w:rPr>
        <w:footnoteReference w:id="752"/>
      </w:r>
      <w:r>
        <w:rPr>
          <w:rFonts w:ascii="IRNazanin" w:hAnsi="IRNazanin" w:eastAsia="IRNazanin"/>
          <w:color w:val="111111"/>
          <w:sz w:val="28"/>
          <w:sz w:val="28"/>
          <w:szCs w:val="28"/>
          <w:rtl w:val="true"/>
          <w:lang w:bidi="fa-IR"/>
        </w:rPr>
        <w:t>، وعن منتهى</w:t>
      </w:r>
      <w:r>
        <w:rPr>
          <w:rStyle w:val="FootnoteAnchor"/>
          <w:rtl w:val="true"/>
        </w:rPr>
        <w:footnoteReference w:id="753"/>
      </w:r>
      <w:r>
        <w:rPr>
          <w:rFonts w:ascii="IRNazanin" w:hAnsi="IRNazanin" w:eastAsia="IRNazanin"/>
          <w:color w:val="111111"/>
          <w:sz w:val="28"/>
          <w:sz w:val="28"/>
          <w:szCs w:val="28"/>
          <w:rtl w:val="true"/>
          <w:lang w:bidi="fa-IR"/>
        </w:rPr>
        <w:t xml:space="preserve">المصنّف رحمه الله بعد نقله عن جمهور أصحابنا استحسانه،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نسبته إلى جميع محقّقي أصحابنا المصنّفين المحصّلين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دفنها، حُكي ذلك في جملةٍ من الكتب عن بعض الأصحاب</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تُصرف في الأصناف الموجودين، ذهب إليه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الغرية</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وغيرهما</w:t>
      </w:r>
      <w:r>
        <w:rPr>
          <w:rStyle w:val="FootnoteAnchor"/>
          <w:rtl w:val="true"/>
        </w:rPr>
        <w:footnoteReference w:id="758"/>
      </w:r>
      <w:r>
        <w:rPr>
          <w:rFonts w:ascii="Amiri" w:hAnsi="Amiri" w:eastAsia="Amiri" w:cs="Amiri"/>
          <w:color w:val="111111"/>
          <w:sz w:val="28"/>
          <w:sz w:val="28"/>
          <w:szCs w:val="28"/>
          <w:rtl w:val="true"/>
          <w:lang w:bidi="ar-SA"/>
        </w:rPr>
        <w:t>، بل نُسب</w:t>
      </w:r>
      <w:r>
        <w:rPr>
          <w:rStyle w:val="FootnoteAnchor"/>
          <w:rtl w:val="true"/>
        </w:rPr>
        <w:footnoteReference w:id="759"/>
      </w:r>
      <w:r>
        <w:rPr>
          <w:rFonts w:ascii="Amiri" w:hAnsi="Amiri" w:eastAsia="Amiri" w:cs="Amiri"/>
          <w:color w:val="111111"/>
          <w:sz w:val="28"/>
          <w:sz w:val="28"/>
          <w:szCs w:val="28"/>
          <w:rtl w:val="true"/>
          <w:lang w:bidi="ar-SA"/>
        </w:rPr>
        <w:t>إلى المشهور بين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بين إيداعها ودفنها، ذهب إليه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بين حفظها والإيصاء بها، وبين قسمتها بين المحتاجين من الذريّة، نُسب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وغيره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بين دفنها والإيصاء بها، وصِلة الأصناف مع إعوازهم، حُكي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تُصرف في فقراء المؤمنين وإنْ لم يكونوا من السّادة، وهو المنسوب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ابن حمزة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إجراءحكم مجهول المالك عليها، وهو الذي 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يتعيّن صرفها فيما اُحرز رضاه فيه، وإلّا فالحفظ، وهو الذي اختاره جمعٌ من المحقّقين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أقوالٌ اُخر ترجع إلى بعض ما نقلناه، ولذلك أغمضنا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بأخبار التحليل</w:t>
      </w:r>
      <w:r>
        <w:rPr>
          <w:rStyle w:val="FootnoteAnchor"/>
          <w:rtl w:val="true"/>
        </w:rPr>
        <w:footnoteReference w:id="767"/>
      </w:r>
      <w:r>
        <w:rPr>
          <w:rFonts w:ascii="Amiri" w:hAnsi="Amiri" w:eastAsia="Amiri" w:cs="Amiri"/>
          <w:color w:val="111111"/>
          <w:sz w:val="28"/>
          <w:sz w:val="28"/>
          <w:szCs w:val="28"/>
          <w:rtl w:val="true"/>
          <w:lang w:bidi="ar-SA"/>
        </w:rPr>
        <w:t>، لكن قد تقدّم في أوائل كتاب الخُمس في مبحث وجوب الخُمس</w:t>
      </w:r>
      <w:r>
        <w:rPr>
          <w:rStyle w:val="FootnoteAnchor"/>
          <w:rtl w:val="true"/>
        </w:rPr>
        <w:footnoteReference w:id="768"/>
      </w:r>
      <w:r>
        <w:rPr>
          <w:rFonts w:ascii="Amiri" w:hAnsi="Amiri" w:eastAsia="Amiri" w:cs="Amiri"/>
          <w:color w:val="111111"/>
          <w:sz w:val="28"/>
          <w:sz w:val="28"/>
          <w:szCs w:val="28"/>
          <w:rtl w:val="true"/>
          <w:lang w:bidi="ar-SA"/>
        </w:rPr>
        <w:t>في أرباح المكاسب التعرّض لها، والجواب عنها، ويظهر لمن راجع ما ذكرناه وهن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القواعد المعوّل عليها في المال المعلوم مالكه، مع عدم إمكان الإيصال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تمّ‌، فإنّما هو في المال الذي لم يُحرَز رضا صاحبه في صرفه في مصرفٍ معيّن، فلا يشمل المقام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الثانية تقتضي التصدّق بالمال المتعذّر إيصاله إلى مالكه المعلوم تفصيلاً، كما سنشير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أحفظ</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الأرض تُخرِجُ كنوزها للإمام عليه السلام عند ظهوره، كما في الخبر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دليل القول الثاني من الإيرادين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المعادن، مع أنّ إخراج الكنوز لا يلازم لزوم الدفن، كما هو واضح، وإلّا لوجب أن تُدفن جميع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بمرسلي حمّاد وأحمد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بينهم على الكتاب والسُنّة ما يستغنون في سَنَتهم، فإنْ فَضُل عنهم شيءٌ فهو للوالي، فإنْ عجز أو نقص عن استغنائهم، كان على الوالي أن يُنفق من عنده بقدر ما يستغنون به، وإنّما صار عليه أن يمونهم لأنّ له ما فضل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مختصّان بفترة حضور الإمام وبسط يده عليه السلام، ونقل كلّ الخُمس إليه، وتمكّنه من القيام بمؤونة الفقراء من الهاشميّين، ولو بتتميم النقص من نصيبه، ولا يشملان مثل هذه الأعصار كما لا يخفى‌، مع أنّهما إنّما يدلّان على أنّ على الإمام أن يكفي مؤونتهم، وليس في شيء منهما ما يشهد بوجوب صرف هذا السهم فيهم، إذ من الجائز أنْ يكون من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يدلّان على أنّ على الإمام عليه السلام أن يكفي مؤونتهم، ولا يدلّان على تعيّن صرف هذا السهم فيهم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الخامس، والسادس،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ممّا قدّمناه ما يمكن أنْ يُستدلّ به لكلّ واحدٍ منها، أو استدلّ به له، والجواب عن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على الإمام الإتمام إذا أعوز الخُمس أو الزكاة، كمرسل حمّاد</w:t>
      </w:r>
      <w:r>
        <w:rPr>
          <w:rStyle w:val="FootnoteAnchor"/>
          <w:rtl w:val="true"/>
        </w:rPr>
        <w:footnoteReference w:id="771"/>
      </w:r>
      <w:r>
        <w:rPr>
          <w:rFonts w:ascii="IRNazanin" w:hAnsi="IRNazanin" w:eastAsia="IRNazanin"/>
          <w:color w:val="111111"/>
          <w:sz w:val="28"/>
          <w:sz w:val="28"/>
          <w:szCs w:val="28"/>
          <w:rtl w:val="true"/>
          <w:lang w:bidi="fa-IR"/>
        </w:rPr>
        <w:t>، ومرفوع أحمد بن محمّد</w:t>
      </w:r>
      <w:r>
        <w:rPr>
          <w:rStyle w:val="FootnoteAnchor"/>
          <w:rtl w:val="true"/>
        </w:rPr>
        <w:footnoteReference w:id="772"/>
      </w:r>
      <w:r>
        <w:rPr>
          <w:rFonts w:ascii="Amiri" w:hAnsi="Amiri" w:eastAsia="Amiri" w:cs="Amiri"/>
          <w:color w:val="111111"/>
          <w:sz w:val="28"/>
          <w:sz w:val="28"/>
          <w:szCs w:val="28"/>
          <w:rtl w:val="true"/>
          <w:lang w:bidi="ar-SA"/>
        </w:rPr>
        <w:t>المتقدّمين، وهما في الخُمس، وصحيح حمّاد</w:t>
      </w:r>
      <w:r>
        <w:rPr>
          <w:rStyle w:val="FootnoteAnchor"/>
          <w:rtl w:val="true"/>
        </w:rPr>
        <w:footnoteReference w:id="773"/>
      </w:r>
      <w:r>
        <w:rPr>
          <w:rFonts w:ascii="Amiri" w:hAnsi="Amiri" w:eastAsia="Amiri" w:cs="Amiri"/>
          <w:color w:val="111111"/>
          <w:sz w:val="28"/>
          <w:sz w:val="28"/>
          <w:szCs w:val="28"/>
          <w:rtl w:val="true"/>
          <w:lang w:bidi="ar-SA"/>
        </w:rPr>
        <w:t>وهو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اختصاص هذه النصوص بزمان بسط يد الإمام عليه السلام، مع أنّها لا تدلّ على لزوم صرف هذا السهم، بل تدلّ على أنّه على الإمام أن يُنفِق ولو من مالٍ آخر من عنده بقدر ما يُغنيهم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من لم يقدر أن يصلنا، فليَصِل فقراء شيعتنا، كخبر محمّد بن يزيد، عن أبي الحسن الأوّل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يستطع أن يصلنا، فليَصِل فقراء شيعتنا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الصدوق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على صِلَتنا، فليَصِل صالح موالينا، يكتب له ثواب صِلتنا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بالصلة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إجراء حكم مجهول المالك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يتصدّق بها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ممّا تقتضيه القواعد، لأنّه احسان بالمالك، وأنّه أقرب طرق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الإيصال إلى المالك، وأنّ الإبقاء في معرض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يستفاد من نصوص التصدّق بمجهول المالك، فإنّ المستفاد منها أنّ الموجب لذلك ومناطه، هو تعذّر الإيصال إلى المالك، من غير فرق بين أنْ يكون المالك مجهولاً بقولٍ مطلق، وبين كونه مردّداً بين أشخاص غير محصورين، وبين كونه معلوماً يتعذّر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دليل على جواز الإحسان بمال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إحساناً، إذ التصرّف في مال الغير بغير إذنه، ظلمٌ وإساءة لا عدل واحسان، والدليل إنّما دلّ على لزوم إيصال المال إلى مالكه، لا على لزوم أقرب طرق الإيصال إليه أو جوازه، وكون الإبقاء معرّضاً للتلف لا يوجب جواز 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مختصّة بصورة تعذّر الإيصال إلى المالك، وفي المقام يمكن ذلك بأنْ يصرف في جهة معيّنةٍ يقطع برضاه عليه السلام بصرف حصّته فيها، وعليه فهي خارجة عن موارد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الأقوال التسعة، لا يمكن تطبيقه على القواعد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القول العاشر، فإنّ من تأمّل في أحوال الإمام عليه السلام، وفي أنّ تشييد الدِّين، وإعلاء كلمة الإسلام والمسلمين، ونشر شريعة سيّد المرسلين تحتاج إلى بذل المال وصرفه، يقطع برضاه عليه السلام بصرف ماله المُستغني عنه في هذا المقام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أنّ المظنون أنّ جعل هذا السهم له عليه السلام، إنّما هو من جهة رئاسته </w:t>
      </w:r>
    </w:p>
    <w:p>
      <w:pPr>
        <w:pStyle w:val="BookText"/>
        <w:rPr/>
      </w:pPr>
      <w:r>
        <w:rPr>
          <w:rFonts w:ascii="Amiri" w:hAnsi="Amiri" w:eastAsia="Amiri" w:cs="Amiri"/>
          <w:color w:val="111111"/>
          <w:sz w:val="28"/>
          <w:sz w:val="28"/>
          <w:szCs w:val="28"/>
          <w:rtl w:val="true"/>
          <w:lang w:bidi="ar-SA"/>
        </w:rPr>
        <w:t>وإمامته، الموجبة لاحتياجه إلى المال في تشييد الدِّين، ونشر الأحكام، ففي خبر الطبري،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عوننا على ديننا، وعلى عيالنا، وعلى موالينا، وما نبذله ونشتري من أعراضنا ممّن نخاف سطوته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لو تأمّلنا في حاله عليه السلام، وفي أحوال أرحامه المحتاجين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المتعفّفين منهم، الّذين لا حيلة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في رضاه في صرفه فيهم، بل وكذلك بالنسبة إلى ضعفاء الشيعة، وإنْ لم يكونوا من السادة والعلويّين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التدبّر والتأمّل، لا ريب في إحراز رضاه عليه السلام بصرف ماله في جهاتٍ خاصّة، فهذا هو المناط والميزان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مراجعة الحاكم الشرعي بالدفع إليه، أو الدفع إلى المستحقّين بإذنه، كما عن المحقّق</w:t>
      </w:r>
      <w:r>
        <w:rPr>
          <w:rStyle w:val="FootnoteAnchor"/>
          <w:rtl w:val="true"/>
        </w:rPr>
        <w:footnoteReference w:id="777"/>
      </w:r>
      <w:r>
        <w:rPr>
          <w:rFonts w:ascii="Amiri" w:hAnsi="Amiri" w:eastAsia="Amiri" w:cs="Amiri"/>
          <w:color w:val="111111"/>
          <w:sz w:val="28"/>
          <w:sz w:val="28"/>
          <w:szCs w:val="28"/>
          <w:rtl w:val="true"/>
          <w:lang w:bidi="ar-SA"/>
        </w:rPr>
        <w:t>والمصنّف</w:t>
      </w:r>
      <w:r>
        <w:rPr>
          <w:rStyle w:val="FootnoteAnchor"/>
          <w:rtl w:val="true"/>
        </w:rPr>
        <w:footnoteReference w:id="778"/>
      </w:r>
      <w:r>
        <w:rPr>
          <w:rFonts w:ascii="Amiri" w:hAnsi="Amiri" w:eastAsia="Amiri" w:cs="Amiri"/>
          <w:color w:val="111111"/>
          <w:sz w:val="28"/>
          <w:sz w:val="28"/>
          <w:szCs w:val="28"/>
          <w:rtl w:val="true"/>
          <w:lang w:bidi="ar-SA"/>
        </w:rPr>
        <w:t>والشهيدين</w:t>
      </w:r>
      <w:r>
        <w:rPr>
          <w:rStyle w:val="FootnoteAnchor"/>
          <w:rtl w:val="true"/>
        </w:rPr>
        <w:footnoteReference w:id="779"/>
      </w:r>
      <w:r>
        <w:rPr>
          <w:rFonts w:ascii="Amiri" w:hAnsi="Amiri" w:eastAsia="Amiri" w:cs="Amiri"/>
          <w:color w:val="111111"/>
          <w:sz w:val="28"/>
          <w:sz w:val="28"/>
          <w:szCs w:val="28"/>
          <w:rtl w:val="true"/>
          <w:lang w:bidi="ar-SA"/>
        </w:rPr>
        <w:t>وغيرهم</w:t>
      </w:r>
      <w:r>
        <w:rPr>
          <w:rStyle w:val="FootnoteAnchor"/>
          <w:rtl w:val="true"/>
        </w:rPr>
        <w:footnoteReference w:id="780"/>
      </w:r>
      <w:r>
        <w:rPr>
          <w:rFonts w:ascii="IRNazanin" w:hAnsi="IRNazanin" w:eastAsia="IRNazanin"/>
          <w:color w:val="111111"/>
          <w:sz w:val="28"/>
          <w:sz w:val="28"/>
          <w:szCs w:val="28"/>
          <w:rtl w:val="true"/>
          <w:lang w:bidi="fa-IR"/>
        </w:rPr>
        <w:t>، بل هو المنسوب</w:t>
      </w:r>
      <w:r>
        <w:rPr>
          <w:rStyle w:val="FootnoteAnchor"/>
          <w:rtl w:val="true"/>
        </w:rPr>
        <w:footnoteReference w:id="781"/>
      </w:r>
      <w:r>
        <w:rPr>
          <w:rFonts w:ascii="Amiri" w:hAnsi="Amiri" w:eastAsia="Amiri" w:cs="Amiri"/>
          <w:color w:val="111111"/>
          <w:sz w:val="28"/>
          <w:sz w:val="28"/>
          <w:szCs w:val="28"/>
          <w:rtl w:val="true"/>
          <w:lang w:bidi="ar-SA"/>
        </w:rPr>
        <w:t>إلى أكثر العلماء؟</w:t>
      </w:r>
    </w:p>
    <w:p>
      <w:pPr>
        <w:pStyle w:val="BookText"/>
        <w:rPr/>
      </w:pPr>
      <w:r>
        <w:rPr>
          <w:rFonts w:ascii="Amiri" w:hAnsi="Amiri" w:eastAsia="Amiri" w:cs="Amiri"/>
          <w:color w:val="111111"/>
          <w:sz w:val="28"/>
          <w:sz w:val="28"/>
          <w:szCs w:val="28"/>
          <w:rtl w:val="true"/>
          <w:lang w:bidi="ar-SA"/>
        </w:rPr>
        <w:t>أم لا يعتبر ذلك، بل يجوز للمالك تولّي الصَرف، بلا حاجةٍ إلى مراجعته، كما عن غرية المفيد</w:t>
      </w:r>
      <w:r>
        <w:rPr>
          <w:rStyle w:val="FootnoteAnchor"/>
          <w:rtl w:val="true"/>
        </w:rPr>
        <w:footnoteReference w:id="782"/>
      </w:r>
      <w:r>
        <w:rPr>
          <w:rFonts w:ascii="Amiri" w:hAnsi="Amiri" w:eastAsia="Amiri" w:cs="Amiri"/>
          <w:color w:val="111111"/>
          <w:sz w:val="28"/>
          <w:sz w:val="28"/>
          <w:szCs w:val="28"/>
          <w:rtl w:val="true"/>
          <w:lang w:bidi="ar-SA"/>
        </w:rPr>
        <w:t>وغيرها</w:t>
      </w:r>
      <w:r>
        <w:rPr>
          <w:rStyle w:val="FootnoteAnchor"/>
          <w:rtl w:val="true"/>
        </w:rPr>
        <w:footnoteReference w:id="783"/>
      </w:r>
      <w:r>
        <w:rPr>
          <w:rFonts w:ascii="IRNazanin" w:hAnsi="IRNazanin" w:eastAsia="IRNazanin"/>
          <w:color w:val="111111"/>
          <w:sz w:val="28"/>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أظهرهما الأوّل، لعموم ما دلّ على ولايته على مال الغائب، وليس هو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استدلّ به على ولاية الفقيه، كي يدفع بعدم تماميّته، كما مرّ في محلّه، بل المراد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 قوله عليه السلام في مقبولة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مشهورة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الظاهران في أنّ للفقيه جميع ما للحكّام من المناصب والاختيارات من التصرّف في مال الغائب بصرفه في المصارف، من مناصب القضاة والحكّام، كما هو المتعارف والمعمول فيهم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نفس الجاعل، فهو عليه السلام خارجٌ عن مورده، فإنّه الولي لا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المُدّعى هو الولاية على المال، لا على الغائب نفسه، ولما تقدّم من أنّ سهم الإمام عليه السلام إنّما يكون له بما أنّه إمام، إذ عليه يتعيّن أن يتولّاه من يتولّى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لزوم المراجعة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الرجوع إلى الأعلم إلّافي تعيين المصرف، من جهة أنّه موضوعٌ ذو حكمٍ شرعي لابدّ فيه من الرجوع إلى الأعلم كسائر الأحكام الشرعيّة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52" w:name="pg11804_116683"/>
    </w:p>
    <w:p>
      <w:pPr>
        <w:pStyle w:val="BookText"/>
        <w:rPr/>
      </w:pPr>
      <w:bookmarkEnd w:id="252"/>
      <w:r>
        <w:rPr>
          <w:rFonts w:ascii="Amiri" w:hAnsi="Amiri" w:eastAsia="Amiri" w:cs="Amiri"/>
          <w:color w:val="111111"/>
          <w:sz w:val="28"/>
          <w:sz w:val="28"/>
          <w:szCs w:val="28"/>
          <w:rtl w:val="true"/>
          <w:lang w:bidi="ar-SA"/>
        </w:rPr>
        <w:t>موارد صرف حصّة سائر الأصناف</w:t>
      </w:r>
    </w:p>
    <w:p>
      <w:pPr>
        <w:pStyle w:val="Heading3"/>
        <w:numPr>
          <w:ilvl w:val="2"/>
          <w:numId w:val="1"/>
        </w:numPr>
        <w:rPr/>
      </w:pPr>
      <w:bookmarkStart w:id="253" w:name="__RefHeading___Toc10579838_73709187"/>
      <w:bookmarkStart w:id="254" w:name="_Toc85"/>
      <w:bookmarkEnd w:id="253"/>
      <w:r>
        <w:rPr>
          <w:rtl w:val="true"/>
        </w:rPr>
        <w:t>موارد صرف حصّة سائر الأصناف</w:t>
      </w:r>
      <w:bookmarkEnd w:id="254"/>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مصرف حصّة سائر الأصناف، والأقوال فيها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السقوط وإباحتها للشيعة في زمان الغيبة، ذهب إليه الديلمي</w:t>
      </w:r>
      <w:r>
        <w:rPr>
          <w:rStyle w:val="FootnoteAnchor"/>
          <w:rtl w:val="true"/>
        </w:rPr>
        <w:footnoteReference w:id="78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دفنها إليزمان ظهوره عليه السلام، نُسب ذلك إلى بعضٍ من الأصحاب</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الوصيّة بها،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بين الصرف إلى الأصناف الثلاثة، وعزلها وحفظها والوصيّة بها،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بين ذلك وبين الدفن،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ماهو المشهور بين الأصحاب، بل هو المنسوب إلى جمهور الأصحاب، وهو تعيّن قسمتها على الأصناف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بأخبار التحليل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لزوم الدفع إلى الإمام عند الحضور، بتقريب أنّ الشرط متعذّرٌ وبتعذّره يسقط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البراءة بعد قصور أدلّة الوجوب عن الشمول لحال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مبحث أرباح المكاسب</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وجوب الدفع إلى الإمام حال الحضور، وإنْ كان ممّا لا ينبغي التوقّف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المستفاد من كثيرٍ من النصوص والفتاوى،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نسبته إلى الشيخين، وجماعة من العلماء، إلّاأنّ غاية ما يثبت بالأدلّة، إنّما هو وجوب إيصال تمام الخُمس إليه لدى التمكّن منه، فمع عدم التمكّن من الدفع إليه، تبقى العمومات سليمة، مع أنّ وجوب الدفع إليه أمّا من حيث الإمامة، أو من حيث أنّ المالك لا يكون مسلّطاً على إفراز النصف للإمام، لعدم الولاية له عليه، ولا على أحد من قبيله، وعلى كلّ تقديرٍ لا يقتضي ذلك سقوط حقّ الباقين عند تعذّر قيامه عليه السلام بما يقتضيه منصبه، بل يتعيّن حينئذٍ إمّا سقوط هذا الحقّ‌، أو نصب الغير للقيام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قيل في وجه قصور الأدلّة عن الشمول لحال الغيبة من أنّ دليل الخُمس منحصرٌ بالآية والأخبار، والأُولي مختصّة بحال الحضور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بغنائم دار الحرب، المختصّة بحال الحضور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خطابٌ شفاهي متوجّهٌ إلى الحاضرين خاصّة، والتعدّي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غيرهم إنّما يكون مع التوافق في الشرائط جميعاً، وهو ممنوعٌ في محلّ البحث، فلا تنهض حجّة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 ضعف أسانيدها، لا تدلّ على تعلّق النصف بالأصناف على وجه الملكيّة، أو الاختصاص مطلقاً، بل تدلّ على أنّ الإمام يقسّمه كذلك، فيجوز أنْ يكون هذا واجباً عليه من غير أنْ يكون شيءٌ من الخُمس ملكاً لهم أو مختصّاً بهم، مع أنّها مختصّة بزمان الحضور، فيجوزُ اختلاف الحكم باختلاف الأزمنة، ولكن قد مرّ في أوائل هذا الكتاب، أنّ الآية الشريفة لا تكون مختصّة بغنائم دار الحرب، بل عامّة لجميع الأقسام، وأيضاً حقّقنا في الاُصول عدم اختصاص خطابات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الشفاهية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بالحاضرين، وأنّها تشمل المعدومين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ففيها روايات معتبرة ظاهرة في أنّ نصف الخُمس مختصٌّ بهم، فراجعها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السقوط، ويؤيّد ذلك ما ورد من النصوص في مقام بيان حِكمة تشريع الخُمس، بل هو 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الأقوال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القول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وجهها ممّا ذكرناه في المقام الأوّل، بضميمة ما دلّ على وجوب إيصال الخُمس بتمامه إلى الإمام عليه السلام، وضعفها حينئذٍ ظاهرٌ، وعليه فالمتعيّن هو القول الأخير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مراجعة الحاكم في ذلك، كما هو المنسوب إلى المشهور، أم لا كما صرّح به جماعة‌؟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دفع الخُمس إلى الإمام، والتقسيم بين الأصناف وظيفته، فعند غيبته يكون ذلك وظيفة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تعيين الحصّة، سواءٌ أكانت في العين أو في الذّمة بتعيين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ما دلّ على لزوم الدفع إلى الإمام، وأنّ التقسيم وظيفته، عن الشمول لحال الغيبة، بل هو مختصٌّ بحال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من دعوى قيام الإجماع على ولاية المالك على القسمة، واستظهره من الأخبار المتضمّنة لإفراز ربّ المال خُمسه، وعَرضه على الإمام، وتقريره له، ومع ذلك فإنّ الاحتياط في مراجعته سبيل النجاة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55" w:name="pg11804_116687"/>
    </w:p>
    <w:p>
      <w:pPr>
        <w:pStyle w:val="BookText"/>
        <w:rPr/>
      </w:pPr>
      <w:bookmarkEnd w:id="255"/>
      <w:r>
        <w:rPr>
          <w:rFonts w:ascii="Amiri" w:hAnsi="Amiri" w:eastAsia="Amiri" w:cs="Amiri"/>
          <w:color w:val="111111"/>
          <w:sz w:val="28"/>
          <w:sz w:val="28"/>
          <w:szCs w:val="28"/>
          <w:rtl w:val="true"/>
          <w:lang w:bidi="ar-SA"/>
        </w:rPr>
        <w:t>ويُعتَبر فيهم الإيمان</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0579840_73709187"/>
      <w:bookmarkStart w:id="257" w:name="_Toc86"/>
      <w:bookmarkEnd w:id="256"/>
      <w:r>
        <w:rPr>
          <w:rtl w:val="true"/>
        </w:rPr>
        <w:t>اعتبار الإيمان في مستحقّ الخُمس</w:t>
      </w:r>
      <w:bookmarkEnd w:id="25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الطوائف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والمساكين وابن السبيل، الّذين لهم نصفُ الخُمس بمقتضى الآية الشريفة والنصوص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لا أجدُ فيه خلافاً محقّقاً كما اعترف به بعضهم،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بالشُّغل المقتضي للإقتصار على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وبكون الخُمس كرامةً ومودّة لا يستحقّها غير المؤمن المحادد للّه ولرسوله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عِوضٌ عن الزكاة المعتبر فيها الإيمان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إبراهيم الأوسي، عن الإمام الرضا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وجلّ حَرّم أموالنا وأموال شيعتنا على عدوّنا</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والخدشة في الجميع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مجال للرجوع إليه مع إطلاق الكتاب والسُنّة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كون الخُمس كرامة، أنّه مجعولٌ كرامةً لرسول اللّه صلى الله عليه و آله، فلا ينافي استحقاق المخالف له، مع أنّ المخالف بما أنّه منسوبٌ لرسول اللّه صلى الله عليه و آله، ومن أولاده يستحقّ‌الكرامة والمودّة، وإنْ كان في نفسه لايستحقّها</w:t>
      </w:r>
      <w:r>
        <w:rPr>
          <w:rFonts w:eastAsia="Amiri" w:cs="Amiri" w:ascii="Amiri" w:hAnsi="Amiri"/>
          <w:color w:val="111111"/>
          <w:sz w:val="28"/>
          <w:szCs w:val="28"/>
          <w:rtl w:val="true"/>
          <w:lang w:bidi="ar-SA"/>
        </w:rPr>
        <w:t xml:space="preserve">. </w:t>
      </w:r>
      <w:bookmarkStart w:id="258" w:name="pg11804_116688"/>
    </w:p>
    <w:p>
      <w:pPr>
        <w:pStyle w:val="BookText"/>
        <w:rPr/>
      </w:pPr>
      <w:bookmarkEnd w:id="258"/>
      <w:r>
        <w:rPr>
          <w:rFonts w:ascii="Amiri" w:hAnsi="Amiri" w:eastAsia="Amiri" w:cs="Amiri"/>
          <w:color w:val="111111"/>
          <w:sz w:val="28"/>
          <w:sz w:val="28"/>
          <w:szCs w:val="28"/>
          <w:rtl w:val="true"/>
          <w:lang w:bidi="ar-SA"/>
        </w:rPr>
        <w:t>وفي اليتيم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عوضيّته عن الزكاة، لا تقتضي اعتبار جميع ما يعتبر فيها فيه، ولذا ترى أنّ القائلين باعتبار العدالة في مستحقّها لم يلتزموا باعتبارها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حَرّمه اللّه هو أموالهم وأموال شيعتهم، وكون نصف الخُمس من أموال شيعتهم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فالعمدة هو الإجماع إنْ ثبت، وإلّا فمقتضى إطلاق الأدلّة عدم اعتباره، ولذلك فما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التردّد في المسألة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الفقر في اليتيم وعدمه</w:t>
      </w:r>
    </w:p>
    <w:p>
      <w:pPr>
        <w:pStyle w:val="Heading3"/>
        <w:numPr>
          <w:ilvl w:val="2"/>
          <w:numId w:val="1"/>
        </w:numPr>
        <w:rPr/>
      </w:pPr>
      <w:bookmarkStart w:id="259" w:name="__RefHeading___Toc10579842_73709187"/>
      <w:bookmarkStart w:id="260" w:name="_Toc87"/>
      <w:bookmarkEnd w:id="259"/>
      <w:r>
        <w:rPr>
          <w:rtl w:val="true"/>
        </w:rPr>
        <w:t>اعتبار الفقر في اليتيم وعدمه</w:t>
      </w:r>
      <w:bookmarkEnd w:id="26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اليتيم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المصنّف رحمه الله في جملةٍ من كتبه</w:t>
      </w:r>
      <w:r>
        <w:rPr>
          <w:rStyle w:val="FootnoteAnchor"/>
          <w:rtl w:val="true"/>
        </w:rPr>
        <w:footnoteReference w:id="79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المشهور نقلاً إنْ لم يكن تحصيلاً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لا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والحِلّي</w:t>
      </w:r>
      <w:r>
        <w:rPr>
          <w:rStyle w:val="FootnoteAnchor"/>
          <w:rtl w:val="true"/>
        </w:rPr>
        <w:footnoteReference w:id="802"/>
      </w:r>
      <w:r>
        <w:rPr>
          <w:rFonts w:ascii="Amiri" w:hAnsi="Amiri" w:eastAsia="Amiri" w:cs="Amiri"/>
          <w:color w:val="111111"/>
          <w:sz w:val="28"/>
          <w:sz w:val="28"/>
          <w:szCs w:val="28"/>
          <w:rtl w:val="true"/>
          <w:lang w:bidi="ar-SA"/>
        </w:rPr>
        <w:t>وتبعهما غيرهما</w:t>
      </w:r>
      <w:r>
        <w:rPr>
          <w:rStyle w:val="FootnoteAnchor"/>
          <w:rtl w:val="true"/>
        </w:rPr>
        <w:footnoteReference w:id="80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بالشُّغل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وببدليّة الخُمس عن الزكاة المعتبر فيها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مرسل حمّاد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بينهم على الكتاب والسُنّة، ما يستغنون به في سَنَتهم، فإنْ فَضُل عنهم شيءٌ فهو للوالي، فإنْ عجز أو نَقَص عن استغنائهم، كان على الوالي أنْ يُنفق من عنده ما يستغنون به، وإنّما صار عليه أن يموّنهم لأنّ له ما فَضُل عنهم</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مرفوع أحمد بن محمّد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يُعطيهم على قدر كفايتهم، فإنْ فَضُل شيءٌ فهو له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الطفل إذا كان له أبٌ ذو مال، لم يستحقّ شيئاً، فإذا كان المال له كان أولى بالحرمان، إذ وجود المال له أنفع من وجود الاب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غير الخبرين ما لا يخفى‌، إذ لا يُعتمد على شيءٍ ممّا ذُكر في مقابل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بنينا على عدم العمل بهما فيما هما صريحان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الاقتصار على قدر الكفاية، وأنّه لو فَضُل منه شيءٌ كان للإمام، ولو أعوز أتمَّ من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فالإستدلال بهما تامّ‌، وبهما تُرفع اليد عن ظهور الآية الشريفة في عدم اعتبار الفقر في اليتيم، من جهة عَدّه قِسْماً برأسه، وتُحمل الآية على أنّ المقابلة بينهما إنّما تكون في البلوغ وعدمه مع فقد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الرّيان بن الصلت، عن الرضا عليه السلام، في حديثٍ طويل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اَلْيَتامى وَ اَلْمَساكِينِ‌ </w:t>
      </w:r>
      <w:r>
        <w:rPr>
          <w:rStyle w:val="FootnoteAnchor"/>
          <w:rtl w:val="true"/>
        </w:rPr>
        <w:footnoteReference w:id="806"/>
      </w:r>
      <w:r>
        <w:rPr>
          <w:rFonts w:ascii="Amiri" w:hAnsi="Amiri" w:eastAsia="Amiri" w:cs="Amiri"/>
          <w:color w:val="111111"/>
          <w:sz w:val="28"/>
          <w:sz w:val="28"/>
          <w:szCs w:val="28"/>
          <w:rtl w:val="true"/>
          <w:lang w:bidi="ar-SA"/>
        </w:rPr>
        <w:t>فإنّ اليتيم إذا انقطع يُتمه، خرج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الغنائم، ولم يكن له فيها نصيبٌ‌، وكذلك المسكين إذا انقطعت مسكنته، لم يكن له نصيبٌ من الغُنم، ولا يحلّ له أخذه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الصريح في عدم اعتبار الفقر، فلأشهريّة المُرسَل عنه يُطرح ويقدّم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يُجمع بينهما بالالتزام بجواز أخذه لمعاشه بقدر كفايته، وإنْ كان له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مع أنّه يأباه قوله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للفقراء قرابة الرسول صلى الله عليه و آله نصفُ الخُمس، فأغناهم به عن صدقات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الأحوط لو لم يكن أظهر اعتبار الفقر فيه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61" w:name="pg11804_116691"/>
    </w:p>
    <w:p>
      <w:pPr>
        <w:pStyle w:val="BookText"/>
        <w:rPr/>
      </w:pPr>
      <w:bookmarkEnd w:id="261"/>
      <w:r>
        <w:rPr>
          <w:rFonts w:ascii="Amiri" w:hAnsi="Amiri" w:eastAsia="Amiri" w:cs="Amiri"/>
          <w:color w:val="111111"/>
          <w:sz w:val="28"/>
          <w:sz w:val="28"/>
          <w:szCs w:val="28"/>
          <w:rtl w:val="true"/>
          <w:lang w:bidi="ar-SA"/>
        </w:rPr>
        <w:t>ابن السبيل لا يعتبر فيه الفقر</w:t>
      </w:r>
    </w:p>
    <w:p>
      <w:pPr>
        <w:pStyle w:val="Heading3"/>
        <w:numPr>
          <w:ilvl w:val="2"/>
          <w:numId w:val="1"/>
        </w:numPr>
        <w:rPr/>
      </w:pPr>
      <w:bookmarkStart w:id="262" w:name="__RefHeading___Toc10579844_73709187"/>
      <w:bookmarkStart w:id="263" w:name="_Toc88"/>
      <w:bookmarkEnd w:id="262"/>
      <w:r>
        <w:rPr>
          <w:rtl w:val="true"/>
        </w:rPr>
        <w:t>ابن السبيل لا يعتبر فيه الفقر</w:t>
      </w:r>
      <w:bookmarkEnd w:id="26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ولا إشكال في عدم اعتبار الفقر في ابن السَّبيل،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تعتبر الحاجة في بلد التسليم كما هو المشهور؟</w:t>
      </w:r>
    </w:p>
    <w:p>
      <w:pPr>
        <w:pStyle w:val="BookText"/>
        <w:rPr/>
      </w:pPr>
      <w:r>
        <w:rPr>
          <w:rFonts w:ascii="Amiri" w:hAnsi="Amiri" w:eastAsia="Amiri" w:cs="Amiri"/>
          <w:color w:val="111111"/>
          <w:sz w:val="28"/>
          <w:sz w:val="28"/>
          <w:szCs w:val="28"/>
          <w:rtl w:val="true"/>
          <w:lang w:bidi="ar-SA"/>
        </w:rPr>
        <w:t>أم لا كما عن الحِلّي</w:t>
      </w:r>
      <w:r>
        <w:rPr>
          <w:rStyle w:val="FootnoteAnchor"/>
          <w:rtl w:val="true"/>
        </w:rPr>
        <w:footnoteReference w:id="8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وجهان، والأظهر هو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لظهور المرسلين</w:t>
      </w:r>
      <w:r>
        <w:rPr>
          <w:rStyle w:val="FootnoteAnchor"/>
          <w:rtl w:val="true"/>
        </w:rPr>
        <w:footnoteReference w:id="810"/>
      </w:r>
      <w:r>
        <w:rPr>
          <w:rFonts w:ascii="Amiri" w:hAnsi="Amiri" w:eastAsia="Amiri" w:cs="Amiri"/>
          <w:color w:val="111111"/>
          <w:sz w:val="28"/>
          <w:sz w:val="28"/>
          <w:szCs w:val="28"/>
          <w:rtl w:val="true"/>
          <w:lang w:bidi="ar-SA"/>
        </w:rPr>
        <w:t xml:space="preserve">المتقدّمين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أوّلهما مواضع للدلالة على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المتبادر من إطلاق ابن السبيل، إرادة المسافر المحتاج، فلا يُقال لأرباب المُكنة في اسفارهم أبناء السبيل، ويؤيّده ما ورد في تفسير ابن السبيل وهو خبر علي بن إبراهيم، عن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السبيل أبناءُ الطريق الذين يكونون في الأسفار في طاعة اللّه، فيقطع عليهم، ويذهب مالهم، فعلى الإمام أن يردّهم إلى أوطانهم من مال الصدقات</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فالأقوى اعتبارها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يعمّ الحكم ما لو كان سفره في معصية‌؟ أم يعتبر أنْ لا يكون فيها؟ </w:t>
      </w:r>
    </w:p>
    <w:p>
      <w:pPr>
        <w:pStyle w:val="BookText"/>
        <w:rPr/>
      </w:pPr>
      <w:r>
        <w:rPr>
          <w:rFonts w:ascii="Amiri" w:hAnsi="Amiri" w:eastAsia="Amiri" w:cs="Amiri"/>
          <w:color w:val="111111"/>
          <w:sz w:val="28"/>
          <w:sz w:val="28"/>
          <w:szCs w:val="28"/>
          <w:rtl w:val="true"/>
          <w:lang w:bidi="ar-SA"/>
        </w:rPr>
        <w:t>وجهان، مقتضى إطلاق الأدلّة كالفتاوى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القُمّي، فظاهره اعتبار كونه في طاعة اللّه تعالى‌، ولكن الإجماع على خلافه، ولإرساله، ولإحتمال كونه تفسيراً لخصوص ابن السبيل، المستحقّ للزكاة، الذي هو مورده لا مطلقه، لا يُعتمد عليه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اعتباره</w:t>
      </w:r>
      <w:r>
        <w:rPr>
          <w:rFonts w:eastAsia="Amiri" w:cs="Amiri" w:ascii="Amiri" w:hAnsi="Amiri"/>
          <w:color w:val="111111"/>
          <w:sz w:val="28"/>
          <w:szCs w:val="28"/>
          <w:rtl w:val="true"/>
          <w:lang w:bidi="ar-SA"/>
        </w:rPr>
        <w:t>.</w:t>
      </w:r>
      <w:bookmarkStart w:id="264" w:name="pg11804_116693"/>
    </w:p>
    <w:p>
      <w:pPr>
        <w:pStyle w:val="BookText"/>
        <w:rPr/>
      </w:pPr>
      <w:bookmarkEnd w:id="264"/>
      <w:r>
        <w:rPr>
          <w:rFonts w:ascii="Amiri" w:hAnsi="Amiri" w:eastAsia="Amiri" w:cs="Amiri"/>
          <w:color w:val="111111"/>
          <w:sz w:val="28"/>
          <w:sz w:val="28"/>
          <w:szCs w:val="28"/>
          <w:rtl w:val="true"/>
          <w:lang w:bidi="ar-SA"/>
        </w:rPr>
        <w:t>عدم اعتبار العدالة في مستحقّ الخُمس</w:t>
      </w:r>
    </w:p>
    <w:p>
      <w:pPr>
        <w:pStyle w:val="Heading3"/>
        <w:numPr>
          <w:ilvl w:val="2"/>
          <w:numId w:val="1"/>
        </w:numPr>
        <w:rPr/>
      </w:pPr>
      <w:bookmarkStart w:id="265" w:name="__RefHeading___Toc10579846_73709187"/>
      <w:bookmarkStart w:id="266" w:name="_Toc89"/>
      <w:bookmarkEnd w:id="265"/>
      <w:r>
        <w:rPr>
          <w:rtl w:val="true"/>
        </w:rPr>
        <w:t>عدم اعتبار العدالة في مستحقّ الخُمس</w:t>
      </w:r>
      <w:bookmarkEnd w:id="266"/>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باعتبار اُمورٍ في مستحقّ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ذلك إلى السيّد المرتضى رحمه الله</w:t>
      </w:r>
      <w:r>
        <w:rPr>
          <w:rStyle w:val="FootnoteAnchor"/>
          <w:rtl w:val="true"/>
        </w:rPr>
        <w:footnoteReference w:id="813"/>
      </w:r>
      <w:r>
        <w:rPr>
          <w:rFonts w:ascii="Amiri" w:hAnsi="Amiri" w:eastAsia="Amiri" w:cs="Amiri"/>
          <w:color w:val="111111"/>
          <w:sz w:val="28"/>
          <w:sz w:val="28"/>
          <w:szCs w:val="28"/>
          <w:rtl w:val="true"/>
          <w:lang w:bidi="ar-SA"/>
        </w:rPr>
        <w:t>، والأظهر عدم اعتبارها،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الأصحاب لا أعلم فيه مخالفاً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لإعتبارها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اعتبارها في الزكاة، وقد دلّ الدليل على بدليّة الخُمس عن الزكاة وعوضيّته عنها، بل قيل</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زكاة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منع اعتبارها في الزكاة كما مرّ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عموم البدليّة، كي يَشمل إطلاقه مثل هذا الشرط، وكونه زكاةً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مرتكباً للكبائر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ورد في الزكاة من أنّها لا تُعطى لشارب الخمر والزاني</w:t>
      </w:r>
      <w:r>
        <w:rPr>
          <w:rStyle w:val="FootnoteAnchor"/>
          <w:rtl w:val="true"/>
        </w:rPr>
        <w:footnoteReference w:id="816"/>
      </w:r>
      <w:r>
        <w:rPr>
          <w:rFonts w:ascii="Amiri" w:hAnsi="Amiri" w:eastAsia="Amiri" w:cs="Amiri"/>
          <w:color w:val="111111"/>
          <w:sz w:val="28"/>
          <w:sz w:val="28"/>
          <w:szCs w:val="28"/>
          <w:rtl w:val="true"/>
          <w:lang w:bidi="ar-SA"/>
        </w:rPr>
        <w:t>، بتقريب أنّه بعد إلغاء الخصوصيّة، يثبت ذلك في الزكاة، وبضميمة عموم البدليّة، يثبت في المقام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غير مؤمنٍ لا يستحقّ الكرامة والمودّة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الأخير قد مرّ ما فيه في مسألة اعتبار الإيمان فيه، والأوّل يبتني على التعدّي من شُرب الخمر والزِّنا إلى سائر الكبائر، وثبوت عموم البدليّة، وكلاهما غير ثابتين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متجاهراً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 الفاسق إذا تجاهر بفسقه لا حُرمة له ولا غيبة</w:t>
      </w:r>
      <w:r>
        <w:rPr>
          <w:rStyle w:val="FootnoteAnchor"/>
          <w:rtl w:val="true"/>
        </w:rPr>
        <w:footnoteReference w:id="817"/>
      </w:r>
      <w:r>
        <w:rPr>
          <w:rFonts w:ascii="Amiri" w:hAnsi="Amiri" w:eastAsia="Amiri" w:cs="Amiri"/>
          <w:color w:val="111111"/>
          <w:sz w:val="28"/>
          <w:sz w:val="28"/>
          <w:szCs w:val="28"/>
          <w:rtl w:val="true"/>
          <w:lang w:bidi="ar-SA"/>
        </w:rPr>
        <w:t>، إذ مقتضى إطلاق عدم الحرمة له، عدم إعطائه الخُمس الذي يعدّ تكريماً له كما هو المستفاد من النصوص</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ثبوت الإطلاق له، كما هو الُمحرّر في محلّه من مبحث الغيبة</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كرامة لرسول اللّه صلى الله عليه و آله، أي يُدفع إلى من انتَسب إليه كرامةً له صلى الله عليه و آله لا لشخص القابض، مع أنّ ذلك من قبيل حِكمة التشريع دون العلّة التي يدور الحكم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الدفع 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اعتبره جماعةٌ‌</w:t>
      </w:r>
      <w:r>
        <w:rPr>
          <w:rStyle w:val="FootnoteAnchor"/>
          <w:rtl w:val="true"/>
        </w:rPr>
        <w:footnoteReference w:id="820"/>
      </w:r>
      <w:r>
        <w:rPr>
          <w:rFonts w:ascii="Amiri" w:hAnsi="Amiri" w:eastAsia="Amiri" w:cs="Amiri"/>
          <w:color w:val="111111"/>
          <w:sz w:val="28"/>
          <w:sz w:val="28"/>
          <w:szCs w:val="28"/>
          <w:rtl w:val="true"/>
          <w:lang w:bidi="ar-SA"/>
        </w:rPr>
        <w:t>، واستدلّ له بما دلّ على حرمة الإعانة على الإثم، والإغراء بالقبيح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بنصّ الآية الكريمة هو التعاون على الإثم</w:t>
      </w:r>
      <w:r>
        <w:rPr>
          <w:rStyle w:val="FootnoteAnchor"/>
          <w:rtl w:val="true"/>
        </w:rPr>
        <w:footnoteReference w:id="821"/>
      </w:r>
      <w:r>
        <w:rPr>
          <w:rFonts w:ascii="Amiri" w:hAnsi="Amiri" w:eastAsia="Amiri" w:cs="Amiri"/>
          <w:color w:val="111111"/>
          <w:sz w:val="28"/>
          <w:sz w:val="28"/>
          <w:szCs w:val="28"/>
          <w:rtl w:val="true"/>
          <w:lang w:bidi="ar-SA"/>
        </w:rPr>
        <w:t>، وكلمة التعاون من باب التفاعل، وهي عبارةٌ عن اجتماع عدّة أشخاص لإيجاد أمر، ليكون ذلك صادراً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جميعهم، كأن يجتمعوا على قتل نفس محترمة فيقتلوها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الإعانة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باب الإفعال، وهي عبارة عن إيجاد مقدّمة فعل الغير، مع استقلال ذلك الغير في صدور الإثم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حُرمتها، لا سيّما مع عدم كون المقدّمة من المقدّمات الفاعليّة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الإغراء مع عدم البعث نحو المعصية، وعدم التحريض إليها محلّ تأمّل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بعدم الجواز تكليفاً إذا كان المنع رادعاً عن ارتكاب الحرام لوجوب النهي عن المنكر، إذ المستفاد من دليله لزوم الحيلولة بين المنكر ومن يريد فعله، من دون فرق بين الحدوث والبقاء، والفرق بينه وبين ما قبله أنّ في المقام تتحقّق الحيلولة بترك الإعطاء، بخلاف ترك الإعطاء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يوجب عدم استحقاقه للخُمس، فإنّ عدم جواز الإعطاء لعنوانٍ آخر، لا يوجب سلب استحقاقه، فلو دفع إليه تبرأ الذّمة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شيء من ذلك، وأنّه لا يجوز الدفع في الفرض الأخير</w:t>
      </w:r>
      <w:r>
        <w:rPr>
          <w:rFonts w:eastAsia="Amiri" w:cs="Amiri" w:ascii="Amiri" w:hAnsi="Amiri"/>
          <w:color w:val="111111"/>
          <w:sz w:val="28"/>
          <w:szCs w:val="28"/>
          <w:rtl w:val="true"/>
          <w:lang w:bidi="ar-SA"/>
        </w:rPr>
        <w:t>.</w:t>
      </w:r>
      <w:bookmarkStart w:id="267" w:name="pg11804_116696"/>
    </w:p>
    <w:p>
      <w:pPr>
        <w:pStyle w:val="BookText"/>
        <w:rPr/>
      </w:pPr>
      <w:bookmarkEnd w:id="267"/>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Heading3"/>
        <w:numPr>
          <w:ilvl w:val="2"/>
          <w:numId w:val="1"/>
        </w:numPr>
        <w:rPr/>
      </w:pPr>
      <w:bookmarkStart w:id="268" w:name="__RefHeading___Toc10579848_73709187"/>
      <w:bookmarkStart w:id="269" w:name="_Toc90"/>
      <w:bookmarkEnd w:id="268"/>
      <w:r>
        <w:rPr>
          <w:rtl w:val="true"/>
        </w:rPr>
        <w:t>خاتمةٌ في الأنفال</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جمعُ نفل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وسكونها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اللّغة بمعنى الزائد على الأصل، كما عن الأزهري</w:t>
      </w:r>
      <w:r>
        <w:rPr>
          <w:rStyle w:val="FootnoteAnchor"/>
          <w:rtl w:val="true"/>
        </w:rPr>
        <w:footnoteReference w:id="822"/>
      </w:r>
      <w:r>
        <w:rPr>
          <w:rFonts w:ascii="Amiri" w:hAnsi="Amiri" w:eastAsia="Amiri" w:cs="Amiri"/>
          <w:color w:val="111111"/>
          <w:sz w:val="28"/>
          <w:sz w:val="28"/>
          <w:szCs w:val="28"/>
          <w:rtl w:val="true"/>
          <w:lang w:bidi="ar-SA"/>
        </w:rPr>
        <w:t>وغيره</w:t>
      </w:r>
      <w:r>
        <w:rPr>
          <w:rStyle w:val="FootnoteAnchor"/>
          <w:rtl w:val="true"/>
        </w:rPr>
        <w:footnoteReference w:id="823"/>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w:t>
      </w:r>
      <w:r>
        <w:rPr>
          <w:rStyle w:val="FootnoteAnchor"/>
          <w:rtl w:val="true"/>
        </w:rPr>
        <w:footnoteReference w:id="824"/>
      </w:r>
      <w:r>
        <w:rPr>
          <w:rFonts w:ascii="Amiri" w:hAnsi="Amiri" w:eastAsia="Amiri" w:cs="Amiri"/>
          <w:color w:val="111111"/>
          <w:sz w:val="28"/>
          <w:sz w:val="28"/>
          <w:szCs w:val="28"/>
          <w:rtl w:val="true"/>
          <w:lang w:bidi="ar-SA"/>
        </w:rPr>
        <w:t>أي زيادةً على ما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سُمّيت الغنائم بذلك، لأنّ المسلمين فضّلوا بها على سائر الأُمم الذين لم تَحلّ لهم الغنائم،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826"/>
      </w:r>
      <w:r>
        <w:rPr>
          <w:rFonts w:ascii="Amiri" w:hAnsi="Amiri" w:eastAsia="Amiri" w:cs="Amiri"/>
          <w:color w:val="111111"/>
          <w:sz w:val="28"/>
          <w:sz w:val="28"/>
          <w:szCs w:val="28"/>
          <w:rtl w:val="true"/>
          <w:lang w:bidi="ar-SA"/>
        </w:rPr>
        <w:t>من أنّ النفل هو الغنيمة، إنّما يكون من قبيل اشتباه المفهوم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بالأنفال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 الرسول صلى الله عليه و آله بنصّ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اَلْأَنْفالِ قُلِ اَلْأَنْفالُ لِلّهِ وَ اَلرَّسُولِ‌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تكون للإمام بعد النبيّ صلى الله عليه و آله للنصوص الكثيرة، لاحظ صحيح حفص بن البُختري،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ما لم يُوجَف عليه بخيلٍ ولا ركابٍ‌، أو قومٌ صالحوا، أو قومٌ أعطوا بأيديهم، وكلّ أرضٍ خربةٍ‌، وبطون الأودية، فهو لرسول اللّه صلى الله عليه و آله، وهو للإمام عليه السلام من بعده يضعه حيث يشاء</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غيره من النصوص الكثيرة الآتية جملة منها، وقد ورد التصريح في بعضها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للنّاس فيها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محمّد بن مسلم،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يَهلكُ أهلها، أو يجلون عنها، فهي نفلٌ للّه عزّ وجلّ‌، نصفها يقسّم بين الناس، ونصفها لرسول اللّه، فما كان لرسول اللّه صلى الله عليه و آله فهو للإمام</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حريز</w:t>
      </w:r>
      <w:r>
        <w:rPr>
          <w:rStyle w:val="FootnoteAnchor"/>
          <w:rtl w:val="true"/>
        </w:rPr>
        <w:footnoteReference w:id="830"/>
      </w:r>
      <w:r>
        <w:rPr>
          <w:rFonts w:ascii="Amiri" w:hAnsi="Amiri" w:eastAsia="Amiri" w:cs="Amiri"/>
          <w:color w:val="111111"/>
          <w:sz w:val="28"/>
          <w:sz w:val="28"/>
          <w:szCs w:val="28"/>
          <w:rtl w:val="true"/>
          <w:lang w:bidi="ar-SA"/>
        </w:rPr>
        <w:t>، في الدلالة على أنّ نصف الأنفال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فلضعف سنده بإسماعيل بن سهل، ومخالفته لما هو المشهور، بل المتفق عليه بين الأصحاب، ولموافقته العامّة، ولمعارضته مع النصوص المتواترة، لابدّ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ملكيّة الإمام، إنّما هو ملكيّة منصب الإمامة، لا شخص الإمام، وقد يُعبّر عنه بملكيّة الدولة، فإنّ جعل شيء للإمام بما هو إمامٌ وزعيمٌ للاُمّة وقائدها، إنّما هو لأجل أن يصرفه في مصالح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من الضروري، ولا ينتقل إلى ورثة الإمام، وأنّه بموته ينتقل إلى الإمام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أنّها للرسول ومن بعده للإمام، فإنّها تدلّ على أنّ ذلك لمنصب الرسالة والإمامة، أضف إلي ذلك مناسبة الحكم والموضوع، وسيأتي الكلام في حكمها في زمان الغيبة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70" w:name="pg11804_116698"/>
    </w:p>
    <w:p>
      <w:pPr>
        <w:pStyle w:val="BookText"/>
        <w:rPr/>
      </w:pPr>
      <w:bookmarkEnd w:id="270"/>
      <w:r>
        <w:rPr>
          <w:rFonts w:ascii="Amiri" w:hAnsi="Amiri" w:eastAsia="Amiri" w:cs="Amiri"/>
          <w:color w:val="111111"/>
          <w:sz w:val="28"/>
          <w:sz w:val="28"/>
          <w:szCs w:val="28"/>
          <w:rtl w:val="true"/>
          <w:lang w:bidi="ar-SA"/>
        </w:rPr>
        <w:t>كلُّ أرضٍ خَربةٍ بادَ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الأصحاب الأنفال في اُمور،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الأنفال الأرض الخربة</w:t>
      </w:r>
    </w:p>
    <w:p>
      <w:pPr>
        <w:pStyle w:val="Heading3"/>
        <w:numPr>
          <w:ilvl w:val="2"/>
          <w:numId w:val="1"/>
        </w:numPr>
        <w:rPr/>
      </w:pPr>
      <w:bookmarkStart w:id="271" w:name="__RefHeading___Toc10579850_73709187"/>
      <w:bookmarkStart w:id="272" w:name="_Toc91"/>
      <w:bookmarkEnd w:id="271"/>
      <w:r>
        <w:rPr>
          <w:rtl w:val="true"/>
        </w:rPr>
        <w:t>من الأنفال الأرض الخربة</w:t>
      </w:r>
      <w:bookmarkEnd w:id="27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 بادَ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الأرض الخربة من الأنفال في الجملة ممّا طفحت كلماتهم به،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3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وفاق، ونحو ذلك عن غيرها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المصنّف، بقرينة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هو ما إذا كانت الأرض مسبوقة بالعمران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يكون موتُ مالكها، ولو كان له وارثٌ مجهول أو معلوم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المراد موتُ أهلها وانقراضهم بتاتاً، بحيث تصبح الأرض ممّا لا مالك لها، وإلى هذا نظر الشيخ الأعظم</w:t>
      </w:r>
      <w:r>
        <w:rPr>
          <w:rStyle w:val="FootnoteAnchor"/>
          <w:rtl w:val="true"/>
        </w:rPr>
        <w:footnoteReference w:id="83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للإحتراز عمّا له مالكٌ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 حمّاد بن عيسى‌، الذي هو كالصحيح لكون المُرسِل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العبد الصالح عليه السلام،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والأنفال كلّ أرضٍ خَربةٍ بادَ أهلها، وكلّ أرضٍ لم يوجَف عليها بخيلٍ ولا ركاب، ولكن صالحوا عليه صُلحاً، وأعطوا بأيديهم على 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الأرضين باد أهلها، الحديث</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والآجام، وكلّ أرضٍ لا ربّ لها، وكلّ أرضٍ باد أهلها فهو لنا</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لكونها من الأنفال بالمعنى الثاني، الذي هو الظاهر، وفهمه منه الأصحاب، جملة من النصوص الآتية المتضمّنة، أنّ كلّ أرضٍ لا ربّ لها من الأنفال، فإنّ الأرض المزبورة باعتبار أنّها باد أهلها أصبحت ممّا لا 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ما دلّ من النصوص أنّ من لا وارث له فماله من الأنفال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موثّق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73" w:name="pg11804_116700"/>
    </w:p>
    <w:p>
      <w:pPr>
        <w:pStyle w:val="BookText"/>
        <w:rPr/>
      </w:pPr>
      <w:bookmarkEnd w:id="27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وارثٌ من قرابته، ولا مولى عتاقه قد ضَمِن جريرته، فماله من الأنفال</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الأنفال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وارثه مجهولاً فهو مجهولُ المالك، ويعود أمره إلى الإمام عليه السلام، وإن كان معلوماً فسيأتي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الخربة التي انجلى أهلها</w:t>
      </w:r>
    </w:p>
    <w:p>
      <w:pPr>
        <w:pStyle w:val="Heading3"/>
        <w:numPr>
          <w:ilvl w:val="2"/>
          <w:numId w:val="1"/>
        </w:numPr>
        <w:rPr/>
      </w:pPr>
      <w:bookmarkStart w:id="274" w:name="__RefHeading___Toc10579852_73709187"/>
      <w:bookmarkStart w:id="275" w:name="_Toc92"/>
      <w:bookmarkEnd w:id="274"/>
      <w:r>
        <w:rPr>
          <w:rtl w:val="true"/>
        </w:rPr>
        <w:t>الأرض الخربة التي انجلى أهلها</w:t>
      </w:r>
      <w:bookmarkEnd w:id="275"/>
    </w:p>
    <w:p>
      <w:pPr>
        <w:pStyle w:val="BookText"/>
        <w:rPr/>
      </w:pPr>
      <w:r>
        <w:rPr>
          <w:rFonts w:ascii="Amiri" w:hAnsi="Amiri" w:eastAsia="Amiri" w:cs="Amiri"/>
          <w:color w:val="111111"/>
          <w:sz w:val="28"/>
          <w:sz w:val="28"/>
          <w:szCs w:val="28"/>
          <w:rtl w:val="true"/>
          <w:lang w:bidi="ar-SA"/>
        </w:rPr>
        <w:t>ثمّ أنّ المصرّح به في جملةٍ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الخربة التي انجلى أهلها تعدّ من جملة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المتضمّنة لكون الأرض الخربة من الأنفال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كلّ أرضٍ خربة تكون منها أو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حفص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الأنفال ما كان من أرضٍ لم يكن فيها هراقة دمٍ‌، أو قوم صالحوا وأعطوا بأيديهم، وما كان من أرضٍ خربة، أو بطون أودية فهذا كلّه من ألفي والأنفال للّه وللرسول، الحديث</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الأنفال‌؟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فهو خالص للإمام، وليس للناس فيه 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البحرين لم يوجَفُ عليها بخيلٍ ولا ركاب</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الأرض الخربة التي انجلى أهلها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موثّق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وانجلى أهلها، فهي للّه وللرسول، وما كان للملوك فهو للإمام، وما كان من الأرض الخربة لم يوجَف عليه بخيل ولا ركاب، الحديث</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داود بن فرقد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الموثّق القرية، وهي غير الأرض الخَربة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الأرض الخربة المسبوقة بالعمران لا محالة كانت في يومٍ من الأيّام قرية أو مزرعة أو ما شاكل، مع أنّ مورد خبر داود هو الأرض، ولا يختصّ الموثّق بأرض الكفّار، بل مقتضى إطلاقه ثبوت الحكم لأرض المسلمين لو انجلى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الأرض الخربة الّتي لم يوجَف عليها بخيلٍ ولا ركاب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إسحاق المتقدّم آنفاً، والظاهر اختصاص ذلك بالمحاربين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الطائفتين الأخيرتين، فإنّ كلّاً منهما متضمّنة لقيدٍ غير ما تضمّنته الاُخرى‌، فمفاد الطائفتين أنّ كلّ أرضٍ خربة انجلى أهلها وبادوا أو أعرضوا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عنها، أو لم يتمكّنوا من الإعاشة فيها، أو تركوها خوفاً من سيطرة المسلمين عليها، أو استولى عليها المسلمون بغير قتال، فهي من الأنفال، وقد جمع بين القيدين في خبر داود بن فرقد، ولكنّهما تُنافيان الطائفة الأُولى الدالّة على أنّ الأرض الخربة مطلقاً من الأنفال والنسبة بينهما هي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الظاهر ورود النصوص في مقام الحصر والتحديد، فلذا يُحمل المطلق على المقيّد، وإن كانا متوافقين، فيختصّ الحكم بالأرض الخَربة التي لم يوجف عليها بخيلٍ ولا ركاب، والخَربة التي انجلى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الأرض التي جلا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تكون للمُسلم أو المعاهد المحترم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تكون للكافر المحارب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ومنشأ جلاء الأرض على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يكون هو الإعراض عنها نهائيّاً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لعدم التمكّن من الإعاشة فيها لخرابٍ أو قحطٍ وجدبٍ‌، وغير ذلك من أسباب ترك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انجلوا عنها خوفاً من سيطرة المسلمين عليها، وقد يكون تسليمهم الأرض تسليما ابتدائيا، وقد يكون غير ذلك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 النصوص، كون الأرض الخربة التي انجلى أهلها عنها، تعدّ من الأنفال مطلقاً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المقام طائفة من النصوص تخصّص هذه بأرض الكفّار، كما أنّ ظاهر الأصحاب اختصاص هذا العنوان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w:t>
      </w:r>
      <w:r>
        <w:rPr>
          <w:rStyle w:val="FootnoteAnchor"/>
          <w:rtl w:val="true"/>
        </w:rPr>
        <w:footnoteReference w:id="846"/>
      </w:r>
      <w:r>
        <w:rPr>
          <w:rFonts w:ascii="Amiri" w:hAnsi="Amiri" w:eastAsia="Amiri" w:cs="Amiri"/>
          <w:color w:val="111111"/>
          <w:sz w:val="28"/>
          <w:sz w:val="28"/>
          <w:szCs w:val="28"/>
          <w:rtl w:val="true"/>
          <w:lang w:bidi="ar-SA"/>
        </w:rPr>
        <w:t>؟ وهي كلّ أرضٍ جلا أهلها من غير أن يُحمل عليها بخيلٍ ولا رجالٍ ولا ركابٍ‌، فهي نفلٌ للّه وللرسول</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الأصحاب من التقييد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مقام التحديد والحصر، اختصاص جلاء الأرض بهذا المورد، أي جلائهم فراراً عن هجوم المسلمين، وعليه فيختصّ ذلك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بين الطائفتين وإن هي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هذه للمعمورة، واختصاص تلك بالخربة، واختصاص هذه بأرض الكفّار، وعموم تلك لأرض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قد تقدّم هذه الأظهريّة، أو لأنّه على فرض عدم الأظهريّة تُقدّم للشهرة التي هي أولى المرجّحات، بناءً على الرجوع إلى أخبار الترجيح في تعارض العامّين من وجه، أو لعموم ما دلّ على عدم خروج المال عن ملك صاحبه بدون سببٍ مزيل، بناءً على القول بالتساقط والرجوع إلى العام الفوق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الخربة التي انجلى أهلها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يعرضوا عنها، بل حتّى وإن أعرضوا عنها على ما هو الحقّ‌، من أنّ الإعراض لا يوجب خروج المال عن ملك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الأنفال، وأنّه لو كان لها ربٌّ معروف، تبقى الأرض لمالكها كما هو المشهور بين الأصحاب، بل لا خلاف فيه</w:t>
      </w:r>
      <w:r>
        <w:rPr>
          <w:rStyle w:val="FootnoteAnchor"/>
          <w:rtl w:val="true"/>
        </w:rPr>
        <w:footnoteReference w:id="848"/>
      </w:r>
      <w:r>
        <w:rPr>
          <w:rFonts w:ascii="Amiri" w:hAnsi="Amiri" w:eastAsia="Amiri" w:cs="Amiri"/>
          <w:color w:val="111111"/>
          <w:sz w:val="28"/>
          <w:sz w:val="28"/>
          <w:szCs w:val="28"/>
          <w:rtl w:val="true"/>
          <w:lang w:bidi="ar-SA"/>
        </w:rPr>
        <w:t xml:space="preserve">، 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bookmarkStart w:id="276" w:name="pg11804_116704"/>
    </w:p>
    <w:p>
      <w:pPr>
        <w:pStyle w:val="BookText"/>
        <w:rPr/>
      </w:pPr>
      <w:bookmarkEnd w:id="276"/>
      <w:r>
        <w:rPr>
          <w:rFonts w:ascii="Amiri" w:hAnsi="Amiri" w:eastAsia="Amiri" w:cs="Amiri"/>
          <w:color w:val="111111"/>
          <w:sz w:val="28"/>
          <w:sz w:val="28"/>
          <w:szCs w:val="28"/>
          <w:rtl w:val="true"/>
          <w:lang w:bidi="ar-SA"/>
        </w:rPr>
        <w:t>ويمكن أن يستدلّ له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بما باد أهلها، بناءً على ما عرفت من ظهوره في انقراض الأهل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تقييد وتوصيف الأرض التي من الأنفال بالّتي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 إسحاق المتقدّم، حيث عرفت أنّ الظاهر من القيد المذكور في أمثال المقام كونه لبيان التحديد والحصر، فتقيّد به النصوص، وتختصّ نصوصُ جلاء الأهل بما إذا لم يكن للأرض ربٌّ‌،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الأرض الخربة التي لا تكون من الأنفال</w:t>
      </w:r>
    </w:p>
    <w:p>
      <w:pPr>
        <w:pStyle w:val="Heading3"/>
        <w:numPr>
          <w:ilvl w:val="2"/>
          <w:numId w:val="1"/>
        </w:numPr>
        <w:rPr/>
      </w:pPr>
      <w:bookmarkStart w:id="277" w:name="__RefHeading___Toc10579854_73709187"/>
      <w:bookmarkStart w:id="278" w:name="_Toc93"/>
      <w:bookmarkEnd w:id="277"/>
      <w:r>
        <w:rPr>
          <w:rtl w:val="true"/>
        </w:rPr>
        <w:t>حكم الأرض الخربة التي لا تكون من الأنفال</w:t>
      </w:r>
      <w:bookmarkEnd w:id="27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ذكرناه أنّ الإمام عليه السلام يملك الأرض الخربة التي انجلى عنها أهلها وبادوا، وأمّا ما كان لها ربٌّ معروفٌ‌، فليس من أملاكه ولا يعدّ من الأنفال، ولذا قيّد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الأرض من الأنفال، بما باد أهلها، أو لم يجر عليها مِلكٌ كالمفاوز وسيوف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هذا التقييد كما صرّح به الشيخ الأعظم</w:t>
      </w:r>
      <w:r>
        <w:rPr>
          <w:rStyle w:val="FootnoteAnchor"/>
          <w:rtl w:val="true"/>
        </w:rPr>
        <w:footnoteReference w:id="851"/>
      </w:r>
      <w:r>
        <w:rPr>
          <w:rFonts w:ascii="Amiri" w:hAnsi="Amiri" w:eastAsia="Amiri" w:cs="Amiri"/>
          <w:color w:val="111111"/>
          <w:sz w:val="28"/>
          <w:sz w:val="28"/>
          <w:szCs w:val="28"/>
          <w:rtl w:val="true"/>
          <w:lang w:bidi="ar-SA"/>
        </w:rPr>
        <w:t>للإحتراز عمّا إذا كان لها مالكٌ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مالك الأرض الخربة، فقد يتركها دون أن يعرض عنها، وقد يتركها مع الإعراض عنها نهائيّاً، فالكلام في مقامين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الإعراض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إشكال في أنّه لغيره إحيائها وتملّكها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لأنّ الإعراض مخرِجٌ للمال عن ملك صاحبه، كما هو المشهور بين الأصحاب، لدليل السلطنة نظراً إلى أنّه يدلّ على سلطنة المالك على مطلق التصرّفات منها سلب الملكيّة عن نفسه كتسلطه على سائر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للارتكاز القطعي القائم لدى العرف والعقلاء، على أنّ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من المباحات بعد إعراض صاحبها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للترخيص الضمني من صاحبها في أيّ تصرّف عليها من غيره حتّى التملّك بالإحياء، وكفاية مثل ذلك في حصول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قد كلت وقامت وسيّبها صاحبها ممّا لم يتبعه، فأخذها غيره، فأقام عليها، وأنفق نفقةً حتّى أحياها من الكلال ومن الموت، فهي له، ولا سبيل له عليها، وإنّما هي مثل الشيء المباح</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مثل الشيء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لنفي السبيل، وهذه تلائم انقطاع علاقة المالك عن ماله بإعراضه وصيرورته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عدم الإعراض، وفيه أقوال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تخرج عن ملك مالكها بالخراب، إن كان سبب الملكيّة الإحياء، وأمّا إذا كان سببها الشراء أو الهبة أو ما شاكل، فلا تنقطع علاقة المالك، لا بالخراب ولا بقيام غيره بإحيائها والاستيلاء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القول هو المشهور بين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 الخلاف فيه، بل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عدم زوال الملك عنها، لو مَلِكها بالشّراء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تخرج بالموت عن ملك مالكها، وتدخل في علاقة من قام بإحيائها وعمّارتها، ذهب إليه جماعةٌ منهم الشهيد الثاني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 وعن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أنّه الأقرب،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أنّه الأوفق بالجمع بين الأخبار، وعن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علاقة المالك لا تنقطع عن الأرض بالخراب، وإنّما تنقطع عنها بعد قيام غيره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جماعةٌ‌</w:t>
      </w:r>
      <w:r>
        <w:rPr>
          <w:rStyle w:val="FootnoteAnchor"/>
          <w:rtl w:val="true"/>
        </w:rPr>
        <w:footnoteReference w:id="85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59"/>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علاقة المالك لا تنقطع عن الأرض حتّى بعد قيام غيره بإحيائها، من غير فرق بين كون سبب الملكيّة الإحياء أو غيره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كان الخراب مستنداً إلى إهمال المالك، بترك العمل عليها وإعمارها فيملكها غيره بالإحياء، وبين ما إذا لم يكن مستنداً إلى ذلك فلا يملكها به، وهو مختارنا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تخرج الأرض بالخراب عن ملك مالكها أم لا؟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عدم الخروج، هل يملك غيره بالإحياء أم لا؟</w:t>
      </w:r>
      <w:bookmarkStart w:id="279" w:name="pg11804_116708"/>
    </w:p>
    <w:p>
      <w:pPr>
        <w:pStyle w:val="BookText"/>
        <w:rPr/>
      </w:pPr>
      <w:bookmarkEnd w:id="279"/>
      <w:r>
        <w:rPr>
          <w:rFonts w:ascii="Amiri" w:hAnsi="Amiri" w:eastAsia="Amiri" w:cs="Amiri"/>
          <w:color w:val="111111"/>
          <w:sz w:val="28"/>
          <w:sz w:val="28"/>
          <w:szCs w:val="28"/>
          <w:rtl w:val="true"/>
          <w:lang w:bidi="ar-SA"/>
        </w:rPr>
        <w:t>عدم خروج الأرض بالخراب عن مِلْك مالكها</w:t>
      </w:r>
    </w:p>
    <w:p>
      <w:pPr>
        <w:pStyle w:val="Heading3"/>
        <w:numPr>
          <w:ilvl w:val="2"/>
          <w:numId w:val="1"/>
        </w:numPr>
        <w:rPr/>
      </w:pPr>
      <w:bookmarkStart w:id="280" w:name="__RefHeading___Toc10579856_73709187"/>
      <w:bookmarkStart w:id="281" w:name="_Toc94"/>
      <w:bookmarkEnd w:id="280"/>
      <w:r>
        <w:rPr>
          <w:rtl w:val="true"/>
        </w:rPr>
        <w:t>عدم خروج الأرض بالخراب عن مِلْك مالكها</w:t>
      </w:r>
      <w:bookmarkEnd w:id="281"/>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للخروج بالخراب عن ملك مالكها الأصلي إمّا مطلقاً، أو فيما إذا كان سبب الملكيّة الإحياء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الأرض أصلها مباحٌ‌، فإذا تركها الأوّل حتّى عادت على ما كانت عليه صارت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قيام الدليل القطعي على أنّ الشيء إذا دخل في ملك شخصٍ يبقى على ملكيّته، ولا يخرج عنها ما لم يتحقّق أحد الأسباب المخرجة للملك، سواءٌ أكان السبب هو الإحياء أو الحيازة أو الشراء أو غيرها، وسواءٌ أكان الشيء أصله مباحاً كما في كثير من الأشياء، أو لم يكن، حيث إنّ كون أصل الشيء مباحاً ليس من تلك الأسباب قطعاً، فلا وجه لخروج الأرض بالخراب عن ملك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كون أصل الأرض مباحاً، لا يوجب صيرورتها مباحةً بعدما دخلت في ملك المحيي، وأمّا خروجها عن ملكه، فقد قام الدليل على أنّ خروج الملك لابدّ وأن يكون بسبب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سبب الملكيّة إذا كان هو الإحياء، فبزواله يزول المسبّب، لعدم بقاء المسبّب بدون السبب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الإحياء بالمعنى المصدري، هو السبب لملكيّة الأرض، وعليه فهو كسائر أسباب الملك كالشراء وما شاكل، يكون سبباً لحدوث الملكيّة، دون أن يكون سبباً لبقائها، ولذا لا شُبهة في بقاء الملكيّة ما دامت الأرض حيّة مع زوال السبب، فالملكيّة الحادثة بالإحياء كالملكيّة الحادثة بغيره، باقية ما لم يوجد أحد </w:t>
      </w:r>
    </w:p>
    <w:p>
      <w:pPr>
        <w:pStyle w:val="BookText"/>
        <w:rPr/>
      </w:pPr>
      <w:r>
        <w:rPr>
          <w:rFonts w:ascii="Amiri" w:hAnsi="Amiri" w:eastAsia="Amiri" w:cs="Amiri"/>
          <w:color w:val="111111"/>
          <w:sz w:val="28"/>
          <w:sz w:val="28"/>
          <w:szCs w:val="28"/>
          <w:rtl w:val="true"/>
          <w:lang w:bidi="ar-SA"/>
        </w:rPr>
        <w:t>الأسباب الُمخرِجة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المملوك هي الأرض الحيّة، فبزوال الحياة تزول الملكيّة لانعدام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الأدلّة، كون ذات الأرض مملوكة بسببٍ‌، لا أنّ الأرض المعنونة بعنوان المحياة 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ما دلّ على أنّ الأرض الخربة للإمام عليه السلام، دالٌّ بالالتزام على خروجها عن ملك مالكها لعدم اجتماع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المذكور في جملةٍ من النصوص كصحيح حفص، وموثّق محمّد بن مسلم، وموثّق سماعة المتقدّمة، أنّ كلّ أرضٍ خربة تعدّ من الأنفال، الشاملة لما له مالكٌ معيّن، إلّاأنّه لابدّ من يقييد إطلاقها بما في النصوص الأُخر من التقييد بالأرض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فالأرض التي لها مالكٌ معيّن معلومٌ‌، تكون خارجة عن تحت إطلاق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بالروايات المتضمّنة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وبصحيحي معاوية بن وهب، وأبي خالد الكابلي الآتيين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أنّها لو تمّت دلالتها، لدلّت على القول بخروج الأرض عن ملك مالكها بالإحياء لا بالخراب، فالمناسب هو البحث فيها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لبقاء الأرض في ملك مالكها بعد الخراب، بوجوهٍ‌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المرتكز الذهني المستفاد من الأدلّة، كون الأرض مملوكة كسائر ما يملكه الإنسان، فكما أنّه في سائر المملوكات يكون الشيء باقياً في ملك </w:t>
      </w:r>
    </w:p>
    <w:p>
      <w:pPr>
        <w:pStyle w:val="BookText"/>
        <w:rPr/>
      </w:pPr>
      <w:r>
        <w:rPr>
          <w:rFonts w:ascii="Amiri" w:hAnsi="Amiri" w:eastAsia="Amiri" w:cs="Amiri"/>
          <w:color w:val="111111"/>
          <w:sz w:val="28"/>
          <w:sz w:val="28"/>
          <w:szCs w:val="28"/>
          <w:rtl w:val="true"/>
          <w:lang w:bidi="ar-SA"/>
        </w:rPr>
        <w:t>مالكه ما لم يتحقّق لها أحد الأسباب الُمخرجة له عن ملكه، فكذلك الأرض، والمدّعي للفرق لابدّ من بيان الوجه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الإستصحاب، فإنّه يقتضي بقاء الأرض في ملكه، وعدم خروجها عنه بطروّ الخراب ولا بإحياء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المقام في الموضوع، بمعنى أنّا نشكّ في أنّ موضوع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الأرض، والحياة شرطٌ خارجٌ عنه ليكون باقياً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الموضوع الأرض المعنونة بأنّها مُحياة، والمقيّدة بالحياة، وتكون الحياة مقوّمة للموضوع، ليكون مرتفعاً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مع الشكّ في بقاء الموضوع لامجال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 عليه بأنّ الشكّ في بقاء الملكيّة في المقام من قبيل الشكّ في المقتضي، للشكّ في أنّ الإحياء هل هو سببٌ للملكيّة حتّى بعد عروض الموت، أم هو سببٌ لها ما دام بقاء الحياة‌؟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ملكيّة الأرض هل لها استعدادٌ للبقاء حتّى بعد انقطاع الحياة عن الأرض، أم ليس لها ذلك‌؟ ومع الشكّ في المقتضي لا مجال لجريان الاستصحاب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بحسب الارتكاز القطعي لدى العرف، هو ذات الأرض، وتكون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تعليليّة محضة، ومن قبيل الشرط، بلا دخلٍ لها في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عدم الفرق في جريان الاستصحاب بين موارد الشكّ في الرافع، وموارد الشكّ في المقتضي، كما حُقّق في محلّه، أضف إلى ذلك أنّ ذلك ليس من مصاديق الشكّ في المقتضي الذي بنى عليه الشيخ الأعظم</w:t>
      </w:r>
      <w:r>
        <w:rPr>
          <w:rStyle w:val="FootnoteAnchor"/>
          <w:rtl w:val="true"/>
        </w:rPr>
        <w:footnoteReference w:id="862"/>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32247</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على عدم حجيّة الاستصحاب فيه، فإنّ مورده ما لو شُكّ في اقتضاء المستصحب للبقاء في عمود الزمان،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جريان الاستصحاب، والحكم بعدم خروج الأرض عن ملك مالكها بالخراب، بل وبإحياء غيره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الأرض الخربة فيستخرجها، يجري أنهارها، ويعمرها، ويزرعها، ماذا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الأرض أو أجرتها، وعلى التقديرين يدلّ على ذلك، أضف إليه صراحة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يعرف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أنّه يمكن استفادة ذلك من أكثر نصوص الباب، فلا إشكال في الحكم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82" w:name="pg11804_116712"/>
    </w:p>
    <w:p>
      <w:pPr>
        <w:pStyle w:val="BookText"/>
        <w:rPr/>
      </w:pPr>
      <w:bookmarkEnd w:id="282"/>
      <w:r>
        <w:rPr>
          <w:rFonts w:ascii="Amiri" w:hAnsi="Amiri" w:eastAsia="Amiri" w:cs="Amiri"/>
          <w:color w:val="111111"/>
          <w:sz w:val="28"/>
          <w:sz w:val="28"/>
          <w:szCs w:val="28"/>
          <w:rtl w:val="true"/>
          <w:lang w:bidi="ar-SA"/>
        </w:rPr>
        <w:t>هل إحياء غير المالك للأرض سببٌ للخروج عن ملكه</w:t>
      </w:r>
    </w:p>
    <w:p>
      <w:pPr>
        <w:pStyle w:val="Heading3"/>
        <w:numPr>
          <w:ilvl w:val="2"/>
          <w:numId w:val="1"/>
        </w:numPr>
        <w:rPr/>
      </w:pPr>
      <w:bookmarkStart w:id="283" w:name="__RefHeading___Toc10579858_73709187"/>
      <w:bookmarkStart w:id="284" w:name="_Toc95"/>
      <w:bookmarkEnd w:id="283"/>
      <w:r>
        <w:rPr>
          <w:rtl w:val="true"/>
        </w:rPr>
        <w:t>هل إحياء غير المالك للأرض سببٌ للخروج عن ملكه</w:t>
      </w:r>
      <w:bookmarkEnd w:id="284"/>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هل يُملك الأرض الخَربة التي لها مالك بإحياء غير مالكها أم لا؟</w:t>
      </w:r>
    </w:p>
    <w:p>
      <w:pPr>
        <w:pStyle w:val="BookText"/>
        <w:rPr/>
      </w:pPr>
      <w:r>
        <w:rPr>
          <w:rFonts w:ascii="Amiri" w:hAnsi="Amiri" w:eastAsia="Amiri" w:cs="Amiri"/>
          <w:color w:val="111111"/>
          <w:sz w:val="28"/>
          <w:sz w:val="28"/>
          <w:szCs w:val="28"/>
          <w:rtl w:val="true"/>
          <w:lang w:bidi="ar-SA"/>
        </w:rPr>
        <w:t>مقتضى القاعدة الأوّليّة وهي حرمة التصرّف في مال الغير بغير رضاه، والاستصحاب، عدم الخروج عن ملك مالكها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للخروج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لهذه الجملة، أو قريباً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بالإطلاق على أنّ من يقوم بعملية إحياء الأرض الموات يملك الأرض، وبديهي أنّ لازم ذلك خروجها عن ملك صاحبها، لعدم اجتماع الملكين المستقلّين على أرض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الأرض عن مِلْك صاحبها بالخراب، نظراً إلى أنّه لو لم يخرج بالخراب عن ملكه، لم يجز لغيره الإحياء والتصرّف فيها، ولم يترتّب على إحيائه أثر وضعاً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ملكه بإحياء الثاني، نظراً إلى أنّه يمكن للشارع أن يُبيح لغيره القيام بإحياء الأرض الخربة، لئلّا تبقى الأرض معطّلة، فإذا قام غيره بإحيائها، فقد انقطعت علاقة صاحبها عنها بذلك، ودخلت في ملك المحيي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لو تمّ الاستدلال بها، فإنّما تدلّ على القول الثاني، لأنّ مدلولها المطابقي هو أنّ الإحياء موجبٌ لتملّك الأرض، وهذا كما يلائم مع خروج الأرض عن ملك صاحبها بالخراب، كذلك يلائم مع خروجها عنه بقيام الغير بإحيائها، ومقتضى الاستصحاب بقاؤها على ملك صاحبها إلى حين قيام الثاني بعمليّة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لا يصحّ الاستدلال بها بتاتاً، لأنّ غاية ما يستفاد منها كون الإحياء من الأسباب المملكة نظير الشراء والهبة وما شاكل، وهذا لا ينفي الإناطة بإذن المالك، فالجمع بين هذه النصوص، وقاعدة السلطنة، وما دلّ على عدم جواز التصرّف في مال الغير تكليفاً ووضعاً، عدم حصول الملكيّة بالإحياء بغير إذنه لقاعدة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يتمّ مع عدم إذن مالك الملوك، وإلّا فمعه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اللُّقطة وحقّ 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ونفس هذه النصوص تتضمّن إذنه، فلا مورد للتمسّك بقاعدة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إلى الذهن، والمتفاهم العرفي من النصوص كسائر الأخبار المتضمّنة للتشريعات، إنّما هو كونها في مقام جعل الحكم والتشريع، لا في مقام بيان الإذن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الأرض الميّتة التي تعود ملكيّتهاإلى الإمام عليه السلام كلامٌ سيأتي، وستعرف عدم تماميّته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 الإمام الصادق 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أتى خَربة بائرة فاستخرجها، وكَرى أنهارها، وعمّرها، فإنّ عليه </w:t>
      </w:r>
    </w:p>
    <w:p>
      <w:pPr>
        <w:pStyle w:val="BookText"/>
        <w:rPr/>
      </w:pPr>
      <w:r>
        <w:rPr>
          <w:rFonts w:ascii="Amiri" w:hAnsi="Amiri" w:eastAsia="Amiri" w:cs="Amiri"/>
          <w:color w:val="111111"/>
          <w:sz w:val="28"/>
          <w:sz w:val="28"/>
          <w:szCs w:val="28"/>
          <w:rtl w:val="true"/>
          <w:lang w:bidi="ar-SA"/>
        </w:rPr>
        <w:t>فيها الصَّدقة، فإن كانت أرضٌ لرجلٍ قبله، فغاب عنها وتركها فأخربها، ثمّ جاء بعدُ يطلبها، فإنّ الأرض للّه ولمن عمرها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انقطاع علاقة المالك الأوّل عن أرضه بعد التعمير، وأنّها تصبح مملوكة لمن قام بعمارتها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لو لم يكن ظاهراً في صورة الإعراض، لا ريب في ظهوره بواسطة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فغابَ عنها وتركها فأخربها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الاختصاص بما إذا كان الخراب وزوال العمران مستنداً إلى إهمال صاحبها، وترك مزاولة العمل عليها، والامتناع عن الإحياء والاستثمار، ولا يشمل ما لو كان ذلك مستنداً إلى سببٍ آخر من الأسباب الطارئة، فيكون الصحيح دليلاً على القول الخامس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يعارضه صحيح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الأرض الخربة فيستخرجها، ويجري أنهارها ويعمرها ويزرعها، ماذا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الحلبي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الأرض أو أجرتها، وعلى التقديرين يدلّ على عدم الخروج عن ملك صاحب الأرض ولو بالإحياء، فيتعارض الخبران مع صحيح معاوية، وحيثُ أنّهما موافقان للمشهور، والشهرة أولى المرجّحات، فيقدّم على صحيح معاوية الظاهر في الانتقال، ويُحمل على حدوث العلاقة للثاني على مستوى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معاوية لاختصاصه بصورة إهمال صاحب الأرض، وامتناعه عن القيام بعمليّة إحيائها كما عرفت، يكون أخصّ من الخبرين، فيكون مقدّماً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عمّا ذكرناه، حيث أنّه لا نُسلّم نصوصيّة صحيح سليمان لقابليّة حمله على إرادة الطسق أو الأعيان التي منه فيها، أو التفاوت بينها وبين الموات المطلق، كما إذا كان بعض أنهارها وأوبارها باقياً،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أنّ هذا الاحتمال أظهر فلا ينافي ملكيّتها للمُحيي الثاني، ولا نُسلّم موافقتها للشهرة، فيتعيّن تقديم صحيح معاوية لموافقته للسنة المستفيضة المتضمّنة لكون الإحياء مُملّكاً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في دلالة صحيح معاوية باحتمال أن يكون المراد من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العامر الأوّل دون الثاني، فعلى هذا الاحتمال يدلّ الخبر على خلاف المقصود، حيث أنّه يدلّ على بقاء الأرض في ملكيّة العامر الأوّل حتّى بعد إحياء الثاني، ومع هذا الاحتمال، لا يصحّ الاستدلال به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خلاف الظاهر جدّاً، لأنّ المفروض في الخبر غيبة المالك الأوّل وتركه الأرض المؤدّي إلى خرابها، كما أنّه قد أُسند العمران والإحياء في الخبر من جهة اُخرى إلى الثاني، ثمّ بعد ذلك 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أقوى قرينة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العامر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خالد الكابلي، عن أبي جعفر عليه السلام الآتي في مسألة إحياء الأرض الميّتة بالأصالة،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أحيى أرضاً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وأخربها، فأخذها رجلٌ من المسلمين من بعده، فعمَّرها وأحياها، فهو أحقّ بها من الذي تركها، فليؤدّ خراجها إلى الإمام من أهل بيتي، وله ما أكل منها، الحديث</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انقطاع علاقة العامر الأوّل بالأرض بتركهاوتخريبها، وإحياء الثاني لها، وتثبت تلك العلاقة للعامر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واختصاصه بزمان الحضور، كما عن المحقّق القُمّي رحمه الله سيأتي الجواب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الإيراد عليه</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عدم حصول الملكيّة للمُحيي مطلقاً، سيأتي الجواب عنه في تلك المسألة، وستعرف أنّه لو سُلّم دلالته على ذلك لابدّ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اندفاع ما أورد عليه</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أنّ العامر الثاني أحقّ بها من الأوّل، والحقُّ أعمّ من الملك، فلا تدلّ على زوال ملكيّة الُمحيي الأوّل عن رقبة الأرض، فإنّه إن كان ما رتبه عليه السلام على إحياء الأوّل من أن له ما أكل، وليؤدّ خراجها إلى الإمام عليه السلام ملائماً مع الملكيّة، فنفس ذلك رتب على إحياء العامر الثاني، وإلّا فلابدّ من طرحه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التعبير بالأحقّيّة فهو لا يدلّ على بقاء حقّ الأوّل، وإلّا لم يكن وجهٌ لأداء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الخراج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72"/>
      </w:r>
      <w:r>
        <w:rPr>
          <w:rFonts w:ascii="Amiri" w:hAnsi="Amiri" w:eastAsia="Amiri" w:cs="Amiri"/>
          <w:color w:val="111111"/>
          <w:sz w:val="28"/>
          <w:sz w:val="28"/>
          <w:szCs w:val="28"/>
          <w:rtl w:val="true"/>
          <w:lang w:bidi="ar-SA"/>
        </w:rPr>
        <w:t>من أنّ الأصحاب أعرضوا عن الخبر، ولم يعملوا به، لأنّ الأصحاب لم يفتوا بوجوب الخراج للإمام على الُمحيي، فالخبر يكون ساقطاً عن الحجيّة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سنده، لاختصّ بما إذا كان الخراب وزوال العمران مستنداً إلى إهمال صاحبها، وامتناعه عن القيام بعمليّة الإحياء، ولا يشمل ما لو كان ذلك مستنداً إلى سببٍ آخر من الأسباب 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أخصّ من صحيح معاوية، لاختصاصه بما إذا كان سببُ ملكيّة العامر الأوّل الإحياء، وعموم صحيح معاوية، لما إذا كان بالشراء ونحوه، فيخصّص الصحيح به، فتكون النتيجة أنّ الأرض تخرج عن ملك مالكها إمّا بالخراب أو بإحياء الثاني، إنْ كان سبب ملكيّة العامر الأوّل الإحياء، دون ما إذا كان سببها الشراء ونحوه، الذي عرفت أنّه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متوافقان، ولا يُحمل المطلق على المقيّدفي المتوافقين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تظهر مدارك الأقوال الخمسة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بحسب الروايات هو القول الخامس، وهو أنّ الخراب إنْ كان مستنداً إلى إهمال المالك، وترك مزاولة العمل عليها، فإنّه يملكها العامر الثاني بالإحياء، سواءٌ أكان منشأ ملكيّة العامر الأوّل الإحياء أو غيره، وإن لم يكن مستنداً إلى ذلك فلا يملكها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صورة عدم الإعراض، وأمّا مع الإعراض فيملكها به بلا كلام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85" w:name="pg11804_116718"/>
    </w:p>
    <w:p>
      <w:pPr>
        <w:pStyle w:val="Heading3"/>
        <w:numPr>
          <w:ilvl w:val="2"/>
          <w:numId w:val="1"/>
        </w:numPr>
        <w:rPr/>
      </w:pPr>
      <w:bookmarkStart w:id="286" w:name="__RefHeading___Toc10579860_73709187"/>
      <w:bookmarkStart w:id="287" w:name="_Toc96"/>
      <w:bookmarkEnd w:id="285"/>
      <w:bookmarkEnd w:id="286"/>
      <w:r>
        <w:rPr>
          <w:rtl w:val="true"/>
        </w:rPr>
        <w:t>فروع الأرض الخراجيّة</w:t>
      </w:r>
      <w:bookmarkEnd w:id="28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البحث يتحقّق ببيان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أرضٌ خربة، دون أن يعلم بها فلا يصدق الترك، بل اللّازم الإعلام، ثمّ ملاحظة أنّه هل يهتمّ بها، ويلتفت إلى عمرانها وإصلاحها، وعرّفه على إحيائها ولو بعد وقتٍ صالح له، أو حصول مالٍ متوقّع له أم لا؟</w:t>
      </w:r>
    </w:p>
    <w:p>
      <w:pPr>
        <w:pStyle w:val="BookText"/>
        <w:rPr/>
      </w:pPr>
      <w:r>
        <w:rPr>
          <w:rFonts w:ascii="Amiri" w:hAnsi="Amiri" w:eastAsia="Amiri" w:cs="Amiri"/>
          <w:color w:val="111111"/>
          <w:sz w:val="28"/>
          <w:sz w:val="28"/>
          <w:szCs w:val="28"/>
          <w:rtl w:val="true"/>
          <w:lang w:bidi="ar-SA"/>
        </w:rPr>
        <w:t>فعلى الأوّل لا يجوز إحياؤها ولا يملكها به، وعلى الثاني يملكها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يشترط في صدق الترك عرفاً أمران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يعزم على بيعها أو صلحها، ولو نقص وقتها لإحياء الجميع إمّا لعدم قصده بذلك، أو عدم توقع من يشريها، أو يقبلها توقّعاً مظنون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يمضي على ذلك زمانٌ يعتدّ به، بحيث يصدق معه الترك عرفاً من سنين متعدّدة، ولا أقل من ثلاث سنين، ولا يبعد أن يكون نظره إلى ذلك في رواية يونس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خربت أرضُ الطفل الصغير، أو انتقل إليه ملكٌ خرابٌ كان يريد مالكه إحيائه، فماتَ وانتقل إلى صغيره، فهل يجوز للغير إحياء تلك الأرض لو أهمل وليّه، وتَرَك الأرض ولم يعمّرها، أم لا؟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أقواهما الثاني، لأنّ جواز إحياء الغير وتملّكه به خلاف القاعدة، فلابدّ من الاقتصار على مورد النَّص، وهو اختصاص الحكم بما لو ترك المالك </w:t>
      </w:r>
    </w:p>
    <w:p>
      <w:pPr>
        <w:pStyle w:val="BookText"/>
        <w:rPr/>
      </w:pPr>
      <w:r>
        <w:rPr>
          <w:rFonts w:ascii="Amiri" w:hAnsi="Amiri" w:eastAsia="Amiri" w:cs="Amiri"/>
          <w:color w:val="111111"/>
          <w:sz w:val="28"/>
          <w:sz w:val="28"/>
          <w:szCs w:val="28"/>
          <w:rtl w:val="true"/>
          <w:lang w:bidi="ar-SA"/>
        </w:rPr>
        <w:t>إحياء الأرض بنفسه،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حكم خراب الأرض التي تكون وقفاً خاصّاً أو عامّاً، نتيجة إهمالها وتركها وعدم قيام أحد بعمرانها وإحياءها؟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من الأنفال، لعموم ما دلّ على أنّ الأرض الخربة من الأنفال، غير الُمخصّص بتخصيص يشمل المورد، لاختصاص المخصّص بما إذا كان له مالكٌ خاصّ بالملكيّة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شموله لمثل هذه الملكيّة، فإنّ ما دلّ على جواز إحياء الغير في فرض الإهمال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يتركها الموقوف عليه، أو المتولّي ولم يعطّلها، بل كان بصدد إحيائها، لا يجوز تصرف الغير فيها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ويشهد به ما دلّ على عدم جواز التصرّف في الوقف، بما ينافي جهة وقفها،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إحياء الأرض الخربة التي خصّصها الشارع موطناً للعبادة ومشعراً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كمِنى وعَرفة والمزدلفة وما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وتعميرها بما لا يضرّ ولا يؤدّي إلى ضيقها عمّا يحتاج إليه المتعبّدون، كما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75"/>
      </w:r>
      <w:r>
        <w:rPr>
          <w:rFonts w:ascii="IRNazanin" w:hAnsi="IRNazanin" w:eastAsia="IRNazanin"/>
          <w:color w:val="111111"/>
          <w:sz w:val="28"/>
          <w:sz w:val="28"/>
          <w:szCs w:val="28"/>
          <w:rtl w:val="true"/>
          <w:lang w:bidi="fa-IR"/>
        </w:rPr>
        <w:t>وتبعه بعض من تأخّر عنه‌؟</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أم لا يجوز القيام بمثل هذه الأعمال مهما كانت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أقواهما الأوّل؛ لأنّ هذه الأماكن المشرّفة ليست وقفاً، ولا يترتّب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عليها أحكام الوقف، وعليه فلا مانع من التصرّف فيها بما لا يوجبُ المزاحمة والضيق على المتعبّدين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ثبت بالدليل، أنّها تعدّ من حقوق المسلمين، ولازم ذلك أنّه لا يجوز مزاحمتهم في أوقات قيامهم بالأعمال فيها، ولا تكون وقفاً كي يشملها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في وجه عدم الجواز، من تعلّق حقوق المسلمين بها، وأنّها أعظم من الوقف الذي يتعلّق حقّ الموقوف عليهم بجريان الصيغة من الواقف، لأنّ الشرع هو الذي جعلها موطناً للعبادة خاصّة، دون إجراء صيغة عليها، ومنها ما جعله اللّه تعالى مسجداً كمسجد الحرام، ومسجد الكوفة، فكما لا يجوز التصرّف في الوقف بإحياءٍ وعمّارةٍ‌، كذلك لا يجوز التصرّف في تلك المواطن المقدّسة بإحياءٍ ونحوه، لأنّه منافٍ للجعل المزبور من الرّب الجليل، وتفويتٌ للمصلحة العامّة فيه، بل يعدّ جعل جواز التصرّف فيها حتّى فيما لا يوجب المزاحمة والضيق، منافياً للضروري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كما يظهر لمن تأمّل فيما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أفاده بعض الفقهاء تبعاً للمحقّق</w:t>
      </w:r>
      <w:r>
        <w:rPr>
          <w:rStyle w:val="FootnoteAnchor"/>
          <w:rtl w:val="true"/>
        </w:rPr>
        <w:footnoteReference w:id="879"/>
      </w:r>
      <w:r>
        <w:rPr>
          <w:rFonts w:ascii="Amiri" w:hAnsi="Amiri" w:eastAsia="Amiri" w:cs="Amiri"/>
          <w:color w:val="111111"/>
          <w:sz w:val="28"/>
          <w:sz w:val="28"/>
          <w:szCs w:val="28"/>
          <w:rtl w:val="true"/>
          <w:lang w:bidi="ar-SA"/>
        </w:rPr>
        <w:t xml:space="preserve">من أنّه لا مانع من الزرع فيها في مواسم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فصل النُّسك والأعمال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المزاحمة، وكذا لامانع من تأسيس عمارات وبيوت يسكن فيها، والتي تؤجّر في تلك الأوقات للناسكين والمتعبّدين، متينٌ موافقٌ للقاعدة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88" w:name="pg11804_116721"/>
    </w:p>
    <w:p>
      <w:pPr>
        <w:pStyle w:val="BookText"/>
        <w:rPr/>
      </w:pPr>
      <w:bookmarkEnd w:id="288"/>
      <w:r>
        <w:rPr>
          <w:rFonts w:ascii="Amiri" w:hAnsi="Amiri" w:eastAsia="Amiri" w:cs="Amiri"/>
          <w:color w:val="111111"/>
          <w:sz w:val="28"/>
          <w:sz w:val="28"/>
          <w:szCs w:val="28"/>
          <w:rtl w:val="true"/>
          <w:lang w:bidi="ar-SA"/>
        </w:rPr>
        <w:t>وكلّ أرضٍ لم يوجَف عليها بخيلٍ ولا ركاب، وكلّ أرضٍ سَلّمها أهلها طوعاً من غير قتال</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0579862_73709187"/>
      <w:bookmarkStart w:id="290" w:name="_Toc97"/>
      <w:bookmarkEnd w:id="289"/>
      <w:r>
        <w:rPr>
          <w:rtl w:val="true"/>
        </w:rPr>
        <w:t>الأرض المملوكة بغير قتال</w:t>
      </w:r>
      <w:bookmarkEnd w:id="290"/>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عدّه الأصحاب من الأنفال،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من غير قتالٍ‌، بأن خَلاها أهلها الحربيون، وهذه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يوجف عليها بخيلٍ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أرض سلّمها أهلها طوعاً من 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أنّهم مكّنوا المسلمين فيها وهم فيها، بلاخلافٍ أجده، بل الظاهر أنّه إجماعٌ كماقاله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ما لم يوجَف بخيلٍ ولا ركابٍ‌، أو قومٌ صالحوا، أو قوم أعطوا بأيديهم، وكلّ أرضٍ خربة، وبطون الأودية فهو لرسول اللّه صلى الله عليه و آله، وهو للإمام من بعده يضعه حيثُ يَشاء</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كالصحيح، عن العبد الصالح،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والأنفال كلّ أرضٍ خَربة باد أهلها، وكلّ أرضٍ لم يُوجَف عليها بخيلٍ ولا ركابٍ‌، ولكن صالحوا صلحاً، وأعطوا بأيديهم على غير قتال، وله رؤوس الجبال، وبطون الأودية والآجام، الحديث</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عبد اللّه عليه السلام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ما كان من أرضٍ لم يكن فيها هراقة دمٍ‌، أو قومٌ صالحوا وأعطوا </w:t>
      </w:r>
    </w:p>
    <w:p>
      <w:pPr>
        <w:pStyle w:val="BookText"/>
        <w:rPr/>
      </w:pPr>
      <w:r>
        <w:rPr>
          <w:rFonts w:ascii="Amiri" w:hAnsi="Amiri" w:eastAsia="Amiri" w:cs="Amiri"/>
          <w:color w:val="111111"/>
          <w:sz w:val="28"/>
          <w:sz w:val="28"/>
          <w:szCs w:val="28"/>
          <w:rtl w:val="true"/>
          <w:lang w:bidi="ar-SA"/>
        </w:rPr>
        <w:t>بأيديهم، وما كان من أرضٍ خربةٍ‌، أو بطون أوديةٍ‌، فهذا كلّه من الفيء والأنفال، الحديث</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المستفيضة، إن لم تكن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صحيح حفص أنّ كلّ ما غُنم من الكفّار من دون قتالٍ فهو من الأنفال، وإن لم يكن أرضاً، وهذا هو المستفاد من ظاهر الأصحاب، ويشهد 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تُقسَّم‌؟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أخرج منها الخُمس له وللرسول، وقُسِّم بينهم أربعة أخماس، وإنْ لم يكونوا قاتلوا عليها المشركين، كان كلّ ما غَنموا للإمام عليه السلام يجعله حيثُ أحبّ‌</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لايبعد اختصاص هذه الصحيحة بغير الأرض، بقرينة ما فيها من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التصريح في موثّق سماعة بأن البحرين ممّا لم يُوجف عليه بخيلٍ ولا ركاب، فهي من الأنفال وللإمام، وقد صرّح به الشهيد الثاني في كتاب الخُمس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 فما عن إحياء 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من أنّه أسلم أهلها فهي تكون كالمدينة المشرّفة من أنّ أرضها لأهلها لعلّه غفلة، كما في رسالة الشيخ الأعظم رحمه الله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91" w:name="pg11804_116723"/>
    </w:p>
    <w:p>
      <w:pPr>
        <w:pStyle w:val="BookText"/>
        <w:rPr/>
      </w:pPr>
      <w:bookmarkEnd w:id="291"/>
      <w:r>
        <w:rPr>
          <w:rFonts w:ascii="Amiri" w:hAnsi="Amiri" w:eastAsia="Amiri" w:cs="Amiri"/>
          <w:color w:val="111111"/>
          <w:sz w:val="28"/>
          <w:sz w:val="28"/>
          <w:szCs w:val="28"/>
          <w:rtl w:val="true"/>
          <w:lang w:bidi="ar-SA"/>
        </w:rPr>
        <w:t>ورؤوس الجبال، وبطون الأودية</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0579864_73709187"/>
      <w:bookmarkStart w:id="293" w:name="_Toc98"/>
      <w:bookmarkEnd w:id="292"/>
      <w:r>
        <w:rPr>
          <w:rtl w:val="true"/>
        </w:rPr>
        <w:t>رؤوس الجبال وبطون الأودية من الأنفال</w:t>
      </w:r>
      <w:bookmarkEnd w:id="293"/>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بها من النبات والأشجار والأحجار،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من نبات أو معدن أو غيرهما، كما نصّ على ذلك كلّه جماعة</w:t>
      </w:r>
      <w:r>
        <w:rPr>
          <w:rStyle w:val="FootnoteAnchor"/>
          <w:rtl w:val="true"/>
        </w:rPr>
        <w:footnoteReference w:id="888"/>
      </w:r>
      <w:r>
        <w:rPr>
          <w:rFonts w:ascii="Amiri" w:hAnsi="Amiri" w:eastAsia="Amiri" w:cs="Amiri"/>
          <w:color w:val="111111"/>
          <w:sz w:val="28"/>
          <w:sz w:val="28"/>
          <w:szCs w:val="28"/>
          <w:rtl w:val="true"/>
          <w:lang w:bidi="ar-SA"/>
        </w:rPr>
        <w:t>، بل 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طائفة من النصوص، وبعضها وإنْ كان ضعيفُ السند، إلّاأنّ بعضها الآخر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كالصحيح لكون المُرسِل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العبد الصالح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رؤوس الجبال وبطون الأودية والآجام، الحديث</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المقنعة، عن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وبطون الأودية، ورؤوس الجبال، وما لم يوجفُ عليه بخيلٍ ولا ركاب، فكلّ ذلك للإمام</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موثّق محمّد بن مسلم، وصحيح حفص بن البختري المتقدّمين </w:t>
      </w:r>
    </w:p>
    <w:p>
      <w:pPr>
        <w:pStyle w:val="BookText"/>
        <w:rPr/>
      </w:pPr>
      <w:r>
        <w:rPr>
          <w:rFonts w:ascii="Amiri" w:hAnsi="Amiri" w:eastAsia="Amiri" w:cs="Amiri"/>
          <w:color w:val="111111"/>
          <w:sz w:val="28"/>
          <w:sz w:val="28"/>
          <w:szCs w:val="28"/>
          <w:rtl w:val="true"/>
          <w:lang w:bidi="ar-SA"/>
        </w:rPr>
        <w:t>عدّ بطون الأودية من الأنفال، وهما كافيان في إثبات المطلوب، بضميمة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يُصغى إلى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من رميه جميع نصوص الباب بالضعف، ولا إلى ما عن بعض المحقّقين</w:t>
      </w:r>
      <w:r>
        <w:rPr>
          <w:rStyle w:val="FootnoteAnchor"/>
          <w:rtl w:val="true"/>
        </w:rPr>
        <w:footnoteReference w:id="892"/>
      </w:r>
      <w:r>
        <w:rPr>
          <w:rFonts w:ascii="Amiri" w:hAnsi="Amiri" w:eastAsia="Amiri" w:cs="Amiri"/>
          <w:color w:val="111111"/>
          <w:sz w:val="28"/>
          <w:sz w:val="28"/>
          <w:szCs w:val="28"/>
          <w:rtl w:val="true"/>
          <w:lang w:bidi="ar-SA"/>
        </w:rPr>
        <w:t>من رمي نصوص رؤوس الجبال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النصوص أنّ لها خصوصيّة، لا أنّ ذكرهما للتنبيه على أنّهما من الأفراد الخفيّة للموات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المحقّقان الأردبيلي</w:t>
      </w:r>
      <w:r>
        <w:rPr>
          <w:rStyle w:val="FootnoteAnchor"/>
          <w:rtl w:val="true"/>
        </w:rPr>
        <w:footnoteReference w:id="893"/>
      </w:r>
      <w:r>
        <w:rPr>
          <w:rFonts w:ascii="Amiri" w:hAnsi="Amiri" w:eastAsia="Amiri" w:cs="Amiri"/>
          <w:color w:val="111111"/>
          <w:sz w:val="28"/>
          <w:sz w:val="28"/>
          <w:szCs w:val="28"/>
          <w:rtl w:val="true"/>
          <w:lang w:bidi="ar-SA"/>
        </w:rPr>
        <w:t>والهمداني</w:t>
      </w:r>
      <w:r>
        <w:rPr>
          <w:rStyle w:val="FootnoteAnchor"/>
          <w:rtl w:val="true"/>
        </w:rPr>
        <w:footnoteReference w:id="894"/>
      </w:r>
      <w:r>
        <w:rPr>
          <w:rFonts w:ascii="Amiri" w:hAnsi="Amiri" w:eastAsia="Amiri" w:cs="Amiri"/>
          <w:color w:val="111111"/>
          <w:sz w:val="28"/>
          <w:sz w:val="28"/>
          <w:szCs w:val="28"/>
          <w:rtl w:val="true"/>
          <w:lang w:bidi="ar-SA"/>
        </w:rPr>
        <w:t>من أنّ رؤوس الجبال وبطون الأودية مندرجتان في الأرض الموات، وانفرادها بالذِّكر في الفتاوى، لتبعيّة النصوص، وأمّا ذكرهما في النصوص فمن جهة أنّهما من الأفراد الخفيّة التي ينصرف عنها إطلاق الأرض الموات،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 تلكم الأخبار،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تملّك الُمحيي للأرض، فإن النسبة العموم من وجه ومورد المعارضة ما إذا كانت بطون الأودية ورؤوس الجبال عامرة، بأن كانت مواتاً فأحياها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ما اُخذ بالسّيف فهو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أرض السواد ملكٌ للمسلمين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النصوص تقدّم على جميع تلك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تقدّمها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قُدّمت تلك الأخبار، لزم إلغاء بطون الأودية ورؤوس الجبال نهائيّاً، وأن تصبح حالها حال الأراضي الموات، وهو خلاف المرتكز العرفي، فذلك قرينة لتقديمها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المختار في تعارض العامّين من وجه، هو الرجوع إلى أخبار الترجيح، وهي تقتضي تقديم نصوص الباب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سلّمنا أنّه في العامّين من وجه يُحكم بالتساقط في مورد المعارضة، والمرجع إلى العام الفوق أو الأصل، لكن العام في المقام هو ما دلّ على أنّ الأرض كلّها للإمام،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بقاء ملك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تقدّمها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أخصّ مطلقاً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تقدّمها على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يختصّ هذا الحكم بما في أرض الإمام، بل مقتضى إطلاق النصوص ثبوت الحكم بما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895"/>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الاختصاص بالأوّل، 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تضعيف الأخبار المطلقة الدالّة على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مافي تضعيف النصوص، والأصل لايُعتمدعليه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أفاده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في ردّ كلام 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يفضي إلى التداخل، وعدم الفائدة في ذكر اختصاصه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لم تكن الأرض ملك الغير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يحدثُ فيه، كما لو جَرى السَّيل على الأرض حتّى صارت من بطون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الأودية، أو تراكمت عليها الصخور والأتربة حتّى صارت جبلاً إن أمكن الأخير، فقد استدلّ لعدم انتقاله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إطلاقات النصوص منصرفة عن مثل ذلك جزماً، 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أنّه لا يظنّ بهم الالتزام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هذين العنوانين داخلان في الموات، وقد تقدّم أنّ الموت لا يوجبُ خروج الأرض عن ملك مالكها، إذا كان قد ملكها بغير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يُعرف وجهٌ ظاهر لهذا الانصراف، سوى ما يتوهّم من عدم خروج المِلك عن ملك مالكه إلّامع الناقل، وهو فاسدٌ، إذ بعد دلالة الدليل على أنّ رؤوس الجبال وبطون الأودية للإمام مطلقاً، يكون ذلك من النواقل،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العنوانين إذا لم يكونا من الأنفال من حيث هما، بل كانا منها من حيث اندراجهما في موضوع الموات، وإنّما أُفردا بالذِّكر للتوضيح، واحتمال صَرف الموات إلى غيرهما، كما عن المحقّق الأردبيلي رحمه الله</w:t>
      </w:r>
      <w:r>
        <w:rPr>
          <w:rStyle w:val="FootnoteAnchor"/>
          <w:rtl w:val="true"/>
        </w:rPr>
        <w:footnoteReference w:id="899"/>
      </w:r>
      <w:r>
        <w:rPr>
          <w:rFonts w:ascii="Amiri" w:hAnsi="Amiri" w:eastAsia="Amiri" w:cs="Amiri"/>
          <w:color w:val="111111"/>
          <w:sz w:val="28"/>
          <w:sz w:val="28"/>
          <w:szCs w:val="28"/>
          <w:rtl w:val="true"/>
          <w:lang w:bidi="ar-SA"/>
        </w:rPr>
        <w:t>الإشارة إليه كان ذلك تامّاً، ولكن بما أنّ ظاهر النصوص خلاف ذلك، ولذا جُعِلا في النصوص في مقابل الموات، فلا يتمّ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البناء على العموم،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4" w:name="pg11804_116727"/>
    </w:p>
    <w:p>
      <w:pPr>
        <w:pStyle w:val="BookText"/>
        <w:rPr/>
      </w:pPr>
      <w:bookmarkEnd w:id="294"/>
      <w:r>
        <w:rPr>
          <w:rFonts w:ascii="Amiri" w:hAnsi="Amiri" w:eastAsia="Amiri" w:cs="Amiri"/>
          <w:color w:val="111111"/>
          <w:sz w:val="28"/>
          <w:sz w:val="28"/>
          <w:szCs w:val="28"/>
          <w:rtl w:val="true"/>
          <w:lang w:bidi="ar-SA"/>
        </w:rPr>
        <w:t>والمَواتُ الّتي لا أربابَ لها</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0579866_73709187"/>
      <w:bookmarkStart w:id="296" w:name="_Toc99"/>
      <w:bookmarkEnd w:id="295"/>
      <w:r>
        <w:rPr>
          <w:rtl w:val="true"/>
        </w:rPr>
        <w:t>الأرض الموات من الأنفال</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 التي لا أرباب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المعطّلة التي لا ينتفع بها لذلك، إمّا لانقطاع الماء عنها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ذكر الخربة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الموات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يقتضي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إشكال نصّاً وفتوى في أنّها للإمام عليه السلام، وأفاد الشيخ الأعظم رحمه الله</w:t>
      </w:r>
      <w:r>
        <w:rPr>
          <w:rStyle w:val="FootnoteAnchor"/>
          <w:rtl w:val="true"/>
        </w:rPr>
        <w:footnoteReference w:id="901"/>
      </w:r>
      <w:r>
        <w:rPr>
          <w:rFonts w:ascii="Amiri" w:hAnsi="Amiri" w:eastAsia="Amiri" w:cs="Amiri"/>
          <w:color w:val="111111"/>
          <w:sz w:val="28"/>
          <w:sz w:val="28"/>
          <w:szCs w:val="28"/>
          <w:rtl w:val="true"/>
          <w:lang w:bidi="ar-SA"/>
        </w:rPr>
        <w:t>أنّ النصوص بذلك مستفيضة، بل قيل</w:t>
      </w:r>
      <w:r>
        <w:rPr>
          <w:rStyle w:val="FootnoteAnchor"/>
          <w:rtl w:val="true"/>
        </w:rPr>
        <w:footnoteReference w:id="902"/>
      </w:r>
      <w:r>
        <w:rPr>
          <w:rFonts w:ascii="Amiri" w:hAnsi="Amiri" w:eastAsia="Amiri" w:cs="Amiri"/>
          <w:color w:val="111111"/>
          <w:sz w:val="28"/>
          <w:sz w:val="28"/>
          <w:szCs w:val="28"/>
          <w:rtl w:val="true"/>
          <w:lang w:bidi="ar-SA"/>
        </w:rPr>
        <w:t>إنّها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الأصفهاني رحمه الله</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الأرض الموات بالأصالة للإمام، وإن كان اتّفاقيّاً، إلّاأنّه لا يمكن إتمامها بالنصوص الواردة في المقام، لأنّها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الأرض الخربة، أو الأرض الخربة التي باد أهلها، أو الخربة التي لم يُوجَف عليها بخيلٍ ولا ركابٍ للإمام عليه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ما لم يُوجَف عليه بخيلٍ ولا ركابٍ‌، أو قومٌ صالحوا، أو قوم أعطوا بأيديهم، وكلّ أرضٍ خربة، وبطون </w:t>
      </w:r>
    </w:p>
    <w:p>
      <w:pPr>
        <w:pStyle w:val="BookText"/>
        <w:rPr/>
      </w:pPr>
      <w:r>
        <w:rPr>
          <w:rFonts w:ascii="Amiri" w:hAnsi="Amiri" w:eastAsia="Amiri" w:cs="Amiri"/>
          <w:color w:val="111111"/>
          <w:sz w:val="28"/>
          <w:sz w:val="28"/>
          <w:szCs w:val="28"/>
          <w:rtl w:val="true"/>
          <w:lang w:bidi="ar-SA"/>
        </w:rPr>
        <w:t>الأودية، فهو لرسول اللّه صلى الله عليه و آله، وهو للإمام عليه السلام من بعده يضعه حيث يشاء</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والآجام، وكلُّ أرضٍ لا ربّ لها، وكلُّ أرضٍ باد أهلها فهو لنا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وانجلى أهلها، فهي للّه وللرسول، وما كان للملوك فهي للإمام، وما كان من الأرض الخربة لم يُوجَف عليه بخيلٍ ولا ركاب، وكلّ أرضٍ لا ربّ لها، والمعادن منها، وما ماتَ وليس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الأرض التي لا ربَّ لها، أو الأرض الميّتة التي لا ربّ لها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وخبر أبي بصير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عن العبد الصالح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وللإمام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بعد الخُمس الأنفال، والأنفال كلّ أرضٍ خَربة باد أهلها، وكلّ أرضٍ لم يُوجَف عليها بخيلٍ ولا ركابٍ‌، وكلّ أرضٍ ميّتة لا ربّ لها، الحديث</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الأرض كلّها للإمام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خالد الكابلي، عن أبي جعفر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 اَلْعاقِبَةُ لِلْمُتَّقِينَ‌ ، أنا وأهلُ بيتي الذين أوْرَثَنا الأرض، ونحنُ المتّقون، والأرض كلّها لنا، فمن أحيا أرضاً من المسلمين، فليعمّرها، وليؤدِّ خراجها إلى الإمام من أهلِ بيتي، الحديث</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سيار،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سيار الأرض كلّها لنا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مَوَتان الأرض للرسول عليه السلام، ويدلّ على المقام بضميمة ما دلّ على أنّ ما كان للرسول فهو للإمام من بعده، لاحظ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موتان الأرض للّه ورسوله، ثمّ هي لكم منّي أيّها المسلمون</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نبويٌ آخر</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 هذه الطوائف لا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موردها المسبوقة بالعمارة، لا الموات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مسوقة لبيان مالكيّته عليه السلام لما لا مالك له، وتوصيفهابالميّتة من باب الغَلَبة، فلا تكون دليلاً على أنّ الموات بالأصالة بما هي موات للإمام عليه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حملها على إرادة الملك بمعنى آخر، فيكون كملكه تعالى ملكاً حقيقيّاً لا اعتباريّاً، فإنّ الممكنات كما أنّها مملوكة له تعالى حقيقةً‌، بإحاطته الوجوديّة على جميع الموجودات، بأفضل أنحاء الإحاطة الحقيقيّة، كذلك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والأئمّة عليهم السلام، بملاحظة كونهم من وسائط فيض الوجود، لهم الجاعلية والإحاطة بذلك الوجه، بمعنى فاعلُ ما به الوجود لا ما منه الوجود، فإنّه مختصٌّ بواجب الوجود، ولا بأس بأن تكون الأملاك ومُلّاكها مملوكة بهذا الوجه، وإنْ لم تكن هي مملوكة لهم بالملك الاعتباري الذي هو موضوع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غير مرويّين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ما أفاده في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انصراف الأرض الخربة إلى المسبوقة بالعمارة، فلا تشمل الموات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لذلك، إذ المنصرف إليه منها عند العرف هو المعنى المقابل لما ينصرف من الأرض العامرة عرفاً، فكما أنّ العامرة تشمل العامرة طبيعيّاً، كذلك الخربة تشمل الخربة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أنّ مورد رواياتها، خصوص ما إذا كانت مسبوقة بالعمران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تضمّن أنّ الأرض الخربة التي باد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كذلك، إلّاأن جملة منها تضمّنت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الخربة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الأرض الخربة التي لم يوجف عليها بخيلٍ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فيها ما يصلح قرينةً لاختصاص موردها بالمسبوقة بالعمارة، فمقتضى عمومها شمولها لكلّ أرضٍ خربة، سواءٌ أكانت خربة بالأصالة، أو كانت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دعواه قائمة على أساس أنّه لا إطلاق لها بالإضافة إلى الموات بالأصالة، وناظرة إلى مالكيّة الإمام لما لا ربّ لها فعلاً من ناحية انجلاء أهلها، أو ما شاكل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تنافي بين العنوانين، بل النسبة بينهما عمومٌ مطلق، فينطبق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الموات بالأصالة، ولا فرق في مالكيّته لها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بعنوان الموات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 إلى ذلك اُستاذه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داعي لحمل الملكيّة فيها على الملكيّة الحقيقيّة، بعد ظهورها في نفسها في إرادة الملكيّة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قرائن تشهد بإرادة الملكيّة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الطِسق والاُجرة له فيها متفرّعاً على ملكيّته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 عليه السلام الأرض للشيعة دون غيرهم، متفرعاً على ملكيّته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عليه السلام إذا ظهر أخذ الأرض من أيدي غير المؤمنين ويخرجهم منها 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أنّ ملكيّته عليه السلام للأرض تكون معارضة مع تملّك غير الإمام بسببٍ من الأسباب الشرعيّة من الإحياء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 إذ النصوص تتضمّن الحكم الأوّلي قبل أيّ سبب فرض، وتدلّ على أنّ الأرض ليست كسائر الأشياء، لتكون من المباحات الأصليّة، بل تكون الأرض بحسب وضعه الطبيعي للإمام، ولا ينافي ذلك ملكيّته لغيره بالعنوان الثانوي وبسببٍ من الأسباب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الدالّة على كون الأرض الموات بالأصالة له عليه السلام مستفيضة، وعليها الفتوى، فلا إشكال في الحكم</w:t>
      </w:r>
      <w:r>
        <w:rPr>
          <w:rFonts w:eastAsia="Amiri" w:cs="Amiri" w:ascii="Amiri" w:hAnsi="Amiri"/>
          <w:color w:val="111111"/>
          <w:sz w:val="28"/>
          <w:szCs w:val="28"/>
          <w:rtl w:val="true"/>
          <w:lang w:bidi="ar-SA"/>
        </w:rPr>
        <w:t>.</w:t>
      </w:r>
      <w:bookmarkStart w:id="297" w:name="pg11804_116732"/>
    </w:p>
    <w:p>
      <w:pPr>
        <w:pStyle w:val="BookText"/>
        <w:rPr/>
      </w:pPr>
      <w:bookmarkEnd w:id="297"/>
      <w:r>
        <w:rPr>
          <w:rFonts w:ascii="Amiri" w:hAnsi="Amiri" w:eastAsia="Amiri" w:cs="Amiri"/>
          <w:color w:val="111111"/>
          <w:sz w:val="28"/>
          <w:sz w:val="28"/>
          <w:szCs w:val="28"/>
          <w:rtl w:val="true"/>
          <w:lang w:bidi="ar-SA"/>
        </w:rPr>
        <w:t>الإحياء سببٌ لدخول الأرض في ملك المُحيي</w:t>
      </w:r>
    </w:p>
    <w:p>
      <w:pPr>
        <w:pStyle w:val="Heading3"/>
        <w:numPr>
          <w:ilvl w:val="2"/>
          <w:numId w:val="1"/>
        </w:numPr>
        <w:rPr/>
      </w:pPr>
      <w:bookmarkStart w:id="298" w:name="__RefHeading___Toc10579868_73709187"/>
      <w:bookmarkStart w:id="299" w:name="_Toc100"/>
      <w:bookmarkEnd w:id="298"/>
      <w:r>
        <w:rPr>
          <w:rtl w:val="true"/>
        </w:rPr>
        <w:t>الإحياء سببٌ لدخول الأرض في ملك المُحيي</w:t>
      </w:r>
      <w:bookmarkEnd w:id="299"/>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912"/>
      </w:r>
      <w:r>
        <w:rPr>
          <w:rFonts w:ascii="Amiri" w:hAnsi="Amiri" w:eastAsia="Amiri" w:cs="Amiri"/>
          <w:color w:val="111111"/>
          <w:sz w:val="28"/>
          <w:sz w:val="28"/>
          <w:szCs w:val="28"/>
          <w:rtl w:val="true"/>
          <w:lang w:bidi="ar-SA"/>
        </w:rPr>
        <w:t>أنّ الإحياء موجبٌ لخروج المال عن ملك الإمام عليه السلام، ودخوله في ملك 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جماعةٍ أنّه إنّما يوجب الأحقّية خاصّة، وظاهرُ المحقّق في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913"/>
      </w:r>
      <w:r>
        <w:rPr>
          <w:rFonts w:ascii="Amiri" w:hAnsi="Amiri" w:eastAsia="Amiri" w:cs="Amiri"/>
          <w:color w:val="111111"/>
          <w:sz w:val="28"/>
          <w:sz w:val="28"/>
          <w:szCs w:val="28"/>
          <w:rtl w:val="true"/>
          <w:lang w:bidi="ar-SA"/>
        </w:rPr>
        <w:t>، وذهب إليه المحقّق الأصفهاني</w:t>
      </w:r>
      <w:r>
        <w:rPr>
          <w:rStyle w:val="FootnoteAnchor"/>
          <w:rtl w:val="true"/>
        </w:rPr>
        <w:footnoteReference w:id="914"/>
      </w:r>
      <w:r>
        <w:rPr>
          <w:rFonts w:ascii="Amiri" w:hAnsi="Amiri" w:eastAsia="Amiri" w:cs="Amiri"/>
          <w:color w:val="111111"/>
          <w:sz w:val="28"/>
          <w:sz w:val="28"/>
          <w:szCs w:val="28"/>
          <w:rtl w:val="true"/>
          <w:lang w:bidi="ar-SA"/>
        </w:rPr>
        <w:t>، ولعلّه ظاهر الآخرين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فتشهد للأوّل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الإمام الباقر والصادق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مواتاً فهي له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أو حَفَر وادياً بديّاً لم يسبقه إليه أحد، أو أحيى أرضاً ميّتة فهي له قضاءً من اللّه ورسوله</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الشراء من أرض اليهود </w:t>
      </w:r>
    </w:p>
    <w:p>
      <w:pPr>
        <w:pStyle w:val="BookText"/>
        <w:rPr/>
      </w:pPr>
      <w:r>
        <w:rPr>
          <w:rFonts w:ascii="Amiri" w:hAnsi="Amiri" w:eastAsia="Amiri" w:cs="Amiri"/>
          <w:color w:val="111111"/>
          <w:sz w:val="28"/>
          <w:sz w:val="28"/>
          <w:szCs w:val="28"/>
          <w:rtl w:val="true"/>
          <w:lang w:bidi="ar-SA"/>
        </w:rPr>
        <w:t xml:space="preserve">والنصارى؟ قال ليس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أو عملوه، فهم أحقّ بها، وهي لهم</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الظاهرة في ذلك، حتّى وإن لم تكن الملكيّة أحد معاني اللّام، كما عن ابن هشام، بل صحيح محمّد كالصريح في ذلك،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بالأحقيّة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عبد اللّه بن سنان، المروي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وأنا حاضر عن رجلٍ أحيى أرضاً مواتاً، فكرى فيها نهراً، وبنى فيها بيوتاً، وغرس نخلاً وشجراً؟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وله أجر بيوتها، وعليه فيها العُشر فيما سَقَت السماء، أو سيل وادي، أو عينٍ‌، وعليه فيما سقت الدّوالي والغَرب</w:t>
      </w:r>
      <w:r>
        <w:rPr>
          <w:rStyle w:val="FootnoteAnchor"/>
          <w:rtl w:val="true"/>
        </w:rPr>
        <w:footnoteReference w:id="920"/>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المجموعة من الأخبار على إفادة الملكيّة غير قابلة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تعارضها طائفةٌ أُخرى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عبّر عنه في كثير من الكلمات بالصحيح، وهو معتبر أبي خالد الكابلي،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يَشاءُ مِنْ عِبادِهِ‌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كلّها لنا، فمن أحيى أرضاً من المسلمين، فليعمّرها وليؤدِّ خراجها إلى الإمام من أهل بيتي، وله ما أكل منها، فإن تركها وأخربها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فأخذها رجلٌ من المسلمين من بعده، فعمّرها وأحياها، فهو أحقّ بها من الذي تركها، فليؤدّ خراجها إلى الإمام من أهل بيتي، وله ما أكل منها حتّى يظهر القائم عليه السلام من أهل بيتي بالسيف، فيحويها ويمنعها ويخرجها منها، كما حواها رسول اللّه صلى الله عليه و آله ومنعها، إلّا ما كان في أيدي شيعتنا، فإنّه يقاطعهم على ما في أيديهم، ويترك الأرض في أيديهم</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دلالته على عدم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فَرَض الخراج فيه على الُمحيي، متفرّعاً على ملكيّته عليها، وإذا كان الإحياء موجباً للملكيّة، لما كان مقتضٍ لفرض الخراج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يدلّ على أنّ الحقّ المتحقّق والحادث من قبل الإحياء إنّما يرتبط بالأرض ما دامت حيّة، فإذا قام غيره بإحيائها ثانياً حصل له الحقّ فيها على أساس ذلك، وهذه الحقيقة تدلّ بوضوح على بقاء الأرض في ملك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القائم إذا ظهر أخذ الأرض من غير المؤمنين، وهذا نصٌّ على بقاء عُلقة الإمام عليه السلام عليها حتّى بعد الإحياء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الخراج إنّما وضع على الأرض بإزاء إذن الإمام عليه السلام المالك لها في إحيائها وتملّكها، ولا يكون في الخبر قرينة على أنّه بعنوان مال الإجارة، لعدم اختصاص الخراج به، وقد صرّح المحقّق النائيني رحمه الله</w:t>
      </w:r>
      <w:r>
        <w:rPr>
          <w:rStyle w:val="FootnoteAnchor"/>
          <w:rtl w:val="true"/>
        </w:rPr>
        <w:footnoteReference w:id="923"/>
      </w:r>
      <w:r>
        <w:rPr>
          <w:rFonts w:ascii="Amiri" w:hAnsi="Amiri" w:eastAsia="Amiri" w:cs="Amiri"/>
          <w:color w:val="111111"/>
          <w:sz w:val="28"/>
          <w:sz w:val="28"/>
          <w:szCs w:val="28"/>
          <w:rtl w:val="true"/>
          <w:lang w:bidi="ar-SA"/>
        </w:rPr>
        <w:t xml:space="preserve">بأنّ الخراج يشمل الضريبة المجعولة من قبل الدولة على تصرّف المالك في ماله، المُسمّى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في محلّه أنّ من الخراج ما يُجعل على الأرض التي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صولح عليها، على أنْ يكون الأرض لهم وعليهم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ما يحصل من الإحياء لا يكون باقياً إلى الأبد، بل يكون مغيّاً بالإحياء الثاني على شرائط، وهذا كما يلائم الحقيّة كذلك يلائم مع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يدلّ عليه أنّ ما يحصل من الإحياء، كان هو الحقّ‌، أو الملك يختصّ بالشيعة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في الخبر في عدم الملكيّة كي يعارض مع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المحقّق القُمّي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خالد هذا الظاهر أنّه الأصغر، لأنّ الأكبر من حواريي عليّبن الحسين عليهما السلام، والذي يروي عن الباقر والصادق هو الأصغر، ولم نقف له على توثيق ولا مدح له في مصادرنا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الأصغر وقع في سلسلة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ابن قولويه بوثاقة جميع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حكم زمان الحضور، كما يدلّ عليه إعطاء الخراج، وتبع في ذلك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يظهر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قرينة على عدم الاختصاص بزمان الحضور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الأرض الخربة فيستخرجها، ويجري أنهارها، ويعمرها ويزرعها، ماذا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عدم انقطاع علاقة مالك الأرض عن أرضه نهائيّاً بذلك، وإلّا لم يبق حقٌّ ليدفع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هو في الأرض التي لها مالكٌ غير الإمام، ولا ربط له بما نحن فيه، بل يمكن أن يقال إنّ تعبيره عن الُمحيي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الصدر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الزكاة، قرينتان على حصول الملك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أرضاً من المؤمنين فهي له، وعليه طسقها، يؤدّيها إلى الإمام عليه السلام في حال الهدنة، فإذا ظهر القائم فليوطّن نفسه على أنْ تُؤخذ منه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الأُجرة، كي يتمّ ما استظهر من الخبر، فإنّما هي كلمة فارسيّة معرّبة، وتساوق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فيجري في هذا الخبر ما ذكرناه في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معارض للروايات الدالّة على الملكيّة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تنزّلنا عن ذلك، وسلّمنا ظهورها في عدم الملكيّة، يقع التعارض بين الطائفتين، فلابدّ من الرجوع إلى المرجّحات، وهي تقتضي تقديم الأولى للشهرة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أُريد بها الشهرة الفتوائيّة أو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الثانية موافقة للكتاب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Style w:val="FootnoteAnchor"/>
          <w:rtl w:val="true"/>
        </w:rPr>
        <w:footnoteReference w:id="928"/>
      </w:r>
      <w:r>
        <w:rPr>
          <w:rFonts w:ascii="Amiri" w:hAnsi="Amiri" w:eastAsia="Amiri" w:cs="Amiri"/>
          <w:color w:val="111111"/>
          <w:sz w:val="28"/>
          <w:sz w:val="28"/>
          <w:szCs w:val="28"/>
          <w:rtl w:val="true"/>
          <w:lang w:bidi="ar-SA"/>
        </w:rPr>
        <w:t>إذ لم تثبت كون عمليّة الإحياء تجارة عن تراض، فتكون أكلاً للمال بالباطل، والأُولى مخالفة له فتقدّم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الثانية مخالفة للعامّة، فتقدَّم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موافقة الكتاب ومخالفة العامّة، متأخّرتان عن الشهرة، وأرجحيّة صفات الراوي، وعرفت أنّهما تقتضيان تقديم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الطائفة الثانية على عدم الملك، إنّما هي لتضمّنها وجوب الخراج، فإذا حملناها على الحكم غير اللّزومي بقرينة ما سيمرّ عليك من دلالة الروايات على عدم وجوبها، فلا يبقى لها مدلولٌ التزامي أي عدم الملكيّة، فإذاً لا شبهة في حصول الملكيّة بالإحياء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00" w:name="pg11804_116738"/>
    </w:p>
    <w:p>
      <w:pPr>
        <w:pStyle w:val="BookText"/>
        <w:rPr/>
      </w:pPr>
      <w:bookmarkEnd w:id="300"/>
      <w:r>
        <w:rPr>
          <w:rFonts w:ascii="Amiri" w:hAnsi="Amiri" w:eastAsia="Amiri" w:cs="Amiri"/>
          <w:color w:val="111111"/>
          <w:sz w:val="28"/>
          <w:sz w:val="28"/>
          <w:szCs w:val="28"/>
          <w:rtl w:val="true"/>
          <w:lang w:bidi="ar-SA"/>
        </w:rPr>
        <w:t>اعتبار إذن الإمام عليه السلام في التملّك</w:t>
      </w:r>
    </w:p>
    <w:p>
      <w:pPr>
        <w:pStyle w:val="Heading3"/>
        <w:numPr>
          <w:ilvl w:val="2"/>
          <w:numId w:val="1"/>
        </w:numPr>
        <w:rPr/>
      </w:pPr>
      <w:bookmarkStart w:id="301" w:name="__RefHeading___Toc10579870_73709187"/>
      <w:bookmarkStart w:id="302" w:name="_Toc101"/>
      <w:bookmarkEnd w:id="301"/>
      <w:r>
        <w:rPr>
          <w:rtl w:val="true"/>
        </w:rPr>
        <w:t>اعتبار إذن الإمام عليه السلام في التملّك</w:t>
      </w:r>
      <w:bookmarkEnd w:id="302"/>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إذنه عليه السلام في التملّك بالإحياء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وغيرهما في غيرهما</w:t>
      </w:r>
      <w:r>
        <w:rPr>
          <w:rStyle w:val="FootnoteAnchor"/>
          <w:rtl w:val="true"/>
        </w:rPr>
        <w:footnoteReference w:id="931"/>
      </w:r>
      <w:r>
        <w:rPr>
          <w:rFonts w:ascii="IRNazanin" w:hAnsi="IRNazanin" w:eastAsia="IRNazanin"/>
          <w:color w:val="111111"/>
          <w:sz w:val="28"/>
          <w:sz w:val="28"/>
          <w:szCs w:val="28"/>
          <w:rtl w:val="true"/>
          <w:lang w:bidi="fa-IR"/>
        </w:rPr>
        <w:t>دعوى الإجماع على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قولان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زماني الحضور والغيبة، فيعتبر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اعتبار ذلك، لحرمة التصرّف في مال الغير بدون إذنه، ومنافاة التملّك بغير إذنه لقاعدة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الجواز إذن مالك الملوك في ذلك، وإن لم يأذن مالكها، كما في التملّك بالإلتقاط وحقّ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الإذن إذا كان من ما ورد في نصوص سببيّة الإحياء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كأدلّة سائر الأسباب، لا تعارض ما دلّ على الإناطة بإذن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غيرها فعليه البيان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الإستيذان منه عليه السلام في زمان الغيبة، ولا دليل على نيابة الفقيه منه في هذه الأُمور، مع مشروعيّة الإحياء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عدم صدور الإذن منه عليه السلام،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باعتبار الإذن يدّعون صدوره منه، واستندوا في ذلك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النبويّان</w:t>
      </w:r>
      <w:r>
        <w:rPr>
          <w:rStyle w:val="FootnoteAnchor"/>
          <w:rtl w:val="true"/>
        </w:rPr>
        <w:footnoteReference w:id="932"/>
      </w:r>
      <w:r>
        <w:rPr>
          <w:rFonts w:ascii="Amiri" w:hAnsi="Amiri" w:eastAsia="Amiri" w:cs="Amiri"/>
          <w:color w:val="111111"/>
          <w:sz w:val="28"/>
          <w:sz w:val="28"/>
          <w:szCs w:val="28"/>
          <w:rtl w:val="true"/>
          <w:lang w:bidi="ar-SA"/>
        </w:rPr>
        <w:t>حيث ورد في أحدهما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هي لكم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الآخر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هي لكم منّي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وإنْ كان هو التمليك ولو مع عدم الإحياء، إلّاأنّ الجمع بينهما وبين ما دلّ على سببيّة الإحياء يقتضي الالتزام بملكيّتها للمُحيي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لم يرويا عن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فإنّه وإنْ تضمّن الإذن التشريعي في الإحياء، إلّاأن صدور ذلك من المالك يقتضي كونه إذناً مالكيّاً، نظير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فله كذا، فإنّه يتضمّن الإذن المالكي كتضمّنه لسببيّة الدخول للجزاء، وكذلك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المالكي لابدّ وأن يصدر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النصوص المتضمّنة لهذه الجملة، تكون مفيدة بالنسبة إلى أزمنة حضور الأئمّة عليهم السلام الذين قبل إمام زماننا عليهم السلام، وحيث أنّه المالك ولم تصدر هذه الجملة منه، فلا يفيد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التحليل، سيّما مثل خبر مسمع بن عبد الملك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كان من الأرض في أيدي شيعتنا، فهم فيه محلّلون، يحلّ لهم ذلك إلى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3" w:name="pg11804_116740"/>
    </w:p>
    <w:p>
      <w:pPr>
        <w:pStyle w:val="BookText"/>
        <w:rPr/>
      </w:pPr>
      <w:bookmarkEnd w:id="303"/>
      <w:r>
        <w:rPr>
          <w:rFonts w:ascii="Amiri" w:hAnsi="Amiri" w:eastAsia="Amiri" w:cs="Amiri"/>
          <w:color w:val="111111"/>
          <w:sz w:val="28"/>
          <w:sz w:val="28"/>
          <w:szCs w:val="28"/>
          <w:rtl w:val="true"/>
          <w:lang w:bidi="ar-SA"/>
        </w:rPr>
        <w:t>أن يقوم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يستفاد منها حليّة التصرّف، فبضمّها إلى ما دلّ على سببيّة الإحياء للملك، يستنتج إذنهم عليهم السلام في التملّك بالإحياء، وهذا الوجه يتوقّف على شمول أخبار التحليل للأراضي، وهو كذلك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كاشف الغطاء</w:t>
      </w:r>
      <w:r>
        <w:rPr>
          <w:rStyle w:val="FootnoteAnchor"/>
          <w:rtl w:val="true"/>
        </w:rPr>
        <w:footnoteReference w:id="935"/>
      </w:r>
      <w:r>
        <w:rPr>
          <w:rFonts w:ascii="Amiri" w:hAnsi="Amiri" w:eastAsia="Amiri" w:cs="Amiri"/>
          <w:color w:val="111111"/>
          <w:sz w:val="28"/>
          <w:sz w:val="28"/>
          <w:szCs w:val="28"/>
          <w:rtl w:val="true"/>
          <w:lang w:bidi="ar-SA"/>
        </w:rPr>
        <w:t>من دلالة شاهد الحال على رضاهم بالإحياء، وطيب نفسهم بعمارة الأرض، ولا بأس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المُحيي للأرض</w:t>
      </w:r>
    </w:p>
    <w:p>
      <w:pPr>
        <w:pStyle w:val="Heading3"/>
        <w:numPr>
          <w:ilvl w:val="2"/>
          <w:numId w:val="1"/>
        </w:numPr>
        <w:rPr/>
      </w:pPr>
      <w:bookmarkStart w:id="304" w:name="__RefHeading___Toc10579872_73709187"/>
      <w:bookmarkStart w:id="305" w:name="_Toc102"/>
      <w:bookmarkEnd w:id="304"/>
      <w:r>
        <w:rPr>
          <w:rtl w:val="true"/>
        </w:rPr>
        <w:t>البحث عن المُحيي للأرض</w:t>
      </w:r>
      <w:bookmarkEnd w:id="305"/>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ثبوت رضاه عليه السلام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أنّ التملّك بالإحياء هل يختصّ بالشيعة، أم يعمّ كلّ مسلم، أو يعمّ الكافر؟</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على اعتبارالإسلام، ونحوه ماعن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جمعٍ من الأساطين</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بالنبويّين المتقدّمين المتضمّنين للتمليك بالمسلمين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الكابلي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من المسلمين فهي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النبويّين ضعيفان، والصحيح لا مفهوم له كي يدلّ على عدم تملّك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الشراء من أرض اليهود والنصارى؟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قوم أحيوا شيئاً من الأرض، أو عملوه، فهم أحقّ بها، وهي لهم</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الفضلاء</w:t>
      </w:r>
      <w:r>
        <w:rPr>
          <w:rStyle w:val="FootnoteAnchor"/>
          <w:rtl w:val="true"/>
        </w:rPr>
        <w:footnoteReference w:id="940"/>
      </w:r>
      <w:r>
        <w:rPr>
          <w:rFonts w:ascii="Amiri" w:hAnsi="Amiri" w:eastAsia="Amiri" w:cs="Amiri"/>
          <w:color w:val="111111"/>
          <w:sz w:val="28"/>
          <w:sz w:val="28"/>
          <w:szCs w:val="28"/>
          <w:rtl w:val="true"/>
          <w:lang w:bidi="ar-SA"/>
        </w:rPr>
        <w:t>، وخبر زرارة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اعتبار الإذن، وأنّ ثبوت إذنهم عليهم السلام إنّما يكون بأخبار التحليل المختصّة بالشيعة، فضلاً عن دلالة شاهد الحال، ففي زمان الغيبة الالتزام بملكيّة الأرض لغير الشيعة بالإحياء يتوقّف على إحراز رضاه بذلك، وإلّا فلا يكون الإحياء مملّكاً، وقد ورد في صحيح عمر بن يزيد، عن مسمع بن عبد الملك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كان في أيدي غيرهم، فإنّ كسبهم من الأرض حرامٌ عليهم، حتّى يقوم قائمنا فيأخذ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صريحٌ في عدم الإذن لغير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الاختصاص بهم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06" w:name="pg11804_116742"/>
    </w:p>
    <w:p>
      <w:pPr>
        <w:pStyle w:val="BookText"/>
        <w:rPr/>
      </w:pPr>
      <w:bookmarkEnd w:id="306"/>
      <w:r>
        <w:rPr>
          <w:rFonts w:ascii="Amiri" w:hAnsi="Amiri" w:eastAsia="Amiri" w:cs="Amiri"/>
          <w:color w:val="111111"/>
          <w:sz w:val="28"/>
          <w:sz w:val="28"/>
          <w:szCs w:val="28"/>
          <w:rtl w:val="true"/>
          <w:lang w:bidi="ar-SA"/>
        </w:rPr>
        <w:t>في لزوم أداء الخراج على المُحيي وعدمه</w:t>
      </w:r>
    </w:p>
    <w:p>
      <w:pPr>
        <w:pStyle w:val="Heading3"/>
        <w:numPr>
          <w:ilvl w:val="2"/>
          <w:numId w:val="1"/>
        </w:numPr>
        <w:rPr/>
      </w:pPr>
      <w:bookmarkStart w:id="307" w:name="__RefHeading___Toc10579874_73709187"/>
      <w:bookmarkStart w:id="308" w:name="_Toc103"/>
      <w:bookmarkEnd w:id="307"/>
      <w:r>
        <w:rPr>
          <w:rtl w:val="true"/>
        </w:rPr>
        <w:t>في لزوم أداء الخراج على المُحيي وعدمه</w:t>
      </w:r>
      <w:bookmarkEnd w:id="308"/>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الأرض هل يملكها الُمحيي مجّاناً، أو يجب عليه أداء خراجها إلى الإمام عليه السلام‌؟</w:t>
      </w:r>
    </w:p>
    <w:p>
      <w:pPr>
        <w:pStyle w:val="BookText"/>
        <w:rPr/>
      </w:pPr>
      <w:r>
        <w:rPr>
          <w:rFonts w:ascii="Amiri" w:hAnsi="Amiri" w:eastAsia="Amiri" w:cs="Amiri"/>
          <w:color w:val="111111"/>
          <w:sz w:val="28"/>
          <w:sz w:val="28"/>
          <w:szCs w:val="28"/>
          <w:rtl w:val="true"/>
          <w:lang w:bidi="ar-SA"/>
        </w:rPr>
        <w:t xml:space="preserve">ظاهر فتاوى القوم أنّ الملك بلاعوض،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الملك مجّاناً، لكن مقتضى صحيحي الكابلي وعمر بن يزيد المتقدّمين، هو إيجاب الخراج، المنافي لكونها مِلْكاً، لكن من جهة اُخرى مقتضى نصوص التحليل سقوط الخراج، والجمع بين هذه الطوائف بحمل نصوص الخراج على زمان الحضور، كما عن 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 يأباه صريح نصوص التحليل، كما أنّ حمل نصوص الخراج على بيان الاستحقاق، كما اختاره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ظهورها في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أنّه لابدَّ من تأويل نصوص الخراج، أو ردّ علمها إلى أهلها، لمعارضتها مع نصوص التملّك بالإحياء، وعدم عمل الأصحاب بها، مضافاً إلى ما ذكرناه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الفقاهة</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من عدم كون هذه الأرض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سقوط الخراج، إمّا لعدم تشريعه، أو للتحليل، فنصوص الإحياء لا معارض لها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بقيّة شرائط الإحياء وأحكامه، سيأتي في كتاب الجهاد إن شاء اللّه تعالى‌</w:t>
      </w:r>
      <w:r>
        <w:rPr>
          <w:rFonts w:eastAsia="Amiri" w:cs="Amiri" w:ascii="Amiri" w:hAnsi="Amiri"/>
          <w:color w:val="111111"/>
          <w:sz w:val="28"/>
          <w:szCs w:val="28"/>
          <w:rtl w:val="true"/>
          <w:lang w:bidi="ar-SA"/>
        </w:rPr>
        <w:t>.</w:t>
      </w:r>
      <w:bookmarkStart w:id="309" w:name="pg11804_116743"/>
    </w:p>
    <w:p>
      <w:pPr>
        <w:pStyle w:val="BookText"/>
        <w:rPr/>
      </w:pPr>
      <w:bookmarkEnd w:id="309"/>
      <w:r>
        <w:rPr>
          <w:rFonts w:ascii="Amiri" w:hAnsi="Amiri" w:eastAsia="Amiri" w:cs="Amiri"/>
          <w:color w:val="111111"/>
          <w:sz w:val="28"/>
          <w:sz w:val="28"/>
          <w:szCs w:val="28"/>
          <w:rtl w:val="true"/>
          <w:lang w:bidi="ar-SA"/>
        </w:rPr>
        <w:t>الأرض العامرة</w:t>
      </w:r>
    </w:p>
    <w:p>
      <w:pPr>
        <w:pStyle w:val="Heading3"/>
        <w:numPr>
          <w:ilvl w:val="2"/>
          <w:numId w:val="1"/>
        </w:numPr>
        <w:rPr/>
      </w:pPr>
      <w:bookmarkStart w:id="310" w:name="__RefHeading___Toc10579876_73709187"/>
      <w:bookmarkStart w:id="311" w:name="_Toc104"/>
      <w:bookmarkEnd w:id="310"/>
      <w:r>
        <w:rPr>
          <w:rtl w:val="true"/>
        </w:rPr>
        <w:t>الأرض العامرة</w:t>
      </w:r>
      <w:bookmarkEnd w:id="3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الوقوف على الأرض الميّتة وحكمها، لا بأس بالإشارة إلى حكم الأرض العامرة، ومحصّل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عامرة بالأصالة، أي لا من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عامرة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بالعامرة، هي التي ينتفع بها على ما هي عليه من الحال، كما إذا كانت بحيث يكثر عليها وقوع الأمطار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العامرة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تكون للإمام، أم تكون من المباحات الأصليّة‌؟</w:t>
      </w:r>
    </w:p>
    <w:p>
      <w:pPr>
        <w:pStyle w:val="BookText"/>
        <w:rPr/>
      </w:pPr>
      <w:r>
        <w:rPr>
          <w:rFonts w:ascii="Amiri" w:hAnsi="Amiri" w:eastAsia="Amiri" w:cs="Amiri"/>
          <w:color w:val="111111"/>
          <w:sz w:val="28"/>
          <w:sz w:val="28"/>
          <w:szCs w:val="28"/>
          <w:rtl w:val="true"/>
          <w:lang w:bidi="ar-SA"/>
        </w:rPr>
        <w:t>استظهر الشيخ الأعظم</w:t>
      </w:r>
      <w:r>
        <w:rPr>
          <w:rStyle w:val="FootnoteAnchor"/>
          <w:rtl w:val="true"/>
        </w:rPr>
        <w:footnoteReference w:id="943"/>
      </w:r>
      <w:r>
        <w:rPr>
          <w:rFonts w:ascii="Amiri" w:hAnsi="Amiri" w:eastAsia="Amiri" w:cs="Amiri"/>
          <w:color w:val="111111"/>
          <w:sz w:val="28"/>
          <w:sz w:val="28"/>
          <w:szCs w:val="28"/>
          <w:rtl w:val="true"/>
          <w:lang w:bidi="ar-SA"/>
        </w:rPr>
        <w:t xml:space="preserve">من كلام القوم الأوّل، واستظهرصاحب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منه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لكونها من الأنفال وللإمام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w:t>
      </w:r>
      <w:r>
        <w:rPr>
          <w:rStyle w:val="FootnoteAnchor"/>
          <w:rtl w:val="true"/>
        </w:rPr>
        <w:footnoteReference w:id="9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رُوي على ما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أرضٍ لم يجر عليها ملك مُسلمٍ فهو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صرّح بعدم كون ذلك رواية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الالتزام بعمومه، فإنّ مقتضاه كون جميع أراضي الكفّار </w:t>
      </w:r>
    </w:p>
    <w:p>
      <w:pPr>
        <w:pStyle w:val="BookText"/>
        <w:rPr/>
      </w:pPr>
      <w:r>
        <w:rPr>
          <w:rFonts w:ascii="IRNazanin" w:hAnsi="IRNazanin" w:eastAsia="IRNazanin"/>
          <w:color w:val="111111"/>
          <w:sz w:val="28"/>
          <w:sz w:val="28"/>
          <w:szCs w:val="28"/>
          <w:rtl w:val="true"/>
          <w:lang w:bidi="fa-IR"/>
        </w:rPr>
        <w:t>للإمام، مع أنّه خلاف النَّص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كونه رواية وعامّاً، يتعيّن تخصيصه بما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 رحمه الله</w:t>
      </w:r>
      <w:r>
        <w:rPr>
          <w:rStyle w:val="FootnoteAnchor"/>
          <w:rtl w:val="true"/>
        </w:rPr>
        <w:footnoteReference w:id="94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عَدّ الآجام الذي هو قسمٌ من الُمحيّاة بالأصالة في الأنفال</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الآجام من الموات، فإنّ الاستيجام مانعٌ عن الانتفاع بالأرض، وقد صرّح بذلك الفقهاء</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خصوص هذا القسم للإمام لدليلٍ خاصّ‌، أعمٌّ من كون سائر الأقسام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الأرض كلّها للإمام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أنّه لابدّ من توجيه هذه النصوص، بحملها على الملكيّة الحقيقيّة غير المنافية لكونها من المباحات أو لغيرهم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إسحاق بن عمّار، حيث عد فيه من الأنفال التي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الشامل للعامرة، ونحوه خبر أبي بصير</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هذين الخبرين، يقيّد بما في مرسل حمّاد، حيث عَدّ من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الميتة التي لا 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تقييد الأرض بالميّتة في مقام الحصر والتحديد،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يدلّ بالمفهوم على أنّ الأرض غير الميّتة ليست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الشيخ الأعظم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ورود الوصف مورد الغالب، إذ الغالب في الأرض التي لا مالك لها كونها 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يُؤخذ قيداً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اُخذت قيداً للأرض، فلا يكون القيد غالبيّاً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وجه لحمل القيد على الغالب، مع أنّه لو تمّ ذلك أمكن حمل الإطلاقات على الغالب، لعين ما ذكره، إذ كما يقال إنّ ذكر القيد يكون للغلبة، كذلك يقال إنّ إهماله مع اعتباره لمكان الغلبة، فلا إطلاق يعمّ العامرة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أنّها من المباحات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أنّها من المباحات، لا كلام في أنّها تُملَك بالحيازة، كما لا يخفى‌، وأمّا على القول بأنّها للإمام فقد استدلّ 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لتملّكها بالحيازة، بعموم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لم يسبقه إليه مسلمٌ فهو أحقّ به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بما لا مالك له،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الأحقيّة أعمٌّ من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يستدلّ له بأخبار التحليل، الظاهرة في الملكيّة،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القول بتملّكها بالإحياء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السّكوني، عن الإمام الصادق عليه السلام، عن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 شجراً، أو حفر وادياً بديّاً لم يسبقه إليه أحد، أو أحيى أرضاً ميّتة فهي له قضاءً من اللّه ورسوله</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جعل الغرس والحفر قبال الإحياء أنّهما يوجبان الملكيّة بأنفسهما، وبضميمة 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الحكم في سائر أفراد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ولمضمر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وأيّما قوم أحيوا شيئاً من الأرض أو عملوه، فهم أحقّ بها وهي لهم</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12" w:name="pg11804_116747"/>
    </w:p>
    <w:p>
      <w:pPr>
        <w:pStyle w:val="BookText"/>
        <w:rPr/>
      </w:pPr>
      <w:bookmarkEnd w:id="312"/>
      <w:r>
        <w:rPr>
          <w:rFonts w:ascii="Amiri" w:hAnsi="Amiri" w:eastAsia="Amiri" w:cs="Amiri"/>
          <w:color w:val="111111"/>
          <w:sz w:val="28"/>
          <w:sz w:val="28"/>
          <w:szCs w:val="28"/>
          <w:rtl w:val="true"/>
          <w:lang w:bidi="ar-SA"/>
        </w:rPr>
        <w:t>الأرض العامرة بعد الموت</w:t>
      </w:r>
    </w:p>
    <w:p>
      <w:pPr>
        <w:pStyle w:val="Heading3"/>
        <w:numPr>
          <w:ilvl w:val="2"/>
          <w:numId w:val="1"/>
        </w:numPr>
        <w:rPr/>
      </w:pPr>
      <w:bookmarkStart w:id="313" w:name="__RefHeading___Toc10579878_73709187"/>
      <w:bookmarkStart w:id="314" w:name="_Toc105"/>
      <w:bookmarkEnd w:id="313"/>
      <w:r>
        <w:rPr>
          <w:rtl w:val="true"/>
        </w:rPr>
        <w:t>الأرض العامرة بعد الموت</w:t>
      </w:r>
      <w:bookmarkEnd w:id="314"/>
    </w:p>
    <w:p>
      <w:pPr>
        <w:pStyle w:val="BookText"/>
        <w:rPr/>
      </w:pPr>
      <w:r>
        <w:rPr>
          <w:rFonts w:ascii="Amiri" w:hAnsi="Amiri" w:eastAsia="Amiri" w:cs="Amiri"/>
          <w:color w:val="111111"/>
          <w:sz w:val="28"/>
          <w:sz w:val="28"/>
          <w:szCs w:val="28"/>
          <w:rtl w:val="true"/>
          <w:lang w:bidi="ar-SA"/>
        </w:rPr>
        <w:t>وأمّا الأرض العامرة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العمارة بسببٍ سماوي، كانت الأرض للإمام عليه السلام، لا للاستصحاب، بل للأدلّة، فإنّها دالّة على عدم خروج المِلْك عن ملك مالكها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بغير إذنه، فهي له عليه السلام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بإذنه، فالمشهور بين الأصحاب أنّها مِلْكٌ للمحيي، بل عن غير واحدٍ</w:t>
      </w:r>
      <w:r>
        <w:rPr>
          <w:rStyle w:val="FootnoteAnchor"/>
          <w:rtl w:val="true"/>
        </w:rPr>
        <w:footnoteReference w:id="955"/>
      </w:r>
      <w:r>
        <w:rPr>
          <w:rFonts w:ascii="Amiri" w:hAnsi="Amiri" w:eastAsia="Amiri" w:cs="Amiri"/>
          <w:color w:val="111111"/>
          <w:sz w:val="28"/>
          <w:sz w:val="28"/>
          <w:szCs w:val="28"/>
          <w:rtl w:val="true"/>
          <w:lang w:bidi="ar-SA"/>
        </w:rPr>
        <w:t xml:space="preserve">دعوى الإجماع عليه،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وعرفت أنّها تُملك بالإحياء، وتصبح ملكاً للمُحيي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أحكام الأرض المفتوحة عنوة، وجملةً من أحكام بقيّة الأراضي مذكورة في كتاب الجهاد</w:t>
      </w:r>
      <w:r>
        <w:rPr>
          <w:rStyle w:val="FootnoteAnchor"/>
          <w:rtl w:val="true"/>
        </w:rPr>
        <w:footnoteReference w:id="956"/>
      </w:r>
      <w:r>
        <w:rPr>
          <w:rFonts w:ascii="Amiri" w:hAnsi="Amiri" w:eastAsia="Amiri" w:cs="Amiri"/>
          <w:color w:val="111111"/>
          <w:sz w:val="28"/>
          <w:sz w:val="28"/>
          <w:szCs w:val="28"/>
          <w:rtl w:val="true"/>
          <w:lang w:bidi="ar-SA"/>
        </w:rPr>
        <w:t>، وجملة اُخرى منها مذكورة في أوّل كتاب البيع</w:t>
      </w:r>
      <w:r>
        <w:rPr>
          <w:rStyle w:val="FootnoteAnchor"/>
          <w:rtl w:val="true"/>
        </w:rPr>
        <w:footnoteReference w:id="957"/>
      </w:r>
      <w:r>
        <w:rPr>
          <w:rFonts w:ascii="Amiri" w:hAnsi="Amiri" w:eastAsia="Amiri" w:cs="Amiri"/>
          <w:color w:val="111111"/>
          <w:sz w:val="28"/>
          <w:sz w:val="28"/>
          <w:szCs w:val="28"/>
          <w:rtl w:val="true"/>
          <w:lang w:bidi="ar-SA"/>
        </w:rPr>
        <w:t>، فمَن أحبّ الإطّلاع فليراجعهما</w:t>
      </w:r>
      <w:r>
        <w:rPr>
          <w:rFonts w:eastAsia="Amiri" w:cs="Amiri" w:ascii="Amiri" w:hAnsi="Amiri"/>
          <w:color w:val="111111"/>
          <w:sz w:val="28"/>
          <w:szCs w:val="28"/>
          <w:rtl w:val="true"/>
          <w:lang w:bidi="ar-SA"/>
        </w:rPr>
        <w:t>.</w:t>
      </w:r>
      <w:bookmarkStart w:id="315" w:name="pg11804_116748"/>
    </w:p>
    <w:p>
      <w:pPr>
        <w:pStyle w:val="BookText"/>
        <w:rPr/>
      </w:pPr>
      <w:bookmarkEnd w:id="315"/>
      <w:r>
        <w:rPr>
          <w:rFonts w:ascii="IRNazanin" w:hAnsi="IRNazanin" w:eastAsia="IRNazanin"/>
          <w:color w:val="111111"/>
          <w:sz w:val="28"/>
          <w:sz w:val="28"/>
          <w:szCs w:val="28"/>
          <w:rtl w:val="true"/>
          <w:lang w:bidi="fa-IR"/>
        </w:rPr>
        <w:t>والآجام</w:t>
      </w:r>
      <w:r>
        <w:rPr>
          <w:rFonts w:eastAsia="IRNazanin" w:cs="IRNazanin"/>
          <w:color w:val="111111"/>
          <w:sz w:val="28"/>
          <w:szCs w:val="28"/>
          <w:rtl w:val="true"/>
          <w:lang w:bidi="fa-IR"/>
        </w:rPr>
        <w:t>.</w:t>
      </w:r>
    </w:p>
    <w:p>
      <w:pPr>
        <w:pStyle w:val="Heading3"/>
        <w:numPr>
          <w:ilvl w:val="2"/>
          <w:numId w:val="1"/>
        </w:numPr>
        <w:rPr/>
      </w:pPr>
      <w:bookmarkStart w:id="316" w:name="__RefHeading___Toc10579880_73709187"/>
      <w:bookmarkStart w:id="317" w:name="_Toc106"/>
      <w:bookmarkEnd w:id="316"/>
      <w:r>
        <w:rPr>
          <w:rtl w:val="true"/>
        </w:rPr>
        <w:t>الآجام من الأنفال</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جمعُ أجمة، وهي الأرض المملوءة من القصب، والشَّجر الكثير الملتفّ بعضه ببعض، كما صرّح بذلك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وغيرها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فالنفل هو الأرض ذات الشجر الكثير، أو المملوءة بالقصب، فما عن اللّغويّين</w:t>
      </w:r>
      <w:r>
        <w:rPr>
          <w:rStyle w:val="FootnoteAnchor"/>
          <w:rtl w:val="true"/>
        </w:rPr>
        <w:footnoteReference w:id="960"/>
      </w:r>
      <w:r>
        <w:rPr>
          <w:rFonts w:ascii="Amiri" w:hAnsi="Amiri" w:eastAsia="Amiri" w:cs="Amiri"/>
          <w:color w:val="111111"/>
          <w:sz w:val="28"/>
          <w:sz w:val="28"/>
          <w:szCs w:val="28"/>
          <w:rtl w:val="true"/>
          <w:lang w:bidi="ar-SA"/>
        </w:rPr>
        <w:t>من تفسيرها بأنّها الشّجر الملتف من مسامحاتهم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فيدلّ على كونها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الظاهر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مرسل حمّاد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رؤوس الجبال، و بطون الأودية والآجام</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داود بن فرقد</w:t>
      </w:r>
      <w:r>
        <w:rPr>
          <w:rStyle w:val="FootnoteAnchor"/>
          <w:rtl w:val="true"/>
        </w:rPr>
        <w:footnoteReference w:id="962"/>
      </w:r>
      <w:r>
        <w:rPr>
          <w:rFonts w:ascii="Amiri" w:hAnsi="Amiri" w:eastAsia="Amiri" w:cs="Amiri"/>
          <w:color w:val="111111"/>
          <w:sz w:val="28"/>
          <w:sz w:val="28"/>
          <w:szCs w:val="28"/>
          <w:rtl w:val="true"/>
          <w:lang w:bidi="ar-SA"/>
        </w:rPr>
        <w:t>، وغيره، وخبر الحسن بن راشد</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من التوقّف </w:t>
      </w:r>
    </w:p>
    <w:p>
      <w:pPr>
        <w:pStyle w:val="BookText"/>
        <w:rPr/>
      </w:pPr>
      <w:r>
        <w:rPr>
          <w:rFonts w:ascii="Amiri" w:hAnsi="Amiri" w:eastAsia="Amiri" w:cs="Amiri"/>
          <w:color w:val="111111"/>
          <w:sz w:val="28"/>
          <w:sz w:val="28"/>
          <w:szCs w:val="28"/>
          <w:rtl w:val="true"/>
          <w:lang w:bidi="ar-SA"/>
        </w:rPr>
        <w:t>فيه، ضعيفٌ‌</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في كونها مطلقاً للإمام، أو إذا كانت في الأراضي المختصّة بالإمام، هو الكلام في رؤوس الجبال وبطون الأودية قولاً ودليلاً، وقد عرفت أنّ الأقوى هو العموم، فلو استجامت أرض الغير، دخلت في مِلْك الإمام عليه السلام</w:t>
      </w:r>
      <w:r>
        <w:rPr>
          <w:rFonts w:eastAsia="Amiri" w:cs="Amiri" w:ascii="Amiri" w:hAnsi="Amiri"/>
          <w:color w:val="111111"/>
          <w:sz w:val="28"/>
          <w:szCs w:val="28"/>
          <w:rtl w:val="true"/>
          <w:lang w:bidi="ar-SA"/>
        </w:rPr>
        <w:t>.</w:t>
      </w:r>
      <w:bookmarkStart w:id="318" w:name="pg11804_116750"/>
    </w:p>
    <w:p>
      <w:pPr>
        <w:pStyle w:val="BookText"/>
        <w:rPr/>
      </w:pPr>
      <w:bookmarkEnd w:id="318"/>
      <w:r>
        <w:rPr>
          <w:rFonts w:ascii="Amiri" w:hAnsi="Amiri" w:eastAsia="Amiri" w:cs="Amiri"/>
          <w:color w:val="111111"/>
          <w:sz w:val="28"/>
          <w:sz w:val="28"/>
          <w:szCs w:val="28"/>
          <w:rtl w:val="true"/>
          <w:lang w:bidi="ar-SA"/>
        </w:rPr>
        <w:t>وصَوافي الملوك وقطائعهم</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0579882_73709187"/>
      <w:bookmarkStart w:id="320" w:name="_Toc107"/>
      <w:bookmarkEnd w:id="319"/>
      <w:r>
        <w:rPr>
          <w:rtl w:val="true"/>
        </w:rPr>
        <w:t>صَوافي الملوك من الأنفال</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صوافي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الجارية والفَرَس والغِلْمان،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المحقّق الأردبيلي</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أعمّ‌، لأنّها اشتقّت من الصفو، وهو اختيار ما يريد من الأُمور الحسنة، لكن المراد هنا هي المنقولات الحَسَنة التي تكون للملوك، لمقابلتها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وقطائعهم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القُرى والبساتين والمزارع المخصوصة بالملوك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الأنفال صفايا الملوك وقطائعهم ممّا كان في أيديهم، من غير جهة الغصب، بمعنى أنّ كلّ أرضٍ فُتحت من أهل الحرب، فما كان يختصّ بملكهم فهو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الأنفال ما يصطفيه من الغنيمة في الحرب، مثل الفَرَس الجَواد، والثوب المرتفع، والجارية الحَسناء، والسَّيف القاطع الفاخر، وما أشبه ذلك، ممّا يجحف بالغانمين،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داود بن فرقد،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قطائع الملوك كلّها للإمام عليه السلام، وليس للناس فيها شيء</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الأنفال‌؟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فهو خالصٌ للإمام، ليس للناس فيها سهم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حمّاد بن عيسى‌، عن العبد الصالح عليه السلام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صوافي الملوك ما كان في أيديهم من غير وجه الغصب، لأنّ الغصب كلّه مردود، الحديث</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الثمالي، عن الإمام الباقر عليه السلام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للملوك فهو للإمام عليه السلام</w:t>
      </w:r>
      <w:r>
        <w:rPr>
          <w:rFonts w:eastAsia="Amiri" w:cs="Amiri" w:ascii="Amiri" w:hAnsi="Amiri"/>
          <w:color w:val="111111"/>
          <w:sz w:val="28"/>
          <w:szCs w:val="28"/>
          <w:rtl w:val="true"/>
          <w:lang w:bidi="ar-SA"/>
        </w:rPr>
        <w:t>»</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إطلاق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سماعة، وخبر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جميع ما للملوك معدودٌ من الأنفال، فالتقييد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الضابط أنّ كلّ ما كان لسلطان الكفر من مالٍ غير مغصوب، من محترم المال، فهو لسلطان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عليه السلام، والظاهر أنّ مراد القوم من التقييد بالعنوانين يشمل ما يُنقل وما لا يُنقل مطلقاً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يعتبر فيها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 أو معاهدٍ ممّا كان محترمع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وقال المحقّق الأردبيلي</w:t>
      </w:r>
      <w:r>
        <w:rPr>
          <w:rStyle w:val="FootnoteAnchor"/>
          <w:rtl w:val="true"/>
        </w:rPr>
        <w:footnoteReference w:id="9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الصفايا والقطائع الّتي لا تكون مِلْكاً لملوك الكفّار، أو يكون مِلْكاً لمن لا يجوز أخذ ماله، وتكون له حرمة،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خلاف ظاهراً في ذلك،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المتقدّم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21" w:name="pg11804_116753"/>
    </w:p>
    <w:p>
      <w:pPr>
        <w:pStyle w:val="BookText"/>
        <w:rPr/>
      </w:pPr>
      <w:bookmarkEnd w:id="321"/>
      <w:r>
        <w:rPr>
          <w:rFonts w:ascii="Amiri" w:hAnsi="Amiri" w:eastAsia="Amiri" w:cs="Amiri"/>
          <w:color w:val="111111"/>
          <w:sz w:val="28"/>
          <w:sz w:val="28"/>
          <w:szCs w:val="28"/>
          <w:rtl w:val="true"/>
          <w:lang w:bidi="ar-SA"/>
        </w:rPr>
        <w:t>للإمام أن يَصطفي من الغنيمة ما شاء</w:t>
      </w:r>
    </w:p>
    <w:p>
      <w:pPr>
        <w:pStyle w:val="Heading3"/>
        <w:numPr>
          <w:ilvl w:val="2"/>
          <w:numId w:val="1"/>
        </w:numPr>
        <w:rPr/>
      </w:pPr>
      <w:bookmarkStart w:id="322" w:name="__RefHeading___Toc10579884_73709187"/>
      <w:bookmarkStart w:id="323" w:name="_Toc108"/>
      <w:bookmarkEnd w:id="322"/>
      <w:r>
        <w:rPr>
          <w:rtl w:val="true"/>
        </w:rPr>
        <w:t>للإمام أن يَصطفي من الغنيمة ما شاء</w:t>
      </w:r>
      <w:bookmarkEnd w:id="323"/>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مصطفيات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جماعةٌ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أن يصطفي من الغنيمة ما شاء، من فرسٍ جواد، أو ثوبٍ مرتفع، أو جاريةٍ حسناء، أو سيفٍ فاخر ماضٍ‌، أو غير ذلك، فيكون من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المَغنم أخذَ صفوه، وكان ذلك له، ثمّ يقسّم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الإمام يأخذ كما أخذ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حمّاد، عن العبد الصالح عليه السلام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وللإمام صفو المال أن يأخذ من هذه الأموال صفوها، الجارية الفارهة، والثوب والمتاع ممّا يحبّويشتهي، فذلك له قبل القسمة، وقبل إخراج الخُمس</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أبي الصباح،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فَرَض اللّه طاعتنا، لنا الأنفال، ولنا صفو المال، الحديث</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من عطف الخاص على العام، تنبيهاً على مزيد اختصاصه به، ردّاً على العامّة القائلين بسقوط ذلك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ونحوها غيرها، فلا إشكال في أصل الحكم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الأصحاب ذلك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يُجحف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الإجحاف مستغنى عنه، بل كان الأولى تركه، واستدلّ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اشتراطه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المعتضد بالأصل، والاقتصار على المتيقّن، ولا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إنّ مقتضى إطلاق الأدلّة أنّ له ذلك، وإن كان هو الغنيمة لا غير، إلّاأنّ الظاهر ظهور الروايات في أنّه ليس له ذلك لو كان هو الغنيمة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يقسّم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ولإطلاق ما دلّ على استحقاق الغانمين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ولعدم ثبوت الإطلاق للأدلّة من هذه الجهة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موثّق أبي الصباح، أنّه كغيره من الأنفال الداخلة في ملكه عليه السلام، فما يظهر من كلمات الفقهاء، وبعض النصوص، من أنّه موقوفٌ ملكيّته عليه السلام على أخذ الإمام عليه السلام، واصطفائه لا قبله، كغيره من الأنفال التي حصل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تمليك اللّه إيّاه قهراً، لابدّ من تأويله حملاً للظاهر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فالمدار على وجود المصطفي في حَدّ ذاته و نفسه، لا بحسب نسبة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المال ما يمكن أن يصطفيه الإمام لنفسه، فهل له أخذ ما يُحبّ‌،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وخبر أبي بصير الضعيف سنداً؟</w:t>
      </w:r>
    </w:p>
    <w:p>
      <w:pPr>
        <w:pStyle w:val="BookText"/>
        <w:rPr/>
      </w:pPr>
      <w:r>
        <w:rPr>
          <w:rFonts w:ascii="Amiri" w:hAnsi="Amiri" w:eastAsia="Amiri" w:cs="Amiri"/>
          <w:color w:val="111111"/>
          <w:sz w:val="28"/>
          <w:sz w:val="28"/>
          <w:szCs w:val="28"/>
          <w:rtl w:val="true"/>
          <w:lang w:bidi="ar-SA"/>
        </w:rPr>
        <w:t>أم لا، كما هو المنساق إلى الذهن من النصوص، ويقتضيه الأصل، وإطلاق ما دلّ على استحقاق الغانمين للغنيمة‌؟</w:t>
      </w:r>
    </w:p>
    <w:p>
      <w:pPr>
        <w:pStyle w:val="BookText"/>
        <w:rPr/>
      </w:pPr>
      <w:r>
        <w:rPr>
          <w:rFonts w:ascii="Amiri" w:hAnsi="Amiri" w:eastAsia="Amiri" w:cs="Amiri"/>
          <w:color w:val="111111"/>
          <w:sz w:val="28"/>
          <w:sz w:val="28"/>
          <w:szCs w:val="28"/>
          <w:rtl w:val="true"/>
          <w:lang w:bidi="ar-SA"/>
        </w:rPr>
        <w:t>وجهان، أظهرهما الثاني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4" w:name="pg11804_116756"/>
    </w:p>
    <w:p>
      <w:pPr>
        <w:pStyle w:val="BookText"/>
        <w:rPr/>
      </w:pPr>
      <w:bookmarkEnd w:id="324"/>
      <w:r>
        <w:rPr>
          <w:rFonts w:ascii="Amiri" w:hAnsi="Amiri" w:eastAsia="Amiri" w:cs="Amiri"/>
          <w:color w:val="111111"/>
          <w:sz w:val="28"/>
          <w:sz w:val="28"/>
          <w:szCs w:val="28"/>
          <w:rtl w:val="true"/>
          <w:lang w:bidi="ar-SA"/>
        </w:rPr>
        <w:t>حُكم المعادن</w:t>
      </w:r>
    </w:p>
    <w:p>
      <w:pPr>
        <w:pStyle w:val="Heading3"/>
        <w:numPr>
          <w:ilvl w:val="2"/>
          <w:numId w:val="1"/>
        </w:numPr>
        <w:rPr/>
      </w:pPr>
      <w:bookmarkStart w:id="325" w:name="__RefHeading___Toc10579886_73709187"/>
      <w:bookmarkStart w:id="326" w:name="_Toc109"/>
      <w:bookmarkEnd w:id="325"/>
      <w:r>
        <w:rPr>
          <w:rtl w:val="true"/>
        </w:rPr>
        <w:t>حُكم المعادن</w:t>
      </w:r>
      <w:bookmarkEnd w:id="326"/>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التزم الشيخ الكليني</w:t>
      </w:r>
      <w:r>
        <w:rPr>
          <w:rStyle w:val="FootnoteAnchor"/>
          <w:rtl w:val="true"/>
        </w:rPr>
        <w:footnoteReference w:id="983"/>
      </w:r>
      <w:r>
        <w:rPr>
          <w:rFonts w:ascii="Amiri" w:hAnsi="Amiri" w:eastAsia="Amiri" w:cs="Amiri"/>
          <w:color w:val="111111"/>
          <w:sz w:val="28"/>
          <w:sz w:val="28"/>
          <w:szCs w:val="28"/>
          <w:rtl w:val="true"/>
          <w:lang w:bidi="ar-SA"/>
        </w:rPr>
        <w:t>، والمفيد</w:t>
      </w:r>
      <w:r>
        <w:rPr>
          <w:rStyle w:val="FootnoteAnchor"/>
          <w:rtl w:val="true"/>
        </w:rPr>
        <w:footnoteReference w:id="984"/>
      </w:r>
      <w:r>
        <w:rPr>
          <w:rFonts w:ascii="Amiri" w:hAnsi="Amiri" w:eastAsia="Amiri" w:cs="Amiri"/>
          <w:color w:val="111111"/>
          <w:sz w:val="28"/>
          <w:sz w:val="28"/>
          <w:szCs w:val="28"/>
          <w:rtl w:val="true"/>
          <w:lang w:bidi="ar-SA"/>
        </w:rPr>
        <w:t>، والشيخ الطوسي</w:t>
      </w:r>
      <w:r>
        <w:rPr>
          <w:rStyle w:val="FootnoteAnchor"/>
          <w:rtl w:val="true"/>
        </w:rPr>
        <w:footnoteReference w:id="985"/>
      </w:r>
      <w:r>
        <w:rPr>
          <w:rFonts w:ascii="Amiri" w:hAnsi="Amiri" w:eastAsia="Amiri" w:cs="Amiri"/>
          <w:color w:val="111111"/>
          <w:sz w:val="28"/>
          <w:sz w:val="28"/>
          <w:szCs w:val="28"/>
          <w:rtl w:val="true"/>
          <w:lang w:bidi="ar-SA"/>
        </w:rPr>
        <w:t>، والديلمي</w:t>
      </w:r>
      <w:r>
        <w:rPr>
          <w:rStyle w:val="FootnoteAnchor"/>
          <w:rtl w:val="true"/>
        </w:rPr>
        <w:footnoteReference w:id="986"/>
      </w:r>
      <w:r>
        <w:rPr>
          <w:rFonts w:ascii="Amiri" w:hAnsi="Amiri" w:eastAsia="Amiri" w:cs="Amiri"/>
          <w:color w:val="111111"/>
          <w:sz w:val="28"/>
          <w:sz w:val="28"/>
          <w:szCs w:val="28"/>
          <w:rtl w:val="true"/>
          <w:lang w:bidi="ar-SA"/>
        </w:rPr>
        <w:t>، والقاضي</w:t>
      </w:r>
      <w:r>
        <w:rPr>
          <w:rStyle w:val="FootnoteAnchor"/>
          <w:rtl w:val="true"/>
        </w:rPr>
        <w:footnoteReference w:id="987"/>
      </w:r>
      <w:r>
        <w:rPr>
          <w:rFonts w:ascii="Amiri" w:hAnsi="Amiri" w:eastAsia="Amiri" w:cs="Amiri"/>
          <w:color w:val="111111"/>
          <w:sz w:val="28"/>
          <w:sz w:val="28"/>
          <w:szCs w:val="28"/>
          <w:rtl w:val="true"/>
          <w:lang w:bidi="ar-SA"/>
        </w:rPr>
        <w:t>، والقُمّي</w:t>
      </w:r>
      <w:r>
        <w:rPr>
          <w:rStyle w:val="FootnoteAnchor"/>
          <w:rtl w:val="true"/>
        </w:rPr>
        <w:footnoteReference w:id="988"/>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991"/>
      </w:r>
      <w:r>
        <w:rPr>
          <w:rFonts w:ascii="IRNazanin" w:hAnsi="IRNazanin" w:eastAsia="IRNazanin"/>
          <w:color w:val="111111"/>
          <w:sz w:val="28"/>
          <w:sz w:val="28"/>
          <w:szCs w:val="28"/>
          <w:rtl w:val="true"/>
          <w:lang w:bidi="fa-IR"/>
        </w:rPr>
        <w:t>بأنّه من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الأنفال‌؟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القُرى التي قد خربت وانجلى أهلها، فهي للّه وللرسول، وما كان للملوك فهو للإمام، وما كان من الأرض الخربة لم يُوجَف عليها بخيلٍ ولا ركاب، وكلّ أرضٍ لا ربّ لها، والمعادن منها، ومَنْ مات ولا مولى له فماله من الأنفال</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الأنفال‌؟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خبر داود بن فرقد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الأرض المذكورة، لا راجعاً إلى الأنفال، مع أنّ الوارد 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فهو يدلّ على أنّ المعادن الموجودة باطن الأرض التي لا ربّ لها للإمام ومن الأنفال، وأمّا غيرها فلا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الأصحاب</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فيها شَرعٌ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نقلاً وتحصيلاً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واستدلّوا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وخلوّ أخبار الخُمس عن 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أقسام المعدن، من حيث إنّه قد يكون في أرض مملوكة، وقد يكون فيما لا رب له، وقد يكون في الأرض المفتوحة عنوة، تقدّم في أوّل كتاب الخُمس،</w:t>
      </w:r>
      <w:r>
        <w:rPr>
          <w:rStyle w:val="FootnoteAnchor"/>
          <w:rtl w:val="true"/>
        </w:rPr>
        <w:footnoteReference w:id="997"/>
      </w:r>
      <w:r>
        <w:rPr>
          <w:rFonts w:ascii="Amiri" w:hAnsi="Amiri" w:eastAsia="Amiri" w:cs="Amiri"/>
          <w:color w:val="111111"/>
          <w:sz w:val="28"/>
          <w:sz w:val="28"/>
          <w:szCs w:val="28"/>
          <w:rtl w:val="true"/>
          <w:lang w:bidi="ar-SA"/>
        </w:rPr>
        <w:t>وبيّنا هناك أحكام كلّ قسم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27" w:name="pg11804_116758"/>
    </w:p>
    <w:p>
      <w:pPr>
        <w:pStyle w:val="BookText"/>
        <w:rPr/>
      </w:pPr>
      <w:bookmarkEnd w:id="327"/>
      <w:r>
        <w:rPr>
          <w:rFonts w:ascii="Amiri" w:hAnsi="Amiri" w:eastAsia="Amiri" w:cs="Amiri"/>
          <w:color w:val="111111"/>
          <w:sz w:val="28"/>
          <w:sz w:val="28"/>
          <w:szCs w:val="28"/>
          <w:rtl w:val="true"/>
          <w:lang w:bidi="ar-SA"/>
        </w:rPr>
        <w:t>وميراثُ مَنْ لا وارث له</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0579888_73709187"/>
      <w:bookmarkStart w:id="329" w:name="_Toc110"/>
      <w:bookmarkEnd w:id="328"/>
      <w:r>
        <w:rPr>
          <w:rtl w:val="true"/>
        </w:rPr>
        <w:t>ميراثُ من لا وارث له من الأنفال</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ذلك،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أنّه من الأنفال عند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عَدم الوارث حتّى ضامن الجريرة، فعندنا أنّ الوارث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بعد الإجماع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وارثٌ من قرابته، ولا مولى عتاقه قد ضمن جريرته، فماله من الأنفال</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تعالى يَسْئَلُونَكَ عَنِ اَلْأَنْفالِ‌ </w:t>
      </w:r>
      <w:r>
        <w:rPr>
          <w:rStyle w:val="FootnoteAnchor"/>
          <w:rtl w:val="true"/>
        </w:rPr>
        <w:footnoteReference w:id="1002"/>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مات وليس له مولى فماله </w:t>
      </w:r>
    </w:p>
    <w:p>
      <w:pPr>
        <w:pStyle w:val="BookText"/>
        <w:rPr/>
      </w:pPr>
      <w:r>
        <w:rPr>
          <w:rFonts w:ascii="IRNazanin" w:hAnsi="IRNazanin" w:eastAsia="IRNazanin"/>
          <w:color w:val="111111"/>
          <w:sz w:val="28"/>
          <w:sz w:val="28"/>
          <w:szCs w:val="28"/>
          <w:rtl w:val="true"/>
          <w:lang w:bidi="fa-IR"/>
        </w:rPr>
        <w:t>من الأنفال</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فيمن أعتق عبداً سائبةً‌، أنّه لا ولاء لمواليه عليه، فإنْ شاء توالى إلى رجلٍ من المسلمين، فليشهد أنّه يضمن جريرته، وكلّ حَدَث يلزمه، فإذا فعل ذلك فهو يرثه، وإن لم يفعل ذلك، كان ميراثه يردّ إلى إمام المسلمين</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حيث فرّق بين حال حضور الإمام عليه السلام فالميراث له، وبين زمان الغيبة فجعله لأهل يلد الميّت، واستدلّ له بأنّه مقتضى الجمع بين النصوص المتقدّمة، وبين أخبار اُخر، كمرسل داود،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رجلٌ على عهد أمير المؤمنين عليه السلام لم يكن له وارث، فدفع أمير المؤمنين عليه السلام ميراثه إلى همشهريجه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السري إلى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يموت ويترك مالاً، ليس له 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المال همشاريجه</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ماتَ وليس 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وارثٌ‌، فميراثه لهمشاريجه، يعني أهل بلده</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ضعيفة الإسناد،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المذكور تبرّعيٌ بل باطلٌ قطعاً، فإنّ المرسل متضمّنٌ لدفع أمير المؤمنين عليه السلام نفسه المال لأهل بلده، وفي الأخيرين أمر بدفعه إليهم، فكيف تُحمل هذه النصوص على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تضمّنه هذه النصوص إعطاء أمير المؤمنين عليه السلام لأهل البلد، أو أمره بذلك، وليس في شيءٍ منها تعيّن ذلك، ولعلّه كان من جهة أنّه كان ماله وله أن يضعه حيث شاء، فقد صرفه في هذا المورد، وقد صرّح المفيد</w:t>
      </w:r>
      <w:r>
        <w:rPr>
          <w:rStyle w:val="FootnoteAnchor"/>
          <w:rtl w:val="true"/>
        </w:rPr>
        <w:footnoteReference w:id="1011"/>
      </w:r>
      <w:r>
        <w:rPr>
          <w:rFonts w:ascii="Amiri" w:hAnsi="Amiri" w:eastAsia="Amiri" w:cs="Amiri"/>
          <w:color w:val="111111"/>
          <w:sz w:val="28"/>
          <w:sz w:val="28"/>
          <w:szCs w:val="28"/>
          <w:rtl w:val="true"/>
          <w:lang w:bidi="ar-SA"/>
        </w:rPr>
        <w:t>والشيخ</w:t>
      </w:r>
      <w:r>
        <w:rPr>
          <w:rStyle w:val="FootnoteAnchor"/>
          <w:rtl w:val="true"/>
        </w:rPr>
        <w:footnoteReference w:id="1012"/>
      </w:r>
      <w:r>
        <w:rPr>
          <w:rFonts w:ascii="Amiri" w:hAnsi="Amiri" w:eastAsia="Amiri" w:cs="Amiri"/>
          <w:color w:val="111111"/>
          <w:sz w:val="28"/>
          <w:sz w:val="28"/>
          <w:szCs w:val="28"/>
          <w:rtl w:val="true"/>
          <w:lang w:bidi="ar-SA"/>
        </w:rPr>
        <w:t>بأن ذلك كان تبرّعاً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المحدِّثين</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همشيريجه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بعد الشين، حيث يُراد به الأخ الرّضاعي، فتخرج النصوص عن محلّ البحث، وتكون نظير خبر مروك بن عبيد،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ماتَ وليس له وارث إلّاأخاً له من الرِّضاعة يرثه‌؟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الحديث</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والإسكافي</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لبيت مال المسلمين لا للإمام، واستدلّ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سليمان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مسلمٍ قُتل وله أبٌ نصراني، لمن تكون ديته‌؟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فتُجعل في بيت مال المسلمين، لأنّ جنايته على بيت مال المسلمين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مملوكٍ أعتق سائبة‌؟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مَن شاء، وعلى من تولّاه جريرته، وله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حتّييموت‌؟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سائبةً فليتوال من شاء، وعلى من والى جريرته، وله ميراثه، فإنْ سكت حتّى يموت اُخذ ميراثه، فجُعل في بيت مال المسلمين إذا لم يكن له وليّ‌</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أمكن حمل هذه النصوص على إرادة بيت مال الإمام، من بيت مال المسلمين، ولو بقرينة الأخبار السابقة، فيرتفع التعارض بين الأخبار، وإلّا فيقدّم ما تقدّم للشهرة، ومخالفة العامّة، وغيرهما من المرجّحات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30" w:name="pg11804_116762"/>
    </w:p>
    <w:p>
      <w:pPr>
        <w:pStyle w:val="BookText"/>
        <w:rPr/>
      </w:pPr>
      <w:bookmarkEnd w:id="330"/>
      <w:r>
        <w:rPr>
          <w:rFonts w:ascii="Amiri" w:hAnsi="Amiri" w:eastAsia="Amiri" w:cs="Amiri"/>
          <w:color w:val="111111"/>
          <w:sz w:val="28"/>
          <w:sz w:val="28"/>
          <w:szCs w:val="28"/>
          <w:rtl w:val="true"/>
          <w:lang w:bidi="ar-SA"/>
        </w:rPr>
        <w:t>والغنائم المأخوذة بغير إذن الإمام</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0579890_73709187"/>
      <w:bookmarkStart w:id="332" w:name="_Toc111"/>
      <w:bookmarkEnd w:id="331"/>
      <w:r>
        <w:rPr>
          <w:rtl w:val="true"/>
        </w:rPr>
        <w:t>الغنائم المأخوذة بغير إذن الإمام عليه السلام</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الغنائم المأخوذة بغير إذن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نقلاً وتحصيلاً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كونها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02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الخُمس</w:t>
      </w:r>
      <w:r>
        <w:rPr>
          <w:rStyle w:val="FootnoteAnchor"/>
          <w:rtl w:val="true"/>
        </w:rPr>
        <w:footnoteReference w:id="10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الغنيمة تُساوي غيرها في أنّه ليس فيها إلّاالخُمس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1024"/>
      </w:r>
      <w:r>
        <w:rPr>
          <w:rFonts w:ascii="Amiri" w:hAnsi="Amiri" w:eastAsia="Amiri" w:cs="Amiri"/>
          <w:color w:val="111111"/>
          <w:sz w:val="28"/>
          <w:sz w:val="28"/>
          <w:szCs w:val="28"/>
          <w:rtl w:val="true"/>
          <w:lang w:bidi="ar-SA"/>
        </w:rPr>
        <w:t>التفصيل بين الغزو والدفاع، فالغنائم مع الغزو للإمام، ومع الدفاع للمُغنِم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الغزو للدّعاء إلى الإسلام فالغنيمة للإمام، وبين ما إذا كان للقهر والغلبة فيجبُ الخُمس</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صورة إمكان الاستيذان فهي للإمام، وبين </w:t>
      </w:r>
    </w:p>
    <w:p>
      <w:pPr>
        <w:pStyle w:val="BookText"/>
        <w:rPr/>
      </w:pPr>
      <w:r>
        <w:rPr>
          <w:rFonts w:ascii="Amiri" w:hAnsi="Amiri" w:eastAsia="Amiri" w:cs="Amiri"/>
          <w:color w:val="111111"/>
          <w:sz w:val="28"/>
          <w:sz w:val="28"/>
          <w:szCs w:val="28"/>
          <w:rtl w:val="true"/>
          <w:lang w:bidi="ar-SA"/>
        </w:rPr>
        <w:t>صورة عدم إمكانه فليس عليه إلّاالخُمس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وهب أو حسنه، بإبراهيم بن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تقسّم‌؟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أُخرج منها الخُمس للّه وللرسول، وقُسّم بينهم أربعة أخماس،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 الأعظم</w:t>
      </w:r>
      <w:r>
        <w:rPr>
          <w:rStyle w:val="FootnoteAnchor"/>
          <w:rtl w:val="true"/>
        </w:rPr>
        <w:footnoteReference w:id="102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عدم دلالته على المطلوب، إلّاإذا اعتبر مفهوم القيد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أمير أمّره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تأمّلٍ فيه أيضاً، لأنّ المفروض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 التي يبعثها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فالقيد لايكونُ للتخصيص قطعاً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تتوقّف على اعتبار مفهوم الشرط، بناءً على ما هو المحقّق في محلّه من أنّه كلّما ازداد الشرط المذكور في القضيّة قيداً، بأن كان مقيّداً بقيودٍ أو مركّباً من اُمور، زاد المفهوم سعة، إذ انتفاء الشرط حينئذٍ يكون بانتفاء أحد أجزائه أو قيوده المأخوذة في المقدم، فينتفي بانتفائه الحكم الثابت في التالي، وفي المقام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أميرٍ أمّره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قيود الشرط، فدلالة الصحيح على المفهوم تتوقّف على اعتبار مفهوم الشرط الذي نقول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العبّاس الورّاق، عن رجل سمّاه،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غزا قومٌ بغير إذن الإمام فغنموا، كانت الغنيمة كلّها للإمام، وإذا غزا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غَنِمْتُمْ‌ في الآية الشريفة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من أصحابنا يكون في لوائهم، فيكون معهم، فيصيب غنيمة‌؟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خُمسنا ويطيب له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بالغنيمة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الغنيمة التي تكون مِلْكاً للمُغنِم، فهي ليست في مقام بيان أنّ آية الغنائم</w:t>
      </w:r>
      <w:r>
        <w:rPr>
          <w:rStyle w:val="FootnoteAnchor"/>
          <w:rtl w:val="true"/>
        </w:rPr>
        <w:footnoteReference w:id="1032"/>
      </w:r>
      <w:r>
        <w:rPr>
          <w:rFonts w:ascii="Amiri" w:hAnsi="Amiri" w:eastAsia="Amiri" w:cs="Amiri"/>
          <w:color w:val="111111"/>
          <w:sz w:val="28"/>
          <w:sz w:val="28"/>
          <w:szCs w:val="28"/>
          <w:rtl w:val="true"/>
          <w:lang w:bidi="ar-SA"/>
        </w:rPr>
        <w:t>يملكها المغنم، وإنّما هي في مقام بيان أنّ ما يملكه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مطلق الغنيمة، فهي إنّما تدلّ على أنّ على المُغنِم الخُمس، وأمّا كون الباقي له أو لغيره، فهي لا تدلّ عليه، فيمكن أن يكون نظير من استخرج كنزاً في مِلْك الغير، فإنّه لمالكه، وعليه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إطلاقها، يتعيّن تقييده بالخبرين المتقدّمين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بينه وبين الخبرين يقتضي حمله على صورة الإذن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للرجل، وإنْ لم يكن ذلك جمعاً عرفيّاً يتعيّن طرحه عند التعارض، لوجوه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يتوقّف على انحصار المدرك بالمُرسل، ولكن بعدما عرفت من دلالة صحيح معاوية على كونها للإمام،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ما في القول الرابع، فإنّه لو تمّ فإنّما هو في فرض انحصار المدرك بالمُرسَل، مع أنّ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للدّعاء إلى الإسلام، كما هو مبنى الاستدلال،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المُرسَل هو الاختصاص بالصورة الأُولى‌، أي صورة إمكان الاستيذان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مضافاًإليماعرفت من عدم انحصارالمدرك به، اختصاصه بها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ما اختاره المشهور، من كونها للإمام عليه السلام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البحار في غير واحدٍ</w:t>
      </w:r>
      <w:r>
        <w:rPr>
          <w:rStyle w:val="FootnoteAnchor"/>
          <w:rtl w:val="true"/>
        </w:rPr>
        <w:footnoteReference w:id="1033"/>
      </w:r>
      <w:r>
        <w:rPr>
          <w:rFonts w:ascii="Amiri" w:hAnsi="Amiri" w:eastAsia="Amiri" w:cs="Amiri"/>
          <w:color w:val="111111"/>
          <w:sz w:val="28"/>
          <w:sz w:val="28"/>
          <w:szCs w:val="28"/>
          <w:rtl w:val="true"/>
          <w:lang w:bidi="ar-SA"/>
        </w:rPr>
        <w:t>من الكلمات من الأنفال، واستدلّ له بصحيح حفص البختري،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كرى برجله خمسة أنهار ولسان الماء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ودجلة، ونيل مصر، ومهران، ونهر بلخ، فما سقت أو سقي منها فللإمام، والبحر المطيف بالدنيا وهوأفسيكون</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 يونس بن ظبيان، أو المعلّى بن خُنيس</w:t>
      </w:r>
      <w:r>
        <w:rPr>
          <w:rStyle w:val="FootnoteAnchor"/>
          <w:rtl w:val="true"/>
        </w:rPr>
        <w:footnoteReference w:id="1036"/>
      </w:r>
      <w:r>
        <w:rPr>
          <w:rFonts w:ascii="Amiri" w:hAnsi="Amiri" w:eastAsia="Amiri" w:cs="Amiri"/>
          <w:color w:val="111111"/>
          <w:sz w:val="28"/>
          <w:sz w:val="28"/>
          <w:szCs w:val="28"/>
          <w:rtl w:val="true"/>
          <w:lang w:bidi="ar-SA"/>
        </w:rPr>
        <w:t>إلّاأنّه عَدّ فيه الأنهار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سيحان، وجيحان، والخشوع وهو نهر الشاش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ومهران، ونيل مصر، ودجلة،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الشيخ المفيد</w:t>
      </w:r>
      <w:r>
        <w:rPr>
          <w:rStyle w:val="FootnoteAnchor"/>
          <w:rtl w:val="true"/>
        </w:rPr>
        <w:footnoteReference w:id="1037"/>
      </w:r>
      <w:r>
        <w:rPr>
          <w:rFonts w:ascii="Amiri" w:hAnsi="Amiri" w:eastAsia="Amiri" w:cs="Amiri"/>
          <w:color w:val="111111"/>
          <w:sz w:val="28"/>
          <w:sz w:val="28"/>
          <w:szCs w:val="28"/>
          <w:rtl w:val="true"/>
          <w:lang w:bidi="ar-SA"/>
        </w:rPr>
        <w:t xml:space="preserve">المفاوز من الأنفال، ولكن علّق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 له على دليل فيما لا يرجع إلى الأراضي السابقة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33" w:name="pg11804_116767"/>
    </w:p>
    <w:p>
      <w:pPr>
        <w:pStyle w:val="BookText"/>
        <w:rPr/>
      </w:pPr>
      <w:bookmarkEnd w:id="333"/>
      <w:r>
        <w:rPr>
          <w:rFonts w:ascii="Amiri" w:hAnsi="Amiri" w:eastAsia="Amiri" w:cs="Amiri"/>
          <w:color w:val="111111"/>
          <w:sz w:val="28"/>
          <w:sz w:val="28"/>
          <w:szCs w:val="28"/>
          <w:rtl w:val="true"/>
          <w:lang w:bidi="ar-SA"/>
        </w:rPr>
        <w:t>فهذه كلّها للإمام</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0579892_73709187"/>
      <w:bookmarkStart w:id="335" w:name="_Toc112"/>
      <w:bookmarkEnd w:id="334"/>
      <w:r>
        <w:rPr>
          <w:rtl w:val="true"/>
        </w:rPr>
        <w:t>حكم الأنفال في زمان الغيبة</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الجعل الأوّلي، وإنّما الخلاف وقع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حُلّلت الأنفال في زمان الغيبة للشيعة، كما صرّح به الشهيدان</w:t>
      </w:r>
      <w:r>
        <w:rPr>
          <w:rStyle w:val="FootnoteAnchor"/>
          <w:rtl w:val="true"/>
        </w:rPr>
        <w:footnoteReference w:id="1039"/>
      </w:r>
      <w:r>
        <w:rPr>
          <w:rFonts w:ascii="Amiri" w:hAnsi="Amiri" w:eastAsia="Amiri" w:cs="Amiri"/>
          <w:color w:val="111111"/>
          <w:sz w:val="28"/>
          <w:sz w:val="28"/>
          <w:szCs w:val="28"/>
          <w:rtl w:val="true"/>
          <w:lang w:bidi="ar-SA"/>
        </w:rPr>
        <w:t>وجماعة</w:t>
      </w:r>
      <w:r>
        <w:rPr>
          <w:rStyle w:val="FootnoteAnchor"/>
          <w:rtl w:val="true"/>
        </w:rPr>
        <w:footnoteReference w:id="1040"/>
      </w:r>
      <w:r>
        <w:rPr>
          <w:rFonts w:ascii="Amiri" w:hAnsi="Amiri" w:eastAsia="Amiri" w:cs="Amiri"/>
          <w:color w:val="111111"/>
          <w:sz w:val="28"/>
          <w:sz w:val="28"/>
          <w:szCs w:val="28"/>
          <w:rtl w:val="true"/>
          <w:lang w:bidi="ar-SA"/>
        </w:rPr>
        <w:t>، بل نُسب ذلك إلى المشهور</w:t>
      </w:r>
      <w:r>
        <w:rPr>
          <w:rStyle w:val="FootnoteAnchor"/>
          <w:rtl w:val="true"/>
        </w:rPr>
        <w:footnoteReference w:id="1041"/>
      </w:r>
      <w:r>
        <w:rPr>
          <w:rFonts w:ascii="Amiri" w:hAnsi="Amiri" w:eastAsia="Amiri" w:cs="Amiri"/>
          <w:color w:val="111111"/>
          <w:sz w:val="28"/>
          <w:sz w:val="28"/>
          <w:szCs w:val="28"/>
          <w:rtl w:val="true"/>
          <w:lang w:bidi="ar-SA"/>
        </w:rPr>
        <w:t xml:space="preserve">، وإنْ كان ظاهر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من عبارات الأصحاب، عدم تحقّق هذه الشهرة‌؟</w:t>
      </w:r>
    </w:p>
    <w:p>
      <w:pPr>
        <w:pStyle w:val="BookText"/>
        <w:rPr/>
      </w:pPr>
      <w:r>
        <w:rPr>
          <w:rFonts w:ascii="Amiri" w:hAnsi="Amiri" w:eastAsia="Amiri" w:cs="Amiri"/>
          <w:color w:val="111111"/>
          <w:sz w:val="28"/>
          <w:sz w:val="28"/>
          <w:szCs w:val="28"/>
          <w:rtl w:val="true"/>
          <w:lang w:bidi="ar-SA"/>
        </w:rPr>
        <w:t xml:space="preserve">أو لا يجوز التصرّف فيها، فيما عدا المناكح والمساكن والمتاجر، كما نُسب إلى المشهور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يفصّل بين الأراضي وغيرها، والقول بالتحليل فيها خاصّة‌؟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الحارث بن المغيرة النصري،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فجلستُ عنده، فإذا نجيّة قد استأذن عليه، فأذن له </w:t>
      </w:r>
    </w:p>
    <w:p>
      <w:pPr>
        <w:pStyle w:val="BookText"/>
        <w:rPr/>
      </w:pPr>
      <w:r>
        <w:rPr>
          <w:rFonts w:ascii="Amiri" w:hAnsi="Amiri" w:eastAsia="Amiri" w:cs="Amiri"/>
          <w:color w:val="111111"/>
          <w:sz w:val="28"/>
          <w:sz w:val="28"/>
          <w:szCs w:val="28"/>
          <w:rtl w:val="true"/>
          <w:lang w:bidi="ar-SA"/>
        </w:rPr>
        <w:t>فدخل فجثا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أسألك عن مسألةٍ واللّه ما أريد فيها إلّافكاك رقبتي من النار، فكأنّه رقَّ له، فاستوى جالساً،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نجيّة سَلني، فلا تسألني عن شيء إلّاأخبرتك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فلان وفلان‌؟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إنّ لنا الخُمس في كتاب اللّه تعالى، ولنا الأنفال، ولنا صفو المال، وهما واللّه أوّل مَن ظَلَمنا حقّنا في كتاب اللّه تعالى‌، وأوّل من حَمَل الناس على رقابنا، ودماؤنا في أعناقهما إلى يوم القيامة بظلمنا أهل البيت، وإنّ الناس ليتقلّبون في حرام إلى يوم القيامة بظلمنا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ثلاث مرّات، هلكنا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جسده عن الوسادة، فاستقبل القبلة فدعا بدعاءٍ لم أفهم منه شيئاً، إلّا أنّا سمعناه في آخر دعائه،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إشارةً إلى ما ذُكر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الاستدلال تامّاً، ولكن بما أنّه يحتمل أنْ يكون قوله المذكور إشارة إلى شيء ذكره في دعائه الذي لم يفهم الحارث منه شيئاً، فلا يتمّ ذلك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وبخبر يونس 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جبرائيل وأمره أن يخرق بإبهامه ثمانية أنهار في الأرض، منها سيحان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سقت أو استقت فهو لنا، وما كان لنا فهو لشيعتنا، وليس لعدوّنا منه شيءٌ إلّاما غصب عليه، وإنّ وليّنا لفي أوسع فيما بين ذه إلى 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مسبوقاً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سقت أو استقت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يصحّ التمسّك بإطلاقه، ولكن لسبقه به الموجب لكون المتبادر من الموصول إرادة العهد لا الجنس، لا يصحّ ذلك، وعليه فيختصّ التحليل بخصوص الأراضي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داود بن كثير الرقي، عن أبي عبد اللّه عليه السلام، 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إلّاأنّا أحللنا شيعتنا من ذلك</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المنساق إلى الذهن منه تحليل خصوص ما يتوقّف معيشة عامّة الناس عليه، وليس هو إلّاالأرض وما يتبعها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وبخبري يونس والحارث الآتيين في مسألة تحليل الخُمس فيما يشترى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 لا يعتقد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سيأتي في تلك المسألة اختصاصهما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شيئاً من ما استدلّ به على تحليل مطلق الأنفال، لا يدلّ عليه، بل بعضها يدلّ على تحليل خصوص الأراضي وما يتبعها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أبي سيّار مسمع بن عبد الملك،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ولّيت 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وحلّلناك منه، فضمّ إليك مالك، وكلّ ما كان في أيدي شيعتنا من الأرض فهم فيه محلّلون، ومحلّل لهم ذلك إلى أن يقوم قائمنا، إلى آخره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والسيرة القطعيّة على المعاملة معها معاملة المباحات الأصليّة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استفادته ممّا دلّ على ملك الأرض بالإحياء، بتنقيح المناط، ويؤيّده ما قيل من إنّه لولا الحِلّ لوقع أكثر الناس في الحرام، المنافي لاحتفاظهم عليهم السلام بذلك، كما يظهر من تعليل التحليل في كثير من النصوص بطيب الولادة، فإذاً لا يبقى مجالٌ للتوقّف في تحليل خصوص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هو 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أمرٌ لا بأس بالتنبيه عليه،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الشيخ الأعظم رحمه الله</w:t>
      </w:r>
      <w:r>
        <w:rPr>
          <w:rStyle w:val="FootnoteAnchor"/>
          <w:rtl w:val="true"/>
        </w:rPr>
        <w:footnoteReference w:id="1049"/>
      </w:r>
      <w:r>
        <w:rPr>
          <w:rFonts w:ascii="Amiri" w:hAnsi="Amiri" w:eastAsia="Amiri" w:cs="Amiri"/>
          <w:color w:val="111111"/>
          <w:sz w:val="28"/>
          <w:sz w:val="28"/>
          <w:szCs w:val="28"/>
          <w:rtl w:val="true"/>
          <w:lang w:bidi="ar-SA"/>
        </w:rPr>
        <w:t>بعدما سَلّم دلالة جملةٍ من النصوص على تحليل الأنفال، أجاب عنها بأنّها بعمومها تدلّ على تحليل خُمس الأرباح أيضاً، وحيثُ أنّه لا يمكن الالتزام به لما تقدّم فيتعيّن تأويلها وحملها على غير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المذكور ليس من ما لا يقبل التخصيص، فيعمل به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المظنونَ عدمُ التخصيص في هذه الأخبار عهدةُ إثباتها على مدّعيها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عنها بعض الأعاظم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الشّبهة في المقام موضوعيّة، وهي صدور الإذن من الإمام عليه السلام وعدمه، فلا ترفع اليد عن أصالة عدم الإذن إلّابحجّةٍ من علمٍ أو بيّنة، وخبر الثقة غير ثابت الحجيّة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في أخبار تحليل خُمس الأرباح، من حجيّة خبر الثقة في الموضوعات مطلقاً، وعلى فرض عدمها فهو حجّة في خصوص المقام، فراجع</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بشهادة جماعة من العلماء</w:t>
      </w:r>
      <w:r>
        <w:rPr>
          <w:rStyle w:val="FootnoteAnchor"/>
          <w:rtl w:val="true"/>
        </w:rPr>
        <w:footnoteReference w:id="1052"/>
      </w:r>
      <w:r>
        <w:rPr>
          <w:rFonts w:ascii="Amiri" w:hAnsi="Amiri" w:eastAsia="Amiri" w:cs="Amiri"/>
          <w:color w:val="111111"/>
          <w:sz w:val="28"/>
          <w:sz w:val="28"/>
          <w:szCs w:val="28"/>
          <w:rtl w:val="true"/>
          <w:lang w:bidi="ar-SA"/>
        </w:rPr>
        <w:t>العدول بالتحليل، فلا يجدي لعدم استنادها إلى الحسّ‌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36" w:name="pg11804_116773"/>
    </w:p>
    <w:p>
      <w:pPr>
        <w:pStyle w:val="BookText"/>
        <w:rPr/>
      </w:pPr>
      <w:bookmarkEnd w:id="336"/>
      <w:r>
        <w:rPr>
          <w:rFonts w:ascii="Amiri" w:hAnsi="Amiri" w:eastAsia="Amiri" w:cs="Amiri"/>
          <w:color w:val="111111"/>
          <w:sz w:val="28"/>
          <w:sz w:val="28"/>
          <w:szCs w:val="28"/>
          <w:rtl w:val="true"/>
          <w:lang w:bidi="ar-SA"/>
        </w:rPr>
        <w:t>واُبيح لنا المساكن والمتاجر والمناكح</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0579894_73709187"/>
      <w:bookmarkStart w:id="338" w:name="_Toc113"/>
      <w:bookmarkEnd w:id="337"/>
      <w:r>
        <w:rPr>
          <w:rtl w:val="true"/>
        </w:rPr>
        <w:t>في إباحتهم عليهم السلام المناكح والمساكن والمتاجر في زمان الغيبة</w:t>
      </w:r>
      <w:bookmarkEnd w:id="3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جماعة</w:t>
      </w:r>
      <w:r>
        <w:rPr>
          <w:rStyle w:val="FootnoteAnchor"/>
          <w:rtl w:val="true"/>
        </w:rPr>
        <w:footnoteReference w:id="1053"/>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أباحوا عليهم السلام للشيعة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المساكن والمتاجر والمناكح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الغيبة، كما ورد التصريح بعين ذلك في المرسل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عليهم السلام ما حال شيعتكم فيما خصّكم اللّه به إذا غاب غائبكم، واستتر قائمكم‌؟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أنصفناهم إنْ واخذناهم، ولا أحببناهم إنْ عاقبناهم، نُبيح لهم المساكن لتصحّ عباداتهم، ونبيحُ لهم المناكح لتطيب ولادتهم، ونبيح لهم المتاجر ليزكوا أموالهم</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ضعيفٌ للإرسال وغيره، ولذلك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 المقام تقتضي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المناكح، فقد ذكر الأصحاب في تفسيرها وجوهاً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صرّح به غير واحدٍ</w:t>
      </w:r>
      <w:r>
        <w:rPr>
          <w:rStyle w:val="FootnoteAnchor"/>
          <w:rtl w:val="true"/>
        </w:rPr>
        <w:footnoteReference w:id="1055"/>
      </w:r>
      <w:r>
        <w:rPr>
          <w:rFonts w:ascii="Amiri" w:hAnsi="Amiri" w:eastAsia="Amiri" w:cs="Amiri"/>
          <w:color w:val="111111"/>
          <w:sz w:val="28"/>
          <w:sz w:val="28"/>
          <w:szCs w:val="28"/>
          <w:rtl w:val="true"/>
          <w:lang w:bidi="ar-SA"/>
        </w:rPr>
        <w:t>من أنّها السَّراري المغنومة من أهل الحرب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السراري التي تُشترى بما فيه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مهور الزوجات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وتشهد لتحليلها بالتفسير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إباحة تملّكها بالشراء ونحوه، ووطئها سواءٌ أكانت كلّها للإمام عليه السلام كما إذا أخذت بغير إذنه، أو بعضها له كما في المأخوذة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بردُ حبّنا في كبده، فليحمد اللّه على أوّل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ليطيبوا،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اُمّهات شيعتنا لآبائهم ليطيبوا</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الثمالي، عن الإمام الباقر عليه السلام، في حديثٍ‌،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لنا أهل البيت سهاماً ثلاثة في جميع الفيء،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w:t>
      </w:r>
      <w:r>
        <w:rPr>
          <w:rStyle w:val="FootnoteAnchor"/>
          <w:rtl w:val="true"/>
        </w:rPr>
        <w:footnoteReference w:id="1057"/>
      </w:r>
      <w:r>
        <w:rPr>
          <w:rFonts w:ascii="Amiri" w:hAnsi="Amiri" w:eastAsia="Amiri" w:cs="Amiri"/>
          <w:color w:val="111111"/>
          <w:sz w:val="28"/>
          <w:sz w:val="28"/>
          <w:szCs w:val="28"/>
          <w:rtl w:val="true"/>
          <w:lang w:bidi="ar-SA"/>
        </w:rPr>
        <w:t>فنحنُ أصحاب الخُمس والفيء، وقد حرّمناه على جميع الناس ما خلا شيعتنا، واللّه يا أبا حمزة ما من أرضٍ تُفتح، ولا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يُخمّس، فيضرب على شيءٍ منه إلّاكان حراماً على من يصيبه، فَرْجاً كان أو مالاً</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الكناسي،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من أين دَخَل على الناس الزِّنا؟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 إلّالشيعتنا الأطيبين، فإنّه محلّلٌ لهم ولميلادهم</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سالم بن مكرّم،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 ففزع أبو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سألك خادمة يشتريها، أو امرأة يتزوّجها، أو ميراثاً يُصيبه، أو تجارةً أو شيئاً أعطيه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لشيعتنا حلالٌ‌، الشاهد منهم والغائب، والميّت منهم والحَيّ‌، وما يولد منهم إلى يوم القيامة فهو لهم حلال، أما واللّه لا يَحلّ إلّالمن أحللنا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في المقام موضوعيّة، فلا يفيد خبر الواحد في ثبوت الإذن، قد عرفت الجواب عنها في تحليل الأنفال، فراجع</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وورود جملةٍ منها في سبايا بني اُميّة، لا يوجبُ عدم شمول شيء من النصوص للجارية التي سباها الشيعي، واختصاصها بالسبايا المنتقلة إلى الشيعة من أيدي غير المتدينين بالخُمس،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عدم اختصاص هذا الحكم بخصوص الوالدات منهن، بل عامٌ لمطلق الجواري القابلة للوطء، إذ المراد بالنصوص حِلّ ما يتعلّق بالمنكح، والعلّة الغائية إرادة دفع الزّنا،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المناكح بالتفسيرين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الشراء وجعل المال مهراً في أثناء عام الربح، دخلت في المؤونة المستثناة، وإلّا فدلالة النصوص المتقدّم بعضها عليها غير ظاهرة، لأنّها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مختصٌّ بالفيء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منصرفاً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التحليل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الثلاث الأولى بغير المقام ظاهرٌ، والأخيرة قد تقدّم الكلام فيها فراجع</w:t>
      </w:r>
      <w:r>
        <w:rPr>
          <w:rStyle w:val="FootnoteAnchor"/>
          <w:rtl w:val="true"/>
        </w:rPr>
        <w:footnoteReference w:id="1062"/>
      </w:r>
      <w:r>
        <w:rPr>
          <w:rFonts w:ascii="Amiri" w:hAnsi="Amiri" w:eastAsia="Amiri" w:cs="Amiri"/>
          <w:color w:val="111111"/>
          <w:sz w:val="28"/>
          <w:sz w:val="28"/>
          <w:szCs w:val="28"/>
          <w:rtl w:val="true"/>
          <w:lang w:bidi="ar-SA"/>
        </w:rPr>
        <w:t>، مضافاً إلى ضعف السند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ما يتّخذه منها في الأرض المختصّة بالإمام عليه السلام كالمملوكة بغير قتال، ورؤوس الجبال، أو المشتركة بينه وبين غيره، كالمفتوحة عنوة المنتقلة إلى الشيعة من أيدي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المساكن المغنومة من الكفّار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المساكن التي تُشترى من المال الذي فيه الخُمس، كما لود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اشتراها من الكنز أو المعدن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 بالتفسير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الأنفال، وقد تقدّم الكلام فيها مفصّلاً، وعرفت أنّ الأراضي التي تكون من الأنفال، تكون مباحة للشيعة، فراجع</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هي بالتفسير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بالمَغنم ما كان بغير إذن الإمام عليه السلام، فهي داخلة في الأنفال فيلحقها حكمها، وإن كان المراد به ما كان بإذنه، فلا دليل على استثنائها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 بالتفسير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الشراء في أثناء عام الربح، دخلت في المؤونة المستثناة، وإلّا فلا دليل على استثنائها، كما يأتي في المناكح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وفُسّرت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يُشترى من الغنائم المأخوذة من أهل الحرب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يشترى من أموال الإمام، كالرقيق والحَطَب المقطوع من الآجام المملوكة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يُشترى ممّا فيه الخُمس، ممّن لا يعتقد بالخُمس، أو ممّن لا يُخّمس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هي بالمعنى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الأنفال، وقد تقدّم الكلام فيها مفصّلاً، فراجع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يُشترى ممّن لا يُخمّس فقد تقدّم الكلام فيه في مسألة إيقاع المعاملة على ما فيه الخُمس فراجعها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يُشترى ممّن لا يعتقد الخُمس، فالظاهر أنّه لا خلاف بينهم في إباحتها، ويمكن استفادتها من بعض نصوص التحليل، واللّه العالم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فيما يتعلّق بشرح كتاب الخُمس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مؤلّفه الفاني محمّد صادق الحسيني الروحاني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وظاهراً وباطناً، والصَّلاة والسَّلام على رسوله الكريم وآله الطاهرين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1804_116780"/>
      <w:bookmarkStart w:id="340" w:name="pg11804_116780"/>
      <w:bookmarkEnd w:id="340"/>
    </w:p>
    <w:p>
      <w:pPr>
        <w:pStyle w:val="Heading3"/>
        <w:numPr>
          <w:ilvl w:val="2"/>
          <w:numId w:val="1"/>
        </w:numPr>
        <w:rPr/>
      </w:pPr>
      <w:bookmarkStart w:id="341" w:name="pg11804_116780"/>
      <w:bookmarkStart w:id="342" w:name="__RefHeading___Toc10579896_73709187"/>
      <w:bookmarkStart w:id="343" w:name="_Toc114"/>
      <w:bookmarkEnd w:id="341"/>
      <w:bookmarkEnd w:id="342"/>
      <w:r>
        <w:rPr>
          <w:rtl w:val="true"/>
        </w:rPr>
        <w:t>فهرس الموضوعات</w:t>
      </w:r>
      <w:bookmarkEnd w:id="343"/>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الدُّنيا وما فيها للإمام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الخُمس في الغنائم الّتي حواها العسكر وما لم يحوه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إباحة خُمس غنائم دار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ثبوت الخُمس بعد إخراج المُؤن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اعتبار أنْ لا تكون الغنيمة غصباً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ما يُؤخذ من الكفّار بالسَّرقة أو الغيلة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مال النّاصب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ثبوت الخمس في المعدن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إذا وُجِد مقدار من المعدن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استيجار الغير لإخراج 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المعدن في أرض مملوكة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نصاب الغوص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أرباح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التحليل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في الجواب عن أخبار التحليل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متعلّق خُمس الأرباح مطلق الفائدة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تعلّق الخُمس بالهبة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تعلّق الخُمس بالميراث غير المحتسب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تعلّق الخُمس بالصداق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ما ملك بالخُمس أو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تعلّق الخُمس بالنماء المتّصل والمنفصل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تعلّق الخمس بزيادة القيمة السوقيّة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المعاملة على العين قبل أداء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إذا زادت القيمة ثمّ تنزّلت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حكم الأرباح المتجدّدة خلال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حكم الشراء المربح خياريّاً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حكم رأس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تحديد مبدأ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وجوب الخُمس في الكنوز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تعريف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أقسام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لو كان في أرضٍ مبتاعة مع احتمال كونه للبائع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لو وجد الكنز في مِلْك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التداعي في ملكيّة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كون الكنز 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في جوف الدابّة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الأرض التي اشتراها الذّمي من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ثبوت الخُمس في الأرض سواءٌ أكانت مزرعاً أو مسكناً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الأرض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عدم سقوط هذا الخُمس بالإقالة والفسخ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الحلال المختلط بالحرام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مصرف هذا الخُمس مصرف سائر الأخماس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الحرام المخلوط بالحلال مع العلم بقدره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إذا عرف المالك وجَهل المقدار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إذا كان كلّ من المالك والمقدار مجهولاً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حكم العلم بمقدار الحرام مع الجهل بصاحبه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ثبوت حقّ الغير في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لو تبيّن المالك بعد إخراج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حكم خلط الحرام المجهول مالكه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حكم التصرّف في المال المختلط قبل إخراج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البحث عن شرائط وجوب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أنّ الخُمس في المعدن بعد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عدم اعتبار الإخراج دفعة في نصاب 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الإخراج قبل التصفية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اعتبار النصاب في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الزيادة عن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المرجع في المؤونة إلى العرف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ما ينتفع به مع بقاء 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لا تُخرَج المؤونة من مالٍ لا خُمس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لو قتَّر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مصارف الحجّ من مؤونة عام الإستطاعة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حُكم أداء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وقت تعلّق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الخسران أو التلف يُجبر بالربح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الخُمس متعلّق بالعين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حُكم ربح ما تعلّق به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جواز تعجيل إخراج خُمس الأرباح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عدم اشتراط الكمال في تعلّق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قسمة الخُمس ومستحقّه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ما قبضه النبيّ أو الإمام عليهما السلام ينتقل إلى وارثه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حُكم نقل الخُمس مع وجود المستحقّ‌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لا يجب البسط على الأصناف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وجوب استيعاب الأفراد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اختصاص الخُمس بولد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اعتبار الانتساب إلى عبد المطّلب بالأب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مصرف سهم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 صرف حصّة سائر الأصناف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الإيمان في مستحقّ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اعتبار الفقر في اليتيم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ابن السبيل لا يعتبر فيه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عدم اعتبار العدالة في مستحقّ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خاتمةٌ في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من الأنفال الأرض الخربة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الأرض الخربة التي انجلى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حكم الأرض الخربة التي لا تكون من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عدم خروج الأرض بالخراب عن مِلْك مالكها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هل إحياء غير المالك للأرض سببٌ للخروج عن 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فروع الأرض الخراجيّة فروع الأرض الخراجيّة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الأرض المملوكة بغير 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رؤوس الجبال وبطون الأودية من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الأرض الموات من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الإحياء سببٌ لدخول الأرض في ملك المُحيي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اعتبار إذن الإمام عليه السلام في التملّك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البحث عن المُحيي للأرض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في لزوم أداء الخراج على المُحيي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الأرض العامرة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الأرض العامرة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الآجام من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صَوافي الملوك من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للإمام أن يَصطفي من الغنيمة ما 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حُكم المعادن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ميراثُ من لا وارث له من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الغنائم المأخوذة بغير إذن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حكم الأنفال في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في إباحتهم عليهم السلام المناكح والمساكن والمتاجر في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أقلّ ما يجب فيه الزكاة من الحرث،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الأرضين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وجه عدم التعارض بين العام والخاص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 التي تُؤخذ من دار الحرب، يجب فيها الخمس ممّا حواه العسكر، وما لم يحوه، أمكن نقله أو لا، ممّا يصحّ تملّكه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حصّة الإمام من الخمس للشيعة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ويكون المؤنة وما يلزم عليه من أصله والخمس فيما بقي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تقسّم الغنيمة المنقولة بعد الجعائل والمُؤن ثمّ الخمس بين المقاتلة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ظاهر التذكرة عدم الخمس فيه على السالب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حاكياً له عن بعض علمائنا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لا أعرف فيه خلافاً سوى ما يحكى عن ظاهر غرية المفيد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مختلف الشيعة عن ابن أبي عقيل وابن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4/450</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كتاب الخمس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إحياء أرض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إحياء الموات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إحياء أرض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إحياء الموات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حجيّة خبر الواحد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هذا القيل صاحب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الأوّل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بعض من عاصرنا يجعله من قبيل الغوص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الأكثر إلى أنّه إن أخرج بالغوص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جزلة المتطبّب في كتاب منهاج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الشيخ في المبسوط والاقتصاد، الحِلّي في السرائر، 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وكلّما يخرج من البحر وفي العنبر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الشهيد الأوّل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وسابعها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لمعاني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أنواع التكسّب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جميع الأقوال عن القدماء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تعليقه على رواية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12690</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12672</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12670</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وحكاه السيّد الخوئي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حمدان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وحكاه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المحقّق في المعتبر بذلك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وعدم التصريح قد يظهر منه التوقّف كما نسبه إليه المؤلّف، ولكن غيره نسب إليه الوجوب كالشيخ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لإطلاق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الاكتسابات، ونسب إليه المحقّق القُمّي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إلى الوجوب،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من ملاحظة كلامه في المال المختلط بالحرام، ووجهه غير واضح هناك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أبو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الميراث والهديّة والهبة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 قوله بعض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وأطبق الجمهور على إنكار ذلك كلّه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ذهب إلى عدم الوجوب في الهديّة مطلقاً فإنّه بعد أن أورد كلام أبو الصلاح القائل بالوجوب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 أصحابنا، إلّاالمشار إليه، ولو كان صحيحاً لنقل نقل أمثاله متواتراً، والأصل براءة الذّمة، فلا نشغلها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فإنّه لم يذكر وجوب الخمس في الهديّة، ولكنّها نقل الأقوال في ذلك، ولم ينفها كما أنّه لم يؤيّدها، فظاهره التوقّف، وإنْ كان الميل إلى عدم الوجوب أظهر، حيث عدَّ من المكاسب ما كان من تجارة وزراعة وصناعة وغرس ولم يتعرّض للهديّة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12588</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كتاب الخمس للشيخ مرتضى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12588</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وبما ذكرنا يظهر أنّه لا فرق بين اتّحاد جنس التجارة وتعدّده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لهما الشيخ الأنصاري في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9/535</w:t>
      </w:r>
      <w:r>
        <w:rPr>
          <w:rFonts w:ascii="IRNazanin" w:hAnsi="IRNazanin" w:eastAsia="IRNazanin"/>
          <w:b w:val="false"/>
          <w:b w:val="false"/>
          <w:bCs w:val="false"/>
          <w:i w:val="false"/>
          <w:i w:val="false"/>
          <w:iCs w:val="false"/>
          <w:color w:val="333333"/>
          <w:sz w:val="20"/>
          <w:sz w:val="20"/>
          <w:szCs w:val="20"/>
          <w:rtl w:val="true"/>
        </w:rPr>
        <w:t>، كتاب الخُمس الشيخ مرتضى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الكنز</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12574</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يجب فيه الخُمس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إرشادالأذهان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المقداد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الطوسي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متسمك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12/339</w:t>
      </w:r>
      <w:r>
        <w:rPr>
          <w:rFonts w:ascii="IRNazanin" w:hAnsi="IRNazanin" w:eastAsia="IRNazanin"/>
          <w:b w:val="false"/>
          <w:b w:val="false"/>
          <w:bCs w:val="false"/>
          <w:i w:val="false"/>
          <w:i w:val="false"/>
          <w:iCs w:val="false"/>
          <w:color w:val="333333"/>
          <w:sz w:val="20"/>
          <w:sz w:val="20"/>
          <w:szCs w:val="20"/>
          <w:rtl w:val="true"/>
        </w:rPr>
        <w:t>، وقال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والحدائق الاتّفاق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32340</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المرسلة الآتية، وقد نسب إليه هذا القول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والشيخ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والشيخ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12590</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يبدِ الشيخ المفيد رأيه في المقنعة سوى ذكره المرسلة المتقدّمة، إلّاأنّ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القول بعدم الوجوب، فلعلّه فهم منه ذلك من عدم كلامه في المسألة، أو عدم تعليقه على الرواية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سلّار ولا أبو الصلاح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سلّار ولا أبو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الاستظهار من العلّامة منشأه أنّ أبا الصلاح في الكافي في فصل الخُمس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الموارد الذي يجب فيها الخُمس، ولم يذكر الذي إذا اشترى الأرض من المسلم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الشهيدالثاني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ومالَ إليه جدّي قدس سره في فوائدالقواعد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ولم يذكره المفيد في المقنعة في باب الخُمس والغنائم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ذكر موارد الخُمس، ولكنّه بعد ذلك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رواية دالّة على وجوب إخراج الخُمس من المختلط غير المتميّز، ولم يعلّق عليها، فقد تكون نسبة العلّامة له القول بعدم الوجوب لعدم ذكره في مورده، وهو في مقام بيان موارد تعلّق الخُمس، وقد يكون غير ذلك، فتأمّل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عرف صاحبه وقدره وجب إيصاله إليه، فإن جهل القدر صالحه أو أخرج ما يغلب على ظنّه، فإنْ لم يصالحه مالكه أخرج خُمسه إليه، لأنّ هذا القدر جعله اللّه تعالى مطهّراً للمال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السادس من زبدة الاُصول عند البحث عن قاعدة اليد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الشخص نفسه حجّة على الملكيّة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المناهل 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لا زالت مخطوطة لم تطبع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وحكاه صاحب غنائم الأيّام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المجلسيّين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 وابن عقيل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كتاب الخُمس للشيخ الأنصاري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كتاب الخُمس للسيّد الخوئي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الاكتفاء بمأتي درهم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صرّح به الأصحاب هو الأوّل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يتأتّى ذلك إلّاإذا اعتبر العشرون بعد المؤونة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مدراك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والمعتبر إخراج خمسه مخرجاً إنْ لم يفتقر إلى سبك وتصفية وإلّا اعتبر بعدها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نصّ الأصحاب على أنّ الخُمس إنّما يجب في الكنز إذا بلغ النصاب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ويعتبر في الكنوز بلوغ النصاب الذي تجب فيه الزكاة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الحكيم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الخمس أيضاً في الفاضل عن مؤونة الحول على الإقتصاد من كلّ مستفاد بتجارة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الإجماع المشار إليه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الاقتصاد دون التقتير والإسراف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صاحب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وكذلك نسبه إليه صاحب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المستفادة من النبويّ المرسل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المغرور يرجع إلى مَن غرّه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تعرّض المصنّف لإثبات هذه القاعدة في بحث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الغرامة التي غرمها المشتري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لاحَ من العبارة اعتبار التكليف والحريّة في غير هذه الأنواع الثلاثة، وهو مشكل على إطلاقه فإنّه مالٌ مملوك لمولاه فيتعلّق به خمسه، نعم اعتبار التكليف في الجميع متّجه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 اليتيم،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منهاج الفقاهة، في 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تعرّض فيه للحديث والأقوال في المسألة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الأنصاري في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حكى بعض استظهار كونه ابن الجُنيد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9/568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قسمة الغنائم،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قسمة الخُمس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قسمة الغنائم،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قسمة الخُمس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قولاً واحداً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تفريق الزكاة في بلد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نقل الزكاة إلى بلدٍ آخر مع وجود المستحقّ‌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وصاحب التنقيح كما 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قد يُقال في مثل الفرض إنّ عدم إمكان الإحاطة الجميع قرينة صارفة للعموم إلى ما يمكن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قسمة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قسمة الخُمس</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المجالس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الكتب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القول مجهول القائل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المختصر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وحكاه صاحب المستند عن المحقّق الخوانساري في رسالته بزيادة رحجان القسمة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9/582</w:t>
      </w:r>
      <w:r>
        <w:rPr>
          <w:rFonts w:ascii="IRNazanin" w:hAnsi="IRNazanin" w:eastAsia="IRNazanin"/>
          <w:b w:val="false"/>
          <w:b w:val="false"/>
          <w:bCs w:val="false"/>
          <w:i w:val="false"/>
          <w:i w:val="false"/>
          <w:iCs w:val="false"/>
          <w:color w:val="333333"/>
          <w:sz w:val="20"/>
          <w:sz w:val="20"/>
          <w:szCs w:val="20"/>
          <w:rtl w:val="true"/>
        </w:rPr>
        <w:t>، كتاب الخُمس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حصّة الإمام من الخُمس</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الخبر بهذه الألفاظ في الكتب الروائيّة المعروفة، إلّاما ورد في المقنعة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ولكن الأعلام تناقلوه في كتبهم الفقهيّة 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والعلّامة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نعم ورد عن النبيّ صلى الله عليه و آله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ويُظهر اللّه عزّ وجلّ له كنوز الأرض ومعادنها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كمال الدِّين للصدوق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ورواه العلّامة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المجلسي نقلاً عن زاد المعاد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المفيد عن بعض لروايته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الأرض تظهر كنوزها عند ظهور القائم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قوله بعد ذكر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القول عندي أوضح من جميع ما تقدّم، لأنّ الخُمس حقّ وجب لغائب، لم يرسم فيه قبل غيبته رسماً يجب الانتهاء إليه، فوجب حفظه عليه إلى وقت إيابه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فثلاثة أقسام، للإمام يدفن أو يودع عند من يوثق بأمانته، والثلاثة أقسام الأُخر تفرّق على أيتام آل محمّد ومساكينهم وأبناء سبيلهم لأنّهم المستحقّون لها وهم ظاهرون، وعلى هذا يجب أن يكون العمل لأنّ مستحقّها ظاهر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علماؤنا في الخُمس في حال غيبة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12609</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المرتضى، فإنّه وإنْ لم يصرّح باعتبارها هنا لكنّه اعتبرها في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مذهب الأصحاب لا أعلم فيه مخالفاً تمسّكاً بإطلاق الكتاب والسُنّة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دفع الزكاة إلى شارب الخمر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16328</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قسمة الغنائم،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قسمة الخُمس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الخُمس الشيخ مرتضى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فيها يوجد، للإجماع، والمستفيضة من الأخبار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المفاتيح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12646</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دعوى تواترها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7/486</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كفلس، الدلو العظيم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32244</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الأصفهاني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الايرواني كما في 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20905</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عبارة السيّد محمّد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والضابط أنّ كلّ أرضٍ فُتحت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الحرب فما كان يختصّ به ملكهم فهو للإمام إذا لم يكن غصباً من مسلم أو معاهد، كما كان للنبيّ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نصّ العبارة الواردة في هذا الكتاب فقد وردت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له أن يصطفي من الغنيمة ما شاء من فرسٍ أو ثوبٍ أو جاريةٍ أو غير ذلك ما لم يُجحِف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وأسنده إلى العامّة،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38/108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همشهريجه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أي أهل بلده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اسمٌ للبحر المتوسّط</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9/606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9/606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16/149</w:t>
      </w:r>
      <w:r>
        <w:rPr>
          <w:rFonts w:ascii="IRNazanin" w:hAnsi="IRNazanin" w:eastAsia="IRNazanin"/>
          <w:b w:val="false"/>
          <w:b w:val="false"/>
          <w:bCs w:val="false"/>
          <w:i w:val="false"/>
          <w:i w:val="false"/>
          <w:iCs w:val="false"/>
          <w:color w:val="333333"/>
          <w:sz w:val="20"/>
          <w:sz w:val="20"/>
          <w:szCs w:val="20"/>
          <w:rtl w:val="true"/>
        </w:rPr>
        <w:t>،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الحديث عن تحليل الأنفال في هذا المجلّد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الأنفال في زمان الغيبة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عن تحليل الأنفال في هذا المجلّد صفحة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الأنفال في زمان الغيبة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57694</Words>
  <Characters>258164</Characters>
  <CharactersWithSpaces>313173</CharactersWithSpaces>
  <Paragraphs>3030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2026-08-22T07:55:55Z</dcterms:created>
  <dc:creator>ghaemiyeh.com</dc:creator>
  <dc:description/>
  <dc:language>en-US</dc:language>
  <cp:lastModifiedBy/>
  <dcterms:modified xsi:type="dcterms:W3CDTF">2026-08-22T11:26:09Z</dcterms:modified>
  <cp:revision>1</cp:revision>
  <dc:subject/>
  <dc:title>فقه الصادق علیه السلام جلد 11</dc:title>
</cp:coreProperties>
</file>

<file path=docProps/custom.xml><?xml version="1.0" encoding="utf-8"?>
<Properties xmlns="http://schemas.openxmlformats.org/officeDocument/2006/custom-properties" xmlns:vt="http://schemas.openxmlformats.org/officeDocument/2006/docPropsVTypes"/>
</file>